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hd w:fill="b4a7d6" w:val="clear"/>
        </w:rPr>
      </w:pPr>
      <w:r w:rsidDel="00000000" w:rsidR="00000000" w:rsidRPr="00000000">
        <w:rPr>
          <w:shd w:fill="b4a7d6" w:val="clear"/>
          <w:rtl w:val="0"/>
        </w:rPr>
        <w:t xml:space="preserve">Discuss this image from the burial chamber of the Theban tomb TT96, the Tomb Complex of Sennefer</w:t>
      </w:r>
      <w:r w:rsidDel="00000000" w:rsidR="00000000" w:rsidRPr="00000000">
        <w:rPr>
          <w:shd w:fill="b4a7d6" w:val="clear"/>
        </w:rPr>
        <w:drawing>
          <wp:inline distB="114300" distT="114300" distL="114300" distR="114300">
            <wp:extent cx="390525" cy="228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90525" cy="228600"/>
                    </a:xfrm>
                    <a:prstGeom prst="rect"/>
                    <a:ln/>
                  </pic:spPr>
                </pic:pic>
              </a:graphicData>
            </a:graphic>
          </wp:inline>
        </w:drawing>
      </w:r>
      <w:r w:rsidDel="00000000" w:rsidR="00000000" w:rsidRPr="00000000">
        <w:rPr>
          <w:shd w:fill="b4a7d6" w:val="clear"/>
          <w:rtl w:val="0"/>
        </w:rPr>
        <w:t xml:space="preserve"> , Mayor of the "Southern City" (Thebes) from the Egyptian New Kingdom. Pay particular attention to the way Sennefer and his wife Meryt are presented. Are gendered representation from ancient Egypt are similar modern conceptions of sex and gender?</w:t>
      </w:r>
    </w:p>
    <w:p w:rsidR="00000000" w:rsidDel="00000000" w:rsidP="00000000" w:rsidRDefault="00000000" w:rsidRPr="00000000" w14:paraId="00000002">
      <w:pPr>
        <w:rPr>
          <w:shd w:fill="b4a7d6" w:val="clea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1514475</wp:posOffset>
            </wp:positionH>
            <wp:positionV relativeFrom="paragraph">
              <wp:posOffset>230287</wp:posOffset>
            </wp:positionV>
            <wp:extent cx="2914650" cy="1885950"/>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8"/>
                    <a:srcRect b="28528" l="11286" r="78280" t="35493"/>
                    <a:stretch>
                      <a:fillRect/>
                    </a:stretch>
                  </pic:blipFill>
                  <pic:spPr>
                    <a:xfrm>
                      <a:off x="0" y="0"/>
                      <a:ext cx="2914650" cy="1885950"/>
                    </a:xfrm>
                    <a:prstGeom prst="rect"/>
                    <a:ln/>
                  </pic:spPr>
                </pic:pic>
              </a:graphicData>
            </a:graphic>
          </wp:anchor>
        </w:drawing>
      </w:r>
    </w:p>
    <w:p w:rsidR="00000000" w:rsidDel="00000000" w:rsidP="00000000" w:rsidRDefault="00000000" w:rsidRPr="00000000" w14:paraId="00000003">
      <w:pPr>
        <w:rPr>
          <w:shd w:fill="b4a7d6" w:val="clear"/>
        </w:rPr>
      </w:pPr>
      <w:r w:rsidDel="00000000" w:rsidR="00000000" w:rsidRPr="00000000">
        <w:rPr>
          <w:rtl w:val="0"/>
        </w:rPr>
      </w:r>
    </w:p>
    <w:p w:rsidR="00000000" w:rsidDel="00000000" w:rsidP="00000000" w:rsidRDefault="00000000" w:rsidRPr="00000000" w14:paraId="00000004">
      <w:pPr>
        <w:rPr>
          <w:shd w:fill="b4a7d6" w:val="clear"/>
        </w:rPr>
      </w:pPr>
      <w:r w:rsidDel="00000000" w:rsidR="00000000" w:rsidRPr="00000000">
        <w:rPr>
          <w:rtl w:val="0"/>
        </w:rPr>
      </w:r>
    </w:p>
    <w:p w:rsidR="00000000" w:rsidDel="00000000" w:rsidP="00000000" w:rsidRDefault="00000000" w:rsidRPr="00000000" w14:paraId="00000005">
      <w:pPr>
        <w:rPr>
          <w:shd w:fill="b4a7d6" w:val="clear"/>
        </w:rPr>
      </w:pPr>
      <w:r w:rsidDel="00000000" w:rsidR="00000000" w:rsidRPr="00000000">
        <w:rPr>
          <w:rtl w:val="0"/>
        </w:rPr>
      </w:r>
    </w:p>
    <w:p w:rsidR="00000000" w:rsidDel="00000000" w:rsidP="00000000" w:rsidRDefault="00000000" w:rsidRPr="00000000" w14:paraId="00000006">
      <w:pPr>
        <w:rPr>
          <w:shd w:fill="b4a7d6" w:val="clear"/>
        </w:rPr>
      </w:pPr>
      <w:r w:rsidDel="00000000" w:rsidR="00000000" w:rsidRPr="00000000">
        <w:rPr>
          <w:rtl w:val="0"/>
        </w:rPr>
      </w:r>
    </w:p>
    <w:p w:rsidR="00000000" w:rsidDel="00000000" w:rsidP="00000000" w:rsidRDefault="00000000" w:rsidRPr="00000000" w14:paraId="00000007">
      <w:pPr>
        <w:rPr>
          <w:shd w:fill="b4a7d6" w:val="clear"/>
        </w:rPr>
      </w:pPr>
      <w:r w:rsidDel="00000000" w:rsidR="00000000" w:rsidRPr="00000000">
        <w:rPr>
          <w:rtl w:val="0"/>
        </w:rPr>
      </w:r>
    </w:p>
    <w:p w:rsidR="00000000" w:rsidDel="00000000" w:rsidP="00000000" w:rsidRDefault="00000000" w:rsidRPr="00000000" w14:paraId="00000008">
      <w:pPr>
        <w:rPr>
          <w:shd w:fill="b4a7d6" w:val="clear"/>
        </w:rPr>
      </w:pPr>
      <w:r w:rsidDel="00000000" w:rsidR="00000000" w:rsidRPr="00000000">
        <w:rPr>
          <w:rtl w:val="0"/>
        </w:rPr>
      </w:r>
    </w:p>
    <w:p w:rsidR="00000000" w:rsidDel="00000000" w:rsidP="00000000" w:rsidRDefault="00000000" w:rsidRPr="00000000" w14:paraId="00000009">
      <w:pPr>
        <w:rPr>
          <w:shd w:fill="b4a7d6" w:val="clear"/>
        </w:rPr>
      </w:pPr>
      <w:r w:rsidDel="00000000" w:rsidR="00000000" w:rsidRPr="00000000">
        <w:rPr>
          <w:rtl w:val="0"/>
        </w:rPr>
      </w:r>
    </w:p>
    <w:p w:rsidR="00000000" w:rsidDel="00000000" w:rsidP="00000000" w:rsidRDefault="00000000" w:rsidRPr="00000000" w14:paraId="0000000A">
      <w:pPr>
        <w:rPr>
          <w:shd w:fill="b4a7d6" w:val="clear"/>
        </w:rPr>
      </w:pPr>
      <w:r w:rsidDel="00000000" w:rsidR="00000000" w:rsidRPr="00000000">
        <w:rPr>
          <w:rtl w:val="0"/>
        </w:rPr>
      </w:r>
    </w:p>
    <w:p w:rsidR="00000000" w:rsidDel="00000000" w:rsidP="00000000" w:rsidRDefault="00000000" w:rsidRPr="00000000" w14:paraId="0000000B">
      <w:pPr>
        <w:rPr>
          <w:shd w:fill="b4a7d6" w:val="clear"/>
        </w:rPr>
      </w:pPr>
      <w:r w:rsidDel="00000000" w:rsidR="00000000" w:rsidRPr="00000000">
        <w:rPr>
          <w:rtl w:val="0"/>
        </w:rPr>
      </w:r>
    </w:p>
    <w:p w:rsidR="00000000" w:rsidDel="00000000" w:rsidP="00000000" w:rsidRDefault="00000000" w:rsidRPr="00000000" w14:paraId="0000000C">
      <w:pPr>
        <w:rPr>
          <w:shd w:fill="b4a7d6" w:val="clear"/>
        </w:rPr>
      </w:pPr>
      <w:r w:rsidDel="00000000" w:rsidR="00000000" w:rsidRPr="00000000">
        <w:rPr>
          <w:rtl w:val="0"/>
        </w:rPr>
      </w:r>
    </w:p>
    <w:p w:rsidR="00000000" w:rsidDel="00000000" w:rsidP="00000000" w:rsidRDefault="00000000" w:rsidRPr="00000000" w14:paraId="0000000D">
      <w:pPr>
        <w:rPr>
          <w:shd w:fill="b4a7d6" w:val="clear"/>
        </w:rPr>
      </w:pPr>
      <w:r w:rsidDel="00000000" w:rsidR="00000000" w:rsidRPr="00000000">
        <w:rPr>
          <w:rtl w:val="0"/>
        </w:rPr>
      </w:r>
    </w:p>
    <w:p w:rsidR="00000000" w:rsidDel="00000000" w:rsidP="00000000" w:rsidRDefault="00000000" w:rsidRPr="00000000" w14:paraId="0000000E">
      <w:pPr>
        <w:rPr>
          <w:shd w:fill="b4a7d6" w:val="clear"/>
        </w:rPr>
      </w:pPr>
      <w:r w:rsidDel="00000000" w:rsidR="00000000" w:rsidRPr="00000000">
        <w:rPr>
          <w:rtl w:val="0"/>
        </w:rPr>
      </w:r>
    </w:p>
    <w:p w:rsidR="00000000" w:rsidDel="00000000" w:rsidP="00000000" w:rsidRDefault="00000000" w:rsidRPr="00000000" w14:paraId="0000000F">
      <w:pPr>
        <w:rPr>
          <w:shd w:fill="b4a7d6" w:val="clea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In this image we can see Sennefer and his wife Meryt sitting together, we can see that Sennefer is depicted wearing a long wig, this was typical of those presenting as male within the time period however it is not something predominantly shown in modern society, especially in roles of social importance where it is often seen as unprofessional for a man to have long hair. Meryt is also depicted with a long wig, reinforcing the idea that long hair was not largely connected to the idea of sex or gender. </w:t>
      </w:r>
    </w:p>
    <w:p w:rsidR="00000000" w:rsidDel="00000000" w:rsidP="00000000" w:rsidRDefault="00000000" w:rsidRPr="00000000" w14:paraId="00000011">
      <w:pPr>
        <w:rPr/>
      </w:pPr>
      <w:r w:rsidDel="00000000" w:rsidR="00000000" w:rsidRPr="00000000">
        <w:rPr>
          <w:rtl w:val="0"/>
        </w:rPr>
        <w:t xml:space="preserve">Sennefer is holding a sekhem-sceptre, associated with power and authority</w:t>
      </w:r>
      <w:r w:rsidDel="00000000" w:rsidR="00000000" w:rsidRPr="00000000">
        <w:rPr>
          <w:vertAlign w:val="superscript"/>
        </w:rPr>
        <w:footnoteReference w:customMarkFollows="0" w:id="0"/>
      </w:r>
      <w:r w:rsidDel="00000000" w:rsidR="00000000" w:rsidRPr="00000000">
        <w:rPr>
          <w:rtl w:val="0"/>
        </w:rPr>
        <w:t xml:space="preserve">. The use of this reinforces the dominant position of Sennefer as it most commonly appeared to be held by pharaohs and deities.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Both Sennefer and Meryt are depicted wearing earrings, necklaces and bracelets in this image, this shows that jewellery in the time period was not necessarily gendered in the same way that jewellery is today. Although in recent years it has become more acceptable for men in modern society to wear more jewellery, it is still often seen as odd for a man to have his ears pierced or wear anything more than a simple chain around the neck. Here we see Sennefer wearing large gold hoop earrings and a wide decorative necklace, which would not have affected the way people perceived his level of masculinity like it would in today's social climate.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Although there are many similarities in the appearances of Sennefer and Meryt, we can distinctly tell that Meryt is a female. It was common for women in ancient Egyptian imagery to be depicted with lighter skin in comparison to males who were often shown to have a darker tan complexion. This could be perceived as a difference in appearance due to natural factors such as sun exposure, as women were less likely to spend time outdoors and therefore would not develop a naturally darker complexion in comparison to their male counterparts, however this theory is also questioned due to anomalies that appear throughout the history of ancient Egypt.</w:t>
      </w:r>
    </w:p>
    <w:p w:rsidR="00000000" w:rsidDel="00000000" w:rsidP="00000000" w:rsidRDefault="00000000" w:rsidRPr="00000000" w14:paraId="00000016">
      <w:pPr>
        <w:rPr/>
      </w:pPr>
      <w:r w:rsidDel="00000000" w:rsidR="00000000" w:rsidRPr="00000000">
        <w:rPr>
          <w:rtl w:val="0"/>
        </w:rPr>
        <w:t xml:space="preserve">Mary Ann Eaverly argues that the difference in skin tones between genders links to duality and created a distinct difference between the men and women of ancient Egypt. One example of Eaverly's theory being Hathepsut, who after her husband's death declared herself king. When looking at statues from Hathepsut's reign we see that her depictions begin as yellow-skinned and gradually darken over the years until they reach a reddish-brown tone, these statues are thought to show the gradual change and combination of Hathepsut's femininity and masculinity up until she is portrayed as her male iconic</w:t>
      </w:r>
      <w:r w:rsidDel="00000000" w:rsidR="00000000" w:rsidRPr="00000000">
        <w:rPr>
          <w:vertAlign w:val="superscript"/>
        </w:rPr>
        <w:footnoteReference w:customMarkFollows="0" w:id="1"/>
      </w:r>
      <w:r w:rsidDel="00000000" w:rsidR="00000000" w:rsidRPr="00000000">
        <w:rPr>
          <w:rtl w:val="0"/>
        </w:rPr>
        <w:t xml:space="preserv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One of the other things that stands out about Meryt's femininity is the appearance of heavier makeup, when comparing the eye of Sennefer to the eye of Meryt we can see that her eyeline is more exaggerated with a wing on both the inner and outer corners. This depiction of heavier makeup being a feminine quality is still present in modern day society when discussing the concept of sex and gender. Makeup is often marketed towards those who identify as female as an everyday product - showing the societal expectations of presenting as feminine. When a male is seen to be wearing makeup it is often assumed that they are homosexual as it is seen as being more outgoing and parading a flamboyant personality, both often stereotyped characteristics of the modern gay male.</w:t>
      </w:r>
    </w:p>
    <w:p w:rsidR="00000000" w:rsidDel="00000000" w:rsidP="00000000" w:rsidRDefault="00000000" w:rsidRPr="00000000" w14:paraId="00000019">
      <w:pPr>
        <w:rPr/>
      </w:pPr>
      <w:r w:rsidDel="00000000" w:rsidR="00000000" w:rsidRPr="00000000">
        <w:rPr>
          <w:rtl w:val="0"/>
        </w:rPr>
        <w:t xml:space="preserve">However, when we look at other ancient Egyptian artefacts it appears as though makeup was also commonly worn by men of greater social standing such as Pharaohs. The sarcophagus of Tutankhamen is a brilliant example of this as the solid gold mask is adorned with details such as heavy winged eyeliner, however makeup in Egypt is believed to have been worn for practical reasons as well as ritualistic purposes. Some believe that makeup was worn by the Egyptians to protect them from the Gods Ra and Horus, however it is also believed that the natural aspects of the makeup such as ground up minerals could benefit health by helping to prevent eye infections.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Overall we can see that the concept of masculinity is partially similar in modern day society as it was in ancient Egypt, however we can see that some things such as the use of makeup amongst those who present as males carries different connotations in relation to the portrayal of sexuality and gender identification. It can be said that the concept of gender was more fluid during the ancient Egyptian time period than it is now, suggesting that the constructs we see today were not as widely believed or even followed at all. </w:t>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"Egyptian Symbols: Sekhem Scepter - Egyptian Gods and ...." </w:t>
      </w:r>
      <w:hyperlink r:id="rId1">
        <w:r w:rsidDel="00000000" w:rsidR="00000000" w:rsidRPr="00000000">
          <w:rPr>
            <w:color w:val="1155cc"/>
            <w:sz w:val="20"/>
            <w:szCs w:val="20"/>
            <w:u w:val="single"/>
            <w:rtl w:val="0"/>
          </w:rPr>
          <w:t xml:space="preserve">http://egyptian-gods.org/egyptian-symbols-sekhem-scepter/</w:t>
        </w:r>
      </w:hyperlink>
      <w:r w:rsidDel="00000000" w:rsidR="00000000" w:rsidRPr="00000000">
        <w:rPr>
          <w:sz w:val="20"/>
          <w:szCs w:val="20"/>
          <w:rtl w:val="0"/>
        </w:rPr>
        <w:t xml:space="preserve">. Accessed 17 Dec. 2020.</w:t>
      </w:r>
    </w:p>
  </w:footnote>
  <w:footnote w:id="1">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u w:val="single"/>
            <w:rtl w:val="0"/>
          </w:rPr>
          <w:t xml:space="preserve">http://www.caareviews.org/reviews/2527#.X-BoNR7LdEE</w:t>
        </w:r>
      </w:hyperlink>
      <w:r w:rsidDel="00000000" w:rsidR="00000000" w:rsidRPr="00000000">
        <w:rPr>
          <w:sz w:val="20"/>
          <w:szCs w:val="20"/>
          <w:rtl w:val="0"/>
        </w:rPr>
        <w:t xml:space="preserve">. Accessed 20 Dec 2020.</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egyptian-gods.org/egyptian-symbols-sekhem-scepter/" TargetMode="External"/><Relationship Id="rId2" Type="http://schemas.openxmlformats.org/officeDocument/2006/relationships/hyperlink" Target="http://www.caareviews.org/reviews/2527#.X-BoNR7Ld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