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FBD95FC" w:rsidR="00796121" w:rsidRDefault="034D0152" w:rsidP="2EB06C69">
      <w:pPr>
        <w:rPr>
          <w:rFonts w:ascii="Arial Nova" w:eastAsia="Arial Nova" w:hAnsi="Arial Nova" w:cs="Arial Nova"/>
          <w:b/>
          <w:bCs/>
          <w:sz w:val="40"/>
          <w:szCs w:val="40"/>
        </w:rPr>
      </w:pPr>
      <w:r w:rsidRPr="2EB06C69">
        <w:rPr>
          <w:rFonts w:ascii="Arial Nova" w:eastAsia="Arial Nova" w:hAnsi="Arial Nova" w:cs="Arial Nova"/>
          <w:b/>
          <w:bCs/>
          <w:sz w:val="40"/>
          <w:szCs w:val="40"/>
        </w:rPr>
        <w:t>A Scoping Review of Mental Health Support Interventions for University Students in the UK</w:t>
      </w:r>
    </w:p>
    <w:p w14:paraId="0FFACC21" w14:textId="0005E5D9" w:rsidR="203776EB" w:rsidRDefault="203776EB" w:rsidP="2EB06C69">
      <w:pPr>
        <w:rPr>
          <w:rFonts w:ascii="Arial" w:eastAsia="Arial" w:hAnsi="Arial" w:cs="Arial"/>
          <w:b/>
          <w:bCs/>
          <w:color w:val="000000" w:themeColor="text1"/>
          <w:sz w:val="28"/>
          <w:szCs w:val="28"/>
        </w:rPr>
      </w:pPr>
    </w:p>
    <w:p w14:paraId="0FF7664D" w14:textId="51C5C97C" w:rsidR="203776EB" w:rsidRDefault="021DDA8D" w:rsidP="2EB06C69">
      <w:pPr>
        <w:rPr>
          <w:rFonts w:ascii="Arial" w:eastAsia="Arial" w:hAnsi="Arial" w:cs="Arial"/>
          <w:color w:val="000000" w:themeColor="text1"/>
          <w:sz w:val="28"/>
          <w:szCs w:val="28"/>
        </w:rPr>
      </w:pPr>
      <w:r w:rsidRPr="2EB06C69">
        <w:rPr>
          <w:rFonts w:ascii="Arial" w:eastAsia="Arial" w:hAnsi="Arial" w:cs="Arial"/>
          <w:b/>
          <w:bCs/>
          <w:color w:val="000000" w:themeColor="text1"/>
          <w:sz w:val="28"/>
          <w:szCs w:val="28"/>
        </w:rPr>
        <w:t xml:space="preserve">Name: </w:t>
      </w:r>
      <w:r w:rsidRPr="2EB06C69">
        <w:rPr>
          <w:rFonts w:ascii="Arial" w:eastAsia="Arial" w:hAnsi="Arial" w:cs="Arial"/>
          <w:color w:val="000000" w:themeColor="text1"/>
          <w:sz w:val="28"/>
          <w:szCs w:val="28"/>
        </w:rPr>
        <w:t>Diana Mihaela Briceag</w:t>
      </w:r>
    </w:p>
    <w:p w14:paraId="186D0704" w14:textId="17E15BA3" w:rsidR="203776EB" w:rsidRPr="00A36A25" w:rsidRDefault="021DDA8D" w:rsidP="2EB06C69">
      <w:pPr>
        <w:rPr>
          <w:rFonts w:ascii="Arial" w:eastAsia="Arial" w:hAnsi="Arial" w:cs="Arial"/>
          <w:i/>
          <w:iCs/>
          <w:color w:val="000000" w:themeColor="text1"/>
          <w:sz w:val="28"/>
          <w:szCs w:val="28"/>
        </w:rPr>
      </w:pPr>
      <w:r w:rsidRPr="2EB06C69">
        <w:rPr>
          <w:rFonts w:ascii="Arial" w:eastAsia="Arial" w:hAnsi="Arial" w:cs="Arial"/>
          <w:b/>
          <w:bCs/>
          <w:color w:val="000000" w:themeColor="text1"/>
          <w:sz w:val="28"/>
          <w:szCs w:val="28"/>
        </w:rPr>
        <w:t>Student Number:</w:t>
      </w:r>
      <w:r w:rsidR="00A36A25">
        <w:rPr>
          <w:rFonts w:ascii="Arial" w:eastAsia="Arial" w:hAnsi="Arial" w:cs="Arial"/>
          <w:b/>
          <w:bCs/>
          <w:color w:val="000000" w:themeColor="text1"/>
          <w:sz w:val="28"/>
          <w:szCs w:val="28"/>
        </w:rPr>
        <w:t xml:space="preserve"> </w:t>
      </w:r>
      <w:r w:rsidR="00A36A25">
        <w:rPr>
          <w:rFonts w:ascii="Arial" w:eastAsia="Arial" w:hAnsi="Arial" w:cs="Arial"/>
          <w:color w:val="000000" w:themeColor="text1"/>
          <w:sz w:val="28"/>
          <w:szCs w:val="28"/>
        </w:rPr>
        <w:t>2408209</w:t>
      </w:r>
    </w:p>
    <w:p w14:paraId="104401F4" w14:textId="0357B7CF" w:rsidR="203776EB" w:rsidRPr="00A36A25" w:rsidRDefault="021DDA8D" w:rsidP="2EB06C69">
      <w:pPr>
        <w:rPr>
          <w:rFonts w:ascii="Arial" w:eastAsia="Arial" w:hAnsi="Arial" w:cs="Arial"/>
          <w:color w:val="000000" w:themeColor="text1"/>
          <w:sz w:val="28"/>
          <w:szCs w:val="28"/>
        </w:rPr>
      </w:pPr>
      <w:r w:rsidRPr="2EB06C69">
        <w:rPr>
          <w:rFonts w:ascii="Arial" w:eastAsia="Arial" w:hAnsi="Arial" w:cs="Arial"/>
          <w:b/>
          <w:bCs/>
          <w:color w:val="000000" w:themeColor="text1"/>
          <w:sz w:val="28"/>
          <w:szCs w:val="28"/>
        </w:rPr>
        <w:t>Module Code:</w:t>
      </w:r>
      <w:r w:rsidR="00A36A25">
        <w:rPr>
          <w:rFonts w:ascii="Arial" w:eastAsia="Arial" w:hAnsi="Arial" w:cs="Arial"/>
          <w:b/>
          <w:bCs/>
          <w:color w:val="000000" w:themeColor="text1"/>
          <w:sz w:val="28"/>
          <w:szCs w:val="28"/>
        </w:rPr>
        <w:t xml:space="preserve"> </w:t>
      </w:r>
      <w:r w:rsidR="00A36A25">
        <w:rPr>
          <w:rFonts w:ascii="Arial" w:eastAsia="Arial" w:hAnsi="Arial" w:cs="Arial"/>
          <w:color w:val="000000" w:themeColor="text1"/>
          <w:sz w:val="28"/>
          <w:szCs w:val="28"/>
        </w:rPr>
        <w:t>BMHP5019_BIRM</w:t>
      </w:r>
    </w:p>
    <w:p w14:paraId="2E773F22" w14:textId="7801FE96" w:rsidR="203776EB" w:rsidRPr="00A36A25" w:rsidRDefault="021DDA8D" w:rsidP="2EB06C69">
      <w:pPr>
        <w:rPr>
          <w:rFonts w:ascii="Arial" w:eastAsia="Arial" w:hAnsi="Arial" w:cs="Arial"/>
          <w:color w:val="000000" w:themeColor="text1"/>
          <w:sz w:val="28"/>
          <w:szCs w:val="28"/>
        </w:rPr>
      </w:pPr>
      <w:r w:rsidRPr="2EB06C69">
        <w:rPr>
          <w:rFonts w:ascii="Arial" w:eastAsia="Arial" w:hAnsi="Arial" w:cs="Arial"/>
          <w:b/>
          <w:bCs/>
          <w:color w:val="000000" w:themeColor="text1"/>
          <w:sz w:val="28"/>
          <w:szCs w:val="28"/>
        </w:rPr>
        <w:t>Module Title:</w:t>
      </w:r>
      <w:r w:rsidR="00A36A25">
        <w:rPr>
          <w:rFonts w:ascii="Arial" w:eastAsia="Arial" w:hAnsi="Arial" w:cs="Arial"/>
          <w:b/>
          <w:bCs/>
          <w:color w:val="000000" w:themeColor="text1"/>
          <w:sz w:val="28"/>
          <w:szCs w:val="28"/>
        </w:rPr>
        <w:t xml:space="preserve"> </w:t>
      </w:r>
      <w:r w:rsidR="00A36A25">
        <w:rPr>
          <w:rFonts w:ascii="Arial" w:eastAsia="Arial" w:hAnsi="Arial" w:cs="Arial"/>
          <w:color w:val="000000" w:themeColor="text1"/>
          <w:sz w:val="28"/>
          <w:szCs w:val="28"/>
        </w:rPr>
        <w:t>Introduction to Independent Research Skills</w:t>
      </w:r>
    </w:p>
    <w:p w14:paraId="42A74D08" w14:textId="05153A4F" w:rsidR="203776EB" w:rsidRPr="00A36A25" w:rsidRDefault="021DDA8D" w:rsidP="2EB06C69">
      <w:pPr>
        <w:rPr>
          <w:rFonts w:ascii="Arial" w:eastAsia="Arial" w:hAnsi="Arial" w:cs="Arial"/>
          <w:color w:val="000000" w:themeColor="text1"/>
          <w:sz w:val="28"/>
          <w:szCs w:val="28"/>
        </w:rPr>
      </w:pPr>
      <w:r w:rsidRPr="2EB06C69">
        <w:rPr>
          <w:rFonts w:ascii="Arial" w:eastAsia="Arial" w:hAnsi="Arial" w:cs="Arial"/>
          <w:b/>
          <w:bCs/>
          <w:color w:val="000000" w:themeColor="text1"/>
          <w:sz w:val="28"/>
          <w:szCs w:val="28"/>
        </w:rPr>
        <w:t>Assignment title:</w:t>
      </w:r>
      <w:r w:rsidR="00A36A25">
        <w:rPr>
          <w:rFonts w:ascii="Arial" w:eastAsia="Arial" w:hAnsi="Arial" w:cs="Arial"/>
          <w:b/>
          <w:bCs/>
          <w:color w:val="000000" w:themeColor="text1"/>
          <w:sz w:val="28"/>
          <w:szCs w:val="28"/>
        </w:rPr>
        <w:t xml:space="preserve"> </w:t>
      </w:r>
      <w:r w:rsidR="00A36A25">
        <w:rPr>
          <w:rFonts w:ascii="Arial" w:eastAsia="Arial" w:hAnsi="Arial" w:cs="Arial"/>
          <w:color w:val="000000" w:themeColor="text1"/>
          <w:sz w:val="28"/>
          <w:szCs w:val="28"/>
        </w:rPr>
        <w:t>Written Assignment (Research Report)</w:t>
      </w:r>
    </w:p>
    <w:p w14:paraId="0D7B5F4D" w14:textId="17BDD324" w:rsidR="203776EB" w:rsidRDefault="203776EB" w:rsidP="203776EB">
      <w:pPr>
        <w:rPr>
          <w:rFonts w:ascii="Times New Roman" w:eastAsia="Times New Roman" w:hAnsi="Times New Roman" w:cs="Times New Roman"/>
          <w:b/>
          <w:bCs/>
          <w:sz w:val="40"/>
          <w:szCs w:val="40"/>
        </w:rPr>
      </w:pPr>
    </w:p>
    <w:p w14:paraId="5C0B238B" w14:textId="392E05A4" w:rsidR="203776EB" w:rsidRDefault="203776EB" w:rsidP="203776EB">
      <w:pPr>
        <w:rPr>
          <w:rFonts w:ascii="Times New Roman" w:eastAsia="Times New Roman" w:hAnsi="Times New Roman" w:cs="Times New Roman"/>
          <w:b/>
          <w:bCs/>
          <w:sz w:val="40"/>
          <w:szCs w:val="40"/>
        </w:rPr>
      </w:pPr>
    </w:p>
    <w:p w14:paraId="2080CE31" w14:textId="7DF78824" w:rsidR="203776EB" w:rsidRDefault="203776EB" w:rsidP="203776EB">
      <w:pPr>
        <w:rPr>
          <w:rFonts w:ascii="Times New Roman" w:eastAsia="Times New Roman" w:hAnsi="Times New Roman" w:cs="Times New Roman"/>
          <w:b/>
          <w:bCs/>
          <w:sz w:val="40"/>
          <w:szCs w:val="40"/>
        </w:rPr>
      </w:pPr>
    </w:p>
    <w:p w14:paraId="4A99D19F" w14:textId="292AF970" w:rsidR="203776EB" w:rsidRDefault="203776EB" w:rsidP="203776EB">
      <w:pPr>
        <w:rPr>
          <w:rFonts w:ascii="Times New Roman" w:eastAsia="Times New Roman" w:hAnsi="Times New Roman" w:cs="Times New Roman"/>
          <w:b/>
          <w:bCs/>
          <w:sz w:val="40"/>
          <w:szCs w:val="40"/>
        </w:rPr>
      </w:pPr>
    </w:p>
    <w:p w14:paraId="312D2574" w14:textId="3F91CB7F" w:rsidR="203776EB" w:rsidRDefault="203776EB" w:rsidP="203776EB">
      <w:pPr>
        <w:rPr>
          <w:rFonts w:ascii="Times New Roman" w:eastAsia="Times New Roman" w:hAnsi="Times New Roman" w:cs="Times New Roman"/>
          <w:b/>
          <w:bCs/>
          <w:sz w:val="40"/>
          <w:szCs w:val="40"/>
        </w:rPr>
      </w:pPr>
    </w:p>
    <w:p w14:paraId="4175BA19" w14:textId="28BCA028" w:rsidR="203776EB" w:rsidRDefault="203776EB" w:rsidP="203776EB">
      <w:pPr>
        <w:rPr>
          <w:rFonts w:ascii="Times New Roman" w:eastAsia="Times New Roman" w:hAnsi="Times New Roman" w:cs="Times New Roman"/>
          <w:b/>
          <w:bCs/>
          <w:sz w:val="40"/>
          <w:szCs w:val="40"/>
        </w:rPr>
      </w:pPr>
    </w:p>
    <w:p w14:paraId="54490A26" w14:textId="164EC38A" w:rsidR="203776EB" w:rsidRDefault="203776EB" w:rsidP="203776EB">
      <w:pPr>
        <w:rPr>
          <w:rFonts w:ascii="Times New Roman" w:eastAsia="Times New Roman" w:hAnsi="Times New Roman" w:cs="Times New Roman"/>
          <w:b/>
          <w:bCs/>
          <w:sz w:val="40"/>
          <w:szCs w:val="40"/>
        </w:rPr>
      </w:pPr>
    </w:p>
    <w:p w14:paraId="627D3400" w14:textId="1348B001" w:rsidR="203776EB" w:rsidRDefault="203776EB" w:rsidP="203776EB">
      <w:pPr>
        <w:rPr>
          <w:rFonts w:ascii="Times New Roman" w:eastAsia="Times New Roman" w:hAnsi="Times New Roman" w:cs="Times New Roman"/>
          <w:b/>
          <w:bCs/>
          <w:sz w:val="40"/>
          <w:szCs w:val="40"/>
        </w:rPr>
      </w:pPr>
    </w:p>
    <w:p w14:paraId="4E64EBDF" w14:textId="5A85F9EE" w:rsidR="203776EB" w:rsidRDefault="203776EB" w:rsidP="203776EB">
      <w:pPr>
        <w:rPr>
          <w:rFonts w:ascii="Times New Roman" w:eastAsia="Times New Roman" w:hAnsi="Times New Roman" w:cs="Times New Roman"/>
          <w:b/>
          <w:bCs/>
          <w:sz w:val="40"/>
          <w:szCs w:val="40"/>
        </w:rPr>
      </w:pPr>
    </w:p>
    <w:p w14:paraId="2805D7DA" w14:textId="40874B78" w:rsidR="203776EB" w:rsidRDefault="203776EB" w:rsidP="203776EB">
      <w:pPr>
        <w:rPr>
          <w:rFonts w:ascii="Times New Roman" w:eastAsia="Times New Roman" w:hAnsi="Times New Roman" w:cs="Times New Roman"/>
          <w:b/>
          <w:bCs/>
          <w:sz w:val="40"/>
          <w:szCs w:val="40"/>
        </w:rPr>
      </w:pPr>
    </w:p>
    <w:p w14:paraId="2C5ABD1D" w14:textId="7B94FB05" w:rsidR="203776EB" w:rsidRDefault="203776EB" w:rsidP="203776EB">
      <w:pPr>
        <w:rPr>
          <w:rFonts w:ascii="Times New Roman" w:eastAsia="Times New Roman" w:hAnsi="Times New Roman" w:cs="Times New Roman"/>
          <w:b/>
          <w:bCs/>
          <w:sz w:val="40"/>
          <w:szCs w:val="40"/>
        </w:rPr>
      </w:pPr>
    </w:p>
    <w:p w14:paraId="58477AD6" w14:textId="5D503918" w:rsidR="203776EB" w:rsidRDefault="203776EB" w:rsidP="203776EB">
      <w:pPr>
        <w:rPr>
          <w:rFonts w:ascii="Times New Roman" w:eastAsia="Times New Roman" w:hAnsi="Times New Roman" w:cs="Times New Roman"/>
          <w:b/>
          <w:bCs/>
          <w:sz w:val="40"/>
          <w:szCs w:val="40"/>
        </w:rPr>
      </w:pPr>
    </w:p>
    <w:p w14:paraId="6F8F9A0D" w14:textId="1B151455" w:rsidR="203776EB" w:rsidRDefault="203776EB" w:rsidP="203776EB">
      <w:pPr>
        <w:rPr>
          <w:rFonts w:ascii="Times New Roman" w:eastAsia="Times New Roman" w:hAnsi="Times New Roman" w:cs="Times New Roman"/>
          <w:b/>
          <w:bCs/>
          <w:sz w:val="40"/>
          <w:szCs w:val="40"/>
        </w:rPr>
      </w:pPr>
    </w:p>
    <w:p w14:paraId="7E20C26A" w14:textId="5AD59BBD" w:rsidR="2EB06C69" w:rsidRDefault="2EB06C69" w:rsidP="2EB06C69">
      <w:pPr>
        <w:rPr>
          <w:rFonts w:ascii="Arial Nova" w:eastAsia="Arial Nova" w:hAnsi="Arial Nova" w:cs="Arial Nova"/>
          <w:b/>
          <w:bCs/>
          <w:sz w:val="28"/>
          <w:szCs w:val="28"/>
        </w:rPr>
      </w:pPr>
    </w:p>
    <w:sdt>
      <w:sdtPr>
        <w:id w:val="117769009"/>
        <w:docPartObj>
          <w:docPartGallery w:val="Table of Contents"/>
          <w:docPartUnique/>
        </w:docPartObj>
      </w:sdtPr>
      <w:sdtContent>
        <w:p w14:paraId="47AD4296" w14:textId="0AAFBDA6" w:rsidR="2EB06C69" w:rsidRDefault="2EB06C69" w:rsidP="2EB06C69">
          <w:pPr>
            <w:pStyle w:val="TOC1"/>
            <w:tabs>
              <w:tab w:val="right" w:leader="dot" w:pos="9015"/>
            </w:tabs>
            <w:rPr>
              <w:rStyle w:val="Hyperlink"/>
            </w:rPr>
          </w:pPr>
          <w:r>
            <w:fldChar w:fldCharType="begin"/>
          </w:r>
          <w:r>
            <w:instrText>TOC \o \z \u \h</w:instrText>
          </w:r>
          <w:r>
            <w:fldChar w:fldCharType="separate"/>
          </w:r>
          <w:hyperlink w:anchor="_Toc1935766740">
            <w:r w:rsidRPr="2EB06C69">
              <w:rPr>
                <w:rStyle w:val="Hyperlink"/>
              </w:rPr>
              <w:t>Introduction</w:t>
            </w:r>
            <w:r>
              <w:tab/>
            </w:r>
            <w:r>
              <w:fldChar w:fldCharType="begin"/>
            </w:r>
            <w:r>
              <w:instrText>PAGEREF _Toc1935766740 \h</w:instrText>
            </w:r>
            <w:r>
              <w:fldChar w:fldCharType="separate"/>
            </w:r>
            <w:r w:rsidRPr="2EB06C69">
              <w:rPr>
                <w:rStyle w:val="Hyperlink"/>
              </w:rPr>
              <w:t>2</w:t>
            </w:r>
            <w:r>
              <w:fldChar w:fldCharType="end"/>
            </w:r>
          </w:hyperlink>
        </w:p>
        <w:p w14:paraId="2F1A545C" w14:textId="7752C1D3" w:rsidR="2EB06C69" w:rsidRDefault="2EB06C69" w:rsidP="2EB06C69">
          <w:pPr>
            <w:pStyle w:val="TOC2"/>
            <w:tabs>
              <w:tab w:val="right" w:leader="dot" w:pos="9015"/>
            </w:tabs>
            <w:rPr>
              <w:rStyle w:val="Hyperlink"/>
            </w:rPr>
          </w:pPr>
          <w:hyperlink w:anchor="_Toc979968710">
            <w:r w:rsidRPr="2EB06C69">
              <w:rPr>
                <w:rStyle w:val="Hyperlink"/>
              </w:rPr>
              <w:t>Review Question</w:t>
            </w:r>
            <w:r>
              <w:tab/>
            </w:r>
            <w:r>
              <w:fldChar w:fldCharType="begin"/>
            </w:r>
            <w:r>
              <w:instrText>PAGEREF _Toc979968710 \h</w:instrText>
            </w:r>
            <w:r>
              <w:fldChar w:fldCharType="separate"/>
            </w:r>
            <w:r w:rsidRPr="2EB06C69">
              <w:rPr>
                <w:rStyle w:val="Hyperlink"/>
              </w:rPr>
              <w:t>4</w:t>
            </w:r>
            <w:r>
              <w:fldChar w:fldCharType="end"/>
            </w:r>
          </w:hyperlink>
        </w:p>
        <w:p w14:paraId="47B629A8" w14:textId="6EA36668" w:rsidR="2EB06C69" w:rsidRDefault="2EB06C69" w:rsidP="2EB06C69">
          <w:pPr>
            <w:pStyle w:val="TOC2"/>
            <w:tabs>
              <w:tab w:val="right" w:leader="dot" w:pos="9015"/>
            </w:tabs>
            <w:rPr>
              <w:rStyle w:val="Hyperlink"/>
            </w:rPr>
          </w:pPr>
          <w:hyperlink w:anchor="_Toc1577541514">
            <w:r w:rsidRPr="2EB06C69">
              <w:rPr>
                <w:rStyle w:val="Hyperlink"/>
              </w:rPr>
              <w:t>Objectives</w:t>
            </w:r>
            <w:r>
              <w:tab/>
            </w:r>
            <w:r>
              <w:fldChar w:fldCharType="begin"/>
            </w:r>
            <w:r>
              <w:instrText>PAGEREF _Toc1577541514 \h</w:instrText>
            </w:r>
            <w:r>
              <w:fldChar w:fldCharType="separate"/>
            </w:r>
            <w:r w:rsidRPr="2EB06C69">
              <w:rPr>
                <w:rStyle w:val="Hyperlink"/>
              </w:rPr>
              <w:t>4</w:t>
            </w:r>
            <w:r>
              <w:fldChar w:fldCharType="end"/>
            </w:r>
          </w:hyperlink>
        </w:p>
        <w:p w14:paraId="1DE43943" w14:textId="74FF0A01" w:rsidR="2EB06C69" w:rsidRDefault="2EB06C69" w:rsidP="2EB06C69">
          <w:pPr>
            <w:pStyle w:val="TOC1"/>
            <w:tabs>
              <w:tab w:val="right" w:leader="dot" w:pos="9015"/>
            </w:tabs>
            <w:rPr>
              <w:rStyle w:val="Hyperlink"/>
            </w:rPr>
          </w:pPr>
          <w:hyperlink w:anchor="_Toc805944417">
            <w:r w:rsidRPr="2EB06C69">
              <w:rPr>
                <w:rStyle w:val="Hyperlink"/>
              </w:rPr>
              <w:t>Background</w:t>
            </w:r>
            <w:r>
              <w:tab/>
            </w:r>
            <w:r>
              <w:fldChar w:fldCharType="begin"/>
            </w:r>
            <w:r>
              <w:instrText>PAGEREF _Toc805944417 \h</w:instrText>
            </w:r>
            <w:r>
              <w:fldChar w:fldCharType="separate"/>
            </w:r>
            <w:r w:rsidRPr="2EB06C69">
              <w:rPr>
                <w:rStyle w:val="Hyperlink"/>
              </w:rPr>
              <w:t>4</w:t>
            </w:r>
            <w:r>
              <w:fldChar w:fldCharType="end"/>
            </w:r>
          </w:hyperlink>
        </w:p>
        <w:p w14:paraId="581352F4" w14:textId="0F494D14" w:rsidR="2EB06C69" w:rsidRDefault="2EB06C69" w:rsidP="2EB06C69">
          <w:pPr>
            <w:pStyle w:val="TOC2"/>
            <w:tabs>
              <w:tab w:val="right" w:leader="dot" w:pos="9015"/>
            </w:tabs>
            <w:rPr>
              <w:rStyle w:val="Hyperlink"/>
            </w:rPr>
          </w:pPr>
          <w:hyperlink w:anchor="_Toc2142006435">
            <w:r w:rsidRPr="2EB06C69">
              <w:rPr>
                <w:rStyle w:val="Hyperlink"/>
              </w:rPr>
              <w:t>Current Policies and Frameworks</w:t>
            </w:r>
            <w:r>
              <w:tab/>
            </w:r>
            <w:r>
              <w:fldChar w:fldCharType="begin"/>
            </w:r>
            <w:r>
              <w:instrText>PAGEREF _Toc2142006435 \h</w:instrText>
            </w:r>
            <w:r>
              <w:fldChar w:fldCharType="separate"/>
            </w:r>
            <w:r w:rsidRPr="2EB06C69">
              <w:rPr>
                <w:rStyle w:val="Hyperlink"/>
              </w:rPr>
              <w:t>4</w:t>
            </w:r>
            <w:r>
              <w:fldChar w:fldCharType="end"/>
            </w:r>
          </w:hyperlink>
        </w:p>
        <w:p w14:paraId="67706BAE" w14:textId="03C8D658" w:rsidR="2EB06C69" w:rsidRDefault="2EB06C69" w:rsidP="2EB06C69">
          <w:pPr>
            <w:pStyle w:val="TOC2"/>
            <w:tabs>
              <w:tab w:val="right" w:leader="dot" w:pos="9015"/>
            </w:tabs>
            <w:rPr>
              <w:rStyle w:val="Hyperlink"/>
            </w:rPr>
          </w:pPr>
          <w:hyperlink w:anchor="_Toc1186141759">
            <w:r w:rsidRPr="2EB06C69">
              <w:rPr>
                <w:rStyle w:val="Hyperlink"/>
              </w:rPr>
              <w:t>Existing Services and Practice</w:t>
            </w:r>
            <w:r>
              <w:tab/>
            </w:r>
            <w:r>
              <w:fldChar w:fldCharType="begin"/>
            </w:r>
            <w:r>
              <w:instrText>PAGEREF _Toc1186141759 \h</w:instrText>
            </w:r>
            <w:r>
              <w:fldChar w:fldCharType="separate"/>
            </w:r>
            <w:r w:rsidRPr="2EB06C69">
              <w:rPr>
                <w:rStyle w:val="Hyperlink"/>
              </w:rPr>
              <w:t>5</w:t>
            </w:r>
            <w:r>
              <w:fldChar w:fldCharType="end"/>
            </w:r>
          </w:hyperlink>
        </w:p>
        <w:p w14:paraId="0A5ABE53" w14:textId="44E452D2" w:rsidR="2EB06C69" w:rsidRDefault="2EB06C69" w:rsidP="2EB06C69">
          <w:pPr>
            <w:pStyle w:val="TOC2"/>
            <w:tabs>
              <w:tab w:val="right" w:leader="dot" w:pos="9015"/>
            </w:tabs>
            <w:rPr>
              <w:rStyle w:val="Hyperlink"/>
            </w:rPr>
          </w:pPr>
          <w:hyperlink w:anchor="_Toc1252770098">
            <w:r w:rsidRPr="2EB06C69">
              <w:rPr>
                <w:rStyle w:val="Hyperlink"/>
              </w:rPr>
              <w:t>Key Challenges and Issues</w:t>
            </w:r>
            <w:r>
              <w:tab/>
            </w:r>
            <w:r>
              <w:fldChar w:fldCharType="begin"/>
            </w:r>
            <w:r>
              <w:instrText>PAGEREF _Toc1252770098 \h</w:instrText>
            </w:r>
            <w:r>
              <w:fldChar w:fldCharType="separate"/>
            </w:r>
            <w:r w:rsidRPr="2EB06C69">
              <w:rPr>
                <w:rStyle w:val="Hyperlink"/>
              </w:rPr>
              <w:t>5</w:t>
            </w:r>
            <w:r>
              <w:fldChar w:fldCharType="end"/>
            </w:r>
          </w:hyperlink>
        </w:p>
        <w:p w14:paraId="7E1D890B" w14:textId="31095018" w:rsidR="2EB06C69" w:rsidRDefault="2EB06C69" w:rsidP="2EB06C69">
          <w:pPr>
            <w:pStyle w:val="TOC1"/>
            <w:tabs>
              <w:tab w:val="right" w:leader="dot" w:pos="9015"/>
            </w:tabs>
            <w:rPr>
              <w:rStyle w:val="Hyperlink"/>
            </w:rPr>
          </w:pPr>
          <w:hyperlink w:anchor="_Toc232555166">
            <w:r w:rsidRPr="2EB06C69">
              <w:rPr>
                <w:rStyle w:val="Hyperlink"/>
              </w:rPr>
              <w:t>Methods</w:t>
            </w:r>
            <w:r>
              <w:tab/>
            </w:r>
            <w:r>
              <w:fldChar w:fldCharType="begin"/>
            </w:r>
            <w:r>
              <w:instrText>PAGEREF _Toc232555166 \h</w:instrText>
            </w:r>
            <w:r>
              <w:fldChar w:fldCharType="separate"/>
            </w:r>
            <w:r w:rsidRPr="2EB06C69">
              <w:rPr>
                <w:rStyle w:val="Hyperlink"/>
              </w:rPr>
              <w:t>6</w:t>
            </w:r>
            <w:r>
              <w:fldChar w:fldCharType="end"/>
            </w:r>
          </w:hyperlink>
        </w:p>
        <w:p w14:paraId="76BEC4A3" w14:textId="021EA44F" w:rsidR="2EB06C69" w:rsidRDefault="2EB06C69" w:rsidP="2EB06C69">
          <w:pPr>
            <w:pStyle w:val="TOC2"/>
            <w:tabs>
              <w:tab w:val="right" w:leader="dot" w:pos="9015"/>
            </w:tabs>
            <w:rPr>
              <w:rStyle w:val="Hyperlink"/>
            </w:rPr>
          </w:pPr>
          <w:hyperlink w:anchor="_Toc2136347410">
            <w:r w:rsidRPr="2EB06C69">
              <w:rPr>
                <w:rStyle w:val="Hyperlink"/>
              </w:rPr>
              <w:t>Scoping Review Framework</w:t>
            </w:r>
            <w:r>
              <w:tab/>
            </w:r>
            <w:r>
              <w:fldChar w:fldCharType="begin"/>
            </w:r>
            <w:r>
              <w:instrText>PAGEREF _Toc2136347410 \h</w:instrText>
            </w:r>
            <w:r>
              <w:fldChar w:fldCharType="separate"/>
            </w:r>
            <w:r w:rsidRPr="2EB06C69">
              <w:rPr>
                <w:rStyle w:val="Hyperlink"/>
              </w:rPr>
              <w:t>6</w:t>
            </w:r>
            <w:r>
              <w:fldChar w:fldCharType="end"/>
            </w:r>
          </w:hyperlink>
        </w:p>
        <w:p w14:paraId="2E3FE9EE" w14:textId="56290292" w:rsidR="2EB06C69" w:rsidRDefault="2EB06C69" w:rsidP="2EB06C69">
          <w:pPr>
            <w:pStyle w:val="TOC2"/>
            <w:tabs>
              <w:tab w:val="right" w:leader="dot" w:pos="9015"/>
            </w:tabs>
            <w:rPr>
              <w:rStyle w:val="Hyperlink"/>
            </w:rPr>
          </w:pPr>
          <w:hyperlink w:anchor="_Toc970942254">
            <w:r w:rsidRPr="2EB06C69">
              <w:rPr>
                <w:rStyle w:val="Hyperlink"/>
              </w:rPr>
              <w:t>Data Collection Approach</w:t>
            </w:r>
            <w:r>
              <w:tab/>
            </w:r>
            <w:r>
              <w:fldChar w:fldCharType="begin"/>
            </w:r>
            <w:r>
              <w:instrText>PAGEREF _Toc970942254 \h</w:instrText>
            </w:r>
            <w:r>
              <w:fldChar w:fldCharType="separate"/>
            </w:r>
            <w:r w:rsidRPr="2EB06C69">
              <w:rPr>
                <w:rStyle w:val="Hyperlink"/>
              </w:rPr>
              <w:t>6</w:t>
            </w:r>
            <w:r>
              <w:fldChar w:fldCharType="end"/>
            </w:r>
          </w:hyperlink>
        </w:p>
        <w:p w14:paraId="02F4BA14" w14:textId="142FB168" w:rsidR="2EB06C69" w:rsidRDefault="2EB06C69" w:rsidP="2EB06C69">
          <w:pPr>
            <w:pStyle w:val="TOC2"/>
            <w:tabs>
              <w:tab w:val="right" w:leader="dot" w:pos="9015"/>
            </w:tabs>
            <w:rPr>
              <w:rStyle w:val="Hyperlink"/>
            </w:rPr>
          </w:pPr>
          <w:hyperlink w:anchor="_Toc987075935">
            <w:r w:rsidRPr="2EB06C69">
              <w:rPr>
                <w:rStyle w:val="Hyperlink"/>
              </w:rPr>
              <w:t>Data Analysis Approach</w:t>
            </w:r>
            <w:r>
              <w:tab/>
            </w:r>
            <w:r>
              <w:fldChar w:fldCharType="begin"/>
            </w:r>
            <w:r>
              <w:instrText>PAGEREF _Toc987075935 \h</w:instrText>
            </w:r>
            <w:r>
              <w:fldChar w:fldCharType="separate"/>
            </w:r>
            <w:r w:rsidRPr="2EB06C69">
              <w:rPr>
                <w:rStyle w:val="Hyperlink"/>
              </w:rPr>
              <w:t>6</w:t>
            </w:r>
            <w:r>
              <w:fldChar w:fldCharType="end"/>
            </w:r>
          </w:hyperlink>
        </w:p>
        <w:p w14:paraId="26798551" w14:textId="26E6DD8D" w:rsidR="2EB06C69" w:rsidRDefault="2EB06C69" w:rsidP="2EB06C69">
          <w:pPr>
            <w:pStyle w:val="TOC2"/>
            <w:tabs>
              <w:tab w:val="right" w:leader="dot" w:pos="9015"/>
            </w:tabs>
            <w:rPr>
              <w:rStyle w:val="Hyperlink"/>
            </w:rPr>
          </w:pPr>
          <w:hyperlink w:anchor="_Toc1084278529">
            <w:r w:rsidRPr="2EB06C69">
              <w:rPr>
                <w:rStyle w:val="Hyperlink"/>
              </w:rPr>
              <w:t>Ethical Considerations</w:t>
            </w:r>
            <w:r>
              <w:tab/>
            </w:r>
            <w:r>
              <w:fldChar w:fldCharType="begin"/>
            </w:r>
            <w:r>
              <w:instrText>PAGEREF _Toc1084278529 \h</w:instrText>
            </w:r>
            <w:r>
              <w:fldChar w:fldCharType="separate"/>
            </w:r>
            <w:r w:rsidRPr="2EB06C69">
              <w:rPr>
                <w:rStyle w:val="Hyperlink"/>
              </w:rPr>
              <w:t>7</w:t>
            </w:r>
            <w:r>
              <w:fldChar w:fldCharType="end"/>
            </w:r>
          </w:hyperlink>
        </w:p>
        <w:p w14:paraId="0018557D" w14:textId="72522D03" w:rsidR="2EB06C69" w:rsidRDefault="2EB06C69" w:rsidP="2EB06C69">
          <w:pPr>
            <w:pStyle w:val="TOC1"/>
            <w:tabs>
              <w:tab w:val="right" w:leader="dot" w:pos="9015"/>
            </w:tabs>
            <w:rPr>
              <w:rStyle w:val="Hyperlink"/>
            </w:rPr>
          </w:pPr>
          <w:hyperlink w:anchor="_Toc1707209336">
            <w:r w:rsidRPr="2EB06C69">
              <w:rPr>
                <w:rStyle w:val="Hyperlink"/>
              </w:rPr>
              <w:t>Results</w:t>
            </w:r>
            <w:r>
              <w:tab/>
            </w:r>
            <w:r>
              <w:fldChar w:fldCharType="begin"/>
            </w:r>
            <w:r>
              <w:instrText>PAGEREF _Toc1707209336 \h</w:instrText>
            </w:r>
            <w:r>
              <w:fldChar w:fldCharType="separate"/>
            </w:r>
            <w:r w:rsidRPr="2EB06C69">
              <w:rPr>
                <w:rStyle w:val="Hyperlink"/>
              </w:rPr>
              <w:t>7</w:t>
            </w:r>
            <w:r>
              <w:fldChar w:fldCharType="end"/>
            </w:r>
          </w:hyperlink>
        </w:p>
        <w:p w14:paraId="38889317" w14:textId="24C4BAC1" w:rsidR="2EB06C69" w:rsidRDefault="2EB06C69" w:rsidP="2EB06C69">
          <w:pPr>
            <w:pStyle w:val="TOC2"/>
            <w:tabs>
              <w:tab w:val="right" w:leader="dot" w:pos="9015"/>
            </w:tabs>
            <w:rPr>
              <w:rStyle w:val="Hyperlink"/>
            </w:rPr>
          </w:pPr>
          <w:hyperlink w:anchor="_Toc851329846">
            <w:r w:rsidRPr="2EB06C69">
              <w:rPr>
                <w:rStyle w:val="Hyperlink"/>
              </w:rPr>
              <w:t>Theme 1: Effectiveness of Structured Psychological and Lifestyle Interventions</w:t>
            </w:r>
            <w:r>
              <w:tab/>
            </w:r>
            <w:r>
              <w:fldChar w:fldCharType="begin"/>
            </w:r>
            <w:r>
              <w:instrText>PAGEREF _Toc851329846 \h</w:instrText>
            </w:r>
            <w:r>
              <w:fldChar w:fldCharType="separate"/>
            </w:r>
            <w:r w:rsidRPr="2EB06C69">
              <w:rPr>
                <w:rStyle w:val="Hyperlink"/>
              </w:rPr>
              <w:t>8</w:t>
            </w:r>
            <w:r>
              <w:fldChar w:fldCharType="end"/>
            </w:r>
          </w:hyperlink>
        </w:p>
        <w:p w14:paraId="4570AF88" w14:textId="7D444C16" w:rsidR="2EB06C69" w:rsidRDefault="2EB06C69" w:rsidP="2EB06C69">
          <w:pPr>
            <w:pStyle w:val="TOC2"/>
            <w:tabs>
              <w:tab w:val="right" w:leader="dot" w:pos="9015"/>
            </w:tabs>
            <w:rPr>
              <w:rStyle w:val="Hyperlink"/>
            </w:rPr>
          </w:pPr>
          <w:hyperlink w:anchor="_Toc914638698">
            <w:r w:rsidRPr="2EB06C69">
              <w:rPr>
                <w:rStyle w:val="Hyperlink"/>
              </w:rPr>
              <w:t>Theme 2: Digital and Remote Delivery Formats</w:t>
            </w:r>
            <w:r>
              <w:tab/>
            </w:r>
            <w:r>
              <w:fldChar w:fldCharType="begin"/>
            </w:r>
            <w:r>
              <w:instrText>PAGEREF _Toc914638698 \h</w:instrText>
            </w:r>
            <w:r>
              <w:fldChar w:fldCharType="separate"/>
            </w:r>
            <w:r w:rsidRPr="2EB06C69">
              <w:rPr>
                <w:rStyle w:val="Hyperlink"/>
              </w:rPr>
              <w:t>9</w:t>
            </w:r>
            <w:r>
              <w:fldChar w:fldCharType="end"/>
            </w:r>
          </w:hyperlink>
        </w:p>
        <w:p w14:paraId="7FD6B182" w14:textId="5375600A" w:rsidR="2EB06C69" w:rsidRDefault="2EB06C69" w:rsidP="2EB06C69">
          <w:pPr>
            <w:pStyle w:val="TOC2"/>
            <w:tabs>
              <w:tab w:val="right" w:leader="dot" w:pos="9015"/>
            </w:tabs>
            <w:rPr>
              <w:rStyle w:val="Hyperlink"/>
            </w:rPr>
          </w:pPr>
          <w:hyperlink w:anchor="_Toc1644105425">
            <w:r w:rsidRPr="2EB06C69">
              <w:rPr>
                <w:rStyle w:val="Hyperlink"/>
              </w:rPr>
              <w:t>Theme 3: Peer Support as an Emerging but Under evaluated Model</w:t>
            </w:r>
            <w:r>
              <w:tab/>
            </w:r>
            <w:r>
              <w:fldChar w:fldCharType="begin"/>
            </w:r>
            <w:r>
              <w:instrText>PAGEREF _Toc1644105425 \h</w:instrText>
            </w:r>
            <w:r>
              <w:fldChar w:fldCharType="separate"/>
            </w:r>
            <w:r w:rsidRPr="2EB06C69">
              <w:rPr>
                <w:rStyle w:val="Hyperlink"/>
              </w:rPr>
              <w:t>9</w:t>
            </w:r>
            <w:r>
              <w:fldChar w:fldCharType="end"/>
            </w:r>
          </w:hyperlink>
        </w:p>
        <w:p w14:paraId="0DDA5E88" w14:textId="6248D33B" w:rsidR="2EB06C69" w:rsidRDefault="2EB06C69" w:rsidP="2EB06C69">
          <w:pPr>
            <w:pStyle w:val="TOC2"/>
            <w:tabs>
              <w:tab w:val="right" w:leader="dot" w:pos="9015"/>
            </w:tabs>
            <w:rPr>
              <w:rStyle w:val="Hyperlink"/>
            </w:rPr>
          </w:pPr>
          <w:hyperlink w:anchor="_Toc1811938743">
            <w:r w:rsidRPr="2EB06C69">
              <w:rPr>
                <w:rStyle w:val="Hyperlink"/>
              </w:rPr>
              <w:t>Theme 4: Barriers to Help-Seeking Undermine Intervention Reach</w:t>
            </w:r>
            <w:r>
              <w:tab/>
            </w:r>
            <w:r>
              <w:fldChar w:fldCharType="begin"/>
            </w:r>
            <w:r>
              <w:instrText>PAGEREF _Toc1811938743 \h</w:instrText>
            </w:r>
            <w:r>
              <w:fldChar w:fldCharType="separate"/>
            </w:r>
            <w:r w:rsidRPr="2EB06C69">
              <w:rPr>
                <w:rStyle w:val="Hyperlink"/>
              </w:rPr>
              <w:t>9</w:t>
            </w:r>
            <w:r>
              <w:fldChar w:fldCharType="end"/>
            </w:r>
          </w:hyperlink>
        </w:p>
        <w:p w14:paraId="7F41AA74" w14:textId="0AAC3EDB" w:rsidR="2EB06C69" w:rsidRDefault="2EB06C69" w:rsidP="2EB06C69">
          <w:pPr>
            <w:pStyle w:val="TOC1"/>
            <w:tabs>
              <w:tab w:val="right" w:leader="dot" w:pos="9015"/>
            </w:tabs>
            <w:rPr>
              <w:rStyle w:val="Hyperlink"/>
            </w:rPr>
          </w:pPr>
          <w:hyperlink w:anchor="_Toc1261467306">
            <w:r w:rsidRPr="2EB06C69">
              <w:rPr>
                <w:rStyle w:val="Hyperlink"/>
              </w:rPr>
              <w:t>Discussion</w:t>
            </w:r>
            <w:r>
              <w:tab/>
            </w:r>
            <w:r>
              <w:fldChar w:fldCharType="begin"/>
            </w:r>
            <w:r>
              <w:instrText>PAGEREF _Toc1261467306 \h</w:instrText>
            </w:r>
            <w:r>
              <w:fldChar w:fldCharType="separate"/>
            </w:r>
            <w:r w:rsidRPr="2EB06C69">
              <w:rPr>
                <w:rStyle w:val="Hyperlink"/>
              </w:rPr>
              <w:t>10</w:t>
            </w:r>
            <w:r>
              <w:fldChar w:fldCharType="end"/>
            </w:r>
          </w:hyperlink>
        </w:p>
        <w:p w14:paraId="376FB8A1" w14:textId="2D3DD817" w:rsidR="2EB06C69" w:rsidRDefault="2EB06C69" w:rsidP="2EB06C69">
          <w:pPr>
            <w:pStyle w:val="TOC1"/>
            <w:tabs>
              <w:tab w:val="right" w:leader="dot" w:pos="9015"/>
            </w:tabs>
            <w:rPr>
              <w:rStyle w:val="Hyperlink"/>
            </w:rPr>
          </w:pPr>
          <w:hyperlink w:anchor="_Toc908014619">
            <w:r w:rsidRPr="2EB06C69">
              <w:rPr>
                <w:rStyle w:val="Hyperlink"/>
              </w:rPr>
              <w:t>Conclusion and Recommendations</w:t>
            </w:r>
            <w:r>
              <w:tab/>
            </w:r>
            <w:r>
              <w:fldChar w:fldCharType="begin"/>
            </w:r>
            <w:r>
              <w:instrText>PAGEREF _Toc908014619 \h</w:instrText>
            </w:r>
            <w:r>
              <w:fldChar w:fldCharType="separate"/>
            </w:r>
            <w:r w:rsidRPr="2EB06C69">
              <w:rPr>
                <w:rStyle w:val="Hyperlink"/>
              </w:rPr>
              <w:t>11</w:t>
            </w:r>
            <w:r>
              <w:fldChar w:fldCharType="end"/>
            </w:r>
          </w:hyperlink>
        </w:p>
        <w:p w14:paraId="579B443B" w14:textId="78B129AF" w:rsidR="2EB06C69" w:rsidRDefault="2EB06C69" w:rsidP="2EB06C69">
          <w:pPr>
            <w:pStyle w:val="TOC2"/>
            <w:tabs>
              <w:tab w:val="right" w:leader="dot" w:pos="9015"/>
            </w:tabs>
            <w:rPr>
              <w:rStyle w:val="Hyperlink"/>
            </w:rPr>
          </w:pPr>
          <w:hyperlink w:anchor="_Toc96383666">
            <w:r w:rsidRPr="2EB06C69">
              <w:rPr>
                <w:rStyle w:val="Hyperlink"/>
              </w:rPr>
              <w:t>Recommendations for Future Research</w:t>
            </w:r>
            <w:r>
              <w:tab/>
            </w:r>
            <w:r>
              <w:fldChar w:fldCharType="begin"/>
            </w:r>
            <w:r>
              <w:instrText>PAGEREF _Toc96383666 \h</w:instrText>
            </w:r>
            <w:r>
              <w:fldChar w:fldCharType="separate"/>
            </w:r>
            <w:r w:rsidRPr="2EB06C69">
              <w:rPr>
                <w:rStyle w:val="Hyperlink"/>
              </w:rPr>
              <w:t>11</w:t>
            </w:r>
            <w:r>
              <w:fldChar w:fldCharType="end"/>
            </w:r>
          </w:hyperlink>
        </w:p>
        <w:p w14:paraId="5806410C" w14:textId="3BF20C5A" w:rsidR="2EB06C69" w:rsidRDefault="2EB06C69" w:rsidP="2EB06C69">
          <w:pPr>
            <w:pStyle w:val="TOC2"/>
            <w:tabs>
              <w:tab w:val="right" w:leader="dot" w:pos="9015"/>
            </w:tabs>
            <w:rPr>
              <w:rStyle w:val="Hyperlink"/>
            </w:rPr>
          </w:pPr>
          <w:hyperlink w:anchor="_Toc2084855048">
            <w:r w:rsidRPr="2EB06C69">
              <w:rPr>
                <w:rStyle w:val="Hyperlink"/>
              </w:rPr>
              <w:t>Recommendations for Policy and Practice</w:t>
            </w:r>
            <w:r>
              <w:tab/>
            </w:r>
            <w:r>
              <w:fldChar w:fldCharType="begin"/>
            </w:r>
            <w:r>
              <w:instrText>PAGEREF _Toc2084855048 \h</w:instrText>
            </w:r>
            <w:r>
              <w:fldChar w:fldCharType="separate"/>
            </w:r>
            <w:r w:rsidRPr="2EB06C69">
              <w:rPr>
                <w:rStyle w:val="Hyperlink"/>
              </w:rPr>
              <w:t>12</w:t>
            </w:r>
            <w:r>
              <w:fldChar w:fldCharType="end"/>
            </w:r>
          </w:hyperlink>
        </w:p>
        <w:p w14:paraId="45F82E63" w14:textId="3D9BF642" w:rsidR="2EB06C69" w:rsidRDefault="2EB06C69" w:rsidP="2EB06C69">
          <w:pPr>
            <w:pStyle w:val="TOC1"/>
            <w:tabs>
              <w:tab w:val="right" w:leader="dot" w:pos="9015"/>
            </w:tabs>
            <w:rPr>
              <w:rStyle w:val="Hyperlink"/>
            </w:rPr>
          </w:pPr>
          <w:hyperlink w:anchor="_Toc2068382042">
            <w:r w:rsidRPr="2EB06C69">
              <w:rPr>
                <w:rStyle w:val="Hyperlink"/>
              </w:rPr>
              <w:t>References</w:t>
            </w:r>
            <w:r>
              <w:tab/>
            </w:r>
            <w:r>
              <w:fldChar w:fldCharType="begin"/>
            </w:r>
            <w:r>
              <w:instrText>PAGEREF _Toc2068382042 \h</w:instrText>
            </w:r>
            <w:r>
              <w:fldChar w:fldCharType="separate"/>
            </w:r>
            <w:r w:rsidRPr="2EB06C69">
              <w:rPr>
                <w:rStyle w:val="Hyperlink"/>
              </w:rPr>
              <w:t>13</w:t>
            </w:r>
            <w:r>
              <w:fldChar w:fldCharType="end"/>
            </w:r>
          </w:hyperlink>
        </w:p>
        <w:p w14:paraId="4837AB2B" w14:textId="68FEE0C9" w:rsidR="2EB06C69" w:rsidRDefault="2EB06C69">
          <w:r>
            <w:fldChar w:fldCharType="end"/>
          </w:r>
        </w:p>
      </w:sdtContent>
    </w:sdt>
    <w:p w14:paraId="14B8C382" w14:textId="116DCCBA" w:rsidR="2EB06C69" w:rsidRDefault="2EB06C69" w:rsidP="2EB06C69">
      <w:pPr>
        <w:rPr>
          <w:rFonts w:ascii="Arial Nova" w:eastAsia="Arial Nova" w:hAnsi="Arial Nova" w:cs="Arial Nova"/>
          <w:b/>
          <w:bCs/>
          <w:sz w:val="28"/>
          <w:szCs w:val="28"/>
        </w:rPr>
      </w:pPr>
    </w:p>
    <w:p w14:paraId="775E6259" w14:textId="5BF720E6" w:rsidR="2EB06C69" w:rsidRDefault="2EB06C69" w:rsidP="2EB06C69">
      <w:pPr>
        <w:rPr>
          <w:rFonts w:ascii="Arial Nova" w:eastAsia="Arial Nova" w:hAnsi="Arial Nova" w:cs="Arial Nova"/>
          <w:b/>
          <w:bCs/>
          <w:sz w:val="28"/>
          <w:szCs w:val="28"/>
        </w:rPr>
      </w:pPr>
    </w:p>
    <w:p w14:paraId="79E62E3C" w14:textId="2DAB3AE8" w:rsidR="2EB06C69" w:rsidRDefault="2EB06C69" w:rsidP="2EB06C69">
      <w:pPr>
        <w:rPr>
          <w:rFonts w:ascii="Arial Nova" w:eastAsia="Arial Nova" w:hAnsi="Arial Nova" w:cs="Arial Nova"/>
          <w:b/>
          <w:bCs/>
          <w:sz w:val="28"/>
          <w:szCs w:val="28"/>
        </w:rPr>
      </w:pPr>
    </w:p>
    <w:p w14:paraId="4B67E492" w14:textId="1B1D3AA2" w:rsidR="2EB06C69" w:rsidRDefault="2EB06C69" w:rsidP="2EB06C69">
      <w:pPr>
        <w:rPr>
          <w:rFonts w:ascii="Arial Nova" w:eastAsia="Arial Nova" w:hAnsi="Arial Nova" w:cs="Arial Nova"/>
          <w:b/>
          <w:bCs/>
          <w:sz w:val="28"/>
          <w:szCs w:val="28"/>
        </w:rPr>
      </w:pPr>
    </w:p>
    <w:p w14:paraId="2A3D8B54" w14:textId="631AC3DA" w:rsidR="2EB06C69" w:rsidRDefault="2EB06C69" w:rsidP="2EB06C69">
      <w:pPr>
        <w:rPr>
          <w:rFonts w:ascii="Arial Nova" w:eastAsia="Arial Nova" w:hAnsi="Arial Nova" w:cs="Arial Nova"/>
          <w:b/>
          <w:bCs/>
          <w:sz w:val="28"/>
          <w:szCs w:val="28"/>
        </w:rPr>
      </w:pPr>
    </w:p>
    <w:p w14:paraId="0DC37804" w14:textId="582AA05E" w:rsidR="2EB06C69" w:rsidRDefault="2EB06C69" w:rsidP="2EB06C69">
      <w:pPr>
        <w:rPr>
          <w:rFonts w:ascii="Arial Nova" w:eastAsia="Arial Nova" w:hAnsi="Arial Nova" w:cs="Arial Nova"/>
          <w:b/>
          <w:bCs/>
          <w:sz w:val="28"/>
          <w:szCs w:val="28"/>
        </w:rPr>
      </w:pPr>
    </w:p>
    <w:p w14:paraId="48743DF7" w14:textId="50C953BC" w:rsidR="2EB06C69" w:rsidRDefault="2EB06C69" w:rsidP="2EB06C69">
      <w:pPr>
        <w:rPr>
          <w:rFonts w:ascii="Arial Nova" w:eastAsia="Arial Nova" w:hAnsi="Arial Nova" w:cs="Arial Nova"/>
          <w:b/>
          <w:bCs/>
          <w:sz w:val="28"/>
          <w:szCs w:val="28"/>
        </w:rPr>
      </w:pPr>
    </w:p>
    <w:p w14:paraId="4BC056DF" w14:textId="36CCFE1D" w:rsidR="2EB06C69" w:rsidRDefault="2EB06C69" w:rsidP="2EB06C69">
      <w:pPr>
        <w:rPr>
          <w:rFonts w:ascii="Arial Nova" w:eastAsia="Arial Nova" w:hAnsi="Arial Nova" w:cs="Arial Nova"/>
          <w:b/>
          <w:bCs/>
          <w:sz w:val="28"/>
          <w:szCs w:val="28"/>
        </w:rPr>
      </w:pPr>
    </w:p>
    <w:p w14:paraId="71401804" w14:textId="02416F1C" w:rsidR="2EB06C69" w:rsidRDefault="0630E1B1" w:rsidP="6B5628FD">
      <w:pPr>
        <w:pStyle w:val="Heading1"/>
        <w:rPr>
          <w:b/>
          <w:bCs/>
          <w:color w:val="auto"/>
        </w:rPr>
      </w:pPr>
      <w:bookmarkStart w:id="0" w:name="_Toc1935766740"/>
      <w:r w:rsidRPr="6B5628FD">
        <w:rPr>
          <w:b/>
          <w:bCs/>
          <w:color w:val="auto"/>
        </w:rPr>
        <w:lastRenderedPageBreak/>
        <w:t>Introduction</w:t>
      </w:r>
      <w:bookmarkEnd w:id="0"/>
    </w:p>
    <w:p w14:paraId="7F0C5930" w14:textId="72F84147" w:rsidR="1E49EA2E" w:rsidRDefault="1E49EA2E" w:rsidP="203776EB">
      <w:pPr>
        <w:spacing w:before="240" w:after="240" w:line="360" w:lineRule="auto"/>
        <w:jc w:val="both"/>
        <w:rPr>
          <w:rFonts w:ascii="Arial Nova" w:eastAsia="Arial Nova" w:hAnsi="Arial Nova" w:cs="Arial Nova"/>
          <w:sz w:val="22"/>
          <w:szCs w:val="22"/>
        </w:rPr>
      </w:pPr>
      <w:r w:rsidRPr="203776EB">
        <w:rPr>
          <w:rFonts w:ascii="Arial Nova" w:eastAsia="Arial Nova" w:hAnsi="Arial Nova" w:cs="Arial Nova"/>
          <w:sz w:val="22"/>
          <w:szCs w:val="22"/>
        </w:rPr>
        <w:t>Poor mental health among university students has become one of the defining challenges facing higher education in the UK. Rather than pooling outcome data in the way a systematic review does, a scoping review maps the breadth, scope and nature of existing research on a given topic (Arksey and O'Malley, 2005), making it well suited to a field like student mental health interventions</w:t>
      </w:r>
      <w:r w:rsidR="2B33D701" w:rsidRPr="203776EB">
        <w:rPr>
          <w:rFonts w:ascii="Arial Nova" w:eastAsia="Arial Nova" w:hAnsi="Arial Nova" w:cs="Arial Nova"/>
          <w:sz w:val="22"/>
          <w:szCs w:val="22"/>
        </w:rPr>
        <w:t xml:space="preserve"> </w:t>
      </w:r>
      <w:r w:rsidRPr="203776EB">
        <w:rPr>
          <w:rFonts w:ascii="Arial Nova" w:eastAsia="Arial Nova" w:hAnsi="Arial Nova" w:cs="Arial Nova"/>
          <w:sz w:val="22"/>
          <w:szCs w:val="22"/>
        </w:rPr>
        <w:t>where the literature is wide-ranging, varied in design and still developing. Within this report, "mental health interventions" refers to any structured programme, service or activity aimed at preventing, reducing or managing psychological distress spanning formal clinical treatments such as cognitive behavioural therapy (CBT) through to informal supports such as peer mentoring.</w:t>
      </w:r>
    </w:p>
    <w:p w14:paraId="7BCC1230" w14:textId="6DB30D42" w:rsidR="1E49EA2E" w:rsidRDefault="1E49EA2E" w:rsidP="203776EB">
      <w:pPr>
        <w:spacing w:before="240" w:after="240" w:line="360" w:lineRule="auto"/>
        <w:jc w:val="both"/>
        <w:rPr>
          <w:rFonts w:ascii="Arial Nova" w:eastAsia="Arial Nova" w:hAnsi="Arial Nova" w:cs="Arial Nova"/>
          <w:sz w:val="22"/>
          <w:szCs w:val="22"/>
        </w:rPr>
      </w:pPr>
      <w:r w:rsidRPr="6B5628FD">
        <w:rPr>
          <w:rFonts w:ascii="Arial Nova" w:eastAsia="Arial Nova" w:hAnsi="Arial Nova" w:cs="Arial Nova"/>
          <w:sz w:val="22"/>
          <w:szCs w:val="22"/>
        </w:rPr>
        <w:t>The purpose and method of a scoping review set it apart from a systematic review. A systematic review usually narrows its focus to a small number of directly comparable studies so that effect sizes can be pooled to answer a specific clinical question</w:t>
      </w:r>
      <w:r w:rsidR="189E889B" w:rsidRPr="6B5628FD">
        <w:rPr>
          <w:rFonts w:ascii="Arial Nova" w:eastAsia="Arial Nova" w:hAnsi="Arial Nova" w:cs="Arial Nova"/>
          <w:sz w:val="22"/>
          <w:szCs w:val="22"/>
        </w:rPr>
        <w:t xml:space="preserve"> and </w:t>
      </w:r>
      <w:r w:rsidRPr="6B5628FD">
        <w:rPr>
          <w:rFonts w:ascii="Arial Nova" w:eastAsia="Arial Nova" w:hAnsi="Arial Nova" w:cs="Arial Nova"/>
          <w:sz w:val="22"/>
          <w:szCs w:val="22"/>
        </w:rPr>
        <w:t>a scoping review</w:t>
      </w:r>
      <w:r w:rsidR="4A3E3336"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by contrast, deliberately maps a wider range of study designs, intervention types and populations allowing gaps and patterns in the field to be identified before more targeted evaluative research is undertaken (Tricco et al., 2018). This distinction is particularly relevant here, since interventions for student mental health draw on clinical psychology, digital health, sport and exercise science</w:t>
      </w:r>
      <w:r w:rsidR="2ABF8F0E"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and student services practice fields that rarely share journals or outcome measures</w:t>
      </w:r>
      <w:r w:rsidR="6BD5B6EC"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which makes a single systematic comparison premature at this stage.</w:t>
      </w:r>
    </w:p>
    <w:p w14:paraId="119F82F5" w14:textId="299FD1A5" w:rsidR="203776EB" w:rsidRDefault="0630E1B1" w:rsidP="6B5628FD">
      <w:pPr>
        <w:spacing w:before="240" w:after="240" w:line="360" w:lineRule="auto"/>
        <w:jc w:val="both"/>
        <w:rPr>
          <w:rFonts w:ascii="Arial Nova" w:eastAsia="Arial Nova" w:hAnsi="Arial Nova" w:cs="Arial Nova"/>
          <w:sz w:val="22"/>
          <w:szCs w:val="22"/>
        </w:rPr>
      </w:pPr>
      <w:r w:rsidRPr="6B5628FD">
        <w:rPr>
          <w:rFonts w:ascii="Arial Nova" w:eastAsia="Arial Nova" w:hAnsi="Arial Nova" w:cs="Arial Nova"/>
          <w:sz w:val="22"/>
          <w:szCs w:val="22"/>
        </w:rPr>
        <w:t>The case for undertaking this review lies in the scale of the issue itself. Over the past decade, the proportion of UK students disclosing a mental health condition has increased fivefold and the majority of mental illness first emerges before the age of 25</w:t>
      </w:r>
      <w:r w:rsidR="3C5C82BD"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 xml:space="preserve">placing the university years at the centre of both risk and opportunity for early intervention (Thorley, 2017). The literature on interventions, </w:t>
      </w:r>
      <w:r w:rsidR="4492D68F" w:rsidRPr="6B5628FD">
        <w:rPr>
          <w:rFonts w:ascii="Arial Nova" w:eastAsia="Arial Nova" w:hAnsi="Arial Nova" w:cs="Arial Nova"/>
          <w:sz w:val="22"/>
          <w:szCs w:val="22"/>
        </w:rPr>
        <w:t xml:space="preserve">however, </w:t>
      </w:r>
      <w:r w:rsidRPr="6B5628FD">
        <w:rPr>
          <w:rFonts w:ascii="Arial Nova" w:eastAsia="Arial Nova" w:hAnsi="Arial Nova" w:cs="Arial Nova"/>
          <w:sz w:val="22"/>
          <w:szCs w:val="22"/>
        </w:rPr>
        <w:t>remains scattered across disciplines, delivery formats and outcome measures</w:t>
      </w:r>
      <w:r w:rsidR="35E6F2F1"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which makes it hard for practitioners and policymakers to establish what is effective for which students and under what conditions. Mapping the field systematically</w:t>
      </w:r>
      <w:r w:rsidR="47DA1CB9"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rather than confining the analysis to a small set of comparable trials</w:t>
      </w:r>
      <w:r w:rsidR="3E143811"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is precisely what a scoping review is designed to achieve.</w:t>
      </w:r>
      <w:r w:rsidR="2D7E833A" w:rsidRPr="6B5628FD">
        <w:rPr>
          <w:rFonts w:ascii="Arial Nova" w:eastAsia="Arial Nova" w:hAnsi="Arial Nova" w:cs="Arial Nova"/>
          <w:sz w:val="22"/>
          <w:szCs w:val="22"/>
        </w:rPr>
        <w:t xml:space="preserve"> </w:t>
      </w:r>
      <w:r w:rsidR="75961FAC" w:rsidRPr="6B5628FD">
        <w:rPr>
          <w:rFonts w:ascii="Arial Nova" w:eastAsia="Arial Nova" w:hAnsi="Arial Nova" w:cs="Arial Nova"/>
          <w:sz w:val="22"/>
          <w:szCs w:val="22"/>
        </w:rPr>
        <w:t xml:space="preserve"> One type of intervention appearing frequently in the literature below deserves closer definition. "Digital health" describes the use of technology websites, mobile applications or wearable </w:t>
      </w:r>
      <w:r w:rsidR="7FEA0F5F" w:rsidRPr="6B5628FD">
        <w:rPr>
          <w:rFonts w:ascii="Arial Nova" w:eastAsia="Arial Nova" w:hAnsi="Arial Nova" w:cs="Arial Nova"/>
          <w:sz w:val="22"/>
          <w:szCs w:val="22"/>
        </w:rPr>
        <w:t>devices to</w:t>
      </w:r>
      <w:r w:rsidR="75961FAC" w:rsidRPr="6B5628FD">
        <w:rPr>
          <w:rFonts w:ascii="Arial Nova" w:eastAsia="Arial Nova" w:hAnsi="Arial Nova" w:cs="Arial Nova"/>
          <w:sz w:val="22"/>
          <w:szCs w:val="22"/>
        </w:rPr>
        <w:t xml:space="preserve"> deliver, support or monitor health interventions at a distance, rather than through face-to-face contact (Harith et al., 2022). Within student mental health specifically, this spans everything from self-guided CBT apps to app-based mood </w:t>
      </w:r>
      <w:r w:rsidR="75961FAC" w:rsidRPr="6B5628FD">
        <w:rPr>
          <w:rFonts w:ascii="Arial Nova" w:eastAsia="Arial Nova" w:hAnsi="Arial Nova" w:cs="Arial Nova"/>
          <w:sz w:val="22"/>
          <w:szCs w:val="22"/>
        </w:rPr>
        <w:lastRenderedPageBreak/>
        <w:t xml:space="preserve">monitoring and holds </w:t>
      </w:r>
      <w:r w:rsidR="7FF68052" w:rsidRPr="6B5628FD">
        <w:rPr>
          <w:rFonts w:ascii="Arial Nova" w:eastAsia="Arial Nova" w:hAnsi="Arial Nova" w:cs="Arial Nova"/>
          <w:sz w:val="22"/>
          <w:szCs w:val="22"/>
        </w:rPr>
        <w:t>appeal</w:t>
      </w:r>
      <w:r w:rsidR="75961FAC" w:rsidRPr="6B5628FD">
        <w:rPr>
          <w:rFonts w:ascii="Arial Nova" w:eastAsia="Arial Nova" w:hAnsi="Arial Nova" w:cs="Arial Nova"/>
          <w:sz w:val="22"/>
          <w:szCs w:val="22"/>
        </w:rPr>
        <w:t xml:space="preserve"> for HEIs given its potential to reach large student populations at relatively low cost. </w:t>
      </w:r>
    </w:p>
    <w:p w14:paraId="2DB7B4AA" w14:textId="153D129A" w:rsidR="33D2B86B" w:rsidRDefault="3C83F658" w:rsidP="2EB06C69">
      <w:pPr>
        <w:pStyle w:val="Heading2"/>
        <w:rPr>
          <w:rFonts w:ascii="Arial Nova" w:eastAsia="Arial Nova" w:hAnsi="Arial Nova" w:cs="Arial Nova"/>
          <w:color w:val="auto"/>
          <w:sz w:val="28"/>
          <w:szCs w:val="28"/>
        </w:rPr>
      </w:pPr>
      <w:bookmarkStart w:id="1" w:name="_Toc979968710"/>
      <w:r w:rsidRPr="2EB06C69">
        <w:rPr>
          <w:rFonts w:ascii="Arial Nova" w:eastAsia="Arial Nova" w:hAnsi="Arial Nova" w:cs="Arial Nova"/>
          <w:color w:val="auto"/>
        </w:rPr>
        <w:t>Review Question</w:t>
      </w:r>
      <w:bookmarkEnd w:id="1"/>
    </w:p>
    <w:p w14:paraId="6B4879BC" w14:textId="6CF10D2B" w:rsidR="33D2B86B" w:rsidRDefault="3C83F658" w:rsidP="203776EB">
      <w:pPr>
        <w:spacing w:before="240" w:after="240" w:line="360" w:lineRule="auto"/>
        <w:jc w:val="both"/>
      </w:pPr>
      <w:r w:rsidRPr="2EB06C69">
        <w:rPr>
          <w:rFonts w:ascii="Arial Nova" w:eastAsia="Arial Nova" w:hAnsi="Arial Nova" w:cs="Arial Nova"/>
          <w:sz w:val="22"/>
          <w:szCs w:val="22"/>
        </w:rPr>
        <w:t>What mental health interventions for university students in the UK have been identified as effective within the existing peer-reviewed literature?</w:t>
      </w:r>
      <w:r w:rsidR="1A6EC452" w:rsidRPr="2EB06C69">
        <w:rPr>
          <w:rFonts w:ascii="Arial Nova" w:eastAsia="Arial Nova" w:hAnsi="Arial Nova" w:cs="Arial Nova"/>
          <w:sz w:val="22"/>
          <w:szCs w:val="22"/>
        </w:rPr>
        <w:t xml:space="preserve"> </w:t>
      </w:r>
    </w:p>
    <w:p w14:paraId="799D366F" w14:textId="3E19F327" w:rsidR="33D2B86B" w:rsidRDefault="3C83F658" w:rsidP="2EB06C69">
      <w:pPr>
        <w:pStyle w:val="Heading2"/>
        <w:rPr>
          <w:rFonts w:ascii="Arial Nova" w:eastAsia="Arial Nova" w:hAnsi="Arial Nova" w:cs="Arial Nova"/>
          <w:color w:val="auto"/>
          <w:sz w:val="28"/>
          <w:szCs w:val="28"/>
        </w:rPr>
      </w:pPr>
      <w:bookmarkStart w:id="2" w:name="_Toc1577541514"/>
      <w:r w:rsidRPr="2EB06C69">
        <w:rPr>
          <w:rFonts w:ascii="Arial Nova" w:eastAsia="Arial Nova" w:hAnsi="Arial Nova" w:cs="Arial Nova"/>
          <w:color w:val="auto"/>
        </w:rPr>
        <w:t>Objectives</w:t>
      </w:r>
      <w:bookmarkEnd w:id="2"/>
    </w:p>
    <w:p w14:paraId="14EB8A81" w14:textId="2E89F6CA" w:rsidR="33D2B86B" w:rsidRDefault="33D2B86B" w:rsidP="203776EB">
      <w:pPr>
        <w:pStyle w:val="ListParagraph"/>
        <w:numPr>
          <w:ilvl w:val="0"/>
          <w:numId w:val="1"/>
        </w:numPr>
        <w:spacing w:after="0" w:line="360" w:lineRule="auto"/>
        <w:jc w:val="both"/>
        <w:rPr>
          <w:rFonts w:ascii="Arial Nova" w:eastAsia="Arial Nova" w:hAnsi="Arial Nova" w:cs="Arial Nova"/>
          <w:sz w:val="22"/>
          <w:szCs w:val="22"/>
        </w:rPr>
      </w:pPr>
      <w:r w:rsidRPr="203776EB">
        <w:rPr>
          <w:rFonts w:ascii="Arial Nova" w:eastAsia="Arial Nova" w:hAnsi="Arial Nova" w:cs="Arial Nova"/>
          <w:sz w:val="22"/>
          <w:szCs w:val="22"/>
        </w:rPr>
        <w:t>To map and categorise the main types of intervention described in UK-focused peer-reviewed literature on student mental health.</w:t>
      </w:r>
    </w:p>
    <w:p w14:paraId="6A4A209B" w14:textId="14795160" w:rsidR="33D2B86B" w:rsidRDefault="33D2B86B" w:rsidP="203776EB">
      <w:pPr>
        <w:pStyle w:val="ListParagraph"/>
        <w:numPr>
          <w:ilvl w:val="0"/>
          <w:numId w:val="1"/>
        </w:numPr>
        <w:spacing w:after="0" w:line="360" w:lineRule="auto"/>
        <w:jc w:val="both"/>
        <w:rPr>
          <w:rFonts w:ascii="Arial Nova" w:eastAsia="Arial Nova" w:hAnsi="Arial Nova" w:cs="Arial Nova"/>
          <w:sz w:val="22"/>
          <w:szCs w:val="22"/>
        </w:rPr>
      </w:pPr>
      <w:r w:rsidRPr="203776EB">
        <w:rPr>
          <w:rFonts w:ascii="Arial Nova" w:eastAsia="Arial Nova" w:hAnsi="Arial Nova" w:cs="Arial Nova"/>
          <w:sz w:val="22"/>
          <w:szCs w:val="22"/>
        </w:rPr>
        <w:t>To assess the effectiveness reported for each intervention type, alongside the strength of the evidence underpinning it.</w:t>
      </w:r>
    </w:p>
    <w:p w14:paraId="4B3087D0" w14:textId="0035F8D5" w:rsidR="33D2B86B" w:rsidRDefault="3C83F658" w:rsidP="203776EB">
      <w:pPr>
        <w:pStyle w:val="ListParagraph"/>
        <w:numPr>
          <w:ilvl w:val="0"/>
          <w:numId w:val="1"/>
        </w:numPr>
        <w:spacing w:after="0" w:line="360" w:lineRule="auto"/>
        <w:jc w:val="both"/>
        <w:rPr>
          <w:rFonts w:ascii="Arial Nova" w:eastAsia="Arial Nova" w:hAnsi="Arial Nova" w:cs="Arial Nova"/>
          <w:sz w:val="22"/>
          <w:szCs w:val="22"/>
        </w:rPr>
      </w:pPr>
      <w:r w:rsidRPr="2EB06C69">
        <w:rPr>
          <w:rFonts w:ascii="Arial Nova" w:eastAsia="Arial Nova" w:hAnsi="Arial Nova" w:cs="Arial Nova"/>
          <w:sz w:val="22"/>
          <w:szCs w:val="22"/>
        </w:rPr>
        <w:t>To highlight gaps in current research and practice, offering insights of value to health and social care professionals working within higher education.</w:t>
      </w:r>
      <w:r w:rsidR="04E770E3" w:rsidRPr="2EB06C69">
        <w:rPr>
          <w:rFonts w:ascii="Arial Nova" w:eastAsia="Arial Nova" w:hAnsi="Arial Nova" w:cs="Arial Nova"/>
          <w:sz w:val="22"/>
          <w:szCs w:val="22"/>
        </w:rPr>
        <w:t xml:space="preserve"> </w:t>
      </w:r>
    </w:p>
    <w:p w14:paraId="6CEF4658" w14:textId="35317D1F" w:rsidR="203776EB" w:rsidRDefault="203776EB" w:rsidP="203776EB">
      <w:pPr>
        <w:spacing w:after="0" w:line="360" w:lineRule="auto"/>
        <w:jc w:val="both"/>
        <w:rPr>
          <w:rFonts w:ascii="Arial Nova" w:eastAsia="Arial Nova" w:hAnsi="Arial Nova" w:cs="Arial Nova"/>
          <w:sz w:val="22"/>
          <w:szCs w:val="22"/>
        </w:rPr>
      </w:pPr>
    </w:p>
    <w:p w14:paraId="1F20EF82" w14:textId="17E3A9C6" w:rsidR="203776EB" w:rsidRDefault="203776EB" w:rsidP="203776EB">
      <w:pPr>
        <w:spacing w:after="0" w:line="360" w:lineRule="auto"/>
        <w:jc w:val="both"/>
        <w:rPr>
          <w:rFonts w:ascii="Arial Nova" w:eastAsia="Arial Nova" w:hAnsi="Arial Nova" w:cs="Arial Nova"/>
          <w:sz w:val="22"/>
          <w:szCs w:val="22"/>
        </w:rPr>
      </w:pPr>
    </w:p>
    <w:p w14:paraId="0828F683" w14:textId="05F67B99" w:rsidR="20D12D4C" w:rsidRDefault="016256E2" w:rsidP="2EB06C69">
      <w:pPr>
        <w:pStyle w:val="Heading1"/>
        <w:rPr>
          <w:rFonts w:ascii="Arial Nova" w:eastAsia="Arial Nova" w:hAnsi="Arial Nova" w:cs="Arial Nova"/>
          <w:b/>
          <w:bCs/>
          <w:color w:val="auto"/>
          <w:sz w:val="28"/>
          <w:szCs w:val="28"/>
        </w:rPr>
      </w:pPr>
      <w:bookmarkStart w:id="3" w:name="_Toc805944417"/>
      <w:r w:rsidRPr="2EB06C69">
        <w:rPr>
          <w:rFonts w:ascii="Arial Nova" w:eastAsia="Arial Nova" w:hAnsi="Arial Nova" w:cs="Arial Nova"/>
          <w:b/>
          <w:bCs/>
          <w:color w:val="auto"/>
        </w:rPr>
        <w:t>Background</w:t>
      </w:r>
      <w:bookmarkEnd w:id="3"/>
    </w:p>
    <w:p w14:paraId="6377C809" w14:textId="3E9FD72F" w:rsidR="20D12D4C" w:rsidRDefault="016256E2" w:rsidP="2EB06C69">
      <w:pPr>
        <w:pStyle w:val="Heading2"/>
        <w:rPr>
          <w:rFonts w:ascii="Arial Nova" w:eastAsia="Arial Nova" w:hAnsi="Arial Nova" w:cs="Arial Nova"/>
          <w:color w:val="auto"/>
          <w:sz w:val="28"/>
          <w:szCs w:val="28"/>
        </w:rPr>
      </w:pPr>
      <w:bookmarkStart w:id="4" w:name="_Toc2142006435"/>
      <w:r w:rsidRPr="2EB06C69">
        <w:rPr>
          <w:rFonts w:ascii="Arial Nova" w:eastAsia="Arial Nova" w:hAnsi="Arial Nova" w:cs="Arial Nova"/>
          <w:color w:val="auto"/>
        </w:rPr>
        <w:t>Current Policies and Frameworks</w:t>
      </w:r>
      <w:bookmarkEnd w:id="4"/>
    </w:p>
    <w:p w14:paraId="7B740856" w14:textId="6724093A" w:rsidR="20D12D4C" w:rsidRDefault="016256E2" w:rsidP="2EB06C69">
      <w:pPr>
        <w:spacing w:before="240" w:after="240" w:line="360" w:lineRule="auto"/>
        <w:jc w:val="both"/>
      </w:pPr>
      <w:r w:rsidRPr="6B5628FD">
        <w:rPr>
          <w:rFonts w:ascii="Arial Nova" w:eastAsia="Arial Nova" w:hAnsi="Arial Nova" w:cs="Arial Nova"/>
          <w:sz w:val="22"/>
          <w:szCs w:val="22"/>
        </w:rPr>
        <w:t>Student mental health is increasingly framed within UK higher education as a shared, institution-wide concern rather than something for clinical services alone to manage. Developed by the charity Student Minds, the University Mental Health Charter promotes a "whole-university" model, urging institutions to weave mental health promotion into teaching, pastoral care and everyday campus life rather than depending exclusively on reactive counselling services (Hughes and Spanner, 2019). This move toward preventative institution-wide provision underpins much of the intervention literature discussed in this review.</w:t>
      </w:r>
      <w:r w:rsidR="237A05C1" w:rsidRPr="6B5628FD">
        <w:rPr>
          <w:rFonts w:ascii="Arial Nova" w:eastAsia="Arial Nova" w:hAnsi="Arial Nova" w:cs="Arial Nova"/>
          <w:sz w:val="22"/>
          <w:szCs w:val="22"/>
        </w:rPr>
        <w:t xml:space="preserve"> </w:t>
      </w:r>
      <w:r w:rsidR="1790A044" w:rsidRPr="6B5628FD">
        <w:rPr>
          <w:rFonts w:ascii="Arial Nova" w:eastAsia="Arial Nova" w:hAnsi="Arial Nova" w:cs="Arial Nova"/>
          <w:sz w:val="22"/>
          <w:szCs w:val="22"/>
        </w:rPr>
        <w:t>Sector-wide policy has also driven this shift toward a broader range of provision. First published in 2017 and updated in 2020, Universities UK's Stepchange framework stands alongside the University Mental Health Charter as a strategic push for institutions to embed mental health across every aspect of university life, rather than leaving it to a single service</w:t>
      </w:r>
      <w:r w:rsidR="74CF56BF" w:rsidRPr="6B5628FD">
        <w:rPr>
          <w:rFonts w:ascii="Arial Nova" w:eastAsia="Arial Nova" w:hAnsi="Arial Nova" w:cs="Arial Nova"/>
          <w:sz w:val="22"/>
          <w:szCs w:val="22"/>
        </w:rPr>
        <w:t xml:space="preserve"> </w:t>
      </w:r>
      <w:r w:rsidR="1790A044" w:rsidRPr="6B5628FD">
        <w:rPr>
          <w:rFonts w:ascii="Arial Nova" w:eastAsia="Arial Nova" w:hAnsi="Arial Nova" w:cs="Arial Nova"/>
          <w:sz w:val="22"/>
          <w:szCs w:val="22"/>
        </w:rPr>
        <w:t xml:space="preserve">and it explicitly calls for stronger collaboration between universities and the broader health and care system (Universities UK, 2020). Viewed this way, the intervention types set out in this review form part </w:t>
      </w:r>
      <w:r w:rsidR="1790A044" w:rsidRPr="6B5628FD">
        <w:rPr>
          <w:rFonts w:ascii="Arial Nova" w:eastAsia="Arial Nova" w:hAnsi="Arial Nova" w:cs="Arial Nova"/>
          <w:sz w:val="22"/>
          <w:szCs w:val="22"/>
        </w:rPr>
        <w:lastRenderedPageBreak/>
        <w:t>of a wider institutional transformation, rather than a set of services developed in isolation from one another.</w:t>
      </w:r>
    </w:p>
    <w:p w14:paraId="67FA174D" w14:textId="313304AF" w:rsidR="20D12D4C" w:rsidRDefault="016256E2" w:rsidP="2EB06C69">
      <w:pPr>
        <w:pStyle w:val="Heading2"/>
        <w:rPr>
          <w:rFonts w:ascii="Arial Nova" w:eastAsia="Arial Nova" w:hAnsi="Arial Nova" w:cs="Arial Nova"/>
          <w:color w:val="auto"/>
          <w:sz w:val="28"/>
          <w:szCs w:val="28"/>
        </w:rPr>
      </w:pPr>
      <w:bookmarkStart w:id="5" w:name="_Toc1186141759"/>
      <w:r w:rsidRPr="2EB06C69">
        <w:rPr>
          <w:rFonts w:ascii="Arial Nova" w:eastAsia="Arial Nova" w:hAnsi="Arial Nova" w:cs="Arial Nova"/>
          <w:color w:val="auto"/>
        </w:rPr>
        <w:t>Existing Services and Practice</w:t>
      </w:r>
      <w:bookmarkEnd w:id="5"/>
    </w:p>
    <w:p w14:paraId="1DAAFE40" w14:textId="391FCC99" w:rsidR="20D12D4C" w:rsidRDefault="016256E2" w:rsidP="203776EB">
      <w:pPr>
        <w:spacing w:before="240" w:after="240" w:line="360" w:lineRule="auto"/>
        <w:jc w:val="both"/>
      </w:pPr>
      <w:r w:rsidRPr="2EB06C69">
        <w:rPr>
          <w:rFonts w:ascii="Arial Nova" w:eastAsia="Arial Nova" w:hAnsi="Arial Nova" w:cs="Arial Nova"/>
          <w:sz w:val="22"/>
          <w:szCs w:val="22"/>
        </w:rPr>
        <w:t>Provision within UK universities remains centred on counselling and wellbeing services, though these are now often complemented by digital resources, peer-support initiatives</w:t>
      </w:r>
      <w:r w:rsidR="6B7B6F5F" w:rsidRPr="2EB06C69">
        <w:rPr>
          <w:rFonts w:ascii="Arial Nova" w:eastAsia="Arial Nova" w:hAnsi="Arial Nova" w:cs="Arial Nova"/>
          <w:sz w:val="22"/>
          <w:szCs w:val="22"/>
        </w:rPr>
        <w:t xml:space="preserve"> </w:t>
      </w:r>
      <w:r w:rsidRPr="2EB06C69">
        <w:rPr>
          <w:rFonts w:ascii="Arial Nova" w:eastAsia="Arial Nova" w:hAnsi="Arial Nova" w:cs="Arial Nova"/>
          <w:sz w:val="22"/>
          <w:szCs w:val="22"/>
        </w:rPr>
        <w:t>and in some institutions, structured physical activity offered through student services or sports facilities (Malagodi et al., 2025). As referral numbers have grown, reactive, appointment-based counselling has increasingly struggled to keep up, encouraging institutions to broaden their approach toward preventative, lower-intensity options that can support greater numbers of students at reduced cost (Worsley, Pennington and Corcoran, 2022).</w:t>
      </w:r>
      <w:r w:rsidR="51442D48" w:rsidRPr="2EB06C69">
        <w:rPr>
          <w:rFonts w:ascii="Arial Nova" w:eastAsia="Arial Nova" w:hAnsi="Arial Nova" w:cs="Arial Nova"/>
          <w:sz w:val="22"/>
          <w:szCs w:val="22"/>
        </w:rPr>
        <w:t xml:space="preserve"> </w:t>
      </w:r>
    </w:p>
    <w:p w14:paraId="02ACD62C" w14:textId="3413980C" w:rsidR="203776EB" w:rsidRDefault="203776EB" w:rsidP="2EB06C69">
      <w:pPr>
        <w:pStyle w:val="Heading2"/>
        <w:rPr>
          <w:rFonts w:ascii="Arial Nova" w:eastAsia="Arial Nova" w:hAnsi="Arial Nova" w:cs="Arial Nova"/>
          <w:color w:val="auto"/>
        </w:rPr>
      </w:pPr>
    </w:p>
    <w:p w14:paraId="5EC8EEE0" w14:textId="461B78B2" w:rsidR="4020B106" w:rsidRDefault="1DF7D1CD" w:rsidP="2EB06C69">
      <w:pPr>
        <w:pStyle w:val="Heading2"/>
        <w:rPr>
          <w:rFonts w:ascii="Arial Nova" w:eastAsia="Arial Nova" w:hAnsi="Arial Nova" w:cs="Arial Nova"/>
          <w:color w:val="auto"/>
          <w:sz w:val="28"/>
          <w:szCs w:val="28"/>
        </w:rPr>
      </w:pPr>
      <w:bookmarkStart w:id="6" w:name="_Toc1252770098"/>
      <w:r w:rsidRPr="2EB06C69">
        <w:rPr>
          <w:rFonts w:ascii="Arial Nova" w:eastAsia="Arial Nova" w:hAnsi="Arial Nova" w:cs="Arial Nova"/>
          <w:color w:val="auto"/>
        </w:rPr>
        <w:t>Key Challenges and Issues</w:t>
      </w:r>
      <w:bookmarkEnd w:id="6"/>
    </w:p>
    <w:p w14:paraId="47EF5BE8" w14:textId="516526E1" w:rsidR="4020B106" w:rsidRDefault="4020B106" w:rsidP="203776EB">
      <w:pPr>
        <w:spacing w:before="240" w:after="240" w:line="360" w:lineRule="auto"/>
        <w:jc w:val="both"/>
      </w:pPr>
      <w:r w:rsidRPr="6B5628FD">
        <w:rPr>
          <w:rFonts w:ascii="Arial Nova" w:eastAsia="Arial Nova" w:hAnsi="Arial Nova" w:cs="Arial Nova"/>
          <w:sz w:val="22"/>
          <w:szCs w:val="22"/>
        </w:rPr>
        <w:t>Three ongoing challenges make a scoping review of this literature necessary. First, capacity has failed to keep pace with need</w:t>
      </w:r>
      <w:r w:rsidR="1348762E" w:rsidRPr="6B5628FD">
        <w:rPr>
          <w:rFonts w:ascii="Arial Nova" w:eastAsia="Arial Nova" w:hAnsi="Arial Nova" w:cs="Arial Nova"/>
          <w:sz w:val="22"/>
          <w:szCs w:val="22"/>
        </w:rPr>
        <w:t xml:space="preserve"> as</w:t>
      </w:r>
      <w:r w:rsidRPr="6B5628FD">
        <w:rPr>
          <w:rFonts w:ascii="Arial Nova" w:eastAsia="Arial Nova" w:hAnsi="Arial Nova" w:cs="Arial Nova"/>
          <w:sz w:val="22"/>
          <w:szCs w:val="22"/>
        </w:rPr>
        <w:t xml:space="preserve"> the number of UK students with a recorded mental health condition has risen markedly over the last ten years (Cage et al., 2020). Second, availability does not guarantee uptake many students who could benefit from interventions do not use them with self-stigma, limited mental health literacy and a tendency to rely on informal support repeatedly identified as barriers to seeking help (Cage et al., 2020; Lui, Sagar-Ouriaghli and Brown, 2022). Third, the quality of the evidence base is inconsistent</w:t>
      </w:r>
      <w:r w:rsidR="152E9350" w:rsidRPr="6B5628FD">
        <w:rPr>
          <w:rFonts w:ascii="Arial Nova" w:eastAsia="Arial Nova" w:hAnsi="Arial Nova" w:cs="Arial Nova"/>
          <w:sz w:val="22"/>
          <w:szCs w:val="22"/>
        </w:rPr>
        <w:t xml:space="preserve"> as</w:t>
      </w:r>
      <w:r w:rsidRPr="6B5628FD">
        <w:rPr>
          <w:rFonts w:ascii="Arial Nova" w:eastAsia="Arial Nova" w:hAnsi="Arial Nova" w:cs="Arial Nova"/>
          <w:sz w:val="22"/>
          <w:szCs w:val="22"/>
        </w:rPr>
        <w:t xml:space="preserve"> numerous primary studies are small in scale, rely on differing outcome measures</w:t>
      </w:r>
      <w:r w:rsidR="58AA2AD8"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or are judged to carry a moderate-to-high risk of bias which weakens confidence in claims about intervention effectiveness (Pointon-Haas et al., 2023). Given these issues, a scoping review offers a more suitable method than a narrower systematic review, since it can capture the full range of intervention types while pinpointing where stronger evaluation is still required.</w:t>
      </w:r>
    </w:p>
    <w:p w14:paraId="066AA912" w14:textId="436104B8" w:rsidR="4020B106" w:rsidRDefault="1DF7D1CD" w:rsidP="2EB06C69">
      <w:pPr>
        <w:spacing w:before="240" w:after="240" w:line="360" w:lineRule="auto"/>
        <w:jc w:val="both"/>
        <w:rPr>
          <w:rFonts w:ascii="Arial Nova" w:eastAsia="Arial Nova" w:hAnsi="Arial Nova" w:cs="Arial Nova"/>
          <w:sz w:val="22"/>
          <w:szCs w:val="22"/>
        </w:rPr>
      </w:pPr>
      <w:r w:rsidRPr="2EB06C69">
        <w:rPr>
          <w:rFonts w:ascii="Arial Nova" w:eastAsia="Arial Nova" w:hAnsi="Arial Nova" w:cs="Arial Nova"/>
          <w:sz w:val="22"/>
          <w:szCs w:val="22"/>
        </w:rPr>
        <w:t>A further complicating factor is that much of the review-level evidence currently shaping practice was drawn from studies conducted before</w:t>
      </w:r>
      <w:r w:rsidR="7496C467" w:rsidRPr="2EB06C69">
        <w:rPr>
          <w:rFonts w:ascii="Arial Nova" w:eastAsia="Arial Nova" w:hAnsi="Arial Nova" w:cs="Arial Nova"/>
          <w:sz w:val="22"/>
          <w:szCs w:val="22"/>
        </w:rPr>
        <w:t xml:space="preserve"> </w:t>
      </w:r>
      <w:r w:rsidRPr="2EB06C69">
        <w:rPr>
          <w:rFonts w:ascii="Arial Nova" w:eastAsia="Arial Nova" w:hAnsi="Arial Nova" w:cs="Arial Nova"/>
          <w:sz w:val="22"/>
          <w:szCs w:val="22"/>
        </w:rPr>
        <w:t xml:space="preserve">or only just after the disruption higher education experienced during the COVID-19 pandemic a period that brought substantial shifts in remote study, digital service provision and student isolation. This raises a question taken up later in the Discussion as to how confidently findings from that earlier evidence base can be applied to today's student population without more recent research to confirm them. </w:t>
      </w:r>
    </w:p>
    <w:p w14:paraId="02160A8F" w14:textId="0950E134" w:rsidR="1971CFEA" w:rsidRDefault="5E111D5F" w:rsidP="2EB06C69">
      <w:pPr>
        <w:pStyle w:val="Heading1"/>
        <w:rPr>
          <w:rFonts w:ascii="Arial Nova" w:eastAsia="Arial Nova" w:hAnsi="Arial Nova" w:cs="Arial Nova"/>
          <w:b/>
          <w:bCs/>
          <w:color w:val="auto"/>
          <w:sz w:val="28"/>
          <w:szCs w:val="28"/>
        </w:rPr>
      </w:pPr>
      <w:bookmarkStart w:id="7" w:name="_Toc232555166"/>
      <w:r w:rsidRPr="2EB06C69">
        <w:rPr>
          <w:rFonts w:ascii="Arial Nova" w:eastAsia="Arial Nova" w:hAnsi="Arial Nova" w:cs="Arial Nova"/>
          <w:b/>
          <w:bCs/>
          <w:color w:val="auto"/>
        </w:rPr>
        <w:lastRenderedPageBreak/>
        <w:t>Methods</w:t>
      </w:r>
      <w:bookmarkEnd w:id="7"/>
    </w:p>
    <w:p w14:paraId="5E554AA5" w14:textId="51B2669D" w:rsidR="1971CFEA" w:rsidRDefault="5E111D5F" w:rsidP="2EB06C69">
      <w:pPr>
        <w:pStyle w:val="Heading2"/>
        <w:rPr>
          <w:rFonts w:ascii="Arial Nova" w:eastAsia="Arial Nova" w:hAnsi="Arial Nova" w:cs="Arial Nova"/>
          <w:b/>
          <w:bCs/>
          <w:color w:val="auto"/>
          <w:sz w:val="28"/>
          <w:szCs w:val="28"/>
        </w:rPr>
      </w:pPr>
      <w:bookmarkStart w:id="8" w:name="_Toc2136347410"/>
      <w:r w:rsidRPr="2EB06C69">
        <w:rPr>
          <w:rFonts w:ascii="Arial Nova" w:eastAsia="Arial Nova" w:hAnsi="Arial Nova" w:cs="Arial Nova"/>
          <w:color w:val="auto"/>
        </w:rPr>
        <w:t>Scoping Review Framework</w:t>
      </w:r>
      <w:bookmarkEnd w:id="8"/>
    </w:p>
    <w:p w14:paraId="02331341" w14:textId="12FBE05C" w:rsidR="1971CFEA" w:rsidRDefault="5E111D5F" w:rsidP="2EB06C69">
      <w:pPr>
        <w:spacing w:before="240" w:after="240" w:line="360" w:lineRule="auto"/>
        <w:jc w:val="both"/>
        <w:rPr>
          <w:rFonts w:ascii="Arial Nova" w:eastAsia="Arial Nova" w:hAnsi="Arial Nova" w:cs="Arial Nova"/>
          <w:sz w:val="22"/>
          <w:szCs w:val="22"/>
        </w:rPr>
      </w:pPr>
      <w:r w:rsidRPr="2EB06C69">
        <w:rPr>
          <w:rFonts w:ascii="Arial Nova" w:eastAsia="Arial Nova" w:hAnsi="Arial Nova" w:cs="Arial Nova"/>
          <w:sz w:val="22"/>
          <w:szCs w:val="22"/>
        </w:rPr>
        <w:t>This review applied the five-stage framework set out by Arksey and O'Malley (2005)</w:t>
      </w:r>
      <w:r w:rsidR="2E40E736" w:rsidRPr="2EB06C69">
        <w:rPr>
          <w:rFonts w:ascii="Arial Nova" w:eastAsia="Arial Nova" w:hAnsi="Arial Nova" w:cs="Arial Nova"/>
          <w:sz w:val="22"/>
          <w:szCs w:val="22"/>
        </w:rPr>
        <w:t xml:space="preserve"> </w:t>
      </w:r>
      <w:r w:rsidRPr="2EB06C69">
        <w:rPr>
          <w:rFonts w:ascii="Arial Nova" w:eastAsia="Arial Nova" w:hAnsi="Arial Nova" w:cs="Arial Nova"/>
          <w:sz w:val="22"/>
          <w:szCs w:val="22"/>
        </w:rPr>
        <w:t>defining the research question</w:t>
      </w:r>
      <w:r w:rsidR="4474C645" w:rsidRPr="2EB06C69">
        <w:rPr>
          <w:rFonts w:ascii="Arial Nova" w:eastAsia="Arial Nova" w:hAnsi="Arial Nova" w:cs="Arial Nova"/>
          <w:sz w:val="22"/>
          <w:szCs w:val="22"/>
        </w:rPr>
        <w:t>,</w:t>
      </w:r>
      <w:r w:rsidRPr="2EB06C69">
        <w:rPr>
          <w:rFonts w:ascii="Arial Nova" w:eastAsia="Arial Nova" w:hAnsi="Arial Nova" w:cs="Arial Nova"/>
          <w:sz w:val="22"/>
          <w:szCs w:val="22"/>
        </w:rPr>
        <w:t xml:space="preserve"> locating relevant studies</w:t>
      </w:r>
      <w:r w:rsidR="3A89AE85" w:rsidRPr="2EB06C69">
        <w:rPr>
          <w:rFonts w:ascii="Arial Nova" w:eastAsia="Arial Nova" w:hAnsi="Arial Nova" w:cs="Arial Nova"/>
          <w:sz w:val="22"/>
          <w:szCs w:val="22"/>
        </w:rPr>
        <w:t xml:space="preserve">, </w:t>
      </w:r>
      <w:r w:rsidRPr="2EB06C69">
        <w:rPr>
          <w:rFonts w:ascii="Arial Nova" w:eastAsia="Arial Nova" w:hAnsi="Arial Nova" w:cs="Arial Nova"/>
          <w:sz w:val="22"/>
          <w:szCs w:val="22"/>
        </w:rPr>
        <w:t>selecting studies for inclusion</w:t>
      </w:r>
      <w:r w:rsidR="6D7F8495" w:rsidRPr="2EB06C69">
        <w:rPr>
          <w:rFonts w:ascii="Arial Nova" w:eastAsia="Arial Nova" w:hAnsi="Arial Nova" w:cs="Arial Nova"/>
          <w:sz w:val="22"/>
          <w:szCs w:val="22"/>
        </w:rPr>
        <w:t xml:space="preserve">, </w:t>
      </w:r>
      <w:r w:rsidRPr="2EB06C69">
        <w:rPr>
          <w:rFonts w:ascii="Arial Nova" w:eastAsia="Arial Nova" w:hAnsi="Arial Nova" w:cs="Arial Nova"/>
          <w:sz w:val="22"/>
          <w:szCs w:val="22"/>
        </w:rPr>
        <w:t>charting the data and collating</w:t>
      </w:r>
      <w:r w:rsidR="59B22E63" w:rsidRPr="2EB06C69">
        <w:rPr>
          <w:rFonts w:ascii="Arial Nova" w:eastAsia="Arial Nova" w:hAnsi="Arial Nova" w:cs="Arial Nova"/>
          <w:sz w:val="22"/>
          <w:szCs w:val="22"/>
        </w:rPr>
        <w:t xml:space="preserve"> </w:t>
      </w:r>
      <w:r w:rsidRPr="2EB06C69">
        <w:rPr>
          <w:rFonts w:ascii="Arial Nova" w:eastAsia="Arial Nova" w:hAnsi="Arial Nova" w:cs="Arial Nova"/>
          <w:sz w:val="22"/>
          <w:szCs w:val="22"/>
        </w:rPr>
        <w:t>summarising and reporting findings. This approach was preferred over a systematic review because it is built to map a wide and varied evidence base rather than to resolve a tightly defined clinical question, which suits a topic that cuts across clinical, digital, peer-based and institutional interventions.</w:t>
      </w:r>
      <w:r w:rsidR="3C412687" w:rsidRPr="2EB06C69">
        <w:rPr>
          <w:rFonts w:ascii="Arial Nova" w:eastAsia="Arial Nova" w:hAnsi="Arial Nova" w:cs="Arial Nova"/>
          <w:sz w:val="22"/>
          <w:szCs w:val="22"/>
        </w:rPr>
        <w:t xml:space="preserve"> </w:t>
      </w:r>
    </w:p>
    <w:p w14:paraId="1FE3F8AD" w14:textId="30DC274C" w:rsidR="1971CFEA" w:rsidRDefault="5E111D5F" w:rsidP="2EB06C69">
      <w:pPr>
        <w:pStyle w:val="Heading2"/>
        <w:rPr>
          <w:rFonts w:ascii="Arial Nova" w:eastAsia="Arial Nova" w:hAnsi="Arial Nova" w:cs="Arial Nova"/>
          <w:color w:val="auto"/>
          <w:sz w:val="28"/>
          <w:szCs w:val="28"/>
        </w:rPr>
      </w:pPr>
      <w:bookmarkStart w:id="9" w:name="_Toc970942254"/>
      <w:r w:rsidRPr="2EB06C69">
        <w:rPr>
          <w:rFonts w:ascii="Arial Nova" w:eastAsia="Arial Nova" w:hAnsi="Arial Nova" w:cs="Arial Nova"/>
          <w:color w:val="auto"/>
        </w:rPr>
        <w:t>Data Collection Approach</w:t>
      </w:r>
      <w:bookmarkEnd w:id="9"/>
    </w:p>
    <w:p w14:paraId="67A9A1A9" w14:textId="634219AE" w:rsidR="1971CFEA" w:rsidRDefault="5E111D5F" w:rsidP="203776EB">
      <w:pPr>
        <w:spacing w:before="240" w:after="240" w:line="360" w:lineRule="auto"/>
        <w:jc w:val="both"/>
      </w:pPr>
      <w:r w:rsidRPr="2EB06C69">
        <w:rPr>
          <w:rFonts w:ascii="Arial Nova" w:eastAsia="Arial Nova" w:hAnsi="Arial Nova" w:cs="Arial Nova"/>
          <w:sz w:val="22"/>
          <w:szCs w:val="22"/>
        </w:rPr>
        <w:t>Searches were run across PubMed, PsycINFO and CINAHL and supplemented by hand-searching the reference lists of the reviews retrieved. Search terms paired "university student mental health", "higher education mental health intervention" and "student wellbeing UK" with specific intervention categories such as "peer support", "digital mental health", "mindfulness" and "help-seeking", linked using the Boolean operators AND/OR.</w:t>
      </w:r>
      <w:r w:rsidR="2B5F42B0" w:rsidRPr="2EB06C69">
        <w:rPr>
          <w:rFonts w:ascii="Arial Nova" w:eastAsia="Arial Nova" w:hAnsi="Arial Nova" w:cs="Arial Nova"/>
          <w:sz w:val="22"/>
          <w:szCs w:val="22"/>
        </w:rPr>
        <w:t xml:space="preserve"> </w:t>
      </w:r>
    </w:p>
    <w:p w14:paraId="6B1FDAB2" w14:textId="26D2E0EE" w:rsidR="1971CFEA" w:rsidRDefault="1971CFEA" w:rsidP="203776EB">
      <w:pPr>
        <w:spacing w:before="240" w:after="240" w:line="360" w:lineRule="auto"/>
        <w:jc w:val="both"/>
      </w:pPr>
      <w:r w:rsidRPr="203776EB">
        <w:rPr>
          <w:rFonts w:ascii="Arial Nova" w:eastAsia="Arial Nova" w:hAnsi="Arial Nova" w:cs="Arial Nova"/>
          <w:sz w:val="22"/>
          <w:szCs w:val="22"/>
        </w:rPr>
        <w:t>Inclusion criteria: peer-reviewed studies or systematic reviews published in English within the past ten years, focusing on mental health interventions or help-seeking behaviour among students in UK higher education.</w:t>
      </w:r>
    </w:p>
    <w:p w14:paraId="7D52A239" w14:textId="0678FB2E" w:rsidR="1971CFEA" w:rsidRDefault="5E111D5F" w:rsidP="2EB06C69">
      <w:pPr>
        <w:spacing w:before="240" w:after="240" w:line="360" w:lineRule="auto"/>
        <w:jc w:val="both"/>
      </w:pPr>
      <w:r w:rsidRPr="2EB06C69">
        <w:rPr>
          <w:rFonts w:ascii="Arial Nova" w:eastAsia="Arial Nova" w:hAnsi="Arial Nova" w:cs="Arial Nova"/>
          <w:sz w:val="22"/>
          <w:szCs w:val="22"/>
        </w:rPr>
        <w:t>Exclusion criteria: grey literature, opinion pieces or editorials, studies conducted wholly outside the UK</w:t>
      </w:r>
      <w:r w:rsidR="56AA2EA9" w:rsidRPr="2EB06C69">
        <w:rPr>
          <w:rFonts w:ascii="Arial Nova" w:eastAsia="Arial Nova" w:hAnsi="Arial Nova" w:cs="Arial Nova"/>
          <w:sz w:val="22"/>
          <w:szCs w:val="22"/>
        </w:rPr>
        <w:t xml:space="preserve"> </w:t>
      </w:r>
      <w:r w:rsidRPr="2EB06C69">
        <w:rPr>
          <w:rFonts w:ascii="Arial Nova" w:eastAsia="Arial Nova" w:hAnsi="Arial Nova" w:cs="Arial Nova"/>
          <w:sz w:val="22"/>
          <w:szCs w:val="22"/>
        </w:rPr>
        <w:t>and research concerned with populations outside higher education.</w:t>
      </w:r>
      <w:r w:rsidR="2BF02B45" w:rsidRPr="2EB06C69">
        <w:rPr>
          <w:rFonts w:ascii="Arial Nova" w:eastAsia="Arial Nova" w:hAnsi="Arial Nova" w:cs="Arial Nova"/>
          <w:sz w:val="22"/>
          <w:szCs w:val="22"/>
        </w:rPr>
        <w:t xml:space="preserve"> </w:t>
      </w:r>
      <w:r w:rsidR="2961C808" w:rsidRPr="2EB06C69">
        <w:rPr>
          <w:rFonts w:ascii="Arial Nova" w:eastAsia="Arial Nova" w:hAnsi="Arial Nova" w:cs="Arial Nova"/>
          <w:sz w:val="22"/>
          <w:szCs w:val="22"/>
        </w:rPr>
        <w:t>The ten-year window and the three named databases were chosen as a pragmatic balance between breadth and feasibility for a report of this length; PubMed, PsycINFO and CINAHL between them cover the biomedical, psychological and allied health literature most relevant to student mental health interventions, while hand-searching reference lists helped to capture UK-specific primary studies that a database search alone might otherwise miss, since several of these were themselves cited within the broader reviews retrieved.</w:t>
      </w:r>
    </w:p>
    <w:p w14:paraId="0FA83655" w14:textId="4937202D" w:rsidR="1971CFEA" w:rsidRDefault="5E111D5F" w:rsidP="2EB06C69">
      <w:pPr>
        <w:pStyle w:val="Heading2"/>
        <w:rPr>
          <w:rFonts w:ascii="Arial Nova" w:eastAsia="Arial Nova" w:hAnsi="Arial Nova" w:cs="Arial Nova"/>
          <w:color w:val="auto"/>
          <w:sz w:val="28"/>
          <w:szCs w:val="28"/>
        </w:rPr>
      </w:pPr>
      <w:bookmarkStart w:id="10" w:name="_Toc987075935"/>
      <w:r w:rsidRPr="2EB06C69">
        <w:rPr>
          <w:rFonts w:ascii="Arial Nova" w:eastAsia="Arial Nova" w:hAnsi="Arial Nova" w:cs="Arial Nova"/>
          <w:color w:val="auto"/>
        </w:rPr>
        <w:t>Data Analysis Approach</w:t>
      </w:r>
      <w:bookmarkEnd w:id="10"/>
    </w:p>
    <w:p w14:paraId="359A5990" w14:textId="1A25137B" w:rsidR="1971CFEA" w:rsidRDefault="1971CFEA" w:rsidP="203776EB">
      <w:pPr>
        <w:spacing w:before="240" w:after="240" w:line="360" w:lineRule="auto"/>
        <w:jc w:val="both"/>
      </w:pPr>
      <w:r w:rsidRPr="6B5628FD">
        <w:rPr>
          <w:rFonts w:ascii="Arial Nova" w:eastAsia="Arial Nova" w:hAnsi="Arial Nova" w:cs="Arial Nova"/>
          <w:sz w:val="22"/>
          <w:szCs w:val="22"/>
        </w:rPr>
        <w:t>Studies meeting the criteria were charted into a summary table capturing authorship, aims, methods, key findings and relevance to the review question (</w:t>
      </w:r>
      <w:r w:rsidRPr="6B5628FD">
        <w:rPr>
          <w:rFonts w:ascii="Arial Nova" w:eastAsia="Arial Nova" w:hAnsi="Arial Nova" w:cs="Arial Nova"/>
          <w:b/>
          <w:bCs/>
          <w:sz w:val="22"/>
          <w:szCs w:val="22"/>
        </w:rPr>
        <w:t>Table 1</w:t>
      </w:r>
      <w:r w:rsidRPr="6B5628FD">
        <w:rPr>
          <w:rFonts w:ascii="Arial Nova" w:eastAsia="Arial Nova" w:hAnsi="Arial Nova" w:cs="Arial Nova"/>
          <w:sz w:val="22"/>
          <w:szCs w:val="22"/>
        </w:rPr>
        <w:t>). These were then synthesised using Aveyard's (2014) simplified thematic analysis approach</w:t>
      </w:r>
      <w:r w:rsidR="3210EB64"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 xml:space="preserve">becoming familiar </w:t>
      </w:r>
      <w:r w:rsidRPr="6B5628FD">
        <w:rPr>
          <w:rFonts w:ascii="Arial Nova" w:eastAsia="Arial Nova" w:hAnsi="Arial Nova" w:cs="Arial Nova"/>
          <w:sz w:val="22"/>
          <w:szCs w:val="22"/>
        </w:rPr>
        <w:lastRenderedPageBreak/>
        <w:t>with the material, developing initial codes describing intervention types and outcomes</w:t>
      </w:r>
      <w:r w:rsidR="1BA1E0A0"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and organising these codes into broader themes. A quantitative synthesis such as meta-analysis was not appropriate, since the charted studies differed considerably in design spanning large reviews of reviews, single-site randomised controlled trials and cross-sectional surveys making a pooled statistical estimate unsuitable. Coding proceeded iteratively: descriptive codes such as "clinical intervention", "digital delivery", "peer-based support" and "stigma/literacy barrier" were applied to each source first</w:t>
      </w:r>
      <w:r w:rsidR="0FC926B7"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before being consolidated into the four overarching themes presented in the Results section once patterns of overlap and contrast emerged across the data.</w:t>
      </w:r>
    </w:p>
    <w:p w14:paraId="0841FB40" w14:textId="08D74D44" w:rsidR="1971CFEA" w:rsidRDefault="5E111D5F" w:rsidP="2EB06C69">
      <w:pPr>
        <w:pStyle w:val="Heading2"/>
        <w:rPr>
          <w:rFonts w:ascii="Arial Nova" w:eastAsia="Arial Nova" w:hAnsi="Arial Nova" w:cs="Arial Nova"/>
          <w:color w:val="auto"/>
          <w:sz w:val="28"/>
          <w:szCs w:val="28"/>
        </w:rPr>
      </w:pPr>
      <w:bookmarkStart w:id="11" w:name="_Toc1084278529"/>
      <w:r w:rsidRPr="2EB06C69">
        <w:rPr>
          <w:rFonts w:ascii="Arial Nova" w:eastAsia="Arial Nova" w:hAnsi="Arial Nova" w:cs="Arial Nova"/>
          <w:color w:val="auto"/>
        </w:rPr>
        <w:t>Ethical Considerations</w:t>
      </w:r>
      <w:bookmarkEnd w:id="11"/>
    </w:p>
    <w:p w14:paraId="415D6961" w14:textId="17A51672" w:rsidR="1971CFEA" w:rsidRDefault="5E111D5F" w:rsidP="2EB06C69">
      <w:pPr>
        <w:spacing w:before="240" w:after="240" w:line="360" w:lineRule="auto"/>
        <w:jc w:val="both"/>
      </w:pPr>
      <w:r w:rsidRPr="6B5628FD">
        <w:rPr>
          <w:rFonts w:ascii="Arial Nova" w:eastAsia="Arial Nova" w:hAnsi="Arial Nova" w:cs="Arial Nova"/>
          <w:sz w:val="22"/>
          <w:szCs w:val="22"/>
        </w:rPr>
        <w:t>As this study is secondary research with no direct involvement of human participants, formal ethical approval was not required. The principal ethical responsibilities were to represent each source faithfully, maintain consistent Harvard referencing</w:t>
      </w:r>
      <w:r w:rsidR="4425E1A4" w:rsidRPr="6B5628FD">
        <w:rPr>
          <w:rFonts w:ascii="Arial Nova" w:eastAsia="Arial Nova" w:hAnsi="Arial Nova" w:cs="Arial Nova"/>
          <w:sz w:val="22"/>
          <w:szCs w:val="22"/>
        </w:rPr>
        <w:t xml:space="preserve"> </w:t>
      </w:r>
      <w:r w:rsidRPr="6B5628FD">
        <w:rPr>
          <w:rFonts w:ascii="Arial Nova" w:eastAsia="Arial Nova" w:hAnsi="Arial Nova" w:cs="Arial Nova"/>
          <w:sz w:val="22"/>
          <w:szCs w:val="22"/>
        </w:rPr>
        <w:t>and report the search strategy and its limitations openly, so as not to overstate the strength of the evidence (Resnik, 2015; Tricco et al., 2018).</w:t>
      </w:r>
      <w:r w:rsidR="3DF3C966" w:rsidRPr="6B5628FD">
        <w:rPr>
          <w:rFonts w:ascii="Arial Nova" w:eastAsia="Arial Nova" w:hAnsi="Arial Nova" w:cs="Arial Nova"/>
          <w:sz w:val="22"/>
          <w:szCs w:val="22"/>
        </w:rPr>
        <w:t xml:space="preserve"> One risk specific to secondary research of this type is selective citation</w:t>
      </w:r>
      <w:r w:rsidR="5D4A7D51" w:rsidRPr="6B5628FD">
        <w:rPr>
          <w:rFonts w:ascii="Arial Nova" w:eastAsia="Arial Nova" w:hAnsi="Arial Nova" w:cs="Arial Nova"/>
          <w:sz w:val="22"/>
          <w:szCs w:val="22"/>
        </w:rPr>
        <w:t xml:space="preserve"> </w:t>
      </w:r>
      <w:r w:rsidR="3DF3C966" w:rsidRPr="6B5628FD">
        <w:rPr>
          <w:rFonts w:ascii="Arial Nova" w:eastAsia="Arial Nova" w:hAnsi="Arial Nova" w:cs="Arial Nova"/>
          <w:sz w:val="22"/>
          <w:szCs w:val="22"/>
        </w:rPr>
        <w:t xml:space="preserve">the unintentional tendency to favour studies that confirm an expected outcome. This was addressed by charting every study meeting the inclusion criteria into </w:t>
      </w:r>
      <w:r w:rsidR="3DF3C966" w:rsidRPr="6B5628FD">
        <w:rPr>
          <w:rFonts w:ascii="Arial Nova" w:eastAsia="Arial Nova" w:hAnsi="Arial Nova" w:cs="Arial Nova"/>
          <w:b/>
          <w:bCs/>
          <w:sz w:val="22"/>
          <w:szCs w:val="22"/>
        </w:rPr>
        <w:t xml:space="preserve">Table 1 </w:t>
      </w:r>
      <w:r w:rsidR="3DF3C966" w:rsidRPr="6B5628FD">
        <w:rPr>
          <w:rFonts w:ascii="Arial Nova" w:eastAsia="Arial Nova" w:hAnsi="Arial Nova" w:cs="Arial Nova"/>
          <w:sz w:val="22"/>
          <w:szCs w:val="22"/>
        </w:rPr>
        <w:t>before thematic coding began, rather than choosing sources to fit themes decided on in advance.</w:t>
      </w:r>
    </w:p>
    <w:p w14:paraId="46519C64" w14:textId="6BBBB00A" w:rsidR="203776EB" w:rsidRDefault="7D752CA2" w:rsidP="2EB06C69">
      <w:pPr>
        <w:pStyle w:val="Heading1"/>
        <w:rPr>
          <w:rFonts w:ascii="Arial Nova" w:eastAsia="Arial Nova" w:hAnsi="Arial Nova" w:cs="Arial Nova"/>
          <w:b/>
          <w:bCs/>
          <w:color w:val="auto"/>
        </w:rPr>
      </w:pPr>
      <w:bookmarkStart w:id="12" w:name="_Toc1707209336"/>
      <w:r w:rsidRPr="2EB06C69">
        <w:rPr>
          <w:rFonts w:ascii="Arial Nova" w:eastAsia="Arial Nova" w:hAnsi="Arial Nova" w:cs="Arial Nova"/>
          <w:b/>
          <w:bCs/>
          <w:color w:val="auto"/>
        </w:rPr>
        <w:t>Results</w:t>
      </w:r>
      <w:bookmarkEnd w:id="12"/>
    </w:p>
    <w:tbl>
      <w:tblPr>
        <w:tblStyle w:val="GridTable1Light-Accent1"/>
        <w:tblW w:w="0" w:type="auto"/>
        <w:tblLook w:val="06A0" w:firstRow="1" w:lastRow="0" w:firstColumn="1" w:lastColumn="0" w:noHBand="1" w:noVBand="1"/>
      </w:tblPr>
      <w:tblGrid>
        <w:gridCol w:w="1298"/>
        <w:gridCol w:w="2005"/>
        <w:gridCol w:w="1415"/>
        <w:gridCol w:w="2508"/>
        <w:gridCol w:w="1790"/>
      </w:tblGrid>
      <w:tr w:rsidR="203776EB" w14:paraId="7BCFAA4C" w14:textId="77777777" w:rsidTr="6B5628F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3" w:type="dxa"/>
          </w:tcPr>
          <w:p w14:paraId="2562DC52" w14:textId="6D1118E7" w:rsidR="203776EB" w:rsidRDefault="203776EB" w:rsidP="203776EB">
            <w:pPr>
              <w:jc w:val="center"/>
              <w:rPr>
                <w:rFonts w:ascii="Arial Nova" w:eastAsia="Arial Nova" w:hAnsi="Arial Nova" w:cs="Arial Nova"/>
                <w:sz w:val="20"/>
                <w:szCs w:val="20"/>
              </w:rPr>
            </w:pPr>
            <w:r w:rsidRPr="203776EB">
              <w:rPr>
                <w:rFonts w:ascii="Arial Nova" w:eastAsia="Arial Nova" w:hAnsi="Arial Nova" w:cs="Arial Nova"/>
                <w:sz w:val="20"/>
                <w:szCs w:val="20"/>
              </w:rPr>
              <w:t>Author(s), Year</w:t>
            </w:r>
          </w:p>
        </w:tc>
        <w:tc>
          <w:tcPr>
            <w:tcW w:w="2098" w:type="dxa"/>
          </w:tcPr>
          <w:p w14:paraId="06D23953" w14:textId="7A9FC20A" w:rsidR="203776EB" w:rsidRDefault="203776EB" w:rsidP="203776E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bCs w:val="0"/>
                <w:sz w:val="20"/>
                <w:szCs w:val="20"/>
              </w:rPr>
            </w:pPr>
            <w:r w:rsidRPr="203776EB">
              <w:rPr>
                <w:rFonts w:ascii="Arial Nova" w:eastAsia="Arial Nova" w:hAnsi="Arial Nova" w:cs="Arial Nova"/>
                <w:sz w:val="20"/>
                <w:szCs w:val="20"/>
              </w:rPr>
              <w:t>Research Objectives</w:t>
            </w:r>
          </w:p>
        </w:tc>
        <w:tc>
          <w:tcPr>
            <w:tcW w:w="1409" w:type="dxa"/>
          </w:tcPr>
          <w:p w14:paraId="55EDFAD6" w14:textId="42FFE077" w:rsidR="203776EB" w:rsidRDefault="203776EB" w:rsidP="203776E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bCs w:val="0"/>
                <w:sz w:val="20"/>
                <w:szCs w:val="20"/>
              </w:rPr>
            </w:pPr>
            <w:r w:rsidRPr="203776EB">
              <w:rPr>
                <w:rFonts w:ascii="Arial Nova" w:eastAsia="Arial Nova" w:hAnsi="Arial Nova" w:cs="Arial Nova"/>
                <w:sz w:val="20"/>
                <w:szCs w:val="20"/>
              </w:rPr>
              <w:t>Methods</w:t>
            </w:r>
          </w:p>
        </w:tc>
        <w:tc>
          <w:tcPr>
            <w:tcW w:w="2664" w:type="dxa"/>
          </w:tcPr>
          <w:p w14:paraId="063E3977" w14:textId="7BB7937C" w:rsidR="203776EB" w:rsidRDefault="203776EB" w:rsidP="203776E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bCs w:val="0"/>
                <w:sz w:val="20"/>
                <w:szCs w:val="20"/>
              </w:rPr>
            </w:pPr>
            <w:r w:rsidRPr="203776EB">
              <w:rPr>
                <w:rFonts w:ascii="Arial Nova" w:eastAsia="Arial Nova" w:hAnsi="Arial Nova" w:cs="Arial Nova"/>
                <w:sz w:val="20"/>
                <w:szCs w:val="20"/>
              </w:rPr>
              <w:t>Key Findings</w:t>
            </w:r>
          </w:p>
        </w:tc>
        <w:tc>
          <w:tcPr>
            <w:tcW w:w="1840" w:type="dxa"/>
          </w:tcPr>
          <w:p w14:paraId="26F1490C" w14:textId="5ABB007D" w:rsidR="203776EB" w:rsidRDefault="203776EB" w:rsidP="203776EB">
            <w:pPr>
              <w:jc w:val="cente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bCs w:val="0"/>
                <w:sz w:val="20"/>
                <w:szCs w:val="20"/>
              </w:rPr>
            </w:pPr>
            <w:r w:rsidRPr="203776EB">
              <w:rPr>
                <w:rFonts w:ascii="Arial Nova" w:eastAsia="Arial Nova" w:hAnsi="Arial Nova" w:cs="Arial Nova"/>
                <w:sz w:val="20"/>
                <w:szCs w:val="20"/>
              </w:rPr>
              <w:t>Relevance to Review Question</w:t>
            </w:r>
          </w:p>
        </w:tc>
      </w:tr>
      <w:tr w:rsidR="203776EB" w14:paraId="4F704CDA" w14:textId="77777777" w:rsidTr="6B5628FD">
        <w:trPr>
          <w:trHeight w:val="300"/>
        </w:trPr>
        <w:tc>
          <w:tcPr>
            <w:cnfStyle w:val="001000000000" w:firstRow="0" w:lastRow="0" w:firstColumn="1" w:lastColumn="0" w:oddVBand="0" w:evenVBand="0" w:oddHBand="0" w:evenHBand="0" w:firstRowFirstColumn="0" w:firstRowLastColumn="0" w:lastRowFirstColumn="0" w:lastRowLastColumn="0"/>
            <w:tcW w:w="1003" w:type="dxa"/>
          </w:tcPr>
          <w:p w14:paraId="0DE28360" w14:textId="0F98FBFF"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t>Worsley, Pennington and Corcoran (2022)</w:t>
            </w:r>
          </w:p>
        </w:tc>
        <w:tc>
          <w:tcPr>
            <w:tcW w:w="2098" w:type="dxa"/>
          </w:tcPr>
          <w:p w14:paraId="606A3267" w14:textId="4454CC71"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Bring together review-level evidence on interventions aimed at improving student mental health and wellbeing</w:t>
            </w:r>
          </w:p>
        </w:tc>
        <w:tc>
          <w:tcPr>
            <w:tcW w:w="1409" w:type="dxa"/>
          </w:tcPr>
          <w:p w14:paraId="19C83B7C" w14:textId="5BCFA337"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t>Review of reviews</w:t>
            </w:r>
            <w:r w:rsidR="41D56B24" w:rsidRPr="6B5628FD">
              <w:rPr>
                <w:rFonts w:ascii="Arial Nova" w:eastAsia="Arial Nova" w:hAnsi="Arial Nova" w:cs="Arial Nova"/>
                <w:sz w:val="20"/>
                <w:szCs w:val="20"/>
              </w:rPr>
              <w:t xml:space="preserve"> and</w:t>
            </w:r>
            <w:r w:rsidRPr="6B5628FD">
              <w:rPr>
                <w:rFonts w:ascii="Arial Nova" w:eastAsia="Arial Nova" w:hAnsi="Arial Nova" w:cs="Arial Nova"/>
                <w:sz w:val="20"/>
                <w:szCs w:val="20"/>
              </w:rPr>
              <w:t xml:space="preserve"> 27 reviews included</w:t>
            </w:r>
            <w:r w:rsidR="195262FD" w:rsidRPr="6B5628FD">
              <w:rPr>
                <w:rFonts w:ascii="Arial Nova" w:eastAsia="Arial Nova" w:hAnsi="Arial Nova" w:cs="Arial Nova"/>
                <w:sz w:val="20"/>
                <w:szCs w:val="20"/>
              </w:rPr>
              <w:t xml:space="preserve"> and</w:t>
            </w:r>
            <w:r w:rsidRPr="6B5628FD">
              <w:rPr>
                <w:rFonts w:ascii="Arial Nova" w:eastAsia="Arial Nova" w:hAnsi="Arial Nova" w:cs="Arial Nova"/>
                <w:sz w:val="20"/>
                <w:szCs w:val="20"/>
              </w:rPr>
              <w:t xml:space="preserve"> AMSTAR 2 appraisal</w:t>
            </w:r>
          </w:p>
        </w:tc>
        <w:tc>
          <w:tcPr>
            <w:tcW w:w="2664" w:type="dxa"/>
          </w:tcPr>
          <w:p w14:paraId="6D1DEF9F" w14:textId="40C35E58"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Mindfulness-based and CBT-related interventions produced the most consistent reductions in anxiety and depressive symptoms across the reviews</w:t>
            </w:r>
          </w:p>
        </w:tc>
        <w:tc>
          <w:tcPr>
            <w:tcW w:w="1840" w:type="dxa"/>
          </w:tcPr>
          <w:p w14:paraId="64E45859" w14:textId="575AC443"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Sets the benchmark evidence base against which other intervention types can be judged</w:t>
            </w:r>
          </w:p>
        </w:tc>
      </w:tr>
      <w:tr w:rsidR="203776EB" w14:paraId="4DEC5677" w14:textId="77777777" w:rsidTr="6B5628FD">
        <w:trPr>
          <w:trHeight w:val="300"/>
        </w:trPr>
        <w:tc>
          <w:tcPr>
            <w:cnfStyle w:val="001000000000" w:firstRow="0" w:lastRow="0" w:firstColumn="1" w:lastColumn="0" w:oddVBand="0" w:evenVBand="0" w:oddHBand="0" w:evenHBand="0" w:firstRowFirstColumn="0" w:firstRowLastColumn="0" w:lastRowFirstColumn="0" w:lastRowLastColumn="0"/>
            <w:tcW w:w="1003" w:type="dxa"/>
          </w:tcPr>
          <w:p w14:paraId="0DD1A01A" w14:textId="39CEB3A5"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t>Malagodi et al. (2025)</w:t>
            </w:r>
          </w:p>
        </w:tc>
        <w:tc>
          <w:tcPr>
            <w:tcW w:w="2098" w:type="dxa"/>
          </w:tcPr>
          <w:p w14:paraId="70D7C3E5" w14:textId="46F81356"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Assess the effectiveness of physical activity (PA) interventions on student mental health</w:t>
            </w:r>
          </w:p>
        </w:tc>
        <w:tc>
          <w:tcPr>
            <w:tcW w:w="1409" w:type="dxa"/>
          </w:tcPr>
          <w:p w14:paraId="45446AED" w14:textId="2FCABA78"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t xml:space="preserve">Systematic review and meta-analysis </w:t>
            </w:r>
            <w:r w:rsidR="4B1228B9" w:rsidRPr="6B5628FD">
              <w:rPr>
                <w:rFonts w:ascii="Arial Nova" w:eastAsia="Arial Nova" w:hAnsi="Arial Nova" w:cs="Arial Nova"/>
                <w:sz w:val="20"/>
                <w:szCs w:val="20"/>
              </w:rPr>
              <w:t xml:space="preserve">and </w:t>
            </w:r>
            <w:r w:rsidRPr="6B5628FD">
              <w:rPr>
                <w:rFonts w:ascii="Arial Nova" w:eastAsia="Arial Nova" w:hAnsi="Arial Nova" w:cs="Arial Nova"/>
                <w:sz w:val="20"/>
                <w:szCs w:val="20"/>
              </w:rPr>
              <w:t>72 studies</w:t>
            </w:r>
            <w:r w:rsidR="20BBD6D3" w:rsidRPr="6B5628FD">
              <w:rPr>
                <w:rFonts w:ascii="Arial Nova" w:eastAsia="Arial Nova" w:hAnsi="Arial Nova" w:cs="Arial Nova"/>
                <w:sz w:val="20"/>
                <w:szCs w:val="20"/>
              </w:rPr>
              <w:t xml:space="preserve"> and</w:t>
            </w:r>
            <w:r w:rsidRPr="6B5628FD">
              <w:rPr>
                <w:rFonts w:ascii="Arial Nova" w:eastAsia="Arial Nova" w:hAnsi="Arial Nova" w:cs="Arial Nova"/>
                <w:sz w:val="20"/>
                <w:szCs w:val="20"/>
              </w:rPr>
              <w:t xml:space="preserve"> PRISMA</w:t>
            </w:r>
          </w:p>
        </w:tc>
        <w:tc>
          <w:tcPr>
            <w:tcW w:w="2664" w:type="dxa"/>
          </w:tcPr>
          <w:p w14:paraId="55F3AE26" w14:textId="47BE2206"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Supervised, on-campus PA sessions outperformed unsupervised, off-campus activity</w:t>
            </w:r>
          </w:p>
        </w:tc>
        <w:tc>
          <w:tcPr>
            <w:tcW w:w="1840" w:type="dxa"/>
          </w:tcPr>
          <w:p w14:paraId="2F0B8A5A" w14:textId="2BEA80D8"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Supports low-cost, institutionally delivered preventative interventions</w:t>
            </w:r>
          </w:p>
        </w:tc>
      </w:tr>
      <w:tr w:rsidR="203776EB" w14:paraId="395CD3E1" w14:textId="77777777" w:rsidTr="6B5628FD">
        <w:trPr>
          <w:trHeight w:val="300"/>
        </w:trPr>
        <w:tc>
          <w:tcPr>
            <w:cnfStyle w:val="001000000000" w:firstRow="0" w:lastRow="0" w:firstColumn="1" w:lastColumn="0" w:oddVBand="0" w:evenVBand="0" w:oddHBand="0" w:evenHBand="0" w:firstRowFirstColumn="0" w:firstRowLastColumn="0" w:lastRowFirstColumn="0" w:lastRowLastColumn="0"/>
            <w:tcW w:w="1003" w:type="dxa"/>
          </w:tcPr>
          <w:p w14:paraId="401462D8" w14:textId="1B254DD0"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t>Galante et al. (2018)</w:t>
            </w:r>
          </w:p>
        </w:tc>
        <w:tc>
          <w:tcPr>
            <w:tcW w:w="2098" w:type="dxa"/>
          </w:tcPr>
          <w:p w14:paraId="234BEE93" w14:textId="104210AE"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 xml:space="preserve">Determine whether mindfulness courses build </w:t>
            </w:r>
            <w:r w:rsidRPr="203776EB">
              <w:rPr>
                <w:rFonts w:ascii="Arial Nova" w:eastAsia="Arial Nova" w:hAnsi="Arial Nova" w:cs="Arial Nova"/>
                <w:sz w:val="20"/>
                <w:szCs w:val="20"/>
              </w:rPr>
              <w:lastRenderedPageBreak/>
              <w:t>student resilience to stress</w:t>
            </w:r>
          </w:p>
        </w:tc>
        <w:tc>
          <w:tcPr>
            <w:tcW w:w="1409" w:type="dxa"/>
          </w:tcPr>
          <w:p w14:paraId="0BFB88D1" w14:textId="369B1C50"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lastRenderedPageBreak/>
              <w:t>Pragmatic RCT</w:t>
            </w:r>
            <w:r w:rsidR="379E2A04" w:rsidRPr="6B5628FD">
              <w:rPr>
                <w:rFonts w:ascii="Arial Nova" w:eastAsia="Arial Nova" w:hAnsi="Arial Nova" w:cs="Arial Nova"/>
                <w:sz w:val="20"/>
                <w:szCs w:val="20"/>
              </w:rPr>
              <w:t xml:space="preserve"> and </w:t>
            </w:r>
            <w:r w:rsidRPr="6B5628FD">
              <w:rPr>
                <w:rFonts w:ascii="Arial Nova" w:eastAsia="Arial Nova" w:hAnsi="Arial Nova" w:cs="Arial Nova"/>
                <w:sz w:val="20"/>
                <w:szCs w:val="20"/>
              </w:rPr>
              <w:t xml:space="preserve">c.600 University of </w:t>
            </w:r>
            <w:r w:rsidRPr="6B5628FD">
              <w:rPr>
                <w:rFonts w:ascii="Arial Nova" w:eastAsia="Arial Nova" w:hAnsi="Arial Nova" w:cs="Arial Nova"/>
                <w:sz w:val="20"/>
                <w:szCs w:val="20"/>
              </w:rPr>
              <w:lastRenderedPageBreak/>
              <w:t>Cambridge students</w:t>
            </w:r>
          </w:p>
        </w:tc>
        <w:tc>
          <w:tcPr>
            <w:tcW w:w="2664" w:type="dxa"/>
          </w:tcPr>
          <w:p w14:paraId="75499C6F" w14:textId="4725E1C9"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lastRenderedPageBreak/>
              <w:t>Mindfulness training lowered psychological distress during the exam period</w:t>
            </w:r>
          </w:p>
        </w:tc>
        <w:tc>
          <w:tcPr>
            <w:tcW w:w="1840" w:type="dxa"/>
          </w:tcPr>
          <w:p w14:paraId="536A7A05" w14:textId="15BE9E75"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 xml:space="preserve">Provides UK-specific primary evidence for a scalable </w:t>
            </w:r>
            <w:r w:rsidRPr="203776EB">
              <w:rPr>
                <w:rFonts w:ascii="Arial Nova" w:eastAsia="Arial Nova" w:hAnsi="Arial Nova" w:cs="Arial Nova"/>
                <w:sz w:val="20"/>
                <w:szCs w:val="20"/>
              </w:rPr>
              <w:lastRenderedPageBreak/>
              <w:t>preventative approach</w:t>
            </w:r>
          </w:p>
        </w:tc>
      </w:tr>
      <w:tr w:rsidR="203776EB" w14:paraId="1F3B5E5F" w14:textId="77777777" w:rsidTr="6B5628FD">
        <w:trPr>
          <w:trHeight w:val="300"/>
        </w:trPr>
        <w:tc>
          <w:tcPr>
            <w:cnfStyle w:val="001000000000" w:firstRow="0" w:lastRow="0" w:firstColumn="1" w:lastColumn="0" w:oddVBand="0" w:evenVBand="0" w:oddHBand="0" w:evenHBand="0" w:firstRowFirstColumn="0" w:firstRowLastColumn="0" w:lastRowFirstColumn="0" w:lastRowLastColumn="0"/>
            <w:tcW w:w="1003" w:type="dxa"/>
          </w:tcPr>
          <w:p w14:paraId="169368A3" w14:textId="5DC09FCD"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lastRenderedPageBreak/>
              <w:t>Harith et al. (2022)</w:t>
            </w:r>
          </w:p>
        </w:tc>
        <w:tc>
          <w:tcPr>
            <w:tcW w:w="2098" w:type="dxa"/>
          </w:tcPr>
          <w:p w14:paraId="44D479E0" w14:textId="0156BF23"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Bring together evidence on digital mental health interventions for students</w:t>
            </w:r>
          </w:p>
        </w:tc>
        <w:tc>
          <w:tcPr>
            <w:tcW w:w="1409" w:type="dxa"/>
          </w:tcPr>
          <w:p w14:paraId="7A2F9BAC" w14:textId="1306B858"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t>Umbrella review</w:t>
            </w:r>
            <w:r w:rsidR="423C0F05" w:rsidRPr="6B5628FD">
              <w:rPr>
                <w:rFonts w:ascii="Arial Nova" w:eastAsia="Arial Nova" w:hAnsi="Arial Nova" w:cs="Arial Nova"/>
                <w:sz w:val="20"/>
                <w:szCs w:val="20"/>
              </w:rPr>
              <w:t xml:space="preserve"> and </w:t>
            </w:r>
            <w:r w:rsidRPr="6B5628FD">
              <w:rPr>
                <w:rFonts w:ascii="Arial Nova" w:eastAsia="Arial Nova" w:hAnsi="Arial Nova" w:cs="Arial Nova"/>
                <w:sz w:val="20"/>
                <w:szCs w:val="20"/>
              </w:rPr>
              <w:t>7 reviews met inclusion criteria</w:t>
            </w:r>
          </w:p>
        </w:tc>
        <w:tc>
          <w:tcPr>
            <w:tcW w:w="2664" w:type="dxa"/>
          </w:tcPr>
          <w:p w14:paraId="755A577A" w14:textId="096C0410"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Digital interventions (web- and app-based) showed positive effects, but the supporting evidence base remained small</w:t>
            </w:r>
          </w:p>
        </w:tc>
        <w:tc>
          <w:tcPr>
            <w:tcW w:w="1840" w:type="dxa"/>
          </w:tcPr>
          <w:p w14:paraId="0780CC82" w14:textId="250B56D4"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Points to a promising though still preliminary delivery format</w:t>
            </w:r>
          </w:p>
        </w:tc>
      </w:tr>
      <w:tr w:rsidR="203776EB" w14:paraId="7299FF03" w14:textId="77777777" w:rsidTr="6B5628FD">
        <w:trPr>
          <w:trHeight w:val="300"/>
        </w:trPr>
        <w:tc>
          <w:tcPr>
            <w:cnfStyle w:val="001000000000" w:firstRow="0" w:lastRow="0" w:firstColumn="1" w:lastColumn="0" w:oddVBand="0" w:evenVBand="0" w:oddHBand="0" w:evenHBand="0" w:firstRowFirstColumn="0" w:firstRowLastColumn="0" w:lastRowFirstColumn="0" w:lastRowLastColumn="0"/>
            <w:tcW w:w="1003" w:type="dxa"/>
          </w:tcPr>
          <w:p w14:paraId="0F7F7762" w14:textId="5924BCB4"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t>Pointon-Haas et al. (2023)</w:t>
            </w:r>
          </w:p>
        </w:tc>
        <w:tc>
          <w:tcPr>
            <w:tcW w:w="2098" w:type="dxa"/>
          </w:tcPr>
          <w:p w14:paraId="5C6498E4" w14:textId="12B3B160"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Assess peer support interventions within higher education</w:t>
            </w:r>
          </w:p>
        </w:tc>
        <w:tc>
          <w:tcPr>
            <w:tcW w:w="1409" w:type="dxa"/>
          </w:tcPr>
          <w:p w14:paraId="7A14878F" w14:textId="731AA6ED"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t>Systematic review</w:t>
            </w:r>
            <w:r w:rsidR="652B5014" w:rsidRPr="6B5628FD">
              <w:rPr>
                <w:rFonts w:ascii="Arial Nova" w:eastAsia="Arial Nova" w:hAnsi="Arial Nova" w:cs="Arial Nova"/>
                <w:sz w:val="20"/>
                <w:szCs w:val="20"/>
              </w:rPr>
              <w:t xml:space="preserve"> and </w:t>
            </w:r>
            <w:r w:rsidRPr="6B5628FD">
              <w:rPr>
                <w:rFonts w:ascii="Arial Nova" w:eastAsia="Arial Nova" w:hAnsi="Arial Nova" w:cs="Arial Nova"/>
                <w:sz w:val="20"/>
                <w:szCs w:val="20"/>
              </w:rPr>
              <w:t>28 studies across three peer support types</w:t>
            </w:r>
          </w:p>
        </w:tc>
        <w:tc>
          <w:tcPr>
            <w:tcW w:w="2664" w:type="dxa"/>
          </w:tcPr>
          <w:p w14:paraId="65FACE70" w14:textId="26E437B2"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Peer mentoring and peer learning produced more favourable results than peer-led groups; most studies rated poor–fair quality</w:t>
            </w:r>
          </w:p>
        </w:tc>
        <w:tc>
          <w:tcPr>
            <w:tcW w:w="1840" w:type="dxa"/>
          </w:tcPr>
          <w:p w14:paraId="0B46EA77" w14:textId="31656257"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Highlights an intervention type that is popular yet weakly evidenced</w:t>
            </w:r>
          </w:p>
        </w:tc>
      </w:tr>
      <w:tr w:rsidR="203776EB" w14:paraId="23D94B48" w14:textId="77777777" w:rsidTr="6B5628FD">
        <w:trPr>
          <w:trHeight w:val="300"/>
        </w:trPr>
        <w:tc>
          <w:tcPr>
            <w:cnfStyle w:val="001000000000" w:firstRow="0" w:lastRow="0" w:firstColumn="1" w:lastColumn="0" w:oddVBand="0" w:evenVBand="0" w:oddHBand="0" w:evenHBand="0" w:firstRowFirstColumn="0" w:firstRowLastColumn="0" w:lastRowFirstColumn="0" w:lastRowLastColumn="0"/>
            <w:tcW w:w="1003" w:type="dxa"/>
          </w:tcPr>
          <w:p w14:paraId="0155F20C" w14:textId="6BB69152"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t>Cage et al. (2020)</w:t>
            </w:r>
          </w:p>
        </w:tc>
        <w:tc>
          <w:tcPr>
            <w:tcW w:w="2098" w:type="dxa"/>
          </w:tcPr>
          <w:p w14:paraId="2573F16D" w14:textId="3FED766B"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Explore barriers to accessing mental health support at university</w:t>
            </w:r>
          </w:p>
        </w:tc>
        <w:tc>
          <w:tcPr>
            <w:tcW w:w="1409" w:type="dxa"/>
          </w:tcPr>
          <w:p w14:paraId="0D113362" w14:textId="5CE99634"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t>Cross-sectional questionnaire</w:t>
            </w:r>
            <w:r w:rsidR="70321FD1" w:rsidRPr="6B5628FD">
              <w:rPr>
                <w:rFonts w:ascii="Arial Nova" w:eastAsia="Arial Nova" w:hAnsi="Arial Nova" w:cs="Arial Nova"/>
                <w:sz w:val="20"/>
                <w:szCs w:val="20"/>
              </w:rPr>
              <w:t xml:space="preserve"> and </w:t>
            </w:r>
            <w:r w:rsidRPr="6B5628FD">
              <w:rPr>
                <w:rFonts w:ascii="Arial Nova" w:eastAsia="Arial Nova" w:hAnsi="Arial Nova" w:cs="Arial Nova"/>
                <w:sz w:val="20"/>
                <w:szCs w:val="20"/>
              </w:rPr>
              <w:t>376 UK students</w:t>
            </w:r>
          </w:p>
        </w:tc>
        <w:tc>
          <w:tcPr>
            <w:tcW w:w="2664" w:type="dxa"/>
          </w:tcPr>
          <w:p w14:paraId="026041CC" w14:textId="4DCFD330"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Self-stigma emerged as the strongest barrier to help-seeking, alongside disclosure and educational impact</w:t>
            </w:r>
          </w:p>
        </w:tc>
        <w:tc>
          <w:tcPr>
            <w:tcW w:w="1840" w:type="dxa"/>
          </w:tcPr>
          <w:p w14:paraId="480E56F6" w14:textId="1142C9D4"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Demonstrates that availability alone does not guarantee engagement</w:t>
            </w:r>
          </w:p>
        </w:tc>
      </w:tr>
      <w:tr w:rsidR="203776EB" w14:paraId="2FC06DC2" w14:textId="77777777" w:rsidTr="6B5628FD">
        <w:trPr>
          <w:trHeight w:val="300"/>
        </w:trPr>
        <w:tc>
          <w:tcPr>
            <w:cnfStyle w:val="001000000000" w:firstRow="0" w:lastRow="0" w:firstColumn="1" w:lastColumn="0" w:oddVBand="0" w:evenVBand="0" w:oddHBand="0" w:evenHBand="0" w:firstRowFirstColumn="0" w:firstRowLastColumn="0" w:lastRowFirstColumn="0" w:lastRowLastColumn="0"/>
            <w:tcW w:w="1003" w:type="dxa"/>
          </w:tcPr>
          <w:p w14:paraId="66032475" w14:textId="78E13837"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t>Lui, Sagar-Ouriaghli and Brown (2022)</w:t>
            </w:r>
          </w:p>
        </w:tc>
        <w:tc>
          <w:tcPr>
            <w:tcW w:w="2098" w:type="dxa"/>
          </w:tcPr>
          <w:p w14:paraId="6C0B24EA" w14:textId="34CF5669"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Summarise barriers and facilitators to student help-seeking</w:t>
            </w:r>
          </w:p>
        </w:tc>
        <w:tc>
          <w:tcPr>
            <w:tcW w:w="1409" w:type="dxa"/>
          </w:tcPr>
          <w:p w14:paraId="26780B74" w14:textId="68D3DE95"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t>Systematic review</w:t>
            </w:r>
            <w:r w:rsidR="4FFEAE4A" w:rsidRPr="6B5628FD">
              <w:rPr>
                <w:rFonts w:ascii="Arial Nova" w:eastAsia="Arial Nova" w:hAnsi="Arial Nova" w:cs="Arial Nova"/>
                <w:sz w:val="20"/>
                <w:szCs w:val="20"/>
              </w:rPr>
              <w:t xml:space="preserve"> and </w:t>
            </w:r>
            <w:r w:rsidRPr="6B5628FD">
              <w:rPr>
                <w:rFonts w:ascii="Arial Nova" w:eastAsia="Arial Nova" w:hAnsi="Arial Nova" w:cs="Arial Nova"/>
                <w:sz w:val="20"/>
                <w:szCs w:val="20"/>
              </w:rPr>
              <w:t>10 studies</w:t>
            </w:r>
          </w:p>
        </w:tc>
        <w:tc>
          <w:tcPr>
            <w:tcW w:w="2664" w:type="dxa"/>
          </w:tcPr>
          <w:p w14:paraId="23A67893" w14:textId="215C34D9"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Self-reliance, stigma and limited mental health literacy were the most frequently reported barriers</w:t>
            </w:r>
          </w:p>
        </w:tc>
        <w:tc>
          <w:tcPr>
            <w:tcW w:w="1840" w:type="dxa"/>
          </w:tcPr>
          <w:p w14:paraId="620E30AF" w14:textId="60EBBADF"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Confirms stigma and literacy as obstacles that cut across intervention types</w:t>
            </w:r>
          </w:p>
        </w:tc>
      </w:tr>
      <w:tr w:rsidR="203776EB" w14:paraId="27CD1CD1" w14:textId="77777777" w:rsidTr="6B5628FD">
        <w:trPr>
          <w:trHeight w:val="300"/>
        </w:trPr>
        <w:tc>
          <w:tcPr>
            <w:cnfStyle w:val="001000000000" w:firstRow="0" w:lastRow="0" w:firstColumn="1" w:lastColumn="0" w:oddVBand="0" w:evenVBand="0" w:oddHBand="0" w:evenHBand="0" w:firstRowFirstColumn="0" w:firstRowLastColumn="0" w:lastRowFirstColumn="0" w:lastRowLastColumn="0"/>
            <w:tcW w:w="1003" w:type="dxa"/>
          </w:tcPr>
          <w:p w14:paraId="50AC5DAE" w14:textId="2697B3A1"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t>Broglia, Millings and Barkham (2021)</w:t>
            </w:r>
          </w:p>
        </w:tc>
        <w:tc>
          <w:tcPr>
            <w:tcW w:w="2098" w:type="dxa"/>
          </w:tcPr>
          <w:p w14:paraId="30164F69" w14:textId="1B26DF9F"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Profile student mental health and intentions to seek help</w:t>
            </w:r>
          </w:p>
        </w:tc>
        <w:tc>
          <w:tcPr>
            <w:tcW w:w="1409" w:type="dxa"/>
          </w:tcPr>
          <w:p w14:paraId="39E5C30E" w14:textId="1B0CBAF7"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t>Cross-sectional survey</w:t>
            </w:r>
            <w:r w:rsidR="27A91D3B" w:rsidRPr="6B5628FD">
              <w:rPr>
                <w:rFonts w:ascii="Arial Nova" w:eastAsia="Arial Nova" w:hAnsi="Arial Nova" w:cs="Arial Nova"/>
                <w:sz w:val="20"/>
                <w:szCs w:val="20"/>
              </w:rPr>
              <w:t xml:space="preserve"> and</w:t>
            </w:r>
            <w:r w:rsidRPr="6B5628FD">
              <w:rPr>
                <w:rFonts w:ascii="Arial Nova" w:eastAsia="Arial Nova" w:hAnsi="Arial Nova" w:cs="Arial Nova"/>
                <w:sz w:val="20"/>
                <w:szCs w:val="20"/>
              </w:rPr>
              <w:t xml:space="preserve"> 1,956 students, five UK universities</w:t>
            </w:r>
          </w:p>
        </w:tc>
        <w:tc>
          <w:tcPr>
            <w:tcW w:w="2664" w:type="dxa"/>
          </w:tcPr>
          <w:p w14:paraId="1D1A9E54" w14:textId="5B4900EE"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Greater distress did not reliably translate into an intention to seek help</w:t>
            </w:r>
          </w:p>
        </w:tc>
        <w:tc>
          <w:tcPr>
            <w:tcW w:w="1840" w:type="dxa"/>
          </w:tcPr>
          <w:p w14:paraId="65CAAA3B" w14:textId="63C6D6A3"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Challenges the assumption that effective interventions reach those most in need</w:t>
            </w:r>
          </w:p>
        </w:tc>
      </w:tr>
      <w:tr w:rsidR="203776EB" w14:paraId="58C6A375" w14:textId="77777777" w:rsidTr="6B5628FD">
        <w:trPr>
          <w:trHeight w:val="2250"/>
        </w:trPr>
        <w:tc>
          <w:tcPr>
            <w:cnfStyle w:val="001000000000" w:firstRow="0" w:lastRow="0" w:firstColumn="1" w:lastColumn="0" w:oddVBand="0" w:evenVBand="0" w:oddHBand="0" w:evenHBand="0" w:firstRowFirstColumn="0" w:firstRowLastColumn="0" w:lastRowFirstColumn="0" w:lastRowLastColumn="0"/>
            <w:tcW w:w="1003" w:type="dxa"/>
          </w:tcPr>
          <w:p w14:paraId="25849AA0" w14:textId="48185A57" w:rsidR="203776EB" w:rsidRDefault="203776EB" w:rsidP="203776EB">
            <w:pPr>
              <w:rPr>
                <w:rFonts w:ascii="Arial Nova" w:eastAsia="Arial Nova" w:hAnsi="Arial Nova" w:cs="Arial Nova"/>
                <w:sz w:val="20"/>
                <w:szCs w:val="20"/>
              </w:rPr>
            </w:pPr>
            <w:r w:rsidRPr="203776EB">
              <w:rPr>
                <w:rFonts w:ascii="Arial Nova" w:eastAsia="Arial Nova" w:hAnsi="Arial Nova" w:cs="Arial Nova"/>
                <w:sz w:val="20"/>
                <w:szCs w:val="20"/>
              </w:rPr>
              <w:t>Streram et al. (2025)</w:t>
            </w:r>
          </w:p>
        </w:tc>
        <w:tc>
          <w:tcPr>
            <w:tcW w:w="2098" w:type="dxa"/>
          </w:tcPr>
          <w:p w14:paraId="12311CDC" w14:textId="16BBBAE3"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Assess health-behaviour interventions (sleep, PA, substance use) for student mental health</w:t>
            </w:r>
          </w:p>
        </w:tc>
        <w:tc>
          <w:tcPr>
            <w:tcW w:w="1409" w:type="dxa"/>
          </w:tcPr>
          <w:p w14:paraId="603903F3" w14:textId="2D1EECD4"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6B5628FD">
              <w:rPr>
                <w:rFonts w:ascii="Arial Nova" w:eastAsia="Arial Nova" w:hAnsi="Arial Nova" w:cs="Arial Nova"/>
                <w:sz w:val="20"/>
                <w:szCs w:val="20"/>
              </w:rPr>
              <w:t>Systematic review of RCTs</w:t>
            </w:r>
            <w:r w:rsidR="0FD4176C" w:rsidRPr="6B5628FD">
              <w:rPr>
                <w:rFonts w:ascii="Arial Nova" w:eastAsia="Arial Nova" w:hAnsi="Arial Nova" w:cs="Arial Nova"/>
                <w:sz w:val="20"/>
                <w:szCs w:val="20"/>
              </w:rPr>
              <w:t xml:space="preserve"> and </w:t>
            </w:r>
            <w:r w:rsidRPr="6B5628FD">
              <w:rPr>
                <w:rFonts w:ascii="Arial Nova" w:eastAsia="Arial Nova" w:hAnsi="Arial Nova" w:cs="Arial Nova"/>
                <w:sz w:val="20"/>
                <w:szCs w:val="20"/>
              </w:rPr>
              <w:t>22 trials</w:t>
            </w:r>
          </w:p>
        </w:tc>
        <w:tc>
          <w:tcPr>
            <w:tcW w:w="2664" w:type="dxa"/>
          </w:tcPr>
          <w:p w14:paraId="45FEC2E0" w14:textId="5E171DDE"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Only 7 of 22 trials improved both health behaviour and mental health outcomes; sleep-focused interventions were the most consistently effective</w:t>
            </w:r>
          </w:p>
        </w:tc>
        <w:tc>
          <w:tcPr>
            <w:tcW w:w="1840" w:type="dxa"/>
          </w:tcPr>
          <w:p w14:paraId="74BD8937" w14:textId="79478830" w:rsidR="203776EB" w:rsidRDefault="203776EB" w:rsidP="203776E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0"/>
                <w:szCs w:val="20"/>
              </w:rPr>
            </w:pPr>
            <w:r w:rsidRPr="203776EB">
              <w:rPr>
                <w:rFonts w:ascii="Arial Nova" w:eastAsia="Arial Nova" w:hAnsi="Arial Nova" w:cs="Arial Nova"/>
                <w:sz w:val="20"/>
                <w:szCs w:val="20"/>
              </w:rPr>
              <w:t>Broadens the evidence base beyond clinical and peer-based models to lifestyle interventions</w:t>
            </w:r>
          </w:p>
        </w:tc>
      </w:tr>
    </w:tbl>
    <w:p w14:paraId="5E12E455" w14:textId="3AB7818A" w:rsidR="0F106093" w:rsidRDefault="0F106093" w:rsidP="203776EB">
      <w:pPr>
        <w:spacing w:before="240" w:after="240"/>
        <w:jc w:val="both"/>
      </w:pPr>
      <w:r w:rsidRPr="6B5628FD">
        <w:rPr>
          <w:rFonts w:ascii="Arial Nova" w:eastAsia="Arial Nova" w:hAnsi="Arial Nova" w:cs="Arial Nova"/>
          <w:b/>
          <w:bCs/>
          <w:sz w:val="20"/>
          <w:szCs w:val="20"/>
        </w:rPr>
        <w:t>Table 1</w:t>
      </w:r>
      <w:r w:rsidRPr="6B5628FD">
        <w:rPr>
          <w:rFonts w:ascii="Arial Nova" w:eastAsia="Arial Nova" w:hAnsi="Arial Nova" w:cs="Arial Nova"/>
          <w:sz w:val="20"/>
          <w:szCs w:val="20"/>
        </w:rPr>
        <w:t xml:space="preserve"> shows summary of </w:t>
      </w:r>
      <w:r w:rsidR="3D972D40" w:rsidRPr="6B5628FD">
        <w:rPr>
          <w:rFonts w:ascii="Arial Nova" w:eastAsia="Arial Nova" w:hAnsi="Arial Nova" w:cs="Arial Nova"/>
          <w:sz w:val="20"/>
          <w:szCs w:val="20"/>
        </w:rPr>
        <w:t>n</w:t>
      </w:r>
      <w:r w:rsidRPr="6B5628FD">
        <w:rPr>
          <w:rFonts w:ascii="Arial Nova" w:eastAsia="Arial Nova" w:hAnsi="Arial Nova" w:cs="Arial Nova"/>
          <w:sz w:val="20"/>
          <w:szCs w:val="20"/>
        </w:rPr>
        <w:t>ine studies, chosen to represent the four themes drawn out in the thematic analysis</w:t>
      </w:r>
    </w:p>
    <w:p w14:paraId="366D3D37" w14:textId="3B9AED9B" w:rsidR="203776EB" w:rsidRDefault="203776EB" w:rsidP="203776EB">
      <w:pPr>
        <w:spacing w:before="240" w:after="240"/>
        <w:jc w:val="both"/>
        <w:rPr>
          <w:rFonts w:ascii="Arial Nova" w:eastAsia="Arial Nova" w:hAnsi="Arial Nova" w:cs="Arial Nova"/>
          <w:sz w:val="20"/>
          <w:szCs w:val="20"/>
        </w:rPr>
      </w:pPr>
    </w:p>
    <w:p w14:paraId="161F11E8" w14:textId="44D4E813" w:rsidR="6A82E0A2" w:rsidRDefault="3C8A4DFE" w:rsidP="2EB06C69">
      <w:pPr>
        <w:pStyle w:val="Heading2"/>
        <w:rPr>
          <w:rFonts w:ascii="Arial Nova" w:eastAsia="Arial Nova" w:hAnsi="Arial Nova" w:cs="Arial Nova"/>
          <w:color w:val="auto"/>
          <w:sz w:val="28"/>
          <w:szCs w:val="28"/>
        </w:rPr>
      </w:pPr>
      <w:bookmarkStart w:id="13" w:name="_Toc851329846"/>
      <w:r w:rsidRPr="2EB06C69">
        <w:rPr>
          <w:rFonts w:ascii="Arial Nova" w:eastAsia="Arial Nova" w:hAnsi="Arial Nova" w:cs="Arial Nova"/>
          <w:color w:val="auto"/>
        </w:rPr>
        <w:t>Theme 1: Effectiveness of Structured Psychological and Lifestyle Interventions</w:t>
      </w:r>
      <w:bookmarkEnd w:id="13"/>
    </w:p>
    <w:p w14:paraId="08D8E374" w14:textId="5070B221" w:rsidR="6A82E0A2" w:rsidRDefault="6A82E0A2" w:rsidP="203776EB">
      <w:pPr>
        <w:spacing w:before="240" w:after="240" w:line="360" w:lineRule="auto"/>
        <w:jc w:val="both"/>
      </w:pPr>
      <w:r w:rsidRPr="203776EB">
        <w:rPr>
          <w:rFonts w:ascii="Arial Nova" w:eastAsia="Arial Nova" w:hAnsi="Arial Nova" w:cs="Arial Nova"/>
          <w:sz w:val="20"/>
          <w:szCs w:val="20"/>
        </w:rPr>
        <w:t xml:space="preserve">Across review-level evidence, CBT- and mindfulness-based interventions emerge most consistently as effective in reducing student anxiety and depression (Worsley, Pennington and Corcoran, 2022), a conclusion echoed at the primary-study level by a UK-specific randomised controlled trial in which mindfulness training lowered psychological distress during the examination period (Galante et al., 2018). </w:t>
      </w:r>
      <w:r w:rsidRPr="203776EB">
        <w:rPr>
          <w:rFonts w:ascii="Arial Nova" w:eastAsia="Arial Nova" w:hAnsi="Arial Nova" w:cs="Arial Nova"/>
          <w:sz w:val="20"/>
          <w:szCs w:val="20"/>
        </w:rPr>
        <w:lastRenderedPageBreak/>
        <w:t xml:space="preserve">What sets this theme apart from the others in </w:t>
      </w:r>
      <w:r w:rsidRPr="203776EB">
        <w:rPr>
          <w:rFonts w:ascii="Arial Nova" w:eastAsia="Arial Nova" w:hAnsi="Arial Nova" w:cs="Arial Nova"/>
          <w:b/>
          <w:bCs/>
          <w:sz w:val="20"/>
          <w:szCs w:val="20"/>
        </w:rPr>
        <w:t>Table 1</w:t>
      </w:r>
      <w:r w:rsidRPr="203776EB">
        <w:rPr>
          <w:rFonts w:ascii="Arial Nova" w:eastAsia="Arial Nova" w:hAnsi="Arial Nova" w:cs="Arial Nova"/>
          <w:sz w:val="20"/>
          <w:szCs w:val="20"/>
        </w:rPr>
        <w:t xml:space="preserve"> is that it draws on both review-level synthesis and a large UK primary trial pointing in the same direction, giving it firmer evidential grounding than themes that rely on review-level evidence alone.</w:t>
      </w:r>
    </w:p>
    <w:p w14:paraId="57B56AE1" w14:textId="08461791" w:rsidR="6A82E0A2" w:rsidRDefault="6A82E0A2" w:rsidP="203776EB">
      <w:pPr>
        <w:spacing w:before="240" w:after="240" w:line="360" w:lineRule="auto"/>
        <w:jc w:val="both"/>
      </w:pPr>
      <w:r w:rsidRPr="6B5628FD">
        <w:rPr>
          <w:rFonts w:ascii="Arial Nova" w:eastAsia="Arial Nova" w:hAnsi="Arial Nova" w:cs="Arial Nova"/>
          <w:sz w:val="20"/>
          <w:szCs w:val="20"/>
        </w:rPr>
        <w:t xml:space="preserve">Physical activity and other health-behaviour interventions follow a comparable pattern of promise, though with less consistency: supervised, on-campus sessions proved more effective than unsupervised, off-campus activity (Malagodi et al., 2025), while a wider review of health-behaviour interventions found that only a minority of trials improved both behaviour and mental health outcomes together, with sleep-focused programmes standing out as the most consistently effective (Streram et al., 2025). Read together, these two sources indicate that how an intervention is delivered and supervised may matter as much as the type of activity </w:t>
      </w:r>
      <w:r w:rsidR="0A52AE69" w:rsidRPr="6B5628FD">
        <w:rPr>
          <w:rFonts w:ascii="Arial Nova" w:eastAsia="Arial Nova" w:hAnsi="Arial Nova" w:cs="Arial Nova"/>
          <w:sz w:val="20"/>
          <w:szCs w:val="20"/>
        </w:rPr>
        <w:t>involved a</w:t>
      </w:r>
      <w:r w:rsidRPr="6B5628FD">
        <w:rPr>
          <w:rFonts w:ascii="Arial Nova" w:eastAsia="Arial Nova" w:hAnsi="Arial Nova" w:cs="Arial Nova"/>
          <w:sz w:val="20"/>
          <w:szCs w:val="20"/>
        </w:rPr>
        <w:t xml:space="preserve"> distinction that is easily overlooked if physical activity and lifestyle interventions are grouped as a single, uniform category.</w:t>
      </w:r>
    </w:p>
    <w:p w14:paraId="6524B6EE" w14:textId="29311CAD" w:rsidR="6A82E0A2" w:rsidRDefault="3C8A4DFE" w:rsidP="2EB06C69">
      <w:pPr>
        <w:pStyle w:val="Heading2"/>
        <w:rPr>
          <w:rFonts w:ascii="Arial Nova" w:eastAsia="Arial Nova" w:hAnsi="Arial Nova" w:cs="Arial Nova"/>
          <w:color w:val="auto"/>
          <w:sz w:val="28"/>
          <w:szCs w:val="28"/>
        </w:rPr>
      </w:pPr>
      <w:bookmarkStart w:id="14" w:name="_Toc914638698"/>
      <w:r w:rsidRPr="2EB06C69">
        <w:rPr>
          <w:rFonts w:ascii="Arial Nova" w:eastAsia="Arial Nova" w:hAnsi="Arial Nova" w:cs="Arial Nova"/>
          <w:color w:val="auto"/>
        </w:rPr>
        <w:t>Theme 2: Digital and Remote Delivery Formats</w:t>
      </w:r>
      <w:bookmarkEnd w:id="14"/>
    </w:p>
    <w:p w14:paraId="55C0B4A6" w14:textId="01F56F6E" w:rsidR="6A82E0A2" w:rsidRDefault="6A82E0A2" w:rsidP="203776EB">
      <w:pPr>
        <w:spacing w:before="240" w:after="240" w:line="360" w:lineRule="auto"/>
        <w:jc w:val="both"/>
      </w:pPr>
      <w:r w:rsidRPr="203776EB">
        <w:rPr>
          <w:rFonts w:ascii="Arial Nova" w:eastAsia="Arial Nova" w:hAnsi="Arial Nova" w:cs="Arial Nova"/>
          <w:sz w:val="20"/>
          <w:szCs w:val="20"/>
        </w:rPr>
        <w:t>Digital interventions were found to be effective across a range of formats, including both web-based and app-based programmes (Harith et al., 2022). This evidence, however, is drawn from a limited number of eligible reviews, much of it based on international rather than UK-specific samples, meaning confidence in its relevance to UK higher education specifically remains more limited than for the clinical interventions covered in Theme 1.</w:t>
      </w:r>
    </w:p>
    <w:p w14:paraId="5360F83E" w14:textId="2CDF0CD5" w:rsidR="1757EF83" w:rsidRDefault="04344321" w:rsidP="2EB06C69">
      <w:pPr>
        <w:pStyle w:val="Heading2"/>
        <w:rPr>
          <w:rFonts w:ascii="Arial Nova" w:eastAsia="Arial Nova" w:hAnsi="Arial Nova" w:cs="Arial Nova"/>
          <w:color w:val="auto"/>
          <w:sz w:val="28"/>
          <w:szCs w:val="28"/>
        </w:rPr>
      </w:pPr>
      <w:bookmarkStart w:id="15" w:name="_Toc1644105425"/>
      <w:r w:rsidRPr="2EB06C69">
        <w:rPr>
          <w:rFonts w:ascii="Arial Nova" w:eastAsia="Arial Nova" w:hAnsi="Arial Nova" w:cs="Arial Nova"/>
          <w:color w:val="auto"/>
        </w:rPr>
        <w:t xml:space="preserve">Theme 3: Peer Support as an Emerging but </w:t>
      </w:r>
      <w:r w:rsidR="7F2D9EF8" w:rsidRPr="2EB06C69">
        <w:rPr>
          <w:rFonts w:ascii="Arial Nova" w:eastAsia="Arial Nova" w:hAnsi="Arial Nova" w:cs="Arial Nova"/>
          <w:color w:val="auto"/>
        </w:rPr>
        <w:t>Underevaluated</w:t>
      </w:r>
      <w:r w:rsidRPr="2EB06C69">
        <w:rPr>
          <w:rFonts w:ascii="Arial Nova" w:eastAsia="Arial Nova" w:hAnsi="Arial Nova" w:cs="Arial Nova"/>
          <w:color w:val="auto"/>
        </w:rPr>
        <w:t xml:space="preserve"> Model</w:t>
      </w:r>
      <w:bookmarkEnd w:id="15"/>
    </w:p>
    <w:p w14:paraId="1B9DC9D1" w14:textId="037A643E" w:rsidR="1757EF83" w:rsidRDefault="1757EF83" w:rsidP="203776EB">
      <w:pPr>
        <w:spacing w:before="240" w:after="240" w:line="360" w:lineRule="auto"/>
        <w:jc w:val="both"/>
      </w:pPr>
      <w:r w:rsidRPr="6B5628FD">
        <w:rPr>
          <w:rFonts w:ascii="Arial Nova" w:eastAsia="Arial Nova" w:hAnsi="Arial Nova" w:cs="Arial Nova"/>
          <w:sz w:val="20"/>
          <w:szCs w:val="20"/>
        </w:rPr>
        <w:t>Although peer support is widely adopted and popular among students, the evidence for its effectiveness is noticeably weaker than that for clinical or digital interventions. Peer mentoring and peer learning showed more favourable results for anxiety and stress than peer-led support groups, yet most of the studies involved were rated poor or fair in quality</w:t>
      </w:r>
      <w:r w:rsidR="016FC6C0" w:rsidRPr="6B5628FD">
        <w:rPr>
          <w:rFonts w:ascii="Arial Nova" w:eastAsia="Arial Nova" w:hAnsi="Arial Nova" w:cs="Arial Nova"/>
          <w:sz w:val="20"/>
          <w:szCs w:val="20"/>
        </w:rPr>
        <w:t xml:space="preserve"> </w:t>
      </w:r>
      <w:r w:rsidRPr="6B5628FD">
        <w:rPr>
          <w:rFonts w:ascii="Arial Nova" w:eastAsia="Arial Nova" w:hAnsi="Arial Nova" w:cs="Arial Nova"/>
          <w:sz w:val="20"/>
          <w:szCs w:val="20"/>
        </w:rPr>
        <w:t>and peer-led groups were the only format aimed specifically at students already facing difficulties (Pointon-Haas et al., 2023). This gap between how popular the approach is and how well it is evidenced stands out as one of the clearest patterns identified in the review.</w:t>
      </w:r>
    </w:p>
    <w:p w14:paraId="604A3E64" w14:textId="1B21C1CC" w:rsidR="1757EF83" w:rsidRDefault="04344321" w:rsidP="2EB06C69">
      <w:pPr>
        <w:pStyle w:val="Heading2"/>
        <w:rPr>
          <w:rFonts w:ascii="Arial Nova" w:eastAsia="Arial Nova" w:hAnsi="Arial Nova" w:cs="Arial Nova"/>
          <w:color w:val="auto"/>
          <w:sz w:val="28"/>
          <w:szCs w:val="28"/>
        </w:rPr>
      </w:pPr>
      <w:bookmarkStart w:id="16" w:name="_Toc1811938743"/>
      <w:r w:rsidRPr="2EB06C69">
        <w:rPr>
          <w:rFonts w:ascii="Arial Nova" w:eastAsia="Arial Nova" w:hAnsi="Arial Nova" w:cs="Arial Nova"/>
          <w:color w:val="auto"/>
        </w:rPr>
        <w:t>Theme 4: Barriers to Help-Seeking Undermine Intervention Reach</w:t>
      </w:r>
      <w:bookmarkEnd w:id="16"/>
    </w:p>
    <w:p w14:paraId="74E96A27" w14:textId="28FE91EC" w:rsidR="1757EF83" w:rsidRDefault="1757EF83" w:rsidP="203776EB">
      <w:pPr>
        <w:spacing w:before="240" w:after="240" w:line="360" w:lineRule="auto"/>
        <w:jc w:val="both"/>
      </w:pPr>
      <w:r w:rsidRPr="203776EB">
        <w:rPr>
          <w:rFonts w:ascii="Arial Nova" w:eastAsia="Arial Nova" w:hAnsi="Arial Nova" w:cs="Arial Nova"/>
          <w:sz w:val="20"/>
          <w:szCs w:val="20"/>
        </w:rPr>
        <w:t xml:space="preserve">One barrier theme recurs across all the others: self-stigma, limited mental health literacy and a tendency toward self-reliance are consistently reported as obstacles to accessing support, irrespective of the intervention type involved (Cage et al., 2020; Lui, Sagar-Ouriaghli and Brown, 2022). Importantly, greater psychological distress did not reliably translate into a stronger intention to seek help (Broglia, </w:t>
      </w:r>
      <w:r w:rsidRPr="203776EB">
        <w:rPr>
          <w:rFonts w:ascii="Arial Nova" w:eastAsia="Arial Nova" w:hAnsi="Arial Nova" w:cs="Arial Nova"/>
          <w:sz w:val="20"/>
          <w:szCs w:val="20"/>
        </w:rPr>
        <w:lastRenderedPageBreak/>
        <w:t xml:space="preserve">Millings and Barkham, 2021), showing that having a need for support and acting on it are not the same thing. This finding complicates the effectiveness evidence set out in Themes 1 to 3: however strong an intervention's outcome data may be, its value depends on how many at-risk students </w:t>
      </w:r>
      <w:r w:rsidR="499F5A9A" w:rsidRPr="203776EB">
        <w:rPr>
          <w:rFonts w:ascii="Arial Nova" w:eastAsia="Arial Nova" w:hAnsi="Arial Nova" w:cs="Arial Nova"/>
          <w:sz w:val="20"/>
          <w:szCs w:val="20"/>
        </w:rPr>
        <w:t>make</w:t>
      </w:r>
      <w:r w:rsidRPr="203776EB">
        <w:rPr>
          <w:rFonts w:ascii="Arial Nova" w:eastAsia="Arial Nova" w:hAnsi="Arial Nova" w:cs="Arial Nova"/>
          <w:sz w:val="20"/>
          <w:szCs w:val="20"/>
        </w:rPr>
        <w:t xml:space="preserve"> use of it.</w:t>
      </w:r>
    </w:p>
    <w:p w14:paraId="0942F004" w14:textId="54B2C8FF" w:rsidR="1757EF83" w:rsidRDefault="04344321" w:rsidP="2EB06C69">
      <w:pPr>
        <w:spacing w:before="240" w:after="240" w:line="360" w:lineRule="auto"/>
        <w:jc w:val="both"/>
      </w:pPr>
      <w:r w:rsidRPr="6B5628FD">
        <w:rPr>
          <w:rFonts w:ascii="Arial Nova" w:eastAsia="Arial Nova" w:hAnsi="Arial Nova" w:cs="Arial Nova"/>
          <w:sz w:val="20"/>
          <w:szCs w:val="20"/>
        </w:rPr>
        <w:t>It is worth noting that none of the barrier studies in Table 1 were designed around evaluating a particular intervention; instead, they assessed help-seeking attitudes and behaviour across the general student population. As a result, this review cannot determine whether these barriers reduce uptake of CBT, mindfulness, digital tools or peer support to differing extents only that all four are likely shaped by the same underlying stigma and literacy factors. This is itself a significant gap in the literature, returned to in the Discussion below.</w:t>
      </w:r>
      <w:r w:rsidR="0E704D95" w:rsidRPr="6B5628FD">
        <w:rPr>
          <w:rFonts w:ascii="Arial Nova" w:eastAsia="Arial Nova" w:hAnsi="Arial Nova" w:cs="Arial Nova"/>
          <w:sz w:val="20"/>
          <w:szCs w:val="20"/>
        </w:rPr>
        <w:t xml:space="preserve"> Read across all four themes, a broader pattern emerges. Themes 1 and 2 concern how effective an intervention is once a student engages with it, while Themes 3 and 4 concern how likely that engagement is to happen in the first place, whether because a favoured intervention type lacks robust evidence (Theme 3) or because underlying stigma and literacy barriers apply regardless of intervention type (Theme 4). Treating effectiveness and engagement as a single combined question, rather than as two separate literatures, is the central gap this review identifies.</w:t>
      </w:r>
    </w:p>
    <w:p w14:paraId="361A32FC" w14:textId="029316F8" w:rsidR="380079F1" w:rsidRDefault="65F6A95F" w:rsidP="2EB06C69">
      <w:pPr>
        <w:pStyle w:val="Heading1"/>
        <w:rPr>
          <w:rFonts w:ascii="Arial Nova" w:eastAsia="Arial Nova" w:hAnsi="Arial Nova" w:cs="Arial Nova"/>
          <w:b/>
          <w:bCs/>
          <w:color w:val="auto"/>
        </w:rPr>
      </w:pPr>
      <w:bookmarkStart w:id="17" w:name="_Toc1261467306"/>
      <w:r w:rsidRPr="2EB06C69">
        <w:rPr>
          <w:rFonts w:ascii="Arial Nova" w:eastAsia="Arial Nova" w:hAnsi="Arial Nova" w:cs="Arial Nova"/>
          <w:b/>
          <w:bCs/>
          <w:color w:val="auto"/>
        </w:rPr>
        <w:t>Discussion</w:t>
      </w:r>
      <w:bookmarkEnd w:id="17"/>
    </w:p>
    <w:p w14:paraId="7BCB21DC" w14:textId="32B0B457" w:rsidR="380079F1" w:rsidRDefault="65F6A95F" w:rsidP="203776EB">
      <w:pPr>
        <w:spacing w:before="240" w:after="240" w:line="360" w:lineRule="auto"/>
        <w:jc w:val="both"/>
      </w:pPr>
      <w:r w:rsidRPr="2EB06C69">
        <w:rPr>
          <w:rFonts w:ascii="Arial Nova" w:eastAsia="Arial Nova" w:hAnsi="Arial Nova" w:cs="Arial Nova"/>
          <w:sz w:val="20"/>
          <w:szCs w:val="20"/>
        </w:rPr>
        <w:t xml:space="preserve">Set side by side, the themes reveal an uneven evidence base. CBT- and mindfulness-based interventions carry the strongest and most consistent support (Worsley, Pennington and Corcoran, 2022; Galante et al., 2018), whereas peer support, despite being well liked by students, is backed by a considerably thinner evidence base (Pointon-Haas et al., 2023). Digital interventions sit somewhere between the two: encouraging </w:t>
      </w:r>
      <w:r w:rsidR="7CE6D368" w:rsidRPr="2EB06C69">
        <w:rPr>
          <w:rFonts w:ascii="Arial Nova" w:eastAsia="Arial Nova" w:hAnsi="Arial Nova" w:cs="Arial Nova"/>
          <w:sz w:val="20"/>
          <w:szCs w:val="20"/>
        </w:rPr>
        <w:t>results but</w:t>
      </w:r>
      <w:r w:rsidRPr="2EB06C69">
        <w:rPr>
          <w:rFonts w:ascii="Arial Nova" w:eastAsia="Arial Nova" w:hAnsi="Arial Nova" w:cs="Arial Nova"/>
          <w:sz w:val="20"/>
          <w:szCs w:val="20"/>
        </w:rPr>
        <w:t xml:space="preserve"> drawn from only a small number of eligible reviews with limited relevance specifically to the UK (Harith et al., 2022). This suggests that the intervention </w:t>
      </w:r>
      <w:r w:rsidR="75D05B89" w:rsidRPr="2EB06C69">
        <w:rPr>
          <w:rFonts w:ascii="Arial Nova" w:eastAsia="Arial Nova" w:hAnsi="Arial Nova" w:cs="Arial Nova"/>
          <w:sz w:val="20"/>
          <w:szCs w:val="20"/>
        </w:rPr>
        <w:t>types of</w:t>
      </w:r>
      <w:r w:rsidRPr="2EB06C69">
        <w:rPr>
          <w:rFonts w:ascii="Arial Nova" w:eastAsia="Arial Nova" w:hAnsi="Arial Nova" w:cs="Arial Nova"/>
          <w:sz w:val="20"/>
          <w:szCs w:val="20"/>
        </w:rPr>
        <w:t xml:space="preserve"> institutions are scaling up most </w:t>
      </w:r>
      <w:r w:rsidR="3F15E19B" w:rsidRPr="2EB06C69">
        <w:rPr>
          <w:rFonts w:ascii="Arial Nova" w:eastAsia="Arial Nova" w:hAnsi="Arial Nova" w:cs="Arial Nova"/>
          <w:sz w:val="20"/>
          <w:szCs w:val="20"/>
        </w:rPr>
        <w:t>quickly digital</w:t>
      </w:r>
      <w:r w:rsidRPr="2EB06C69">
        <w:rPr>
          <w:rFonts w:ascii="Arial Nova" w:eastAsia="Arial Nova" w:hAnsi="Arial Nova" w:cs="Arial Nova"/>
          <w:sz w:val="20"/>
          <w:szCs w:val="20"/>
        </w:rPr>
        <w:t xml:space="preserve"> platforms and peer </w:t>
      </w:r>
      <w:r w:rsidR="30A3E359" w:rsidRPr="2EB06C69">
        <w:rPr>
          <w:rFonts w:ascii="Arial Nova" w:eastAsia="Arial Nova" w:hAnsi="Arial Nova" w:cs="Arial Nova"/>
          <w:sz w:val="20"/>
          <w:szCs w:val="20"/>
        </w:rPr>
        <w:t>schemes are</w:t>
      </w:r>
      <w:r w:rsidRPr="2EB06C69">
        <w:rPr>
          <w:rFonts w:ascii="Arial Nova" w:eastAsia="Arial Nova" w:hAnsi="Arial Nova" w:cs="Arial Nova"/>
          <w:sz w:val="20"/>
          <w:szCs w:val="20"/>
        </w:rPr>
        <w:t xml:space="preserve"> not necessarily the ones with the most robust evidence behind them.</w:t>
      </w:r>
    </w:p>
    <w:p w14:paraId="7B78E2A9" w14:textId="0168476F" w:rsidR="380079F1" w:rsidRDefault="380079F1" w:rsidP="203776EB">
      <w:pPr>
        <w:spacing w:before="240" w:after="240" w:line="360" w:lineRule="auto"/>
        <w:jc w:val="both"/>
      </w:pPr>
      <w:r w:rsidRPr="203776EB">
        <w:rPr>
          <w:rFonts w:ascii="Arial Nova" w:eastAsia="Arial Nova" w:hAnsi="Arial Nova" w:cs="Arial Nova"/>
          <w:sz w:val="20"/>
          <w:szCs w:val="20"/>
        </w:rPr>
        <w:t>One notable gap in the literature is the disconnect between research on intervention effectiveness and research on help-seeking. Studies assessing CBT, mindfulness, digital or peer interventions rarely also track whether the students most in need actually engage with them, while research into barriers (Cage et al., 2020; Broglia, Millings and Barkham, 2021) shows that distress does not reliably lead to help-seeking. Very few of the studies reviewed address both sides at once, evaluating stigma-reduction or mental health literacy alongside clinical or peer-based outcomes within the same design.</w:t>
      </w:r>
    </w:p>
    <w:p w14:paraId="7B11D3FC" w14:textId="0A1F759D" w:rsidR="380079F1" w:rsidRDefault="65F6A95F" w:rsidP="2EB06C69">
      <w:pPr>
        <w:spacing w:before="240" w:after="240" w:line="360" w:lineRule="auto"/>
        <w:jc w:val="both"/>
      </w:pPr>
      <w:r w:rsidRPr="2EB06C69">
        <w:rPr>
          <w:rFonts w:ascii="Arial Nova" w:eastAsia="Arial Nova" w:hAnsi="Arial Nova" w:cs="Arial Nova"/>
          <w:sz w:val="20"/>
          <w:szCs w:val="20"/>
        </w:rPr>
        <w:t xml:space="preserve">For HEIs and health and social care professionals, this evidence pattern points toward a stepped, whole-institution model pairing preventative, population-level measures such as structured physical activity, mindfulness and digital tools with more intensive, tailored support for higher-need students, in line with the University Mental Health Charter (Hughes and Spanner, 2019). Putting this into practice, though, calls for tighter integration between service design and stigma-reduction work than the current literature </w:t>
      </w:r>
      <w:r w:rsidRPr="2EB06C69">
        <w:rPr>
          <w:rFonts w:ascii="Arial Nova" w:eastAsia="Arial Nova" w:hAnsi="Arial Nova" w:cs="Arial Nova"/>
          <w:sz w:val="20"/>
          <w:szCs w:val="20"/>
        </w:rPr>
        <w:lastRenderedPageBreak/>
        <w:t>generally provides.</w:t>
      </w:r>
      <w:r w:rsidR="70E685A5" w:rsidRPr="2EB06C69">
        <w:rPr>
          <w:rFonts w:ascii="Arial Nova" w:eastAsia="Arial Nova" w:hAnsi="Arial Nova" w:cs="Arial Nova"/>
          <w:sz w:val="20"/>
          <w:szCs w:val="20"/>
        </w:rPr>
        <w:t xml:space="preserve"> These findings also carry implications for the wider health and social care workforce operating in or alongside universities, including pharmacists, GPs and allied health professionals who frequently encounter students before, or independently of, any university-based intervention. Given that self-stigma and low mental health literacy were identified as barriers regardless of setting (Cage et al., 2020; Lui, Sagar-Ouriaghli and Brown, 2022), professionals in primary and community care are well placed to reinforce mental health literacy and normalise help-seeking during routine contact with students, complementing rather than duplicating the institution-led interventions discussed above.</w:t>
      </w:r>
    </w:p>
    <w:p w14:paraId="0B66BBA1" w14:textId="4E7DDA90" w:rsidR="380079F1" w:rsidRDefault="65F6A95F" w:rsidP="2EB06C69">
      <w:pPr>
        <w:spacing w:before="240" w:after="240" w:line="360" w:lineRule="auto"/>
        <w:jc w:val="both"/>
      </w:pPr>
      <w:r w:rsidRPr="6B5628FD">
        <w:rPr>
          <w:rFonts w:ascii="Arial Nova" w:eastAsia="Arial Nova" w:hAnsi="Arial Nova" w:cs="Arial Nova"/>
          <w:sz w:val="20"/>
          <w:szCs w:val="20"/>
        </w:rPr>
        <w:t>This review carries several limitations. Direct searching was limited to three databases, restricting the search to English-language and UK-based studies may have excluded relevant international evidence, and the ten-year timeframe could have left out earlier foundational work. Basing several effectiveness claims on review-level sources also risks over-representing intervention types simply because they have been reviewed more often, rather than because they are genuinely the most effective in UK practice. Finally, as raised in the Background, a number of the review-level sources drew on evidence published before, or only just after, the onset of the COVID-19 pandemic; given how substantially on-campus services, digital delivery and social contact were disrupted afterward, a more up-to-date synthesis incorporating recent primary studies would help confirm how well these conclusions still apply to today's student population.</w:t>
      </w:r>
      <w:r w:rsidR="37683ECE" w:rsidRPr="6B5628FD">
        <w:rPr>
          <w:rFonts w:ascii="Arial Nova" w:eastAsia="Arial Nova" w:hAnsi="Arial Nova" w:cs="Arial Nova"/>
          <w:sz w:val="20"/>
          <w:szCs w:val="20"/>
        </w:rPr>
        <w:t xml:space="preserve"> Another limitation relates to the scale and setting of the primary studies behind several of the claims made here: the mindfulness trial discussed in Theme 1, for instance, took place at a single institution (Galante et al., 2018), while the barrier research in Theme 4 was based on samples drawn from only a handful of UK universities (Broglia, Millings and Barkham, 2021). Results from such single-site or narrowly sampled studies may not hold consistently across the more varied landscape of UK higher </w:t>
      </w:r>
      <w:r w:rsidR="2C93D2F0" w:rsidRPr="6B5628FD">
        <w:rPr>
          <w:rFonts w:ascii="Arial Nova" w:eastAsia="Arial Nova" w:hAnsi="Arial Nova" w:cs="Arial Nova"/>
          <w:sz w:val="20"/>
          <w:szCs w:val="20"/>
        </w:rPr>
        <w:t>education</w:t>
      </w:r>
      <w:r w:rsidR="37683ECE" w:rsidRPr="6B5628FD">
        <w:rPr>
          <w:rFonts w:ascii="Arial Nova" w:eastAsia="Arial Nova" w:hAnsi="Arial Nova" w:cs="Arial Nova"/>
          <w:sz w:val="20"/>
          <w:szCs w:val="20"/>
        </w:rPr>
        <w:t>.</w:t>
      </w:r>
    </w:p>
    <w:p w14:paraId="20364D66" w14:textId="33A2863C" w:rsidR="203776EB" w:rsidRDefault="203776EB" w:rsidP="203776EB">
      <w:pPr>
        <w:spacing w:before="240" w:after="240" w:line="360" w:lineRule="auto"/>
        <w:jc w:val="both"/>
        <w:rPr>
          <w:rFonts w:ascii="Arial Nova" w:eastAsia="Arial Nova" w:hAnsi="Arial Nova" w:cs="Arial Nova"/>
          <w:sz w:val="20"/>
          <w:szCs w:val="20"/>
        </w:rPr>
      </w:pPr>
    </w:p>
    <w:p w14:paraId="22AEA39D" w14:textId="0CE14679" w:rsidR="0B3DFDF6" w:rsidRDefault="104C35CB" w:rsidP="2EB06C69">
      <w:pPr>
        <w:pStyle w:val="Heading1"/>
        <w:rPr>
          <w:rFonts w:ascii="Arial Nova" w:eastAsia="Arial Nova" w:hAnsi="Arial Nova" w:cs="Arial Nova"/>
          <w:b/>
          <w:bCs/>
          <w:color w:val="auto"/>
        </w:rPr>
      </w:pPr>
      <w:bookmarkStart w:id="18" w:name="_Toc908014619"/>
      <w:r w:rsidRPr="2EB06C69">
        <w:rPr>
          <w:rFonts w:ascii="Arial Nova" w:eastAsia="Arial Nova" w:hAnsi="Arial Nova" w:cs="Arial Nova"/>
          <w:b/>
          <w:bCs/>
          <w:color w:val="auto"/>
        </w:rPr>
        <w:t>Conclusion and Recommendations</w:t>
      </w:r>
      <w:bookmarkEnd w:id="18"/>
    </w:p>
    <w:p w14:paraId="0DEAB2F6" w14:textId="76FBABFC" w:rsidR="0B3DFDF6" w:rsidRDefault="0B3DFDF6" w:rsidP="203776EB">
      <w:pPr>
        <w:spacing w:before="240" w:after="240" w:line="360" w:lineRule="auto"/>
        <w:jc w:val="both"/>
      </w:pPr>
      <w:r w:rsidRPr="203776EB">
        <w:rPr>
          <w:rFonts w:ascii="Arial Nova" w:eastAsia="Arial Nova" w:hAnsi="Arial Nova" w:cs="Arial Nova"/>
          <w:sz w:val="20"/>
          <w:szCs w:val="20"/>
        </w:rPr>
        <w:t>This review identified four themes running through the literature on mental health interventions for UK university students: a comparatively robust evidence base for CBT- and mindfulness-based approaches; encouraging but still early-stage evidence for digital delivery; a peer support model that is popular yet thinly evidenced; and ongoing barriers to help-seeking that constrain how far all three intervention types reach in practice.</w:t>
      </w:r>
    </w:p>
    <w:p w14:paraId="1F2D4430" w14:textId="37781F96" w:rsidR="0B3DFDF6" w:rsidRDefault="104C35CB" w:rsidP="2EB06C69">
      <w:pPr>
        <w:pStyle w:val="Heading2"/>
        <w:rPr>
          <w:rFonts w:ascii="Arial Nova" w:eastAsia="Arial Nova" w:hAnsi="Arial Nova" w:cs="Arial Nova"/>
          <w:color w:val="auto"/>
          <w:sz w:val="28"/>
          <w:szCs w:val="28"/>
        </w:rPr>
      </w:pPr>
      <w:bookmarkStart w:id="19" w:name="_Toc96383666"/>
      <w:r w:rsidRPr="2EB06C69">
        <w:rPr>
          <w:rFonts w:ascii="Arial Nova" w:eastAsia="Arial Nova" w:hAnsi="Arial Nova" w:cs="Arial Nova"/>
          <w:color w:val="auto"/>
        </w:rPr>
        <w:t>Recommendations for Future Research</w:t>
      </w:r>
      <w:bookmarkEnd w:id="19"/>
    </w:p>
    <w:p w14:paraId="40A2F3AE" w14:textId="73ECD895" w:rsidR="0B3DFDF6" w:rsidRDefault="0B3DFDF6" w:rsidP="203776EB">
      <w:pPr>
        <w:spacing w:before="240" w:after="240" w:line="360" w:lineRule="auto"/>
        <w:jc w:val="both"/>
      </w:pPr>
      <w:r w:rsidRPr="203776EB">
        <w:rPr>
          <w:rFonts w:ascii="Arial Nova" w:eastAsia="Arial Nova" w:hAnsi="Arial Nova" w:cs="Arial Nova"/>
          <w:sz w:val="20"/>
          <w:szCs w:val="20"/>
        </w:rPr>
        <w:t xml:space="preserve">Further UK-specific randomised controlled trials are required, particularly for peer support and digital interventions, using aligned outcome measures so that different intervention types can be compared directly. Future research should also examine combined approaches that link service provision with </w:t>
      </w:r>
      <w:r w:rsidRPr="203776EB">
        <w:rPr>
          <w:rFonts w:ascii="Arial Nova" w:eastAsia="Arial Nova" w:hAnsi="Arial Nova" w:cs="Arial Nova"/>
          <w:sz w:val="20"/>
          <w:szCs w:val="20"/>
        </w:rPr>
        <w:lastRenderedPageBreak/>
        <w:t>stigma-reduction or mental health literacy work, rather than treating access and effectiveness as two unconnected research questions. As some of the underlying review-level evidence predates recent years, later scoping or systematic reviews would benefit from focusing deliberately on post-pandemic primary studies, to check whether the patterns identified here still apply under current conditions in higher education.</w:t>
      </w:r>
    </w:p>
    <w:p w14:paraId="16498E8C" w14:textId="19C13505" w:rsidR="0B3DFDF6" w:rsidRDefault="104C35CB" w:rsidP="2EB06C69">
      <w:pPr>
        <w:pStyle w:val="Heading2"/>
        <w:rPr>
          <w:rFonts w:ascii="Arial Nova" w:eastAsia="Arial Nova" w:hAnsi="Arial Nova" w:cs="Arial Nova"/>
          <w:color w:val="auto"/>
        </w:rPr>
      </w:pPr>
      <w:bookmarkStart w:id="20" w:name="_Toc2084855048"/>
      <w:r w:rsidRPr="2EB06C69">
        <w:rPr>
          <w:rFonts w:ascii="Arial Nova" w:eastAsia="Arial Nova" w:hAnsi="Arial Nova" w:cs="Arial Nova"/>
          <w:color w:val="auto"/>
        </w:rPr>
        <w:t>Recommendations for Policy and Practice</w:t>
      </w:r>
      <w:bookmarkEnd w:id="20"/>
    </w:p>
    <w:p w14:paraId="575568F6" w14:textId="7704224D" w:rsidR="07BA205F" w:rsidRDefault="104C35CB" w:rsidP="2EB06C69">
      <w:pPr>
        <w:spacing w:before="240" w:after="240" w:line="360" w:lineRule="auto"/>
        <w:jc w:val="both"/>
      </w:pPr>
      <w:r w:rsidRPr="2EB06C69">
        <w:rPr>
          <w:rFonts w:ascii="Arial Nova" w:eastAsia="Arial Nova" w:hAnsi="Arial Nova" w:cs="Arial Nova"/>
          <w:sz w:val="20"/>
          <w:szCs w:val="20"/>
        </w:rPr>
        <w:t>HEIs should continue moving away from a purely reactive counselling model toward the stepped, whole-institution approach described in the University Mental Health Charter, while ensuring that any new service is paired with work to reduce stigma and build mental health literacy, since barrier research shows that simply making provision available does not guarantee students will use it. Given the resource pressures facing the sector, priority should go to preventative interventions with the strongest supporting evidence, such as structured physical activity and mindfulness, while peer support and digital tools continue to undergo more rigorous evaluation</w:t>
      </w:r>
    </w:p>
    <w:p w14:paraId="68AA55AB" w14:textId="71B393E0" w:rsidR="07BA205F" w:rsidRDefault="07BA205F" w:rsidP="2EB06C69">
      <w:pPr>
        <w:spacing w:before="240" w:after="240" w:line="360" w:lineRule="auto"/>
        <w:jc w:val="both"/>
        <w:rPr>
          <w:rFonts w:ascii="Arial" w:eastAsia="Arial" w:hAnsi="Arial" w:cs="Arial"/>
          <w:b/>
          <w:bCs/>
          <w:sz w:val="40"/>
          <w:szCs w:val="40"/>
        </w:rPr>
      </w:pPr>
    </w:p>
    <w:p w14:paraId="60AAA5E3" w14:textId="608587F0" w:rsidR="07BA205F" w:rsidRDefault="07BA205F" w:rsidP="2EB06C69">
      <w:pPr>
        <w:spacing w:before="240" w:after="240" w:line="360" w:lineRule="auto"/>
        <w:jc w:val="both"/>
        <w:rPr>
          <w:rFonts w:ascii="Arial" w:eastAsia="Arial" w:hAnsi="Arial" w:cs="Arial"/>
          <w:b/>
          <w:bCs/>
          <w:sz w:val="40"/>
          <w:szCs w:val="40"/>
        </w:rPr>
      </w:pPr>
    </w:p>
    <w:p w14:paraId="537B1999" w14:textId="6E88295C" w:rsidR="07BA205F" w:rsidRDefault="07BA205F" w:rsidP="2EB06C69">
      <w:pPr>
        <w:spacing w:before="240" w:after="240" w:line="360" w:lineRule="auto"/>
        <w:jc w:val="both"/>
        <w:rPr>
          <w:rFonts w:ascii="Arial" w:eastAsia="Arial" w:hAnsi="Arial" w:cs="Arial"/>
          <w:b/>
          <w:bCs/>
          <w:sz w:val="40"/>
          <w:szCs w:val="40"/>
        </w:rPr>
      </w:pPr>
    </w:p>
    <w:p w14:paraId="45845BDC" w14:textId="69689B88" w:rsidR="07BA205F" w:rsidRDefault="07BA205F" w:rsidP="2EB06C69">
      <w:pPr>
        <w:spacing w:before="240" w:after="240" w:line="360" w:lineRule="auto"/>
        <w:jc w:val="both"/>
        <w:rPr>
          <w:rFonts w:ascii="Arial" w:eastAsia="Arial" w:hAnsi="Arial" w:cs="Arial"/>
          <w:b/>
          <w:bCs/>
          <w:sz w:val="40"/>
          <w:szCs w:val="40"/>
        </w:rPr>
      </w:pPr>
    </w:p>
    <w:p w14:paraId="2CF16745" w14:textId="03BC3C2D" w:rsidR="07BA205F" w:rsidRDefault="07BA205F" w:rsidP="2EB06C69">
      <w:pPr>
        <w:spacing w:before="240" w:after="240" w:line="360" w:lineRule="auto"/>
        <w:jc w:val="both"/>
        <w:rPr>
          <w:rFonts w:ascii="Arial" w:eastAsia="Arial" w:hAnsi="Arial" w:cs="Arial"/>
          <w:b/>
          <w:bCs/>
          <w:sz w:val="40"/>
          <w:szCs w:val="40"/>
        </w:rPr>
      </w:pPr>
    </w:p>
    <w:p w14:paraId="6D02454C" w14:textId="17FC6B65" w:rsidR="07BA205F" w:rsidRDefault="07BA205F" w:rsidP="2EB06C69">
      <w:pPr>
        <w:spacing w:before="240" w:after="240" w:line="360" w:lineRule="auto"/>
        <w:jc w:val="both"/>
        <w:rPr>
          <w:rFonts w:ascii="Arial" w:eastAsia="Arial" w:hAnsi="Arial" w:cs="Arial"/>
          <w:b/>
          <w:bCs/>
          <w:sz w:val="40"/>
          <w:szCs w:val="40"/>
        </w:rPr>
      </w:pPr>
    </w:p>
    <w:p w14:paraId="1A814DBB" w14:textId="592C5E29" w:rsidR="07BA205F" w:rsidRDefault="07BA205F" w:rsidP="2EB06C69">
      <w:pPr>
        <w:spacing w:before="240" w:after="240" w:line="360" w:lineRule="auto"/>
        <w:jc w:val="both"/>
        <w:rPr>
          <w:rFonts w:ascii="Arial" w:eastAsia="Arial" w:hAnsi="Arial" w:cs="Arial"/>
          <w:b/>
          <w:bCs/>
          <w:sz w:val="40"/>
          <w:szCs w:val="40"/>
        </w:rPr>
      </w:pPr>
    </w:p>
    <w:p w14:paraId="303674F2" w14:textId="67AD2763" w:rsidR="07BA205F" w:rsidRDefault="07BA205F" w:rsidP="2EB06C69">
      <w:pPr>
        <w:spacing w:before="240" w:after="240" w:line="360" w:lineRule="auto"/>
        <w:jc w:val="both"/>
        <w:rPr>
          <w:rFonts w:ascii="Arial" w:eastAsia="Arial" w:hAnsi="Arial" w:cs="Arial"/>
          <w:b/>
          <w:bCs/>
          <w:sz w:val="40"/>
          <w:szCs w:val="40"/>
        </w:rPr>
      </w:pPr>
    </w:p>
    <w:p w14:paraId="533876D0" w14:textId="3D1B045D" w:rsidR="07BA205F" w:rsidRDefault="67DFA274" w:rsidP="6B5628FD">
      <w:pPr>
        <w:pStyle w:val="Heading1"/>
        <w:spacing w:before="240" w:after="240" w:line="360" w:lineRule="auto"/>
        <w:jc w:val="both"/>
        <w:rPr>
          <w:rFonts w:ascii="Arial Nova" w:eastAsia="Arial Nova" w:hAnsi="Arial Nova" w:cs="Arial Nova"/>
          <w:b/>
          <w:bCs/>
          <w:color w:val="auto"/>
        </w:rPr>
      </w:pPr>
      <w:bookmarkStart w:id="21" w:name="_Toc2068382042"/>
      <w:r w:rsidRPr="6B5628FD">
        <w:rPr>
          <w:rFonts w:ascii="Arial Nova" w:eastAsia="Arial Nova" w:hAnsi="Arial Nova" w:cs="Arial Nova"/>
          <w:color w:val="auto"/>
        </w:rPr>
        <w:lastRenderedPageBreak/>
        <w:t>References</w:t>
      </w:r>
      <w:bookmarkEnd w:id="21"/>
    </w:p>
    <w:p w14:paraId="003D9965" w14:textId="019FECB7"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Arksey, H. and O'Malley, L. (2005) 'Scoping studies: towards a methodological framework', International Journal of Social Research Methodology, 8(1), pp. 19-32.</w:t>
      </w:r>
    </w:p>
    <w:p w14:paraId="1BCC9BE0" w14:textId="31AFC283"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Aveyard, H. (2014) Doing a Literature Review in Health and Social Care: A Practical Guide. 3rd edn. Maidenhead: Open University Press.</w:t>
      </w:r>
    </w:p>
    <w:p w14:paraId="2FD27E84" w14:textId="197D66CE"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Broglia, E., Millings, A. and Barkham, M. (2021) 'Student mental health profiles and barriers to help seeking: When and why students seek help for a mental health concern', Counselling and Psychotherapy Research, 21(4), pp. 816-826.</w:t>
      </w:r>
    </w:p>
    <w:p w14:paraId="77D74A22" w14:textId="2760AA75"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Cage, E., Stock, M., Sharpington, A., Pitman, E. and Batchelor, R. (2020) 'Barriers to accessing support for mental health issues at university', Studies in Higher Education, 45(8), pp. 1637-1649.</w:t>
      </w:r>
    </w:p>
    <w:p w14:paraId="38FA6BEB" w14:textId="51DA807C"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Galante, J., Dufour, G., Vainre, M., Wagner, A.P., Stochl, J., Benton, A., Lathia, N., Howarth, E. and Jones, P.B. (2018) 'A mindfulness-based intervention to increase resilience to stress in university students (the Mindful Student Study): a pragmatic randomised controlled trial', The Lancet Public Health, 3(2), pp. e72-e81.</w:t>
      </w:r>
    </w:p>
    <w:p w14:paraId="19FD585C" w14:textId="57AEB3F4"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Harith, S., Backhaus, I., Mohbin, N., Ngo, H.T. and Khoo, S. (2022) 'Effectiveness of digital mental health interventions for university students: an umbrella review', PeerJ, 10, e13111.</w:t>
      </w:r>
    </w:p>
    <w:p w14:paraId="34705A79" w14:textId="195D4384"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Hughes, G. and Spanner, L. (2019) The University Mental Health Charter. Leeds: Student Minds.</w:t>
      </w:r>
    </w:p>
    <w:p w14:paraId="7566A866" w14:textId="53E380E3"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Lui, J.C., Sagar-Ouriaghli, I. and Brown, J.S.L. (2022) 'Barriers and facilitators to help-seeking for common mental disorders among university students: a systematic review', Journal of American College Health. Advance online publication.</w:t>
      </w:r>
    </w:p>
    <w:p w14:paraId="3C38EBFB" w14:textId="48666DC3"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Malagodi, F., Findon, J., Gardner, B. and Dommett, E. (2025) 'A systematic review of the effectiveness of physical activity interventions for improving mental health and wellbeing in university students', Journal of College Student Mental Health. Advance online publication.</w:t>
      </w:r>
    </w:p>
    <w:p w14:paraId="44EC0DA6" w14:textId="4DF575FD"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Pointon-Haas, J., Waqar, L., Upsher, R., Foster, J., Byrom, N. and Oates, J. (2023) 'A systematic review of peer support interventions for student mental health and well-being in higher education', BJPsych Open, 10(1), e12.</w:t>
      </w:r>
    </w:p>
    <w:p w14:paraId="7150CD30" w14:textId="65732345"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 xml:space="preserve">Resnik, D.B. (2015) What is Ethics in Research &amp; Why is it Important? National Institute of Environmental Health Sciences. Available at: </w:t>
      </w:r>
      <w:hyperlink r:id="rId7">
        <w:r w:rsidRPr="203776EB">
          <w:rPr>
            <w:rStyle w:val="Hyperlink"/>
            <w:sz w:val="20"/>
            <w:szCs w:val="20"/>
          </w:rPr>
          <w:t>https://www.niehs.nih.gov/research/resources/bioethics/whatis</w:t>
        </w:r>
      </w:hyperlink>
      <w:r w:rsidRPr="203776EB">
        <w:rPr>
          <w:rFonts w:ascii="Arial" w:eastAsia="Arial" w:hAnsi="Arial" w:cs="Arial"/>
          <w:sz w:val="20"/>
          <w:szCs w:val="20"/>
        </w:rPr>
        <w:t xml:space="preserve"> (Accessed: 6 June 2026).</w:t>
      </w:r>
    </w:p>
    <w:p w14:paraId="05E109DA" w14:textId="2E0DF2DB"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Streram, S., Burrows, T., Duncan, M.J. and Hutchesson, M. (2025) 'Health behaviour interventions to improve mental health outcomes for students in the university setting: a systematic review of randomised controlled trials', International Journal of Behavioral Nutrition and Physical Activity, 22(1), pp. 1-22.</w:t>
      </w:r>
    </w:p>
    <w:p w14:paraId="71AF73E4" w14:textId="3CD587F8"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 xml:space="preserve">Thorley, C. (2017) Not By Degrees: Improving Student Mental Health in the UK's Universities. London: IPPR. Available at: </w:t>
      </w:r>
      <w:hyperlink r:id="rId8">
        <w:r w:rsidRPr="203776EB">
          <w:rPr>
            <w:rStyle w:val="Hyperlink"/>
            <w:sz w:val="20"/>
            <w:szCs w:val="20"/>
          </w:rPr>
          <w:t>https://www.ippr.org/articles/not-by-degrees</w:t>
        </w:r>
      </w:hyperlink>
      <w:r w:rsidRPr="203776EB">
        <w:rPr>
          <w:rFonts w:ascii="Arial" w:eastAsia="Arial" w:hAnsi="Arial" w:cs="Arial"/>
          <w:sz w:val="20"/>
          <w:szCs w:val="20"/>
        </w:rPr>
        <w:t xml:space="preserve"> (Accessed: 6 June 2026).</w:t>
      </w:r>
    </w:p>
    <w:p w14:paraId="017D6F88" w14:textId="4FFE7F26"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t>Tricco, A.C., Lillie, E., Zarin, W., et al. (2018) 'PRISMA Extension for Scoping Reviews (PRISMA-ScR): Checklist and Explanation', Annals of Internal Medicine, 169(7), pp. 467-473.</w:t>
      </w:r>
    </w:p>
    <w:p w14:paraId="2A6C602B" w14:textId="05510DF9" w:rsidR="07BA205F" w:rsidRDefault="07BA205F" w:rsidP="203776EB">
      <w:pPr>
        <w:spacing w:line="300" w:lineRule="auto"/>
        <w:ind w:left="400" w:hanging="400"/>
        <w:jc w:val="both"/>
        <w:rPr>
          <w:rFonts w:ascii="Arial" w:eastAsia="Arial" w:hAnsi="Arial" w:cs="Arial"/>
          <w:sz w:val="20"/>
          <w:szCs w:val="20"/>
        </w:rPr>
      </w:pPr>
      <w:r w:rsidRPr="203776EB">
        <w:rPr>
          <w:rFonts w:ascii="Arial" w:eastAsia="Arial" w:hAnsi="Arial" w:cs="Arial"/>
          <w:sz w:val="20"/>
          <w:szCs w:val="20"/>
        </w:rPr>
        <w:lastRenderedPageBreak/>
        <w:t>Worsley, J.D., Pennington, A. and Corcoran, R. (2022) 'Supporting mental health and wellbeing of university and college students: A systematic review of review-level evidence of interventions', PLoS ONE, 17(7), e0266725.</w:t>
      </w:r>
    </w:p>
    <w:p w14:paraId="20780469" w14:textId="1CCE3FC2" w:rsidR="203776EB" w:rsidRDefault="203776EB" w:rsidP="203776EB">
      <w:pPr>
        <w:spacing w:before="240" w:after="240" w:line="360" w:lineRule="auto"/>
        <w:jc w:val="both"/>
        <w:rPr>
          <w:rFonts w:ascii="Arial Nova" w:eastAsia="Arial Nova" w:hAnsi="Arial Nova" w:cs="Arial Nova"/>
          <w:sz w:val="20"/>
          <w:szCs w:val="20"/>
        </w:rPr>
      </w:pPr>
    </w:p>
    <w:p w14:paraId="5299FDC2" w14:textId="02B8BA7D" w:rsidR="203776EB" w:rsidRDefault="203776EB" w:rsidP="203776EB">
      <w:pPr>
        <w:spacing w:before="240" w:after="240"/>
        <w:jc w:val="both"/>
        <w:rPr>
          <w:rFonts w:ascii="Arial Nova" w:eastAsia="Arial Nova" w:hAnsi="Arial Nova" w:cs="Arial Nova"/>
          <w:sz w:val="20"/>
          <w:szCs w:val="20"/>
        </w:rPr>
      </w:pPr>
    </w:p>
    <w:p w14:paraId="5A44017D" w14:textId="08463EAB" w:rsidR="203776EB" w:rsidRDefault="203776EB" w:rsidP="203776EB">
      <w:pPr>
        <w:spacing w:before="240" w:after="240" w:line="360" w:lineRule="auto"/>
        <w:jc w:val="both"/>
        <w:rPr>
          <w:rFonts w:ascii="Arial Nova" w:eastAsia="Arial Nova" w:hAnsi="Arial Nova" w:cs="Arial Nova"/>
          <w:sz w:val="20"/>
          <w:szCs w:val="20"/>
        </w:rPr>
      </w:pPr>
    </w:p>
    <w:p w14:paraId="5E6A5535" w14:textId="7F0FA7D1" w:rsidR="203776EB" w:rsidRDefault="203776EB" w:rsidP="203776EB">
      <w:pPr>
        <w:spacing w:before="240" w:after="240" w:line="360" w:lineRule="auto"/>
        <w:jc w:val="both"/>
        <w:rPr>
          <w:rFonts w:ascii="Arial Nova" w:eastAsia="Arial Nova" w:hAnsi="Arial Nova" w:cs="Arial Nova"/>
          <w:sz w:val="22"/>
          <w:szCs w:val="22"/>
        </w:rPr>
      </w:pPr>
    </w:p>
    <w:p w14:paraId="105F9515" w14:textId="711DF815" w:rsidR="203776EB" w:rsidRDefault="203776EB" w:rsidP="203776EB">
      <w:pPr>
        <w:spacing w:before="240" w:after="240" w:line="360" w:lineRule="auto"/>
        <w:jc w:val="both"/>
        <w:rPr>
          <w:rFonts w:ascii="Arial Nova" w:eastAsia="Arial Nova" w:hAnsi="Arial Nova" w:cs="Arial Nova"/>
          <w:sz w:val="22"/>
          <w:szCs w:val="22"/>
        </w:rPr>
      </w:pPr>
    </w:p>
    <w:p w14:paraId="3E36AB69" w14:textId="1465E4F2" w:rsidR="203776EB" w:rsidRDefault="203776EB" w:rsidP="203776EB">
      <w:pPr>
        <w:spacing w:after="0" w:line="360" w:lineRule="auto"/>
        <w:jc w:val="both"/>
        <w:rPr>
          <w:rFonts w:ascii="Arial Nova" w:eastAsia="Arial Nova" w:hAnsi="Arial Nova" w:cs="Arial Nova"/>
          <w:sz w:val="22"/>
          <w:szCs w:val="22"/>
        </w:rPr>
      </w:pPr>
    </w:p>
    <w:p w14:paraId="6E13DB27" w14:textId="329316D6" w:rsidR="203776EB" w:rsidRDefault="203776EB" w:rsidP="203776EB">
      <w:pPr>
        <w:spacing w:before="240" w:after="240" w:line="360" w:lineRule="auto"/>
        <w:jc w:val="both"/>
      </w:pPr>
    </w:p>
    <w:p w14:paraId="2669620A" w14:textId="48937267" w:rsidR="203776EB" w:rsidRDefault="203776EB" w:rsidP="203776EB">
      <w:pPr>
        <w:spacing w:before="240" w:after="240" w:line="360" w:lineRule="auto"/>
        <w:jc w:val="both"/>
      </w:pPr>
    </w:p>
    <w:p w14:paraId="2B9328D9" w14:textId="5E753889" w:rsidR="203776EB" w:rsidRDefault="203776EB" w:rsidP="203776EB">
      <w:pPr>
        <w:spacing w:before="240" w:after="240" w:line="360" w:lineRule="auto"/>
        <w:jc w:val="both"/>
        <w:rPr>
          <w:rFonts w:ascii="Arial Nova" w:eastAsia="Arial Nova" w:hAnsi="Arial Nova" w:cs="Arial Nova"/>
          <w:sz w:val="22"/>
          <w:szCs w:val="22"/>
        </w:rPr>
      </w:pPr>
    </w:p>
    <w:p w14:paraId="2395E617" w14:textId="1F962651" w:rsidR="203776EB" w:rsidRDefault="203776EB" w:rsidP="203776EB">
      <w:pPr>
        <w:rPr>
          <w:rFonts w:ascii="Times New Roman" w:eastAsia="Times New Roman" w:hAnsi="Times New Roman" w:cs="Times New Roman"/>
          <w:b/>
          <w:bCs/>
          <w:sz w:val="40"/>
          <w:szCs w:val="40"/>
        </w:rPr>
      </w:pPr>
    </w:p>
    <w:sectPr w:rsidR="203776EB">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CBE46" w14:textId="77777777" w:rsidR="00FE2885" w:rsidRDefault="00FE2885">
      <w:pPr>
        <w:spacing w:after="0" w:line="240" w:lineRule="auto"/>
      </w:pPr>
      <w:r>
        <w:separator/>
      </w:r>
    </w:p>
  </w:endnote>
  <w:endnote w:type="continuationSeparator" w:id="0">
    <w:p w14:paraId="1586F5E1" w14:textId="77777777" w:rsidR="00FE2885" w:rsidRDefault="00FE2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B06C69" w14:paraId="7DE7B520" w14:textId="77777777" w:rsidTr="2EB06C69">
      <w:trPr>
        <w:trHeight w:val="300"/>
      </w:trPr>
      <w:tc>
        <w:tcPr>
          <w:tcW w:w="3005" w:type="dxa"/>
        </w:tcPr>
        <w:p w14:paraId="46E3639F" w14:textId="39327CAA" w:rsidR="2EB06C69" w:rsidRDefault="2EB06C69" w:rsidP="2EB06C69">
          <w:pPr>
            <w:pStyle w:val="Header"/>
            <w:ind w:left="-115"/>
          </w:pPr>
        </w:p>
      </w:tc>
      <w:tc>
        <w:tcPr>
          <w:tcW w:w="3005" w:type="dxa"/>
        </w:tcPr>
        <w:p w14:paraId="40C1368F" w14:textId="6462D110" w:rsidR="2EB06C69" w:rsidRDefault="2EB06C69" w:rsidP="2EB06C69">
          <w:pPr>
            <w:pStyle w:val="Header"/>
            <w:jc w:val="center"/>
          </w:pPr>
          <w:r>
            <w:fldChar w:fldCharType="begin"/>
          </w:r>
          <w:r>
            <w:instrText>PAGE</w:instrText>
          </w:r>
          <w:r>
            <w:fldChar w:fldCharType="separate"/>
          </w:r>
          <w:r w:rsidR="00A36A25">
            <w:rPr>
              <w:noProof/>
            </w:rPr>
            <w:t>1</w:t>
          </w:r>
          <w:r>
            <w:fldChar w:fldCharType="end"/>
          </w:r>
        </w:p>
      </w:tc>
      <w:tc>
        <w:tcPr>
          <w:tcW w:w="3005" w:type="dxa"/>
        </w:tcPr>
        <w:p w14:paraId="04A762E8" w14:textId="4188BD38" w:rsidR="2EB06C69" w:rsidRDefault="2EB06C69" w:rsidP="2EB06C69">
          <w:pPr>
            <w:pStyle w:val="Header"/>
            <w:ind w:right="-115"/>
            <w:jc w:val="right"/>
          </w:pPr>
        </w:p>
      </w:tc>
    </w:tr>
  </w:tbl>
  <w:p w14:paraId="326CC7FA" w14:textId="14DFF8A7" w:rsidR="2EB06C69" w:rsidRDefault="2EB06C69" w:rsidP="2EB06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149DA" w14:textId="77777777" w:rsidR="00FE2885" w:rsidRDefault="00FE2885">
      <w:pPr>
        <w:spacing w:after="0" w:line="240" w:lineRule="auto"/>
      </w:pPr>
      <w:r>
        <w:separator/>
      </w:r>
    </w:p>
  </w:footnote>
  <w:footnote w:type="continuationSeparator" w:id="0">
    <w:p w14:paraId="7F90EC08" w14:textId="77777777" w:rsidR="00FE2885" w:rsidRDefault="00FE28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B06C69" w14:paraId="3FD169AE" w14:textId="77777777" w:rsidTr="2EB06C69">
      <w:trPr>
        <w:trHeight w:val="300"/>
      </w:trPr>
      <w:tc>
        <w:tcPr>
          <w:tcW w:w="3005" w:type="dxa"/>
        </w:tcPr>
        <w:p w14:paraId="4A2B1464" w14:textId="2357C1E9" w:rsidR="2EB06C69" w:rsidRDefault="2EB06C69" w:rsidP="2EB06C69">
          <w:pPr>
            <w:pStyle w:val="Header"/>
            <w:ind w:left="-115"/>
          </w:pPr>
        </w:p>
      </w:tc>
      <w:tc>
        <w:tcPr>
          <w:tcW w:w="3005" w:type="dxa"/>
        </w:tcPr>
        <w:p w14:paraId="0371A3AC" w14:textId="67CFFE4B" w:rsidR="2EB06C69" w:rsidRDefault="2EB06C69" w:rsidP="2EB06C69">
          <w:pPr>
            <w:pStyle w:val="Header"/>
            <w:jc w:val="center"/>
          </w:pPr>
        </w:p>
      </w:tc>
      <w:tc>
        <w:tcPr>
          <w:tcW w:w="3005" w:type="dxa"/>
        </w:tcPr>
        <w:p w14:paraId="2C7C2281" w14:textId="74D16ABD" w:rsidR="2EB06C69" w:rsidRDefault="2EB06C69" w:rsidP="2EB06C69">
          <w:pPr>
            <w:pStyle w:val="Header"/>
            <w:ind w:right="-115"/>
            <w:jc w:val="right"/>
          </w:pPr>
        </w:p>
      </w:tc>
    </w:tr>
  </w:tbl>
  <w:p w14:paraId="45F554D9" w14:textId="1B3CCE31" w:rsidR="2EB06C69" w:rsidRDefault="2EB06C69" w:rsidP="2EB06C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C45179"/>
    <w:multiLevelType w:val="hybridMultilevel"/>
    <w:tmpl w:val="54CEC3EC"/>
    <w:lvl w:ilvl="0" w:tplc="DFCC1298">
      <w:start w:val="1"/>
      <w:numFmt w:val="bullet"/>
      <w:lvlText w:val=""/>
      <w:lvlJc w:val="left"/>
      <w:pPr>
        <w:ind w:left="720" w:hanging="360"/>
      </w:pPr>
      <w:rPr>
        <w:rFonts w:ascii="Symbol" w:hAnsi="Symbol" w:hint="default"/>
      </w:rPr>
    </w:lvl>
    <w:lvl w:ilvl="1" w:tplc="B7BC3BC4">
      <w:start w:val="1"/>
      <w:numFmt w:val="bullet"/>
      <w:lvlText w:val="o"/>
      <w:lvlJc w:val="left"/>
      <w:pPr>
        <w:ind w:left="1440" w:hanging="360"/>
      </w:pPr>
      <w:rPr>
        <w:rFonts w:ascii="Courier New" w:hAnsi="Courier New" w:hint="default"/>
      </w:rPr>
    </w:lvl>
    <w:lvl w:ilvl="2" w:tplc="2A6E4720">
      <w:start w:val="1"/>
      <w:numFmt w:val="bullet"/>
      <w:lvlText w:val=""/>
      <w:lvlJc w:val="left"/>
      <w:pPr>
        <w:ind w:left="2160" w:hanging="360"/>
      </w:pPr>
      <w:rPr>
        <w:rFonts w:ascii="Wingdings" w:hAnsi="Wingdings" w:hint="default"/>
      </w:rPr>
    </w:lvl>
    <w:lvl w:ilvl="3" w:tplc="FD9A87E6">
      <w:start w:val="1"/>
      <w:numFmt w:val="bullet"/>
      <w:lvlText w:val=""/>
      <w:lvlJc w:val="left"/>
      <w:pPr>
        <w:ind w:left="2880" w:hanging="360"/>
      </w:pPr>
      <w:rPr>
        <w:rFonts w:ascii="Symbol" w:hAnsi="Symbol" w:hint="default"/>
      </w:rPr>
    </w:lvl>
    <w:lvl w:ilvl="4" w:tplc="2252F2EC">
      <w:start w:val="1"/>
      <w:numFmt w:val="bullet"/>
      <w:lvlText w:val="o"/>
      <w:lvlJc w:val="left"/>
      <w:pPr>
        <w:ind w:left="3600" w:hanging="360"/>
      </w:pPr>
      <w:rPr>
        <w:rFonts w:ascii="Courier New" w:hAnsi="Courier New" w:hint="default"/>
      </w:rPr>
    </w:lvl>
    <w:lvl w:ilvl="5" w:tplc="C7B6394A">
      <w:start w:val="1"/>
      <w:numFmt w:val="bullet"/>
      <w:lvlText w:val=""/>
      <w:lvlJc w:val="left"/>
      <w:pPr>
        <w:ind w:left="4320" w:hanging="360"/>
      </w:pPr>
      <w:rPr>
        <w:rFonts w:ascii="Wingdings" w:hAnsi="Wingdings" w:hint="default"/>
      </w:rPr>
    </w:lvl>
    <w:lvl w:ilvl="6" w:tplc="3E3CCD10">
      <w:start w:val="1"/>
      <w:numFmt w:val="bullet"/>
      <w:lvlText w:val=""/>
      <w:lvlJc w:val="left"/>
      <w:pPr>
        <w:ind w:left="5040" w:hanging="360"/>
      </w:pPr>
      <w:rPr>
        <w:rFonts w:ascii="Symbol" w:hAnsi="Symbol" w:hint="default"/>
      </w:rPr>
    </w:lvl>
    <w:lvl w:ilvl="7" w:tplc="6F80EDF4">
      <w:start w:val="1"/>
      <w:numFmt w:val="bullet"/>
      <w:lvlText w:val="o"/>
      <w:lvlJc w:val="left"/>
      <w:pPr>
        <w:ind w:left="5760" w:hanging="360"/>
      </w:pPr>
      <w:rPr>
        <w:rFonts w:ascii="Courier New" w:hAnsi="Courier New" w:hint="default"/>
      </w:rPr>
    </w:lvl>
    <w:lvl w:ilvl="8" w:tplc="34169D06">
      <w:start w:val="1"/>
      <w:numFmt w:val="bullet"/>
      <w:lvlText w:val=""/>
      <w:lvlJc w:val="left"/>
      <w:pPr>
        <w:ind w:left="6480" w:hanging="360"/>
      </w:pPr>
      <w:rPr>
        <w:rFonts w:ascii="Wingdings" w:hAnsi="Wingdings" w:hint="default"/>
      </w:rPr>
    </w:lvl>
  </w:abstractNum>
  <w:num w:numId="1" w16cid:durableId="1664696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1B53BA"/>
    <w:rsid w:val="002C025D"/>
    <w:rsid w:val="00796121"/>
    <w:rsid w:val="00A36A25"/>
    <w:rsid w:val="00FE2885"/>
    <w:rsid w:val="016256E2"/>
    <w:rsid w:val="016FC6C0"/>
    <w:rsid w:val="01D7A811"/>
    <w:rsid w:val="01EADC9D"/>
    <w:rsid w:val="021DDA8D"/>
    <w:rsid w:val="02EBB257"/>
    <w:rsid w:val="034CCA53"/>
    <w:rsid w:val="034D0152"/>
    <w:rsid w:val="04344321"/>
    <w:rsid w:val="04E770E3"/>
    <w:rsid w:val="051017D4"/>
    <w:rsid w:val="0630E1B1"/>
    <w:rsid w:val="065C8EBD"/>
    <w:rsid w:val="07AFAE62"/>
    <w:rsid w:val="07BA205F"/>
    <w:rsid w:val="082773D3"/>
    <w:rsid w:val="0A52AE69"/>
    <w:rsid w:val="0B3DFDF6"/>
    <w:rsid w:val="0C2899D8"/>
    <w:rsid w:val="0CC1826A"/>
    <w:rsid w:val="0D803DAF"/>
    <w:rsid w:val="0E704D95"/>
    <w:rsid w:val="0F0854C7"/>
    <w:rsid w:val="0F106093"/>
    <w:rsid w:val="0F4F61A0"/>
    <w:rsid w:val="0FC926B7"/>
    <w:rsid w:val="0FD4176C"/>
    <w:rsid w:val="104C35CB"/>
    <w:rsid w:val="11F297AA"/>
    <w:rsid w:val="133B87E5"/>
    <w:rsid w:val="1348762E"/>
    <w:rsid w:val="13D4D4FA"/>
    <w:rsid w:val="1477FB22"/>
    <w:rsid w:val="152E9350"/>
    <w:rsid w:val="1757EF83"/>
    <w:rsid w:val="1790A044"/>
    <w:rsid w:val="1797C78D"/>
    <w:rsid w:val="18633945"/>
    <w:rsid w:val="189E889B"/>
    <w:rsid w:val="195262FD"/>
    <w:rsid w:val="1971CFEA"/>
    <w:rsid w:val="1A24C3E5"/>
    <w:rsid w:val="1A58A55B"/>
    <w:rsid w:val="1A6EC452"/>
    <w:rsid w:val="1A7758DC"/>
    <w:rsid w:val="1AB65E06"/>
    <w:rsid w:val="1BA1E0A0"/>
    <w:rsid w:val="1CD035C7"/>
    <w:rsid w:val="1CD77811"/>
    <w:rsid w:val="1D706D7F"/>
    <w:rsid w:val="1DCEAEA2"/>
    <w:rsid w:val="1DF7D1CD"/>
    <w:rsid w:val="1E49EA2E"/>
    <w:rsid w:val="1E517DA9"/>
    <w:rsid w:val="203776EB"/>
    <w:rsid w:val="2060ECF9"/>
    <w:rsid w:val="2094D8D6"/>
    <w:rsid w:val="20BBD6D3"/>
    <w:rsid w:val="20D12D4C"/>
    <w:rsid w:val="2198332E"/>
    <w:rsid w:val="237A05C1"/>
    <w:rsid w:val="25232BD8"/>
    <w:rsid w:val="255E445B"/>
    <w:rsid w:val="278B1E8A"/>
    <w:rsid w:val="27A91D3B"/>
    <w:rsid w:val="27FDB9A3"/>
    <w:rsid w:val="289304AD"/>
    <w:rsid w:val="28DB9F8D"/>
    <w:rsid w:val="2939FCB8"/>
    <w:rsid w:val="2961C808"/>
    <w:rsid w:val="2985D552"/>
    <w:rsid w:val="2994645C"/>
    <w:rsid w:val="29DEA016"/>
    <w:rsid w:val="2ABF8F0E"/>
    <w:rsid w:val="2ADC159B"/>
    <w:rsid w:val="2B33D701"/>
    <w:rsid w:val="2B5F42B0"/>
    <w:rsid w:val="2BF02B45"/>
    <w:rsid w:val="2C2B0EE0"/>
    <w:rsid w:val="2C93D2F0"/>
    <w:rsid w:val="2CCE1F80"/>
    <w:rsid w:val="2D7E833A"/>
    <w:rsid w:val="2E10BE1A"/>
    <w:rsid w:val="2E40E736"/>
    <w:rsid w:val="2EB06C69"/>
    <w:rsid w:val="2F85BDE6"/>
    <w:rsid w:val="2FAE2752"/>
    <w:rsid w:val="30A3E359"/>
    <w:rsid w:val="3210EB64"/>
    <w:rsid w:val="33BDB42F"/>
    <w:rsid w:val="33D2B86B"/>
    <w:rsid w:val="340E45AE"/>
    <w:rsid w:val="34448150"/>
    <w:rsid w:val="344DC038"/>
    <w:rsid w:val="35E6F2F1"/>
    <w:rsid w:val="367B4DCE"/>
    <w:rsid w:val="373DAD01"/>
    <w:rsid w:val="37683ECE"/>
    <w:rsid w:val="3797739C"/>
    <w:rsid w:val="379E2A04"/>
    <w:rsid w:val="380079F1"/>
    <w:rsid w:val="3892290F"/>
    <w:rsid w:val="38C1FF88"/>
    <w:rsid w:val="38D950C0"/>
    <w:rsid w:val="3A89AE85"/>
    <w:rsid w:val="3AA1AF2F"/>
    <w:rsid w:val="3ABE896C"/>
    <w:rsid w:val="3C412687"/>
    <w:rsid w:val="3C5C82BD"/>
    <w:rsid w:val="3C7786AF"/>
    <w:rsid w:val="3C83F658"/>
    <w:rsid w:val="3C8A4DFE"/>
    <w:rsid w:val="3D39DDDC"/>
    <w:rsid w:val="3D72335B"/>
    <w:rsid w:val="3D972D40"/>
    <w:rsid w:val="3DF3C966"/>
    <w:rsid w:val="3E143811"/>
    <w:rsid w:val="3E4111F8"/>
    <w:rsid w:val="3E750B19"/>
    <w:rsid w:val="3EAF9E84"/>
    <w:rsid w:val="3ED2A723"/>
    <w:rsid w:val="3F15E19B"/>
    <w:rsid w:val="4020B106"/>
    <w:rsid w:val="40531436"/>
    <w:rsid w:val="408C222F"/>
    <w:rsid w:val="40B083BD"/>
    <w:rsid w:val="41899F36"/>
    <w:rsid w:val="41BBBE91"/>
    <w:rsid w:val="41D56B24"/>
    <w:rsid w:val="4218C4EB"/>
    <w:rsid w:val="422BC134"/>
    <w:rsid w:val="423C0F05"/>
    <w:rsid w:val="43DDA50D"/>
    <w:rsid w:val="43FB5156"/>
    <w:rsid w:val="4425E1A4"/>
    <w:rsid w:val="4474C645"/>
    <w:rsid w:val="4492D68F"/>
    <w:rsid w:val="44BCBD0E"/>
    <w:rsid w:val="45C85EB4"/>
    <w:rsid w:val="4708E0A1"/>
    <w:rsid w:val="479165F6"/>
    <w:rsid w:val="47DA1CB9"/>
    <w:rsid w:val="482C9A5D"/>
    <w:rsid w:val="499F5A9A"/>
    <w:rsid w:val="4A3E3336"/>
    <w:rsid w:val="4B1228B9"/>
    <w:rsid w:val="4BA796C2"/>
    <w:rsid w:val="4F75CC97"/>
    <w:rsid w:val="4FFEAE4A"/>
    <w:rsid w:val="511B53BA"/>
    <w:rsid w:val="51442D48"/>
    <w:rsid w:val="51512945"/>
    <w:rsid w:val="53570E3C"/>
    <w:rsid w:val="5380A630"/>
    <w:rsid w:val="53DA0BDE"/>
    <w:rsid w:val="549F7DA4"/>
    <w:rsid w:val="54A6ECA9"/>
    <w:rsid w:val="550BDA7D"/>
    <w:rsid w:val="56AA2EA9"/>
    <w:rsid w:val="57F9BC84"/>
    <w:rsid w:val="584AE6AF"/>
    <w:rsid w:val="58A77ACB"/>
    <w:rsid w:val="58AA2AD8"/>
    <w:rsid w:val="58D0829C"/>
    <w:rsid w:val="591F034D"/>
    <w:rsid w:val="59410817"/>
    <w:rsid w:val="595CC792"/>
    <w:rsid w:val="59B22E63"/>
    <w:rsid w:val="5A4D5679"/>
    <w:rsid w:val="5A72F809"/>
    <w:rsid w:val="5C1B4802"/>
    <w:rsid w:val="5C8AC57A"/>
    <w:rsid w:val="5D4A7D51"/>
    <w:rsid w:val="5E111D5F"/>
    <w:rsid w:val="5F447DF5"/>
    <w:rsid w:val="6293FFFC"/>
    <w:rsid w:val="6379D29C"/>
    <w:rsid w:val="6431812F"/>
    <w:rsid w:val="652B5014"/>
    <w:rsid w:val="653DADB4"/>
    <w:rsid w:val="65F5AAFC"/>
    <w:rsid w:val="65F6A95F"/>
    <w:rsid w:val="668EFD31"/>
    <w:rsid w:val="669FBD9A"/>
    <w:rsid w:val="67DFA274"/>
    <w:rsid w:val="686566A0"/>
    <w:rsid w:val="68E5B4AE"/>
    <w:rsid w:val="6931F1E9"/>
    <w:rsid w:val="696D40D0"/>
    <w:rsid w:val="6A21E7D2"/>
    <w:rsid w:val="6A82E0A2"/>
    <w:rsid w:val="6A8EF724"/>
    <w:rsid w:val="6B5628FD"/>
    <w:rsid w:val="6B7B6F5F"/>
    <w:rsid w:val="6BB5D367"/>
    <w:rsid w:val="6BD5B6EC"/>
    <w:rsid w:val="6D294F28"/>
    <w:rsid w:val="6D7F8495"/>
    <w:rsid w:val="6D884515"/>
    <w:rsid w:val="6DDFB4D0"/>
    <w:rsid w:val="6DE2F002"/>
    <w:rsid w:val="6EBA8C32"/>
    <w:rsid w:val="6FA2686F"/>
    <w:rsid w:val="6FB8EED7"/>
    <w:rsid w:val="70321FD1"/>
    <w:rsid w:val="70E685A5"/>
    <w:rsid w:val="71063DC4"/>
    <w:rsid w:val="71188867"/>
    <w:rsid w:val="722BA74A"/>
    <w:rsid w:val="72EE1B94"/>
    <w:rsid w:val="73199C58"/>
    <w:rsid w:val="7361763D"/>
    <w:rsid w:val="73700CD9"/>
    <w:rsid w:val="7496C467"/>
    <w:rsid w:val="74C8EC07"/>
    <w:rsid w:val="74CF56BF"/>
    <w:rsid w:val="7548C114"/>
    <w:rsid w:val="75961FAC"/>
    <w:rsid w:val="75D05B89"/>
    <w:rsid w:val="75D2A03F"/>
    <w:rsid w:val="76A25D0A"/>
    <w:rsid w:val="783F29AA"/>
    <w:rsid w:val="784ED640"/>
    <w:rsid w:val="7961F708"/>
    <w:rsid w:val="7B137F62"/>
    <w:rsid w:val="7B209607"/>
    <w:rsid w:val="7B578092"/>
    <w:rsid w:val="7C08E90C"/>
    <w:rsid w:val="7CE6D368"/>
    <w:rsid w:val="7D752CA2"/>
    <w:rsid w:val="7DC815C3"/>
    <w:rsid w:val="7F2D9EF8"/>
    <w:rsid w:val="7FEA0F5F"/>
    <w:rsid w:val="7FF68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5977D"/>
  <w15:chartTrackingRefBased/>
  <w15:docId w15:val="{2A6CE14D-7EAB-4FE5-AE6A-AB7159FA6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03776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EB06C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03776EB"/>
    <w:pPr>
      <w:ind w:left="720"/>
      <w:contextualSpacing/>
    </w:pPr>
  </w:style>
  <w:style w:type="character" w:styleId="Hyperlink">
    <w:name w:val="Hyperlink"/>
    <w:basedOn w:val="DefaultParagraphFont"/>
    <w:uiPriority w:val="99"/>
    <w:unhideWhenUsed/>
    <w:rsid w:val="203776E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Header">
    <w:name w:val="header"/>
    <w:basedOn w:val="Normal"/>
    <w:uiPriority w:val="99"/>
    <w:unhideWhenUsed/>
    <w:rsid w:val="2EB06C69"/>
    <w:pPr>
      <w:tabs>
        <w:tab w:val="center" w:pos="4680"/>
        <w:tab w:val="right" w:pos="9360"/>
      </w:tabs>
      <w:spacing w:after="0" w:line="240" w:lineRule="auto"/>
    </w:pPr>
  </w:style>
  <w:style w:type="paragraph" w:styleId="Footer">
    <w:name w:val="footer"/>
    <w:basedOn w:val="Normal"/>
    <w:uiPriority w:val="99"/>
    <w:unhideWhenUsed/>
    <w:rsid w:val="2EB06C69"/>
    <w:pPr>
      <w:tabs>
        <w:tab w:val="center" w:pos="4680"/>
        <w:tab w:val="right" w:pos="9360"/>
      </w:tabs>
      <w:spacing w:after="0" w:line="240" w:lineRule="auto"/>
    </w:pPr>
  </w:style>
  <w:style w:type="paragraph" w:styleId="TOC1">
    <w:name w:val="toc 1"/>
    <w:basedOn w:val="Normal"/>
    <w:next w:val="Normal"/>
    <w:uiPriority w:val="39"/>
    <w:unhideWhenUsed/>
    <w:rsid w:val="2EB06C69"/>
    <w:pPr>
      <w:spacing w:after="100"/>
    </w:pPr>
  </w:style>
  <w:style w:type="paragraph" w:styleId="TOC2">
    <w:name w:val="toc 2"/>
    <w:basedOn w:val="Normal"/>
    <w:next w:val="Normal"/>
    <w:uiPriority w:val="39"/>
    <w:unhideWhenUsed/>
    <w:rsid w:val="2EB06C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pr.org/articles/not-by-degrees" TargetMode="External"/><Relationship Id="rId3" Type="http://schemas.openxmlformats.org/officeDocument/2006/relationships/settings" Target="settings.xml"/><Relationship Id="rId7" Type="http://schemas.openxmlformats.org/officeDocument/2006/relationships/hyperlink" Target="https://www.niehs.nih.gov/research/resources/bioethics/whati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4556</Words>
  <Characters>25975</Characters>
  <Application>Microsoft Office Word</Application>
  <DocSecurity>0</DocSecurity>
  <Lines>216</Lines>
  <Paragraphs>60</Paragraphs>
  <ScaleCrop>false</ScaleCrop>
  <Company/>
  <LinksUpToDate>false</LinksUpToDate>
  <CharactersWithSpaces>30471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Dinu 2023 (N1262799)</dc:creator>
  <cp:keywords/>
  <dc:description/>
  <cp:lastModifiedBy>Diana Mihaela Briceag (2408209)</cp:lastModifiedBy>
  <cp:revision>5</cp:revision>
  <dcterms:created xsi:type="dcterms:W3CDTF">2026-07-17T09:18:00Z</dcterms:created>
  <dcterms:modified xsi:type="dcterms:W3CDTF">2026-07-19T14:47:00Z</dcterms:modified>
</cp:coreProperties>
</file>