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772D3" w14:textId="77777777" w:rsidR="00455DCB" w:rsidRPr="00012E12" w:rsidRDefault="00455DCB">
      <w:pPr>
        <w:jc w:val="center"/>
        <w:rPr>
          <w:b/>
          <w:bCs/>
          <w:sz w:val="32"/>
          <w:szCs w:val="32"/>
          <w:lang w:val="en-GB"/>
        </w:rPr>
      </w:pPr>
    </w:p>
    <w:p w14:paraId="305CE33E" w14:textId="77777777" w:rsidR="00455DCB" w:rsidRPr="00012E12" w:rsidRDefault="00455DCB">
      <w:pPr>
        <w:jc w:val="center"/>
        <w:rPr>
          <w:b/>
          <w:bCs/>
          <w:sz w:val="32"/>
          <w:szCs w:val="32"/>
          <w:lang w:val="en-GB"/>
        </w:rPr>
      </w:pPr>
    </w:p>
    <w:p w14:paraId="76868C26" w14:textId="77777777" w:rsidR="004572F9" w:rsidRPr="00012E12" w:rsidRDefault="004572F9">
      <w:pPr>
        <w:jc w:val="center"/>
        <w:rPr>
          <w:b/>
          <w:bCs/>
          <w:sz w:val="32"/>
          <w:szCs w:val="32"/>
          <w:lang w:val="en-GB"/>
        </w:rPr>
      </w:pPr>
    </w:p>
    <w:p w14:paraId="22BB8AB6" w14:textId="77777777" w:rsidR="004572F9" w:rsidRPr="00012E12" w:rsidRDefault="004572F9">
      <w:pPr>
        <w:jc w:val="center"/>
        <w:rPr>
          <w:b/>
          <w:bCs/>
          <w:sz w:val="32"/>
          <w:szCs w:val="32"/>
          <w:lang w:val="en-GB"/>
        </w:rPr>
      </w:pPr>
    </w:p>
    <w:p w14:paraId="0FC53A2B" w14:textId="77777777" w:rsidR="00455DCB" w:rsidRPr="00012E12" w:rsidRDefault="005E2CA9">
      <w:pPr>
        <w:jc w:val="center"/>
        <w:rPr>
          <w:b/>
          <w:bCs/>
          <w:sz w:val="32"/>
          <w:szCs w:val="32"/>
          <w:lang w:val="en-GB"/>
        </w:rPr>
      </w:pPr>
      <w:r w:rsidRPr="00012E12">
        <w:rPr>
          <w:b/>
          <w:bCs/>
          <w:sz w:val="32"/>
          <w:szCs w:val="32"/>
          <w:lang w:val="en-GB"/>
        </w:rPr>
        <w:t>PROGRAMME: MSC PUBLIC HEALTH AND SOCIAL CARE IN PRACTICE</w:t>
      </w:r>
    </w:p>
    <w:p w14:paraId="1C553321" w14:textId="77777777" w:rsidR="00455DCB" w:rsidRPr="00012E12" w:rsidRDefault="005E2CA9">
      <w:pPr>
        <w:jc w:val="center"/>
        <w:rPr>
          <w:b/>
          <w:bCs/>
          <w:sz w:val="32"/>
          <w:szCs w:val="32"/>
          <w:lang w:val="en-GB"/>
        </w:rPr>
      </w:pPr>
      <w:r w:rsidRPr="00012E12">
        <w:rPr>
          <w:b/>
          <w:bCs/>
          <w:sz w:val="32"/>
          <w:szCs w:val="32"/>
          <w:lang w:val="en-GB"/>
        </w:rPr>
        <w:t>MODULE: HEALTH CARE SYSTEM ORGANISATION AND LEADERSHIP</w:t>
      </w:r>
    </w:p>
    <w:p w14:paraId="0B97329D" w14:textId="77777777" w:rsidR="00455DCB" w:rsidRPr="00012E12" w:rsidRDefault="005E2CA9">
      <w:pPr>
        <w:jc w:val="center"/>
        <w:rPr>
          <w:b/>
          <w:bCs/>
          <w:sz w:val="32"/>
          <w:szCs w:val="32"/>
          <w:lang w:val="en-GB"/>
        </w:rPr>
      </w:pPr>
      <w:r w:rsidRPr="00012E12">
        <w:rPr>
          <w:b/>
          <w:bCs/>
          <w:sz w:val="32"/>
          <w:szCs w:val="32"/>
          <w:lang w:val="en-GB"/>
        </w:rPr>
        <w:t>MODULE CODE: LCHS7002</w:t>
      </w:r>
    </w:p>
    <w:p w14:paraId="427D584C" w14:textId="77777777" w:rsidR="00455DCB" w:rsidRPr="00012E12" w:rsidRDefault="005E2CA9">
      <w:pPr>
        <w:jc w:val="center"/>
        <w:rPr>
          <w:b/>
          <w:bCs/>
          <w:sz w:val="32"/>
          <w:szCs w:val="32"/>
          <w:lang w:val="en-GB"/>
        </w:rPr>
      </w:pPr>
      <w:r w:rsidRPr="00012E12">
        <w:rPr>
          <w:b/>
          <w:bCs/>
          <w:sz w:val="32"/>
          <w:szCs w:val="32"/>
          <w:lang w:val="en-GB"/>
        </w:rPr>
        <w:t>ASSIGNMENT TITLE: CASE STUDY ANALYSIS REPORT</w:t>
      </w:r>
    </w:p>
    <w:p w14:paraId="5DB13C57" w14:textId="77777777" w:rsidR="00F9306F" w:rsidRPr="00012E12" w:rsidRDefault="00F9306F">
      <w:pPr>
        <w:jc w:val="center"/>
        <w:rPr>
          <w:b/>
          <w:bCs/>
          <w:sz w:val="32"/>
          <w:szCs w:val="32"/>
          <w:lang w:val="en-GB"/>
        </w:rPr>
      </w:pPr>
      <w:r w:rsidRPr="00012E12">
        <w:rPr>
          <w:b/>
          <w:bCs/>
          <w:sz w:val="32"/>
          <w:szCs w:val="32"/>
          <w:lang w:val="en-GB"/>
        </w:rPr>
        <w:t>CASE STUDY 4</w:t>
      </w:r>
    </w:p>
    <w:p w14:paraId="7364C28C" w14:textId="7966AECC" w:rsidR="00455DCB" w:rsidRPr="00012E12" w:rsidRDefault="005E2CA9">
      <w:pPr>
        <w:jc w:val="center"/>
        <w:rPr>
          <w:b/>
          <w:bCs/>
          <w:sz w:val="32"/>
          <w:szCs w:val="32"/>
          <w:lang w:val="en-GB"/>
        </w:rPr>
      </w:pPr>
      <w:r w:rsidRPr="00012E12">
        <w:rPr>
          <w:b/>
          <w:bCs/>
          <w:sz w:val="32"/>
          <w:szCs w:val="32"/>
          <w:lang w:val="en-GB"/>
        </w:rPr>
        <w:t>STUDENT NAME:</w:t>
      </w:r>
      <w:r w:rsidR="00862047">
        <w:rPr>
          <w:b/>
          <w:bCs/>
          <w:sz w:val="32"/>
          <w:szCs w:val="32"/>
          <w:lang w:val="en-GB"/>
        </w:rPr>
        <w:t xml:space="preserve"> </w:t>
      </w:r>
      <w:r w:rsidR="00862047" w:rsidRPr="00862047">
        <w:rPr>
          <w:b/>
          <w:bCs/>
          <w:sz w:val="32"/>
          <w:szCs w:val="32"/>
          <w:lang w:val="en-GB"/>
        </w:rPr>
        <w:t>Krupal Monpara</w:t>
      </w:r>
      <w:r w:rsidRPr="00012E12">
        <w:rPr>
          <w:b/>
          <w:bCs/>
          <w:sz w:val="32"/>
          <w:szCs w:val="32"/>
          <w:lang w:val="en-GB"/>
        </w:rPr>
        <w:tab/>
      </w:r>
    </w:p>
    <w:p w14:paraId="7B88791B" w14:textId="789CCE7E" w:rsidR="00455DCB" w:rsidRPr="00012E12" w:rsidRDefault="005E2CA9">
      <w:pPr>
        <w:jc w:val="center"/>
        <w:rPr>
          <w:b/>
          <w:bCs/>
          <w:sz w:val="32"/>
          <w:szCs w:val="32"/>
          <w:lang w:val="en-GB"/>
        </w:rPr>
      </w:pPr>
      <w:r w:rsidRPr="00012E12">
        <w:rPr>
          <w:b/>
          <w:bCs/>
          <w:sz w:val="32"/>
          <w:szCs w:val="32"/>
          <w:lang w:val="en-GB"/>
        </w:rPr>
        <w:t>STUDENT ID NUMBER:</w:t>
      </w:r>
      <w:r w:rsidR="00993109">
        <w:rPr>
          <w:b/>
          <w:bCs/>
          <w:sz w:val="32"/>
          <w:szCs w:val="32"/>
          <w:lang w:val="en-GB"/>
        </w:rPr>
        <w:t xml:space="preserve"> </w:t>
      </w:r>
      <w:r w:rsidR="00862047" w:rsidRPr="00862047">
        <w:rPr>
          <w:b/>
          <w:bCs/>
          <w:sz w:val="32"/>
          <w:szCs w:val="32"/>
        </w:rPr>
        <w:t>2537141</w:t>
      </w:r>
    </w:p>
    <w:p w14:paraId="3D9AF193" w14:textId="77777777" w:rsidR="00455DCB" w:rsidRPr="00012E12" w:rsidRDefault="00455DCB">
      <w:pPr>
        <w:rPr>
          <w:b/>
          <w:bCs/>
          <w:lang w:val="en-GB"/>
        </w:rPr>
      </w:pPr>
    </w:p>
    <w:p w14:paraId="7C327C79" w14:textId="77777777" w:rsidR="00455DCB" w:rsidRPr="00012E12" w:rsidRDefault="005E2CA9">
      <w:pPr>
        <w:rPr>
          <w:b/>
          <w:bCs/>
          <w:lang w:val="en-GB"/>
        </w:rPr>
      </w:pPr>
      <w:r w:rsidRPr="00012E12">
        <w:rPr>
          <w:lang w:val="en-GB"/>
        </w:rPr>
        <w:br w:type="page"/>
      </w:r>
    </w:p>
    <w:p w14:paraId="37DE39A0" w14:textId="77777777" w:rsidR="00455DCB" w:rsidRPr="00012E12" w:rsidRDefault="005E2CA9">
      <w:pPr>
        <w:jc w:val="center"/>
        <w:rPr>
          <w:lang w:val="en-GB"/>
        </w:rPr>
      </w:pPr>
      <w:r w:rsidRPr="00012E12">
        <w:rPr>
          <w:b/>
          <w:bCs/>
          <w:lang w:val="en-GB"/>
        </w:rPr>
        <w:lastRenderedPageBreak/>
        <w:t xml:space="preserve">Executive summary </w:t>
      </w:r>
    </w:p>
    <w:p w14:paraId="635578C7" w14:textId="7DDCBC45" w:rsidR="00280FF6" w:rsidRPr="00012E12" w:rsidRDefault="005E2CA9" w:rsidP="00280FF6">
      <w:pPr>
        <w:rPr>
          <w:lang w:val="en-GB"/>
        </w:rPr>
      </w:pPr>
      <w:r w:rsidRPr="00012E12">
        <w:rPr>
          <w:lang w:val="en-GB"/>
        </w:rPr>
        <w:t xml:space="preserve">The report evaluates a patient safety incident at Kota Medical College Hospital that highlights a serious clinical error. Analysis of transformational, transactional and situational leadership styles reflects that the organisation can improve teamwork, decision-making and compliance with patient safety procedures. </w:t>
      </w:r>
      <w:r w:rsidR="009369C0" w:rsidRPr="00012E12">
        <w:rPr>
          <w:lang w:val="en-GB"/>
        </w:rPr>
        <w:t>This indicates that patient safety metrics such as the trends in incidents, checklist adherence, patient ID mistakes and staff training assessments should be regularly captured, analysed and openly discussed within healthcare organisations.</w:t>
      </w:r>
      <w:r w:rsidR="007C7AA9">
        <w:rPr>
          <w:lang w:val="en-GB"/>
        </w:rPr>
        <w:t xml:space="preserve"> </w:t>
      </w:r>
      <w:r w:rsidR="00280FF6" w:rsidRPr="00012E12">
        <w:rPr>
          <w:lang w:val="en-GB"/>
        </w:rPr>
        <w:t>The report examines the wrong-patient surgery incident in Kota Medical College Hospital using a leadership perspective and systems thinking. It identifies underlying systemic failure through rich picture analysis and evaluates the predominantly centralised governance structure of the organisation. The discussion highlights the ways in which leadership oversight, communication breakdown and governance weakness contributed to the incident, supported by relevant critical analysis and evidence.</w:t>
      </w:r>
    </w:p>
    <w:p w14:paraId="61075956" w14:textId="77777777" w:rsidR="00455DCB" w:rsidRPr="00012E12" w:rsidRDefault="005E2CA9">
      <w:pPr>
        <w:rPr>
          <w:b/>
          <w:bCs/>
          <w:lang w:val="en-GB"/>
        </w:rPr>
      </w:pPr>
      <w:r w:rsidRPr="00012E12">
        <w:rPr>
          <w:lang w:val="en-GB"/>
        </w:rPr>
        <w:br w:type="page"/>
      </w:r>
    </w:p>
    <w:sdt>
      <w:sdtPr>
        <w:rPr>
          <w:rFonts w:ascii="Arial" w:eastAsia="Arial" w:hAnsi="Arial" w:cs="Arial"/>
          <w:color w:val="auto"/>
          <w:sz w:val="22"/>
          <w:szCs w:val="22"/>
          <w:lang w:val="en-GB" w:eastAsia="en-IN"/>
        </w:rPr>
        <w:id w:val="-472295548"/>
        <w:docPartObj>
          <w:docPartGallery w:val="Table of Contents"/>
          <w:docPartUnique/>
        </w:docPartObj>
      </w:sdtPr>
      <w:sdtEndPr>
        <w:rPr>
          <w:b/>
          <w:bCs/>
          <w:noProof/>
        </w:rPr>
      </w:sdtEndPr>
      <w:sdtContent>
        <w:p w14:paraId="71FB196C" w14:textId="77777777" w:rsidR="00E12FB4" w:rsidRPr="00012E12" w:rsidRDefault="00E12FB4" w:rsidP="00E12FB4">
          <w:pPr>
            <w:pStyle w:val="TOCHeading"/>
            <w:spacing w:line="360" w:lineRule="auto"/>
            <w:jc w:val="center"/>
            <w:rPr>
              <w:rFonts w:ascii="Arial" w:hAnsi="Arial" w:cs="Arial"/>
              <w:b/>
              <w:bCs/>
              <w:color w:val="000000" w:themeColor="text1"/>
              <w:sz w:val="22"/>
              <w:szCs w:val="22"/>
              <w:lang w:val="en-GB"/>
            </w:rPr>
          </w:pPr>
          <w:r w:rsidRPr="00012E12">
            <w:rPr>
              <w:rFonts w:ascii="Arial" w:hAnsi="Arial" w:cs="Arial"/>
              <w:b/>
              <w:bCs/>
              <w:color w:val="000000" w:themeColor="text1"/>
              <w:sz w:val="22"/>
              <w:szCs w:val="22"/>
              <w:lang w:val="en-GB"/>
            </w:rPr>
            <w:t>Table of Contents</w:t>
          </w:r>
        </w:p>
        <w:p w14:paraId="490B34A0" w14:textId="77777777" w:rsidR="00012E12" w:rsidRDefault="005E2EB6">
          <w:pPr>
            <w:pStyle w:val="TOC1"/>
            <w:tabs>
              <w:tab w:val="right" w:leader="dot" w:pos="9350"/>
            </w:tabs>
            <w:rPr>
              <w:rFonts w:asciiTheme="minorHAnsi" w:eastAsiaTheme="minorEastAsia" w:hAnsiTheme="minorHAnsi" w:cstheme="minorBidi"/>
              <w:noProof/>
              <w:lang w:val="en-US" w:eastAsia="en-US"/>
            </w:rPr>
          </w:pPr>
          <w:r w:rsidRPr="00012E12">
            <w:rPr>
              <w:color w:val="000000" w:themeColor="text1"/>
              <w:lang w:val="en-GB"/>
            </w:rPr>
            <w:fldChar w:fldCharType="begin"/>
          </w:r>
          <w:r w:rsidR="00E12FB4" w:rsidRPr="00012E12">
            <w:rPr>
              <w:color w:val="000000" w:themeColor="text1"/>
              <w:lang w:val="en-GB"/>
            </w:rPr>
            <w:instrText xml:space="preserve"> TOC \o "1-3" \h \z \u </w:instrText>
          </w:r>
          <w:r w:rsidRPr="00012E12">
            <w:rPr>
              <w:color w:val="000000" w:themeColor="text1"/>
              <w:lang w:val="en-GB"/>
            </w:rPr>
            <w:fldChar w:fldCharType="separate"/>
          </w:r>
          <w:hyperlink w:anchor="_Toc236669166" w:history="1">
            <w:r w:rsidR="00012E12" w:rsidRPr="00F0343D">
              <w:rPr>
                <w:rStyle w:val="Hyperlink"/>
                <w:noProof/>
                <w:lang w:val="en-GB"/>
              </w:rPr>
              <w:t>Introduction</w:t>
            </w:r>
            <w:r w:rsidR="00012E12">
              <w:rPr>
                <w:noProof/>
                <w:webHidden/>
              </w:rPr>
              <w:tab/>
            </w:r>
            <w:r w:rsidR="00012E12">
              <w:rPr>
                <w:noProof/>
                <w:webHidden/>
              </w:rPr>
              <w:fldChar w:fldCharType="begin"/>
            </w:r>
            <w:r w:rsidR="00012E12">
              <w:rPr>
                <w:noProof/>
                <w:webHidden/>
              </w:rPr>
              <w:instrText xml:space="preserve"> PAGEREF _Toc236669166 \h </w:instrText>
            </w:r>
            <w:r w:rsidR="00012E12">
              <w:rPr>
                <w:noProof/>
                <w:webHidden/>
              </w:rPr>
            </w:r>
            <w:r w:rsidR="00012E12">
              <w:rPr>
                <w:noProof/>
                <w:webHidden/>
              </w:rPr>
              <w:fldChar w:fldCharType="separate"/>
            </w:r>
            <w:r w:rsidR="00012E12">
              <w:rPr>
                <w:noProof/>
                <w:webHidden/>
              </w:rPr>
              <w:t>4</w:t>
            </w:r>
            <w:r w:rsidR="00012E12">
              <w:rPr>
                <w:noProof/>
                <w:webHidden/>
              </w:rPr>
              <w:fldChar w:fldCharType="end"/>
            </w:r>
          </w:hyperlink>
        </w:p>
        <w:p w14:paraId="4DEEC9A6"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167" w:history="1">
            <w:r w:rsidR="00012E12" w:rsidRPr="00F0343D">
              <w:rPr>
                <w:rStyle w:val="Hyperlink"/>
                <w:noProof/>
                <w:lang w:val="en-GB"/>
              </w:rPr>
              <w:t>Background and report purpose</w:t>
            </w:r>
            <w:r w:rsidR="00012E12">
              <w:rPr>
                <w:noProof/>
                <w:webHidden/>
              </w:rPr>
              <w:tab/>
            </w:r>
            <w:r w:rsidR="00012E12">
              <w:rPr>
                <w:noProof/>
                <w:webHidden/>
              </w:rPr>
              <w:fldChar w:fldCharType="begin"/>
            </w:r>
            <w:r w:rsidR="00012E12">
              <w:rPr>
                <w:noProof/>
                <w:webHidden/>
              </w:rPr>
              <w:instrText xml:space="preserve"> PAGEREF _Toc236669167 \h </w:instrText>
            </w:r>
            <w:r w:rsidR="00012E12">
              <w:rPr>
                <w:noProof/>
                <w:webHidden/>
              </w:rPr>
            </w:r>
            <w:r w:rsidR="00012E12">
              <w:rPr>
                <w:noProof/>
                <w:webHidden/>
              </w:rPr>
              <w:fldChar w:fldCharType="separate"/>
            </w:r>
            <w:r w:rsidR="00012E12">
              <w:rPr>
                <w:noProof/>
                <w:webHidden/>
              </w:rPr>
              <w:t>4</w:t>
            </w:r>
            <w:r w:rsidR="00012E12">
              <w:rPr>
                <w:noProof/>
                <w:webHidden/>
              </w:rPr>
              <w:fldChar w:fldCharType="end"/>
            </w:r>
          </w:hyperlink>
        </w:p>
        <w:p w14:paraId="5CBAB1E1"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168" w:history="1">
            <w:r w:rsidR="00012E12" w:rsidRPr="00F0343D">
              <w:rPr>
                <w:rStyle w:val="Hyperlink"/>
                <w:noProof/>
                <w:lang w:val="en-GB"/>
              </w:rPr>
              <w:t>Leadership meaning</w:t>
            </w:r>
            <w:r w:rsidR="00012E12">
              <w:rPr>
                <w:noProof/>
                <w:webHidden/>
              </w:rPr>
              <w:tab/>
            </w:r>
            <w:r w:rsidR="00012E12">
              <w:rPr>
                <w:noProof/>
                <w:webHidden/>
              </w:rPr>
              <w:fldChar w:fldCharType="begin"/>
            </w:r>
            <w:r w:rsidR="00012E12">
              <w:rPr>
                <w:noProof/>
                <w:webHidden/>
              </w:rPr>
              <w:instrText xml:space="preserve"> PAGEREF _Toc236669168 \h </w:instrText>
            </w:r>
            <w:r w:rsidR="00012E12">
              <w:rPr>
                <w:noProof/>
                <w:webHidden/>
              </w:rPr>
            </w:r>
            <w:r w:rsidR="00012E12">
              <w:rPr>
                <w:noProof/>
                <w:webHidden/>
              </w:rPr>
              <w:fldChar w:fldCharType="separate"/>
            </w:r>
            <w:r w:rsidR="00012E12">
              <w:rPr>
                <w:noProof/>
                <w:webHidden/>
              </w:rPr>
              <w:t>4</w:t>
            </w:r>
            <w:r w:rsidR="00012E12">
              <w:rPr>
                <w:noProof/>
                <w:webHidden/>
              </w:rPr>
              <w:fldChar w:fldCharType="end"/>
            </w:r>
          </w:hyperlink>
        </w:p>
        <w:p w14:paraId="0146F702"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169" w:history="1">
            <w:r w:rsidR="00012E12" w:rsidRPr="00F0343D">
              <w:rPr>
                <w:rStyle w:val="Hyperlink"/>
                <w:noProof/>
                <w:lang w:val="en-GB"/>
              </w:rPr>
              <w:t>Centralisation and decentralisation and theories</w:t>
            </w:r>
            <w:r w:rsidR="00012E12">
              <w:rPr>
                <w:noProof/>
                <w:webHidden/>
              </w:rPr>
              <w:tab/>
            </w:r>
            <w:r w:rsidR="00012E12">
              <w:rPr>
                <w:noProof/>
                <w:webHidden/>
              </w:rPr>
              <w:fldChar w:fldCharType="begin"/>
            </w:r>
            <w:r w:rsidR="00012E12">
              <w:rPr>
                <w:noProof/>
                <w:webHidden/>
              </w:rPr>
              <w:instrText xml:space="preserve"> PAGEREF _Toc236669169 \h </w:instrText>
            </w:r>
            <w:r w:rsidR="00012E12">
              <w:rPr>
                <w:noProof/>
                <w:webHidden/>
              </w:rPr>
            </w:r>
            <w:r w:rsidR="00012E12">
              <w:rPr>
                <w:noProof/>
                <w:webHidden/>
              </w:rPr>
              <w:fldChar w:fldCharType="separate"/>
            </w:r>
            <w:r w:rsidR="00012E12">
              <w:rPr>
                <w:noProof/>
                <w:webHidden/>
              </w:rPr>
              <w:t>4</w:t>
            </w:r>
            <w:r w:rsidR="00012E12">
              <w:rPr>
                <w:noProof/>
                <w:webHidden/>
              </w:rPr>
              <w:fldChar w:fldCharType="end"/>
            </w:r>
          </w:hyperlink>
        </w:p>
        <w:p w14:paraId="1A7EBB48"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170" w:history="1">
            <w:r w:rsidR="00012E12" w:rsidRPr="00F0343D">
              <w:rPr>
                <w:rStyle w:val="Hyperlink"/>
                <w:noProof/>
                <w:lang w:val="en-GB"/>
              </w:rPr>
              <w:t>Importance of leadership</w:t>
            </w:r>
            <w:r w:rsidR="00012E12">
              <w:rPr>
                <w:noProof/>
                <w:webHidden/>
              </w:rPr>
              <w:tab/>
            </w:r>
            <w:r w:rsidR="00012E12">
              <w:rPr>
                <w:noProof/>
                <w:webHidden/>
              </w:rPr>
              <w:fldChar w:fldCharType="begin"/>
            </w:r>
            <w:r w:rsidR="00012E12">
              <w:rPr>
                <w:noProof/>
                <w:webHidden/>
              </w:rPr>
              <w:instrText xml:space="preserve"> PAGEREF _Toc236669170 \h </w:instrText>
            </w:r>
            <w:r w:rsidR="00012E12">
              <w:rPr>
                <w:noProof/>
                <w:webHidden/>
              </w:rPr>
            </w:r>
            <w:r w:rsidR="00012E12">
              <w:rPr>
                <w:noProof/>
                <w:webHidden/>
              </w:rPr>
              <w:fldChar w:fldCharType="separate"/>
            </w:r>
            <w:r w:rsidR="00012E12">
              <w:rPr>
                <w:noProof/>
                <w:webHidden/>
              </w:rPr>
              <w:t>4</w:t>
            </w:r>
            <w:r w:rsidR="00012E12">
              <w:rPr>
                <w:noProof/>
                <w:webHidden/>
              </w:rPr>
              <w:fldChar w:fldCharType="end"/>
            </w:r>
          </w:hyperlink>
        </w:p>
        <w:p w14:paraId="0AE36B70"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171" w:history="1">
            <w:r w:rsidR="00012E12" w:rsidRPr="00F0343D">
              <w:rPr>
                <w:rStyle w:val="Hyperlink"/>
                <w:noProof/>
                <w:lang w:val="en-GB"/>
              </w:rPr>
              <w:t>Report Structure</w:t>
            </w:r>
            <w:r w:rsidR="00012E12">
              <w:rPr>
                <w:noProof/>
                <w:webHidden/>
              </w:rPr>
              <w:tab/>
            </w:r>
            <w:r w:rsidR="00012E12">
              <w:rPr>
                <w:noProof/>
                <w:webHidden/>
              </w:rPr>
              <w:fldChar w:fldCharType="begin"/>
            </w:r>
            <w:r w:rsidR="00012E12">
              <w:rPr>
                <w:noProof/>
                <w:webHidden/>
              </w:rPr>
              <w:instrText xml:space="preserve"> PAGEREF _Toc236669171 \h </w:instrText>
            </w:r>
            <w:r w:rsidR="00012E12">
              <w:rPr>
                <w:noProof/>
                <w:webHidden/>
              </w:rPr>
            </w:r>
            <w:r w:rsidR="00012E12">
              <w:rPr>
                <w:noProof/>
                <w:webHidden/>
              </w:rPr>
              <w:fldChar w:fldCharType="separate"/>
            </w:r>
            <w:r w:rsidR="00012E12">
              <w:rPr>
                <w:noProof/>
                <w:webHidden/>
              </w:rPr>
              <w:t>5</w:t>
            </w:r>
            <w:r w:rsidR="00012E12">
              <w:rPr>
                <w:noProof/>
                <w:webHidden/>
              </w:rPr>
              <w:fldChar w:fldCharType="end"/>
            </w:r>
          </w:hyperlink>
        </w:p>
        <w:p w14:paraId="519D6218" w14:textId="77777777" w:rsidR="00012E12" w:rsidRDefault="00BF032D">
          <w:pPr>
            <w:pStyle w:val="TOC1"/>
            <w:tabs>
              <w:tab w:val="right" w:leader="dot" w:pos="9350"/>
            </w:tabs>
            <w:rPr>
              <w:rFonts w:asciiTheme="minorHAnsi" w:eastAsiaTheme="minorEastAsia" w:hAnsiTheme="minorHAnsi" w:cstheme="minorBidi"/>
              <w:noProof/>
              <w:lang w:val="en-US" w:eastAsia="en-US"/>
            </w:rPr>
          </w:pPr>
          <w:hyperlink w:anchor="_Toc236669172" w:history="1">
            <w:r w:rsidR="00012E12" w:rsidRPr="00F0343D">
              <w:rPr>
                <w:rStyle w:val="Hyperlink"/>
                <w:noProof/>
                <w:lang w:val="en-GB"/>
              </w:rPr>
              <w:t>Main Body</w:t>
            </w:r>
            <w:r w:rsidR="00012E12">
              <w:rPr>
                <w:noProof/>
                <w:webHidden/>
              </w:rPr>
              <w:tab/>
            </w:r>
            <w:r w:rsidR="00012E12">
              <w:rPr>
                <w:noProof/>
                <w:webHidden/>
              </w:rPr>
              <w:fldChar w:fldCharType="begin"/>
            </w:r>
            <w:r w:rsidR="00012E12">
              <w:rPr>
                <w:noProof/>
                <w:webHidden/>
              </w:rPr>
              <w:instrText xml:space="preserve"> PAGEREF _Toc236669172 \h </w:instrText>
            </w:r>
            <w:r w:rsidR="00012E12">
              <w:rPr>
                <w:noProof/>
                <w:webHidden/>
              </w:rPr>
            </w:r>
            <w:r w:rsidR="00012E12">
              <w:rPr>
                <w:noProof/>
                <w:webHidden/>
              </w:rPr>
              <w:fldChar w:fldCharType="separate"/>
            </w:r>
            <w:r w:rsidR="00012E12">
              <w:rPr>
                <w:noProof/>
                <w:webHidden/>
              </w:rPr>
              <w:t>5</w:t>
            </w:r>
            <w:r w:rsidR="00012E12">
              <w:rPr>
                <w:noProof/>
                <w:webHidden/>
              </w:rPr>
              <w:fldChar w:fldCharType="end"/>
            </w:r>
          </w:hyperlink>
        </w:p>
        <w:p w14:paraId="1DC90FF8"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173" w:history="1">
            <w:r w:rsidR="00012E12" w:rsidRPr="00F0343D">
              <w:rPr>
                <w:rStyle w:val="Hyperlink"/>
                <w:noProof/>
                <w:lang w:val="en-GB"/>
              </w:rPr>
              <w:t>a. Identifying the Problem and Setting the System Context- Applying Systems Thinking and the Rich Picture</w:t>
            </w:r>
            <w:r w:rsidR="00012E12">
              <w:rPr>
                <w:noProof/>
                <w:webHidden/>
              </w:rPr>
              <w:tab/>
            </w:r>
            <w:r w:rsidR="00012E12">
              <w:rPr>
                <w:noProof/>
                <w:webHidden/>
              </w:rPr>
              <w:fldChar w:fldCharType="begin"/>
            </w:r>
            <w:r w:rsidR="00012E12">
              <w:rPr>
                <w:noProof/>
                <w:webHidden/>
              </w:rPr>
              <w:instrText xml:space="preserve"> PAGEREF _Toc236669173 \h </w:instrText>
            </w:r>
            <w:r w:rsidR="00012E12">
              <w:rPr>
                <w:noProof/>
                <w:webHidden/>
              </w:rPr>
            </w:r>
            <w:r w:rsidR="00012E12">
              <w:rPr>
                <w:noProof/>
                <w:webHidden/>
              </w:rPr>
              <w:fldChar w:fldCharType="separate"/>
            </w:r>
            <w:r w:rsidR="00012E12">
              <w:rPr>
                <w:noProof/>
                <w:webHidden/>
              </w:rPr>
              <w:t>5</w:t>
            </w:r>
            <w:r w:rsidR="00012E12">
              <w:rPr>
                <w:noProof/>
                <w:webHidden/>
              </w:rPr>
              <w:fldChar w:fldCharType="end"/>
            </w:r>
          </w:hyperlink>
        </w:p>
        <w:p w14:paraId="457665C6"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74" w:history="1">
            <w:r w:rsidR="00012E12" w:rsidRPr="00F0343D">
              <w:rPr>
                <w:rStyle w:val="Hyperlink"/>
                <w:noProof/>
                <w:lang w:val="en-GB"/>
              </w:rPr>
              <w:t>Defining the central problem</w:t>
            </w:r>
            <w:r w:rsidR="00012E12">
              <w:rPr>
                <w:noProof/>
                <w:webHidden/>
              </w:rPr>
              <w:tab/>
            </w:r>
            <w:r w:rsidR="00012E12">
              <w:rPr>
                <w:noProof/>
                <w:webHidden/>
              </w:rPr>
              <w:fldChar w:fldCharType="begin"/>
            </w:r>
            <w:r w:rsidR="00012E12">
              <w:rPr>
                <w:noProof/>
                <w:webHidden/>
              </w:rPr>
              <w:instrText xml:space="preserve"> PAGEREF _Toc236669174 \h </w:instrText>
            </w:r>
            <w:r w:rsidR="00012E12">
              <w:rPr>
                <w:noProof/>
                <w:webHidden/>
              </w:rPr>
            </w:r>
            <w:r w:rsidR="00012E12">
              <w:rPr>
                <w:noProof/>
                <w:webHidden/>
              </w:rPr>
              <w:fldChar w:fldCharType="separate"/>
            </w:r>
            <w:r w:rsidR="00012E12">
              <w:rPr>
                <w:noProof/>
                <w:webHidden/>
              </w:rPr>
              <w:t>5</w:t>
            </w:r>
            <w:r w:rsidR="00012E12">
              <w:rPr>
                <w:noProof/>
                <w:webHidden/>
              </w:rPr>
              <w:fldChar w:fldCharType="end"/>
            </w:r>
          </w:hyperlink>
        </w:p>
        <w:p w14:paraId="6A2B3E1C"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75" w:history="1">
            <w:r w:rsidR="00012E12" w:rsidRPr="00F0343D">
              <w:rPr>
                <w:rStyle w:val="Hyperlink"/>
                <w:noProof/>
                <w:lang w:val="en-GB"/>
              </w:rPr>
              <w:t>National and global context</w:t>
            </w:r>
            <w:r w:rsidR="00012E12">
              <w:rPr>
                <w:noProof/>
                <w:webHidden/>
              </w:rPr>
              <w:tab/>
            </w:r>
            <w:r w:rsidR="00012E12">
              <w:rPr>
                <w:noProof/>
                <w:webHidden/>
              </w:rPr>
              <w:fldChar w:fldCharType="begin"/>
            </w:r>
            <w:r w:rsidR="00012E12">
              <w:rPr>
                <w:noProof/>
                <w:webHidden/>
              </w:rPr>
              <w:instrText xml:space="preserve"> PAGEREF _Toc236669175 \h </w:instrText>
            </w:r>
            <w:r w:rsidR="00012E12">
              <w:rPr>
                <w:noProof/>
                <w:webHidden/>
              </w:rPr>
            </w:r>
            <w:r w:rsidR="00012E12">
              <w:rPr>
                <w:noProof/>
                <w:webHidden/>
              </w:rPr>
              <w:fldChar w:fldCharType="separate"/>
            </w:r>
            <w:r w:rsidR="00012E12">
              <w:rPr>
                <w:noProof/>
                <w:webHidden/>
              </w:rPr>
              <w:t>6</w:t>
            </w:r>
            <w:r w:rsidR="00012E12">
              <w:rPr>
                <w:noProof/>
                <w:webHidden/>
              </w:rPr>
              <w:fldChar w:fldCharType="end"/>
            </w:r>
          </w:hyperlink>
        </w:p>
        <w:p w14:paraId="17FAA891"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76" w:history="1">
            <w:r w:rsidR="00012E12" w:rsidRPr="00F0343D">
              <w:rPr>
                <w:rStyle w:val="Hyperlink"/>
                <w:noProof/>
                <w:lang w:val="en-GB"/>
              </w:rPr>
              <w:t>Systemic weakness and governance</w:t>
            </w:r>
            <w:r w:rsidR="00012E12">
              <w:rPr>
                <w:noProof/>
                <w:webHidden/>
              </w:rPr>
              <w:tab/>
            </w:r>
            <w:r w:rsidR="00012E12">
              <w:rPr>
                <w:noProof/>
                <w:webHidden/>
              </w:rPr>
              <w:fldChar w:fldCharType="begin"/>
            </w:r>
            <w:r w:rsidR="00012E12">
              <w:rPr>
                <w:noProof/>
                <w:webHidden/>
              </w:rPr>
              <w:instrText xml:space="preserve"> PAGEREF _Toc236669176 \h </w:instrText>
            </w:r>
            <w:r w:rsidR="00012E12">
              <w:rPr>
                <w:noProof/>
                <w:webHidden/>
              </w:rPr>
            </w:r>
            <w:r w:rsidR="00012E12">
              <w:rPr>
                <w:noProof/>
                <w:webHidden/>
              </w:rPr>
              <w:fldChar w:fldCharType="separate"/>
            </w:r>
            <w:r w:rsidR="00012E12">
              <w:rPr>
                <w:noProof/>
                <w:webHidden/>
              </w:rPr>
              <w:t>7</w:t>
            </w:r>
            <w:r w:rsidR="00012E12">
              <w:rPr>
                <w:noProof/>
                <w:webHidden/>
              </w:rPr>
              <w:fldChar w:fldCharType="end"/>
            </w:r>
          </w:hyperlink>
        </w:p>
        <w:p w14:paraId="062187D7"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77" w:history="1">
            <w:r w:rsidR="00012E12" w:rsidRPr="00F0343D">
              <w:rPr>
                <w:rStyle w:val="Hyperlink"/>
                <w:noProof/>
                <w:lang w:val="en-GB"/>
              </w:rPr>
              <w:t>Underlying challenges, feedback loop and communication dependency</w:t>
            </w:r>
            <w:r w:rsidR="00012E12">
              <w:rPr>
                <w:noProof/>
                <w:webHidden/>
              </w:rPr>
              <w:tab/>
            </w:r>
            <w:r w:rsidR="00012E12">
              <w:rPr>
                <w:noProof/>
                <w:webHidden/>
              </w:rPr>
              <w:fldChar w:fldCharType="begin"/>
            </w:r>
            <w:r w:rsidR="00012E12">
              <w:rPr>
                <w:noProof/>
                <w:webHidden/>
              </w:rPr>
              <w:instrText xml:space="preserve"> PAGEREF _Toc236669177 \h </w:instrText>
            </w:r>
            <w:r w:rsidR="00012E12">
              <w:rPr>
                <w:noProof/>
                <w:webHidden/>
              </w:rPr>
            </w:r>
            <w:r w:rsidR="00012E12">
              <w:rPr>
                <w:noProof/>
                <w:webHidden/>
              </w:rPr>
              <w:fldChar w:fldCharType="separate"/>
            </w:r>
            <w:r w:rsidR="00012E12">
              <w:rPr>
                <w:noProof/>
                <w:webHidden/>
              </w:rPr>
              <w:t>8</w:t>
            </w:r>
            <w:r w:rsidR="00012E12">
              <w:rPr>
                <w:noProof/>
                <w:webHidden/>
              </w:rPr>
              <w:fldChar w:fldCharType="end"/>
            </w:r>
          </w:hyperlink>
        </w:p>
        <w:p w14:paraId="4F64E951"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178" w:history="1">
            <w:r w:rsidR="00012E12" w:rsidRPr="00F0343D">
              <w:rPr>
                <w:rStyle w:val="Hyperlink"/>
                <w:noProof/>
                <w:lang w:val="en-GB"/>
              </w:rPr>
              <w:t>b. Centralisation or Decentralisation within the Case Study</w:t>
            </w:r>
            <w:r w:rsidR="00012E12">
              <w:rPr>
                <w:noProof/>
                <w:webHidden/>
              </w:rPr>
              <w:tab/>
            </w:r>
            <w:r w:rsidR="00012E12">
              <w:rPr>
                <w:noProof/>
                <w:webHidden/>
              </w:rPr>
              <w:fldChar w:fldCharType="begin"/>
            </w:r>
            <w:r w:rsidR="00012E12">
              <w:rPr>
                <w:noProof/>
                <w:webHidden/>
              </w:rPr>
              <w:instrText xml:space="preserve"> PAGEREF _Toc236669178 \h </w:instrText>
            </w:r>
            <w:r w:rsidR="00012E12">
              <w:rPr>
                <w:noProof/>
                <w:webHidden/>
              </w:rPr>
            </w:r>
            <w:r w:rsidR="00012E12">
              <w:rPr>
                <w:noProof/>
                <w:webHidden/>
              </w:rPr>
              <w:fldChar w:fldCharType="separate"/>
            </w:r>
            <w:r w:rsidR="00012E12">
              <w:rPr>
                <w:noProof/>
                <w:webHidden/>
              </w:rPr>
              <w:t>10</w:t>
            </w:r>
            <w:r w:rsidR="00012E12">
              <w:rPr>
                <w:noProof/>
                <w:webHidden/>
              </w:rPr>
              <w:fldChar w:fldCharType="end"/>
            </w:r>
          </w:hyperlink>
        </w:p>
        <w:p w14:paraId="6D57BAB0"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79" w:history="1">
            <w:r w:rsidR="00012E12" w:rsidRPr="00F0343D">
              <w:rPr>
                <w:rStyle w:val="Hyperlink"/>
                <w:noProof/>
                <w:lang w:val="en-GB"/>
              </w:rPr>
              <w:t>Justification of the organisational structure</w:t>
            </w:r>
            <w:r w:rsidR="00012E12">
              <w:rPr>
                <w:noProof/>
                <w:webHidden/>
              </w:rPr>
              <w:tab/>
            </w:r>
            <w:r w:rsidR="00012E12">
              <w:rPr>
                <w:noProof/>
                <w:webHidden/>
              </w:rPr>
              <w:fldChar w:fldCharType="begin"/>
            </w:r>
            <w:r w:rsidR="00012E12">
              <w:rPr>
                <w:noProof/>
                <w:webHidden/>
              </w:rPr>
              <w:instrText xml:space="preserve"> PAGEREF _Toc236669179 \h </w:instrText>
            </w:r>
            <w:r w:rsidR="00012E12">
              <w:rPr>
                <w:noProof/>
                <w:webHidden/>
              </w:rPr>
            </w:r>
            <w:r w:rsidR="00012E12">
              <w:rPr>
                <w:noProof/>
                <w:webHidden/>
              </w:rPr>
              <w:fldChar w:fldCharType="separate"/>
            </w:r>
            <w:r w:rsidR="00012E12">
              <w:rPr>
                <w:noProof/>
                <w:webHidden/>
              </w:rPr>
              <w:t>10</w:t>
            </w:r>
            <w:r w:rsidR="00012E12">
              <w:rPr>
                <w:noProof/>
                <w:webHidden/>
              </w:rPr>
              <w:fldChar w:fldCharType="end"/>
            </w:r>
          </w:hyperlink>
        </w:p>
        <w:p w14:paraId="59A1F237"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80" w:history="1">
            <w:r w:rsidR="00012E12" w:rsidRPr="00F0343D">
              <w:rPr>
                <w:rStyle w:val="Hyperlink"/>
                <w:noProof/>
                <w:lang w:val="en-GB"/>
              </w:rPr>
              <w:t>Characteristics of centralised decision making</w:t>
            </w:r>
            <w:r w:rsidR="00012E12">
              <w:rPr>
                <w:noProof/>
                <w:webHidden/>
              </w:rPr>
              <w:tab/>
            </w:r>
            <w:r w:rsidR="00012E12">
              <w:rPr>
                <w:noProof/>
                <w:webHidden/>
              </w:rPr>
              <w:fldChar w:fldCharType="begin"/>
            </w:r>
            <w:r w:rsidR="00012E12">
              <w:rPr>
                <w:noProof/>
                <w:webHidden/>
              </w:rPr>
              <w:instrText xml:space="preserve"> PAGEREF _Toc236669180 \h </w:instrText>
            </w:r>
            <w:r w:rsidR="00012E12">
              <w:rPr>
                <w:noProof/>
                <w:webHidden/>
              </w:rPr>
            </w:r>
            <w:r w:rsidR="00012E12">
              <w:rPr>
                <w:noProof/>
                <w:webHidden/>
              </w:rPr>
              <w:fldChar w:fldCharType="separate"/>
            </w:r>
            <w:r w:rsidR="00012E12">
              <w:rPr>
                <w:noProof/>
                <w:webHidden/>
              </w:rPr>
              <w:t>10</w:t>
            </w:r>
            <w:r w:rsidR="00012E12">
              <w:rPr>
                <w:noProof/>
                <w:webHidden/>
              </w:rPr>
              <w:fldChar w:fldCharType="end"/>
            </w:r>
          </w:hyperlink>
        </w:p>
        <w:p w14:paraId="34D6009F"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81" w:history="1">
            <w:r w:rsidR="00012E12" w:rsidRPr="00F0343D">
              <w:rPr>
                <w:rStyle w:val="Hyperlink"/>
                <w:noProof/>
                <w:lang w:val="en-GB"/>
              </w:rPr>
              <w:t>Advantages of centralisation in the case study</w:t>
            </w:r>
            <w:r w:rsidR="00012E12">
              <w:rPr>
                <w:noProof/>
                <w:webHidden/>
              </w:rPr>
              <w:tab/>
            </w:r>
            <w:r w:rsidR="00012E12">
              <w:rPr>
                <w:noProof/>
                <w:webHidden/>
              </w:rPr>
              <w:fldChar w:fldCharType="begin"/>
            </w:r>
            <w:r w:rsidR="00012E12">
              <w:rPr>
                <w:noProof/>
                <w:webHidden/>
              </w:rPr>
              <w:instrText xml:space="preserve"> PAGEREF _Toc236669181 \h </w:instrText>
            </w:r>
            <w:r w:rsidR="00012E12">
              <w:rPr>
                <w:noProof/>
                <w:webHidden/>
              </w:rPr>
            </w:r>
            <w:r w:rsidR="00012E12">
              <w:rPr>
                <w:noProof/>
                <w:webHidden/>
              </w:rPr>
              <w:fldChar w:fldCharType="separate"/>
            </w:r>
            <w:r w:rsidR="00012E12">
              <w:rPr>
                <w:noProof/>
                <w:webHidden/>
              </w:rPr>
              <w:t>11</w:t>
            </w:r>
            <w:r w:rsidR="00012E12">
              <w:rPr>
                <w:noProof/>
                <w:webHidden/>
              </w:rPr>
              <w:fldChar w:fldCharType="end"/>
            </w:r>
          </w:hyperlink>
        </w:p>
        <w:p w14:paraId="10E2A909"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82" w:history="1">
            <w:r w:rsidR="00012E12" w:rsidRPr="00F0343D">
              <w:rPr>
                <w:rStyle w:val="Hyperlink"/>
                <w:noProof/>
                <w:lang w:val="en-GB"/>
              </w:rPr>
              <w:t>Disadvantages of centralisation in the case study</w:t>
            </w:r>
            <w:r w:rsidR="00012E12">
              <w:rPr>
                <w:noProof/>
                <w:webHidden/>
              </w:rPr>
              <w:tab/>
            </w:r>
            <w:r w:rsidR="00012E12">
              <w:rPr>
                <w:noProof/>
                <w:webHidden/>
              </w:rPr>
              <w:fldChar w:fldCharType="begin"/>
            </w:r>
            <w:r w:rsidR="00012E12">
              <w:rPr>
                <w:noProof/>
                <w:webHidden/>
              </w:rPr>
              <w:instrText xml:space="preserve"> PAGEREF _Toc236669182 \h </w:instrText>
            </w:r>
            <w:r w:rsidR="00012E12">
              <w:rPr>
                <w:noProof/>
                <w:webHidden/>
              </w:rPr>
            </w:r>
            <w:r w:rsidR="00012E12">
              <w:rPr>
                <w:noProof/>
                <w:webHidden/>
              </w:rPr>
              <w:fldChar w:fldCharType="separate"/>
            </w:r>
            <w:r w:rsidR="00012E12">
              <w:rPr>
                <w:noProof/>
                <w:webHidden/>
              </w:rPr>
              <w:t>11</w:t>
            </w:r>
            <w:r w:rsidR="00012E12">
              <w:rPr>
                <w:noProof/>
                <w:webHidden/>
              </w:rPr>
              <w:fldChar w:fldCharType="end"/>
            </w:r>
          </w:hyperlink>
        </w:p>
        <w:p w14:paraId="627B6681"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83" w:history="1">
            <w:r w:rsidR="00012E12" w:rsidRPr="00F0343D">
              <w:rPr>
                <w:rStyle w:val="Hyperlink"/>
                <w:noProof/>
                <w:lang w:val="en-GB"/>
              </w:rPr>
              <w:t>Impact on decision making, crisis management and accountability</w:t>
            </w:r>
            <w:r w:rsidR="00012E12">
              <w:rPr>
                <w:noProof/>
                <w:webHidden/>
              </w:rPr>
              <w:tab/>
            </w:r>
            <w:r w:rsidR="00012E12">
              <w:rPr>
                <w:noProof/>
                <w:webHidden/>
              </w:rPr>
              <w:fldChar w:fldCharType="begin"/>
            </w:r>
            <w:r w:rsidR="00012E12">
              <w:rPr>
                <w:noProof/>
                <w:webHidden/>
              </w:rPr>
              <w:instrText xml:space="preserve"> PAGEREF _Toc236669183 \h </w:instrText>
            </w:r>
            <w:r w:rsidR="00012E12">
              <w:rPr>
                <w:noProof/>
                <w:webHidden/>
              </w:rPr>
            </w:r>
            <w:r w:rsidR="00012E12">
              <w:rPr>
                <w:noProof/>
                <w:webHidden/>
              </w:rPr>
              <w:fldChar w:fldCharType="separate"/>
            </w:r>
            <w:r w:rsidR="00012E12">
              <w:rPr>
                <w:noProof/>
                <w:webHidden/>
              </w:rPr>
              <w:t>12</w:t>
            </w:r>
            <w:r w:rsidR="00012E12">
              <w:rPr>
                <w:noProof/>
                <w:webHidden/>
              </w:rPr>
              <w:fldChar w:fldCharType="end"/>
            </w:r>
          </w:hyperlink>
        </w:p>
        <w:p w14:paraId="33185175"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184" w:history="1">
            <w:r w:rsidR="00012E12" w:rsidRPr="00F0343D">
              <w:rPr>
                <w:rStyle w:val="Hyperlink"/>
                <w:noProof/>
                <w:lang w:val="en-GB"/>
              </w:rPr>
              <w:t>c. Leadership Theories and Application to the Case Study</w:t>
            </w:r>
            <w:r w:rsidR="00012E12">
              <w:rPr>
                <w:noProof/>
                <w:webHidden/>
              </w:rPr>
              <w:tab/>
            </w:r>
            <w:r w:rsidR="00012E12">
              <w:rPr>
                <w:noProof/>
                <w:webHidden/>
              </w:rPr>
              <w:fldChar w:fldCharType="begin"/>
            </w:r>
            <w:r w:rsidR="00012E12">
              <w:rPr>
                <w:noProof/>
                <w:webHidden/>
              </w:rPr>
              <w:instrText xml:space="preserve"> PAGEREF _Toc236669184 \h </w:instrText>
            </w:r>
            <w:r w:rsidR="00012E12">
              <w:rPr>
                <w:noProof/>
                <w:webHidden/>
              </w:rPr>
            </w:r>
            <w:r w:rsidR="00012E12">
              <w:rPr>
                <w:noProof/>
                <w:webHidden/>
              </w:rPr>
              <w:fldChar w:fldCharType="separate"/>
            </w:r>
            <w:r w:rsidR="00012E12">
              <w:rPr>
                <w:noProof/>
                <w:webHidden/>
              </w:rPr>
              <w:t>13</w:t>
            </w:r>
            <w:r w:rsidR="00012E12">
              <w:rPr>
                <w:noProof/>
                <w:webHidden/>
              </w:rPr>
              <w:fldChar w:fldCharType="end"/>
            </w:r>
          </w:hyperlink>
        </w:p>
        <w:p w14:paraId="46F9D33D"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85" w:history="1">
            <w:r w:rsidR="00012E12" w:rsidRPr="00F0343D">
              <w:rPr>
                <w:rStyle w:val="Hyperlink"/>
                <w:noProof/>
                <w:lang w:val="en-GB"/>
              </w:rPr>
              <w:t>Critical analysis of leadership theories</w:t>
            </w:r>
            <w:r w:rsidR="00012E12">
              <w:rPr>
                <w:noProof/>
                <w:webHidden/>
              </w:rPr>
              <w:tab/>
            </w:r>
            <w:r w:rsidR="00012E12">
              <w:rPr>
                <w:noProof/>
                <w:webHidden/>
              </w:rPr>
              <w:fldChar w:fldCharType="begin"/>
            </w:r>
            <w:r w:rsidR="00012E12">
              <w:rPr>
                <w:noProof/>
                <w:webHidden/>
              </w:rPr>
              <w:instrText xml:space="preserve"> PAGEREF _Toc236669185 \h </w:instrText>
            </w:r>
            <w:r w:rsidR="00012E12">
              <w:rPr>
                <w:noProof/>
                <w:webHidden/>
              </w:rPr>
            </w:r>
            <w:r w:rsidR="00012E12">
              <w:rPr>
                <w:noProof/>
                <w:webHidden/>
              </w:rPr>
              <w:fldChar w:fldCharType="separate"/>
            </w:r>
            <w:r w:rsidR="00012E12">
              <w:rPr>
                <w:noProof/>
                <w:webHidden/>
              </w:rPr>
              <w:t>13</w:t>
            </w:r>
            <w:r w:rsidR="00012E12">
              <w:rPr>
                <w:noProof/>
                <w:webHidden/>
              </w:rPr>
              <w:fldChar w:fldCharType="end"/>
            </w:r>
          </w:hyperlink>
        </w:p>
        <w:p w14:paraId="7929ADEA"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86" w:history="1">
            <w:r w:rsidR="00012E12" w:rsidRPr="00F0343D">
              <w:rPr>
                <w:rStyle w:val="Hyperlink"/>
                <w:noProof/>
                <w:lang w:val="en-GB"/>
              </w:rPr>
              <w:t>Appropriateness of chosen leadership style</w:t>
            </w:r>
            <w:r w:rsidR="00012E12">
              <w:rPr>
                <w:noProof/>
                <w:webHidden/>
              </w:rPr>
              <w:tab/>
            </w:r>
            <w:r w:rsidR="00012E12">
              <w:rPr>
                <w:noProof/>
                <w:webHidden/>
              </w:rPr>
              <w:fldChar w:fldCharType="begin"/>
            </w:r>
            <w:r w:rsidR="00012E12">
              <w:rPr>
                <w:noProof/>
                <w:webHidden/>
              </w:rPr>
              <w:instrText xml:space="preserve"> PAGEREF _Toc236669186 \h </w:instrText>
            </w:r>
            <w:r w:rsidR="00012E12">
              <w:rPr>
                <w:noProof/>
                <w:webHidden/>
              </w:rPr>
            </w:r>
            <w:r w:rsidR="00012E12">
              <w:rPr>
                <w:noProof/>
                <w:webHidden/>
              </w:rPr>
              <w:fldChar w:fldCharType="separate"/>
            </w:r>
            <w:r w:rsidR="00012E12">
              <w:rPr>
                <w:noProof/>
                <w:webHidden/>
              </w:rPr>
              <w:t>14</w:t>
            </w:r>
            <w:r w:rsidR="00012E12">
              <w:rPr>
                <w:noProof/>
                <w:webHidden/>
              </w:rPr>
              <w:fldChar w:fldCharType="end"/>
            </w:r>
          </w:hyperlink>
        </w:p>
        <w:p w14:paraId="4F01D348"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87" w:history="1">
            <w:r w:rsidR="00012E12" w:rsidRPr="00F0343D">
              <w:rPr>
                <w:rStyle w:val="Hyperlink"/>
                <w:noProof/>
                <w:lang w:val="en-GB"/>
              </w:rPr>
              <w:t>Leaders' behaviour and data</w:t>
            </w:r>
            <w:r w:rsidR="00012E12">
              <w:rPr>
                <w:noProof/>
                <w:webHidden/>
              </w:rPr>
              <w:tab/>
            </w:r>
            <w:r w:rsidR="00012E12">
              <w:rPr>
                <w:noProof/>
                <w:webHidden/>
              </w:rPr>
              <w:fldChar w:fldCharType="begin"/>
            </w:r>
            <w:r w:rsidR="00012E12">
              <w:rPr>
                <w:noProof/>
                <w:webHidden/>
              </w:rPr>
              <w:instrText xml:space="preserve"> PAGEREF _Toc236669187 \h </w:instrText>
            </w:r>
            <w:r w:rsidR="00012E12">
              <w:rPr>
                <w:noProof/>
                <w:webHidden/>
              </w:rPr>
            </w:r>
            <w:r w:rsidR="00012E12">
              <w:rPr>
                <w:noProof/>
                <w:webHidden/>
              </w:rPr>
              <w:fldChar w:fldCharType="separate"/>
            </w:r>
            <w:r w:rsidR="00012E12">
              <w:rPr>
                <w:noProof/>
                <w:webHidden/>
              </w:rPr>
              <w:t>14</w:t>
            </w:r>
            <w:r w:rsidR="00012E12">
              <w:rPr>
                <w:noProof/>
                <w:webHidden/>
              </w:rPr>
              <w:fldChar w:fldCharType="end"/>
            </w:r>
          </w:hyperlink>
        </w:p>
        <w:p w14:paraId="141352F1"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88" w:history="1">
            <w:r w:rsidR="00012E12" w:rsidRPr="00F0343D">
              <w:rPr>
                <w:rStyle w:val="Hyperlink"/>
                <w:noProof/>
                <w:lang w:val="en-GB"/>
              </w:rPr>
              <w:t>Different techniques</w:t>
            </w:r>
            <w:r w:rsidR="00012E12">
              <w:rPr>
                <w:noProof/>
                <w:webHidden/>
              </w:rPr>
              <w:tab/>
            </w:r>
            <w:r w:rsidR="00012E12">
              <w:rPr>
                <w:noProof/>
                <w:webHidden/>
              </w:rPr>
              <w:fldChar w:fldCharType="begin"/>
            </w:r>
            <w:r w:rsidR="00012E12">
              <w:rPr>
                <w:noProof/>
                <w:webHidden/>
              </w:rPr>
              <w:instrText xml:space="preserve"> PAGEREF _Toc236669188 \h </w:instrText>
            </w:r>
            <w:r w:rsidR="00012E12">
              <w:rPr>
                <w:noProof/>
                <w:webHidden/>
              </w:rPr>
            </w:r>
            <w:r w:rsidR="00012E12">
              <w:rPr>
                <w:noProof/>
                <w:webHidden/>
              </w:rPr>
              <w:fldChar w:fldCharType="separate"/>
            </w:r>
            <w:r w:rsidR="00012E12">
              <w:rPr>
                <w:noProof/>
                <w:webHidden/>
              </w:rPr>
              <w:t>16</w:t>
            </w:r>
            <w:r w:rsidR="00012E12">
              <w:rPr>
                <w:noProof/>
                <w:webHidden/>
              </w:rPr>
              <w:fldChar w:fldCharType="end"/>
            </w:r>
          </w:hyperlink>
        </w:p>
        <w:p w14:paraId="44619C9A"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189" w:history="1">
            <w:r w:rsidR="00012E12" w:rsidRPr="00F0343D">
              <w:rPr>
                <w:rStyle w:val="Hyperlink"/>
                <w:noProof/>
                <w:lang w:val="en-GB"/>
              </w:rPr>
              <w:t>d. Improvement, and Lessons Learned</w:t>
            </w:r>
            <w:r w:rsidR="00012E12">
              <w:rPr>
                <w:noProof/>
                <w:webHidden/>
              </w:rPr>
              <w:tab/>
            </w:r>
            <w:r w:rsidR="00012E12">
              <w:rPr>
                <w:noProof/>
                <w:webHidden/>
              </w:rPr>
              <w:fldChar w:fldCharType="begin"/>
            </w:r>
            <w:r w:rsidR="00012E12">
              <w:rPr>
                <w:noProof/>
                <w:webHidden/>
              </w:rPr>
              <w:instrText xml:space="preserve"> PAGEREF _Toc236669189 \h </w:instrText>
            </w:r>
            <w:r w:rsidR="00012E12">
              <w:rPr>
                <w:noProof/>
                <w:webHidden/>
              </w:rPr>
            </w:r>
            <w:r w:rsidR="00012E12">
              <w:rPr>
                <w:noProof/>
                <w:webHidden/>
              </w:rPr>
              <w:fldChar w:fldCharType="separate"/>
            </w:r>
            <w:r w:rsidR="00012E12">
              <w:rPr>
                <w:noProof/>
                <w:webHidden/>
              </w:rPr>
              <w:t>17</w:t>
            </w:r>
            <w:r w:rsidR="00012E12">
              <w:rPr>
                <w:noProof/>
                <w:webHidden/>
              </w:rPr>
              <w:fldChar w:fldCharType="end"/>
            </w:r>
          </w:hyperlink>
        </w:p>
        <w:p w14:paraId="6FC18A7F"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90" w:history="1">
            <w:r w:rsidR="00012E12" w:rsidRPr="00F0343D">
              <w:rPr>
                <w:rStyle w:val="Hyperlink"/>
                <w:noProof/>
                <w:lang w:val="en-GB"/>
              </w:rPr>
              <w:t>Critical Evaluation of Leadership and Governance Interaction</w:t>
            </w:r>
            <w:r w:rsidR="00012E12">
              <w:rPr>
                <w:noProof/>
                <w:webHidden/>
              </w:rPr>
              <w:tab/>
            </w:r>
            <w:r w:rsidR="00012E12">
              <w:rPr>
                <w:noProof/>
                <w:webHidden/>
              </w:rPr>
              <w:fldChar w:fldCharType="begin"/>
            </w:r>
            <w:r w:rsidR="00012E12">
              <w:rPr>
                <w:noProof/>
                <w:webHidden/>
              </w:rPr>
              <w:instrText xml:space="preserve"> PAGEREF _Toc236669190 \h </w:instrText>
            </w:r>
            <w:r w:rsidR="00012E12">
              <w:rPr>
                <w:noProof/>
                <w:webHidden/>
              </w:rPr>
            </w:r>
            <w:r w:rsidR="00012E12">
              <w:rPr>
                <w:noProof/>
                <w:webHidden/>
              </w:rPr>
              <w:fldChar w:fldCharType="separate"/>
            </w:r>
            <w:r w:rsidR="00012E12">
              <w:rPr>
                <w:noProof/>
                <w:webHidden/>
              </w:rPr>
              <w:t>17</w:t>
            </w:r>
            <w:r w:rsidR="00012E12">
              <w:rPr>
                <w:noProof/>
                <w:webHidden/>
              </w:rPr>
              <w:fldChar w:fldCharType="end"/>
            </w:r>
          </w:hyperlink>
        </w:p>
        <w:p w14:paraId="6EEB2012"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91" w:history="1">
            <w:r w:rsidR="00012E12" w:rsidRPr="00F0343D">
              <w:rPr>
                <w:rStyle w:val="Hyperlink"/>
                <w:noProof/>
                <w:lang w:val="en-GB"/>
              </w:rPr>
              <w:t>Missed Opportunities and Evidence-Based Solutions</w:t>
            </w:r>
            <w:r w:rsidR="00012E12">
              <w:rPr>
                <w:noProof/>
                <w:webHidden/>
              </w:rPr>
              <w:tab/>
            </w:r>
            <w:r w:rsidR="00012E12">
              <w:rPr>
                <w:noProof/>
                <w:webHidden/>
              </w:rPr>
              <w:fldChar w:fldCharType="begin"/>
            </w:r>
            <w:r w:rsidR="00012E12">
              <w:rPr>
                <w:noProof/>
                <w:webHidden/>
              </w:rPr>
              <w:instrText xml:space="preserve"> PAGEREF _Toc236669191 \h </w:instrText>
            </w:r>
            <w:r w:rsidR="00012E12">
              <w:rPr>
                <w:noProof/>
                <w:webHidden/>
              </w:rPr>
            </w:r>
            <w:r w:rsidR="00012E12">
              <w:rPr>
                <w:noProof/>
                <w:webHidden/>
              </w:rPr>
              <w:fldChar w:fldCharType="separate"/>
            </w:r>
            <w:r w:rsidR="00012E12">
              <w:rPr>
                <w:noProof/>
                <w:webHidden/>
              </w:rPr>
              <w:t>17</w:t>
            </w:r>
            <w:r w:rsidR="00012E12">
              <w:rPr>
                <w:noProof/>
                <w:webHidden/>
              </w:rPr>
              <w:fldChar w:fldCharType="end"/>
            </w:r>
          </w:hyperlink>
        </w:p>
        <w:p w14:paraId="4D3A4F25"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92" w:history="1">
            <w:r w:rsidR="00012E12" w:rsidRPr="00F0343D">
              <w:rPr>
                <w:rStyle w:val="Hyperlink"/>
                <w:noProof/>
                <w:lang w:val="en-GB"/>
              </w:rPr>
              <w:t>System-Level Discussion - Problems, Solutions and Supporting Data</w:t>
            </w:r>
            <w:r w:rsidR="00012E12">
              <w:rPr>
                <w:noProof/>
                <w:webHidden/>
              </w:rPr>
              <w:tab/>
            </w:r>
            <w:r w:rsidR="00012E12">
              <w:rPr>
                <w:noProof/>
                <w:webHidden/>
              </w:rPr>
              <w:fldChar w:fldCharType="begin"/>
            </w:r>
            <w:r w:rsidR="00012E12">
              <w:rPr>
                <w:noProof/>
                <w:webHidden/>
              </w:rPr>
              <w:instrText xml:space="preserve"> PAGEREF _Toc236669192 \h </w:instrText>
            </w:r>
            <w:r w:rsidR="00012E12">
              <w:rPr>
                <w:noProof/>
                <w:webHidden/>
              </w:rPr>
            </w:r>
            <w:r w:rsidR="00012E12">
              <w:rPr>
                <w:noProof/>
                <w:webHidden/>
              </w:rPr>
              <w:fldChar w:fldCharType="separate"/>
            </w:r>
            <w:r w:rsidR="00012E12">
              <w:rPr>
                <w:noProof/>
                <w:webHidden/>
              </w:rPr>
              <w:t>19</w:t>
            </w:r>
            <w:r w:rsidR="00012E12">
              <w:rPr>
                <w:noProof/>
                <w:webHidden/>
              </w:rPr>
              <w:fldChar w:fldCharType="end"/>
            </w:r>
          </w:hyperlink>
        </w:p>
        <w:p w14:paraId="50FB1AFA"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93" w:history="1">
            <w:r w:rsidR="00012E12" w:rsidRPr="00F0343D">
              <w:rPr>
                <w:rStyle w:val="Hyperlink"/>
                <w:noProof/>
                <w:lang w:val="en-GB"/>
              </w:rPr>
              <w:t>Findings - Lessons Learned based</w:t>
            </w:r>
            <w:r w:rsidR="00012E12">
              <w:rPr>
                <w:noProof/>
                <w:webHidden/>
              </w:rPr>
              <w:tab/>
            </w:r>
            <w:r w:rsidR="00012E12">
              <w:rPr>
                <w:noProof/>
                <w:webHidden/>
              </w:rPr>
              <w:fldChar w:fldCharType="begin"/>
            </w:r>
            <w:r w:rsidR="00012E12">
              <w:rPr>
                <w:noProof/>
                <w:webHidden/>
              </w:rPr>
              <w:instrText xml:space="preserve"> PAGEREF _Toc236669193 \h </w:instrText>
            </w:r>
            <w:r w:rsidR="00012E12">
              <w:rPr>
                <w:noProof/>
                <w:webHidden/>
              </w:rPr>
            </w:r>
            <w:r w:rsidR="00012E12">
              <w:rPr>
                <w:noProof/>
                <w:webHidden/>
              </w:rPr>
              <w:fldChar w:fldCharType="separate"/>
            </w:r>
            <w:r w:rsidR="00012E12">
              <w:rPr>
                <w:noProof/>
                <w:webHidden/>
              </w:rPr>
              <w:t>20</w:t>
            </w:r>
            <w:r w:rsidR="00012E12">
              <w:rPr>
                <w:noProof/>
                <w:webHidden/>
              </w:rPr>
              <w:fldChar w:fldCharType="end"/>
            </w:r>
          </w:hyperlink>
        </w:p>
        <w:p w14:paraId="4C46CF2C"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194" w:history="1">
            <w:r w:rsidR="00012E12" w:rsidRPr="00F0343D">
              <w:rPr>
                <w:rStyle w:val="Hyperlink"/>
                <w:noProof/>
                <w:lang w:val="en-GB"/>
              </w:rPr>
              <w:t>Recommendation</w:t>
            </w:r>
            <w:r w:rsidR="00012E12">
              <w:rPr>
                <w:noProof/>
                <w:webHidden/>
              </w:rPr>
              <w:tab/>
            </w:r>
            <w:r w:rsidR="00012E12">
              <w:rPr>
                <w:noProof/>
                <w:webHidden/>
              </w:rPr>
              <w:fldChar w:fldCharType="begin"/>
            </w:r>
            <w:r w:rsidR="00012E12">
              <w:rPr>
                <w:noProof/>
                <w:webHidden/>
              </w:rPr>
              <w:instrText xml:space="preserve"> PAGEREF _Toc236669194 \h </w:instrText>
            </w:r>
            <w:r w:rsidR="00012E12">
              <w:rPr>
                <w:noProof/>
                <w:webHidden/>
              </w:rPr>
            </w:r>
            <w:r w:rsidR="00012E12">
              <w:rPr>
                <w:noProof/>
                <w:webHidden/>
              </w:rPr>
              <w:fldChar w:fldCharType="separate"/>
            </w:r>
            <w:r w:rsidR="00012E12">
              <w:rPr>
                <w:noProof/>
                <w:webHidden/>
              </w:rPr>
              <w:t>20</w:t>
            </w:r>
            <w:r w:rsidR="00012E12">
              <w:rPr>
                <w:noProof/>
                <w:webHidden/>
              </w:rPr>
              <w:fldChar w:fldCharType="end"/>
            </w:r>
          </w:hyperlink>
        </w:p>
        <w:p w14:paraId="5386A978"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95" w:history="1">
            <w:r w:rsidR="00012E12" w:rsidRPr="00F0343D">
              <w:rPr>
                <w:rStyle w:val="Hyperlink"/>
                <w:noProof/>
                <w:lang w:val="en-GB"/>
              </w:rPr>
              <w:t>Strengthen Patient Safety and Clinical Processes</w:t>
            </w:r>
            <w:r w:rsidR="00012E12">
              <w:rPr>
                <w:noProof/>
                <w:webHidden/>
              </w:rPr>
              <w:tab/>
            </w:r>
            <w:r w:rsidR="00012E12">
              <w:rPr>
                <w:noProof/>
                <w:webHidden/>
              </w:rPr>
              <w:fldChar w:fldCharType="begin"/>
            </w:r>
            <w:r w:rsidR="00012E12">
              <w:rPr>
                <w:noProof/>
                <w:webHidden/>
              </w:rPr>
              <w:instrText xml:space="preserve"> PAGEREF _Toc236669195 \h </w:instrText>
            </w:r>
            <w:r w:rsidR="00012E12">
              <w:rPr>
                <w:noProof/>
                <w:webHidden/>
              </w:rPr>
            </w:r>
            <w:r w:rsidR="00012E12">
              <w:rPr>
                <w:noProof/>
                <w:webHidden/>
              </w:rPr>
              <w:fldChar w:fldCharType="separate"/>
            </w:r>
            <w:r w:rsidR="00012E12">
              <w:rPr>
                <w:noProof/>
                <w:webHidden/>
              </w:rPr>
              <w:t>20</w:t>
            </w:r>
            <w:r w:rsidR="00012E12">
              <w:rPr>
                <w:noProof/>
                <w:webHidden/>
              </w:rPr>
              <w:fldChar w:fldCharType="end"/>
            </w:r>
          </w:hyperlink>
        </w:p>
        <w:p w14:paraId="70203C4E"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96" w:history="1">
            <w:r w:rsidR="00012E12" w:rsidRPr="00F0343D">
              <w:rPr>
                <w:rStyle w:val="Hyperlink"/>
                <w:noProof/>
                <w:lang w:val="en-GB"/>
              </w:rPr>
              <w:t>Adopt Effective Leadership for Sustainable Improvement</w:t>
            </w:r>
            <w:r w:rsidR="00012E12">
              <w:rPr>
                <w:noProof/>
                <w:webHidden/>
              </w:rPr>
              <w:tab/>
            </w:r>
            <w:r w:rsidR="00012E12">
              <w:rPr>
                <w:noProof/>
                <w:webHidden/>
              </w:rPr>
              <w:fldChar w:fldCharType="begin"/>
            </w:r>
            <w:r w:rsidR="00012E12">
              <w:rPr>
                <w:noProof/>
                <w:webHidden/>
              </w:rPr>
              <w:instrText xml:space="preserve"> PAGEREF _Toc236669196 \h </w:instrText>
            </w:r>
            <w:r w:rsidR="00012E12">
              <w:rPr>
                <w:noProof/>
                <w:webHidden/>
              </w:rPr>
            </w:r>
            <w:r w:rsidR="00012E12">
              <w:rPr>
                <w:noProof/>
                <w:webHidden/>
              </w:rPr>
              <w:fldChar w:fldCharType="separate"/>
            </w:r>
            <w:r w:rsidR="00012E12">
              <w:rPr>
                <w:noProof/>
                <w:webHidden/>
              </w:rPr>
              <w:t>20</w:t>
            </w:r>
            <w:r w:rsidR="00012E12">
              <w:rPr>
                <w:noProof/>
                <w:webHidden/>
              </w:rPr>
              <w:fldChar w:fldCharType="end"/>
            </w:r>
          </w:hyperlink>
        </w:p>
        <w:p w14:paraId="1FB662C4"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97" w:history="1">
            <w:r w:rsidR="00012E12" w:rsidRPr="00F0343D">
              <w:rPr>
                <w:rStyle w:val="Hyperlink"/>
                <w:noProof/>
                <w:lang w:val="en-GB"/>
              </w:rPr>
              <w:t>Strengthen Governance, Communication and Systems Integration</w:t>
            </w:r>
            <w:r w:rsidR="00012E12">
              <w:rPr>
                <w:noProof/>
                <w:webHidden/>
              </w:rPr>
              <w:tab/>
            </w:r>
            <w:r w:rsidR="00012E12">
              <w:rPr>
                <w:noProof/>
                <w:webHidden/>
              </w:rPr>
              <w:fldChar w:fldCharType="begin"/>
            </w:r>
            <w:r w:rsidR="00012E12">
              <w:rPr>
                <w:noProof/>
                <w:webHidden/>
              </w:rPr>
              <w:instrText xml:space="preserve"> PAGEREF _Toc236669197 \h </w:instrText>
            </w:r>
            <w:r w:rsidR="00012E12">
              <w:rPr>
                <w:noProof/>
                <w:webHidden/>
              </w:rPr>
            </w:r>
            <w:r w:rsidR="00012E12">
              <w:rPr>
                <w:noProof/>
                <w:webHidden/>
              </w:rPr>
              <w:fldChar w:fldCharType="separate"/>
            </w:r>
            <w:r w:rsidR="00012E12">
              <w:rPr>
                <w:noProof/>
                <w:webHidden/>
              </w:rPr>
              <w:t>21</w:t>
            </w:r>
            <w:r w:rsidR="00012E12">
              <w:rPr>
                <w:noProof/>
                <w:webHidden/>
              </w:rPr>
              <w:fldChar w:fldCharType="end"/>
            </w:r>
          </w:hyperlink>
        </w:p>
        <w:p w14:paraId="32F7B85E"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98" w:history="1">
            <w:r w:rsidR="00012E12" w:rsidRPr="00F0343D">
              <w:rPr>
                <w:rStyle w:val="Hyperlink"/>
                <w:noProof/>
                <w:lang w:val="en-GB"/>
              </w:rPr>
              <w:t>Enhance Technical and Allocative Efficiency</w:t>
            </w:r>
            <w:r w:rsidR="00012E12">
              <w:rPr>
                <w:noProof/>
                <w:webHidden/>
              </w:rPr>
              <w:tab/>
            </w:r>
            <w:r w:rsidR="00012E12">
              <w:rPr>
                <w:noProof/>
                <w:webHidden/>
              </w:rPr>
              <w:fldChar w:fldCharType="begin"/>
            </w:r>
            <w:r w:rsidR="00012E12">
              <w:rPr>
                <w:noProof/>
                <w:webHidden/>
              </w:rPr>
              <w:instrText xml:space="preserve"> PAGEREF _Toc236669198 \h </w:instrText>
            </w:r>
            <w:r w:rsidR="00012E12">
              <w:rPr>
                <w:noProof/>
                <w:webHidden/>
              </w:rPr>
            </w:r>
            <w:r w:rsidR="00012E12">
              <w:rPr>
                <w:noProof/>
                <w:webHidden/>
              </w:rPr>
              <w:fldChar w:fldCharType="separate"/>
            </w:r>
            <w:r w:rsidR="00012E12">
              <w:rPr>
                <w:noProof/>
                <w:webHidden/>
              </w:rPr>
              <w:t>21</w:t>
            </w:r>
            <w:r w:rsidR="00012E12">
              <w:rPr>
                <w:noProof/>
                <w:webHidden/>
              </w:rPr>
              <w:fldChar w:fldCharType="end"/>
            </w:r>
          </w:hyperlink>
        </w:p>
        <w:p w14:paraId="6468CCB5" w14:textId="77777777" w:rsidR="00012E12" w:rsidRDefault="00BF032D">
          <w:pPr>
            <w:pStyle w:val="TOC3"/>
            <w:tabs>
              <w:tab w:val="right" w:leader="dot" w:pos="9350"/>
            </w:tabs>
            <w:rPr>
              <w:rFonts w:asciiTheme="minorHAnsi" w:eastAsiaTheme="minorEastAsia" w:hAnsiTheme="minorHAnsi" w:cstheme="minorBidi"/>
              <w:noProof/>
              <w:lang w:val="en-US" w:eastAsia="en-US"/>
            </w:rPr>
          </w:pPr>
          <w:hyperlink w:anchor="_Toc236669199" w:history="1">
            <w:r w:rsidR="00012E12" w:rsidRPr="00F0343D">
              <w:rPr>
                <w:rStyle w:val="Hyperlink"/>
                <w:noProof/>
                <w:lang w:val="en-GB"/>
              </w:rPr>
              <w:t>Promote Continuous Learning, Stakeholder Engagement and Co-production</w:t>
            </w:r>
            <w:r w:rsidR="00012E12">
              <w:rPr>
                <w:noProof/>
                <w:webHidden/>
              </w:rPr>
              <w:tab/>
            </w:r>
            <w:r w:rsidR="00012E12">
              <w:rPr>
                <w:noProof/>
                <w:webHidden/>
              </w:rPr>
              <w:fldChar w:fldCharType="begin"/>
            </w:r>
            <w:r w:rsidR="00012E12">
              <w:rPr>
                <w:noProof/>
                <w:webHidden/>
              </w:rPr>
              <w:instrText xml:space="preserve"> PAGEREF _Toc236669199 \h </w:instrText>
            </w:r>
            <w:r w:rsidR="00012E12">
              <w:rPr>
                <w:noProof/>
                <w:webHidden/>
              </w:rPr>
            </w:r>
            <w:r w:rsidR="00012E12">
              <w:rPr>
                <w:noProof/>
                <w:webHidden/>
              </w:rPr>
              <w:fldChar w:fldCharType="separate"/>
            </w:r>
            <w:r w:rsidR="00012E12">
              <w:rPr>
                <w:noProof/>
                <w:webHidden/>
              </w:rPr>
              <w:t>21</w:t>
            </w:r>
            <w:r w:rsidR="00012E12">
              <w:rPr>
                <w:noProof/>
                <w:webHidden/>
              </w:rPr>
              <w:fldChar w:fldCharType="end"/>
            </w:r>
          </w:hyperlink>
        </w:p>
        <w:p w14:paraId="23821E70" w14:textId="77777777" w:rsidR="00012E12" w:rsidRDefault="00BF032D">
          <w:pPr>
            <w:pStyle w:val="TOC1"/>
            <w:tabs>
              <w:tab w:val="right" w:leader="dot" w:pos="9350"/>
            </w:tabs>
            <w:rPr>
              <w:rFonts w:asciiTheme="minorHAnsi" w:eastAsiaTheme="minorEastAsia" w:hAnsiTheme="minorHAnsi" w:cstheme="minorBidi"/>
              <w:noProof/>
              <w:lang w:val="en-US" w:eastAsia="en-US"/>
            </w:rPr>
          </w:pPr>
          <w:hyperlink w:anchor="_Toc236669200" w:history="1">
            <w:r w:rsidR="00012E12" w:rsidRPr="00F0343D">
              <w:rPr>
                <w:rStyle w:val="Hyperlink"/>
                <w:noProof/>
                <w:lang w:val="en-GB"/>
              </w:rPr>
              <w:t>Conclusion</w:t>
            </w:r>
            <w:r w:rsidR="00012E12">
              <w:rPr>
                <w:noProof/>
                <w:webHidden/>
              </w:rPr>
              <w:tab/>
            </w:r>
            <w:r w:rsidR="00012E12">
              <w:rPr>
                <w:noProof/>
                <w:webHidden/>
              </w:rPr>
              <w:fldChar w:fldCharType="begin"/>
            </w:r>
            <w:r w:rsidR="00012E12">
              <w:rPr>
                <w:noProof/>
                <w:webHidden/>
              </w:rPr>
              <w:instrText xml:space="preserve"> PAGEREF _Toc236669200 \h </w:instrText>
            </w:r>
            <w:r w:rsidR="00012E12">
              <w:rPr>
                <w:noProof/>
                <w:webHidden/>
              </w:rPr>
            </w:r>
            <w:r w:rsidR="00012E12">
              <w:rPr>
                <w:noProof/>
                <w:webHidden/>
              </w:rPr>
              <w:fldChar w:fldCharType="separate"/>
            </w:r>
            <w:r w:rsidR="00012E12">
              <w:rPr>
                <w:noProof/>
                <w:webHidden/>
              </w:rPr>
              <w:t>22</w:t>
            </w:r>
            <w:r w:rsidR="00012E12">
              <w:rPr>
                <w:noProof/>
                <w:webHidden/>
              </w:rPr>
              <w:fldChar w:fldCharType="end"/>
            </w:r>
          </w:hyperlink>
        </w:p>
        <w:p w14:paraId="51D66AA1"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201" w:history="1">
            <w:r w:rsidR="00012E12" w:rsidRPr="00F0343D">
              <w:rPr>
                <w:rStyle w:val="Hyperlink"/>
                <w:noProof/>
                <w:lang w:val="en-GB"/>
              </w:rPr>
              <w:t>Summarising findings</w:t>
            </w:r>
            <w:r w:rsidR="00012E12">
              <w:rPr>
                <w:noProof/>
                <w:webHidden/>
              </w:rPr>
              <w:tab/>
            </w:r>
            <w:r w:rsidR="00012E12">
              <w:rPr>
                <w:noProof/>
                <w:webHidden/>
              </w:rPr>
              <w:fldChar w:fldCharType="begin"/>
            </w:r>
            <w:r w:rsidR="00012E12">
              <w:rPr>
                <w:noProof/>
                <w:webHidden/>
              </w:rPr>
              <w:instrText xml:space="preserve"> PAGEREF _Toc236669201 \h </w:instrText>
            </w:r>
            <w:r w:rsidR="00012E12">
              <w:rPr>
                <w:noProof/>
                <w:webHidden/>
              </w:rPr>
            </w:r>
            <w:r w:rsidR="00012E12">
              <w:rPr>
                <w:noProof/>
                <w:webHidden/>
              </w:rPr>
              <w:fldChar w:fldCharType="separate"/>
            </w:r>
            <w:r w:rsidR="00012E12">
              <w:rPr>
                <w:noProof/>
                <w:webHidden/>
              </w:rPr>
              <w:t>22</w:t>
            </w:r>
            <w:r w:rsidR="00012E12">
              <w:rPr>
                <w:noProof/>
                <w:webHidden/>
              </w:rPr>
              <w:fldChar w:fldCharType="end"/>
            </w:r>
          </w:hyperlink>
        </w:p>
        <w:p w14:paraId="29C58851" w14:textId="77777777" w:rsidR="00012E12" w:rsidRDefault="00BF032D">
          <w:pPr>
            <w:pStyle w:val="TOC2"/>
            <w:tabs>
              <w:tab w:val="right" w:leader="dot" w:pos="9350"/>
            </w:tabs>
            <w:rPr>
              <w:rFonts w:asciiTheme="minorHAnsi" w:eastAsiaTheme="minorEastAsia" w:hAnsiTheme="minorHAnsi" w:cstheme="minorBidi"/>
              <w:noProof/>
              <w:lang w:val="en-US" w:eastAsia="en-US"/>
            </w:rPr>
          </w:pPr>
          <w:hyperlink w:anchor="_Toc236669202" w:history="1">
            <w:r w:rsidR="00012E12" w:rsidRPr="00F0343D">
              <w:rPr>
                <w:rStyle w:val="Hyperlink"/>
                <w:noProof/>
                <w:lang w:val="en-GB"/>
              </w:rPr>
              <w:t>Importance of leadership, governance, and systems thinking</w:t>
            </w:r>
            <w:r w:rsidR="00012E12">
              <w:rPr>
                <w:noProof/>
                <w:webHidden/>
              </w:rPr>
              <w:tab/>
            </w:r>
            <w:r w:rsidR="00012E12">
              <w:rPr>
                <w:noProof/>
                <w:webHidden/>
              </w:rPr>
              <w:fldChar w:fldCharType="begin"/>
            </w:r>
            <w:r w:rsidR="00012E12">
              <w:rPr>
                <w:noProof/>
                <w:webHidden/>
              </w:rPr>
              <w:instrText xml:space="preserve"> PAGEREF _Toc236669202 \h </w:instrText>
            </w:r>
            <w:r w:rsidR="00012E12">
              <w:rPr>
                <w:noProof/>
                <w:webHidden/>
              </w:rPr>
            </w:r>
            <w:r w:rsidR="00012E12">
              <w:rPr>
                <w:noProof/>
                <w:webHidden/>
              </w:rPr>
              <w:fldChar w:fldCharType="separate"/>
            </w:r>
            <w:r w:rsidR="00012E12">
              <w:rPr>
                <w:noProof/>
                <w:webHidden/>
              </w:rPr>
              <w:t>22</w:t>
            </w:r>
            <w:r w:rsidR="00012E12">
              <w:rPr>
                <w:noProof/>
                <w:webHidden/>
              </w:rPr>
              <w:fldChar w:fldCharType="end"/>
            </w:r>
          </w:hyperlink>
        </w:p>
        <w:p w14:paraId="1A0B5F7F" w14:textId="77777777" w:rsidR="00012E12" w:rsidRDefault="00BF032D">
          <w:pPr>
            <w:pStyle w:val="TOC1"/>
            <w:tabs>
              <w:tab w:val="right" w:leader="dot" w:pos="9350"/>
            </w:tabs>
            <w:rPr>
              <w:rFonts w:asciiTheme="minorHAnsi" w:eastAsiaTheme="minorEastAsia" w:hAnsiTheme="minorHAnsi" w:cstheme="minorBidi"/>
              <w:noProof/>
              <w:lang w:val="en-US" w:eastAsia="en-US"/>
            </w:rPr>
          </w:pPr>
          <w:hyperlink w:anchor="_Toc236669203" w:history="1">
            <w:r w:rsidR="00012E12" w:rsidRPr="00F0343D">
              <w:rPr>
                <w:rStyle w:val="Hyperlink"/>
                <w:noProof/>
                <w:lang w:val="en-GB"/>
              </w:rPr>
              <w:t>References</w:t>
            </w:r>
            <w:r w:rsidR="00012E12">
              <w:rPr>
                <w:noProof/>
                <w:webHidden/>
              </w:rPr>
              <w:tab/>
            </w:r>
            <w:r w:rsidR="00012E12">
              <w:rPr>
                <w:noProof/>
                <w:webHidden/>
              </w:rPr>
              <w:fldChar w:fldCharType="begin"/>
            </w:r>
            <w:r w:rsidR="00012E12">
              <w:rPr>
                <w:noProof/>
                <w:webHidden/>
              </w:rPr>
              <w:instrText xml:space="preserve"> PAGEREF _Toc236669203 \h </w:instrText>
            </w:r>
            <w:r w:rsidR="00012E12">
              <w:rPr>
                <w:noProof/>
                <w:webHidden/>
              </w:rPr>
            </w:r>
            <w:r w:rsidR="00012E12">
              <w:rPr>
                <w:noProof/>
                <w:webHidden/>
              </w:rPr>
              <w:fldChar w:fldCharType="separate"/>
            </w:r>
            <w:r w:rsidR="00012E12">
              <w:rPr>
                <w:noProof/>
                <w:webHidden/>
              </w:rPr>
              <w:t>24</w:t>
            </w:r>
            <w:r w:rsidR="00012E12">
              <w:rPr>
                <w:noProof/>
                <w:webHidden/>
              </w:rPr>
              <w:fldChar w:fldCharType="end"/>
            </w:r>
          </w:hyperlink>
        </w:p>
        <w:p w14:paraId="415B5D55" w14:textId="77777777" w:rsidR="00E12FB4" w:rsidRPr="00012E12" w:rsidRDefault="005E2EB6" w:rsidP="00E12FB4">
          <w:pPr>
            <w:rPr>
              <w:lang w:val="en-GB"/>
            </w:rPr>
          </w:pPr>
          <w:r w:rsidRPr="00012E12">
            <w:rPr>
              <w:b/>
              <w:bCs/>
              <w:noProof/>
              <w:color w:val="000000" w:themeColor="text1"/>
              <w:lang w:val="en-GB"/>
            </w:rPr>
            <w:fldChar w:fldCharType="end"/>
          </w:r>
        </w:p>
      </w:sdtContent>
    </w:sdt>
    <w:p w14:paraId="691869AE" w14:textId="77777777" w:rsidR="00455DCB" w:rsidRPr="00012E12" w:rsidRDefault="005E2CA9">
      <w:pPr>
        <w:rPr>
          <w:b/>
          <w:bCs/>
          <w:lang w:val="en-GB"/>
        </w:rPr>
      </w:pPr>
      <w:r w:rsidRPr="00012E12">
        <w:rPr>
          <w:lang w:val="en-GB"/>
        </w:rPr>
        <w:br w:type="page"/>
      </w:r>
    </w:p>
    <w:p w14:paraId="689B3650" w14:textId="77777777" w:rsidR="00455DCB" w:rsidRPr="00012E12" w:rsidRDefault="005E2CA9">
      <w:pPr>
        <w:pStyle w:val="Heading1"/>
        <w:rPr>
          <w:lang w:val="en-GB"/>
        </w:rPr>
      </w:pPr>
      <w:bookmarkStart w:id="0" w:name="_tgiagt4ro72d" w:colFirst="0" w:colLast="0"/>
      <w:bookmarkStart w:id="1" w:name="_Toc236669166"/>
      <w:bookmarkEnd w:id="0"/>
      <w:r w:rsidRPr="00012E12">
        <w:rPr>
          <w:lang w:val="en-GB"/>
        </w:rPr>
        <w:lastRenderedPageBreak/>
        <w:t>Introduction</w:t>
      </w:r>
      <w:bookmarkEnd w:id="1"/>
    </w:p>
    <w:p w14:paraId="257F8FCD" w14:textId="77777777" w:rsidR="00455DCB" w:rsidRPr="00012E12" w:rsidRDefault="005E2CA9">
      <w:pPr>
        <w:pStyle w:val="Heading2"/>
        <w:rPr>
          <w:lang w:val="en-GB"/>
        </w:rPr>
      </w:pPr>
      <w:bookmarkStart w:id="2" w:name="_x7uewstpigbu" w:colFirst="0" w:colLast="0"/>
      <w:bookmarkStart w:id="3" w:name="_Toc236669167"/>
      <w:bookmarkEnd w:id="2"/>
      <w:r w:rsidRPr="00012E12">
        <w:rPr>
          <w:lang w:val="en-GB"/>
        </w:rPr>
        <w:t>Background and report purpose</w:t>
      </w:r>
      <w:bookmarkEnd w:id="3"/>
    </w:p>
    <w:p w14:paraId="29BC852A" w14:textId="77777777" w:rsidR="00455DCB" w:rsidRPr="00012E12" w:rsidRDefault="005E2CA9">
      <w:pPr>
        <w:rPr>
          <w:lang w:val="en-GB"/>
        </w:rPr>
      </w:pPr>
      <w:r w:rsidRPr="00012E12">
        <w:rPr>
          <w:lang w:val="en-GB"/>
        </w:rPr>
        <w:t xml:space="preserve">A serious patient safety incident occurred at Kota Medical College Hospital in Rajasthan. Jagdish suffered a stroke and has difficulty speaking, arrived at the hospital on the day of his son's surgery and was waiting outside (NDTV, 2025). </w:t>
      </w:r>
      <w:r w:rsidR="00E12FB4" w:rsidRPr="00012E12">
        <w:rPr>
          <w:lang w:val="en-GB"/>
        </w:rPr>
        <w:t>In addition, t</w:t>
      </w:r>
      <w:r w:rsidRPr="00012E12">
        <w:rPr>
          <w:lang w:val="en-GB"/>
        </w:rPr>
        <w:t xml:space="preserve">his mistake happened because hospital staff failed to verify the patient’s identity before surgery. The incident raised concerns about leadership, communication, governance and patient safety within the hospital. The purpose of this report is to analyse the incident by applying leadership theories, systems thinking and evidence from healthcare organisations. </w:t>
      </w:r>
    </w:p>
    <w:p w14:paraId="404D5FFE" w14:textId="77777777" w:rsidR="00455DCB" w:rsidRPr="00012E12" w:rsidRDefault="005E2CA9">
      <w:pPr>
        <w:pStyle w:val="Heading2"/>
        <w:rPr>
          <w:lang w:val="en-GB"/>
        </w:rPr>
      </w:pPr>
      <w:bookmarkStart w:id="4" w:name="_yx2gz9vxexo1" w:colFirst="0" w:colLast="0"/>
      <w:bookmarkStart w:id="5" w:name="_Toc236669168"/>
      <w:bookmarkEnd w:id="4"/>
      <w:r w:rsidRPr="00012E12">
        <w:rPr>
          <w:lang w:val="en-GB"/>
        </w:rPr>
        <w:t>Leadership meaning</w:t>
      </w:r>
      <w:bookmarkEnd w:id="5"/>
    </w:p>
    <w:p w14:paraId="736874E7" w14:textId="77777777" w:rsidR="00455DCB" w:rsidRPr="00012E12" w:rsidRDefault="005E2CA9">
      <w:pPr>
        <w:rPr>
          <w:lang w:val="en-GB"/>
        </w:rPr>
      </w:pPr>
      <w:r w:rsidRPr="00012E12">
        <w:rPr>
          <w:lang w:val="en-GB"/>
        </w:rPr>
        <w:t xml:space="preserve">In health and social care, leadership is the ability to influence healthcare professionals' practices to achieve shared goals. Restivo </w:t>
      </w:r>
      <w:r w:rsidRPr="00D87B47">
        <w:rPr>
          <w:i/>
          <w:lang w:val="en-GB"/>
        </w:rPr>
        <w:t>et al.</w:t>
      </w:r>
      <w:r w:rsidRPr="00012E12">
        <w:rPr>
          <w:lang w:val="en-GB"/>
        </w:rPr>
        <w:t xml:space="preserve"> (2022</w:t>
      </w:r>
      <w:r w:rsidR="00D87B47" w:rsidRPr="00012E12">
        <w:rPr>
          <w:lang w:val="en-GB"/>
        </w:rPr>
        <w:t>)</w:t>
      </w:r>
      <w:r w:rsidRPr="00012E12">
        <w:rPr>
          <w:lang w:val="en-GB"/>
        </w:rPr>
        <w:t xml:space="preserve"> stated that transformational leadership plays an important role in improving staff performance and strengthening healthcare systems to achieve organisational goals. In addition, leadership in healthcare emphasises improving patient safety and providing high-quality patient-centred care. Effective leaders motivate staff, encourage teamwork and support continuous improvement. </w:t>
      </w:r>
    </w:p>
    <w:p w14:paraId="0959B5C3" w14:textId="77777777" w:rsidR="00455DCB" w:rsidRPr="00012E12" w:rsidRDefault="005E2CA9">
      <w:pPr>
        <w:pStyle w:val="Heading2"/>
        <w:rPr>
          <w:lang w:val="en-GB"/>
        </w:rPr>
      </w:pPr>
      <w:bookmarkStart w:id="6" w:name="_x680kdrgwxmu" w:colFirst="0" w:colLast="0"/>
      <w:bookmarkStart w:id="7" w:name="_Toc236669169"/>
      <w:bookmarkEnd w:id="6"/>
      <w:r w:rsidRPr="00012E12">
        <w:rPr>
          <w:lang w:val="en-GB"/>
        </w:rPr>
        <w:t>Centralisation and decentralisation and theories</w:t>
      </w:r>
      <w:bookmarkEnd w:id="7"/>
    </w:p>
    <w:p w14:paraId="519EA66C" w14:textId="77777777" w:rsidR="00455DCB" w:rsidRPr="00012E12" w:rsidRDefault="005E2CA9">
      <w:pPr>
        <w:rPr>
          <w:lang w:val="en-GB"/>
        </w:rPr>
      </w:pPr>
      <w:r w:rsidRPr="00012E12">
        <w:rPr>
          <w:lang w:val="en-GB"/>
        </w:rPr>
        <w:t xml:space="preserve">Healthcare organisations mainly operate through centralisation, where decisions are made by senior management. Decentralisation reflects sharing authority with frontline staff to improve responsiveness, apart from applying different leadership theories. As highlighted by Ohrling (2026), managers reported that decentralised governance gave them significant decision-making authority and greater responsibility. Transformational, transactional and situational leadership styles are common in healthcare to encourage leaders to make adequate decisions during complex healthcare situations. </w:t>
      </w:r>
    </w:p>
    <w:p w14:paraId="4E6359FF" w14:textId="77777777" w:rsidR="00455DCB" w:rsidRPr="00012E12" w:rsidRDefault="005E2CA9">
      <w:pPr>
        <w:pStyle w:val="Heading2"/>
        <w:rPr>
          <w:lang w:val="en-GB"/>
        </w:rPr>
      </w:pPr>
      <w:bookmarkStart w:id="8" w:name="_o4ayc79thnau" w:colFirst="0" w:colLast="0"/>
      <w:bookmarkStart w:id="9" w:name="_Toc236669170"/>
      <w:bookmarkEnd w:id="8"/>
      <w:r w:rsidRPr="00012E12">
        <w:rPr>
          <w:lang w:val="en-GB"/>
        </w:rPr>
        <w:t>Importance of leadership</w:t>
      </w:r>
      <w:bookmarkEnd w:id="9"/>
    </w:p>
    <w:p w14:paraId="54806088" w14:textId="77777777" w:rsidR="00455DCB" w:rsidRPr="00012E12" w:rsidRDefault="005E2CA9">
      <w:pPr>
        <w:rPr>
          <w:lang w:val="en-GB"/>
        </w:rPr>
      </w:pPr>
      <w:r w:rsidRPr="00012E12">
        <w:rPr>
          <w:lang w:val="en-GB"/>
        </w:rPr>
        <w:t xml:space="preserve">Selecting an appropriate leadership style is essential during a crisis because healthcare professionals need to make quick decisions while maintaining patient safety. In hospital management, effective leadership is essential as it helps manage challenges, improves employee engagement and ensures providing patient-centred care (Aini and Rachman, 2024). </w:t>
      </w:r>
      <w:r w:rsidRPr="00012E12">
        <w:rPr>
          <w:lang w:val="en-GB"/>
        </w:rPr>
        <w:lastRenderedPageBreak/>
        <w:t xml:space="preserve">Specifically, effective leadership improves communication, teamwork and problem-solving, besides reducing risk of preventable errors. </w:t>
      </w:r>
    </w:p>
    <w:p w14:paraId="5C041387" w14:textId="77777777" w:rsidR="00280FF6" w:rsidRPr="00012E12" w:rsidRDefault="00280FF6" w:rsidP="00280FF6">
      <w:pPr>
        <w:pStyle w:val="Heading2"/>
        <w:rPr>
          <w:lang w:val="en-GB"/>
        </w:rPr>
      </w:pPr>
      <w:bookmarkStart w:id="10" w:name="_Toc236669171"/>
      <w:r w:rsidRPr="00012E12">
        <w:rPr>
          <w:lang w:val="en-GB"/>
        </w:rPr>
        <w:t>Report Structure</w:t>
      </w:r>
      <w:bookmarkEnd w:id="10"/>
    </w:p>
    <w:p w14:paraId="236DFEE2" w14:textId="77777777" w:rsidR="00280FF6" w:rsidRPr="00012E12" w:rsidRDefault="00280FF6">
      <w:pPr>
        <w:rPr>
          <w:lang w:val="en-GB"/>
        </w:rPr>
      </w:pPr>
      <w:r w:rsidRPr="00012E12">
        <w:rPr>
          <w:lang w:val="en-GB"/>
        </w:rPr>
        <w:t>The report critically examines the wrong-patient surgery incident at Kota Medical College Hospital through the perspective of governance, leadership and system thinking. Firstly, it analyses the organisational context and problem using rich pictures, followed by evaluating the centralised governance structure of the organisation. Then the report applies relevant leadership theory to analyse leadership effectiveness during the incident, before identifying key improvements and lessons learned. Lastly, evidence-based recommendations are made for improving governance, leadership, patient safety and communication, followed by highlighting the importance of effective leadership and an integrated system to improve healthcare outcomes.</w:t>
      </w:r>
    </w:p>
    <w:p w14:paraId="4DD7D99A" w14:textId="77777777" w:rsidR="00280FF6" w:rsidRPr="00012E12" w:rsidRDefault="00280FF6" w:rsidP="00280FF6">
      <w:pPr>
        <w:pStyle w:val="Heading1"/>
        <w:rPr>
          <w:lang w:val="en-GB"/>
        </w:rPr>
      </w:pPr>
      <w:bookmarkStart w:id="11" w:name="_llkvy6ylmdfl" w:colFirst="0" w:colLast="0"/>
      <w:bookmarkStart w:id="12" w:name="_Toc236669172"/>
      <w:bookmarkEnd w:id="11"/>
      <w:r w:rsidRPr="00012E12">
        <w:rPr>
          <w:lang w:val="en-GB"/>
        </w:rPr>
        <w:t>Main Body</w:t>
      </w:r>
      <w:bookmarkEnd w:id="12"/>
    </w:p>
    <w:p w14:paraId="6CC3B6F1" w14:textId="77777777" w:rsidR="00280FF6" w:rsidRPr="00012E12" w:rsidRDefault="00280FF6" w:rsidP="00280FF6">
      <w:pPr>
        <w:pStyle w:val="Heading2"/>
        <w:rPr>
          <w:lang w:val="en-GB"/>
        </w:rPr>
      </w:pPr>
      <w:bookmarkStart w:id="13" w:name="_Toc236669173"/>
      <w:r w:rsidRPr="00012E12">
        <w:rPr>
          <w:lang w:val="en-GB"/>
        </w:rPr>
        <w:t>a. Identifying the Problem and Setting the System Context- Applying Systems Thinking and the Rich Picture</w:t>
      </w:r>
      <w:bookmarkEnd w:id="13"/>
    </w:p>
    <w:p w14:paraId="2B4E3F20" w14:textId="77777777" w:rsidR="00280FF6" w:rsidRPr="00012E12" w:rsidRDefault="00280FF6" w:rsidP="00280FF6">
      <w:pPr>
        <w:pStyle w:val="Heading3"/>
        <w:rPr>
          <w:lang w:val="en-GB"/>
        </w:rPr>
      </w:pPr>
      <w:bookmarkStart w:id="14" w:name="_exug8gtdra6h" w:colFirst="0" w:colLast="0"/>
      <w:bookmarkStart w:id="15" w:name="_Toc236669174"/>
      <w:bookmarkEnd w:id="14"/>
      <w:r w:rsidRPr="00012E12">
        <w:rPr>
          <w:lang w:val="en-GB"/>
        </w:rPr>
        <w:t>Defining the central problem</w:t>
      </w:r>
      <w:bookmarkEnd w:id="15"/>
    </w:p>
    <w:p w14:paraId="73D886F6" w14:textId="77777777" w:rsidR="00280FF6" w:rsidRPr="00012E12" w:rsidRDefault="00280FF6" w:rsidP="00280FF6">
      <w:pPr>
        <w:rPr>
          <w:lang w:val="en-GB"/>
        </w:rPr>
      </w:pPr>
      <w:r w:rsidRPr="00012E12">
        <w:rPr>
          <w:lang w:val="en-GB"/>
        </w:rPr>
        <w:t xml:space="preserve">The central problem in the case concerns a wrong-patient surgical procedure at Kota Medical College Hospital, Rajasthan, where a 60-year-old man accompanying his son was mistakenly identified as the intended patient and underwent unnecessary surgical incision before the error was recognised. Such incidents are internationally categorised as a preventable patient safety event because they should not occur when the standard verification procedure, including the WHO surgical safety checklist and patient identification checks, is consistently followed (WHO, 2024). Hence, from the case study, it can be understood that patient safety remains a global healthcare challenge. It is estimated that approximately 1 in 10 patients experience harm while receiving health care </w:t>
      </w:r>
      <w:r w:rsidR="00D87B47" w:rsidRPr="00012E12">
        <w:rPr>
          <w:lang w:val="en-GB"/>
        </w:rPr>
        <w:t>services</w:t>
      </w:r>
      <w:r w:rsidRPr="00012E12">
        <w:rPr>
          <w:lang w:val="en-GB"/>
        </w:rPr>
        <w:t xml:space="preserve"> and nearly 50% of the incidents are mostly preventable (WHO, 2024). Additionally, lack of safe care causes around 3 million deaths annually across the world, with the highest burden occurring in middle- and low-income countries (WHO, 2024). The data and statistics demonstrate that failures similar to the quota incident are part of a wider global patient safety concern rather than isolated and individual events.</w:t>
      </w:r>
    </w:p>
    <w:p w14:paraId="54BE917D" w14:textId="77777777" w:rsidR="00280FF6" w:rsidRPr="00012E12" w:rsidRDefault="00280FF6" w:rsidP="00280FF6">
      <w:pPr>
        <w:jc w:val="center"/>
        <w:rPr>
          <w:lang w:val="en-GB"/>
        </w:rPr>
      </w:pPr>
      <w:r w:rsidRPr="00012E12">
        <w:rPr>
          <w:noProof/>
          <w:lang w:val="en-GB" w:eastAsia="en-US"/>
        </w:rPr>
        <w:lastRenderedPageBreak/>
        <w:drawing>
          <wp:inline distT="114300" distB="114300" distL="114300" distR="114300" wp14:anchorId="459C1A2B" wp14:editId="10A4B705">
            <wp:extent cx="6200775" cy="2191988"/>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6200775" cy="2191988"/>
                    </a:xfrm>
                    <a:prstGeom prst="rect">
                      <a:avLst/>
                    </a:prstGeom>
                    <a:ln w="12700">
                      <a:solidFill>
                        <a:srgbClr val="000000"/>
                      </a:solidFill>
                      <a:prstDash val="solid"/>
                    </a:ln>
                  </pic:spPr>
                </pic:pic>
              </a:graphicData>
            </a:graphic>
          </wp:inline>
        </w:drawing>
      </w:r>
    </w:p>
    <w:p w14:paraId="2DE047A5" w14:textId="77777777" w:rsidR="00280FF6" w:rsidRPr="00012E12" w:rsidRDefault="00280FF6" w:rsidP="00280FF6">
      <w:pPr>
        <w:jc w:val="center"/>
        <w:rPr>
          <w:b/>
          <w:bCs/>
          <w:lang w:val="en-GB"/>
        </w:rPr>
      </w:pPr>
      <w:r w:rsidRPr="00012E12">
        <w:rPr>
          <w:b/>
          <w:bCs/>
          <w:lang w:val="en-GB"/>
        </w:rPr>
        <w:t xml:space="preserve">Figure 1: Excess death rates due to intervention delays </w:t>
      </w:r>
    </w:p>
    <w:p w14:paraId="1029599D" w14:textId="77777777" w:rsidR="00280FF6" w:rsidRPr="00012E12" w:rsidRDefault="00280FF6" w:rsidP="00280FF6">
      <w:pPr>
        <w:jc w:val="center"/>
        <w:rPr>
          <w:lang w:val="en-GB"/>
        </w:rPr>
      </w:pPr>
      <w:r w:rsidRPr="00012E12">
        <w:rPr>
          <w:lang w:val="en-GB"/>
        </w:rPr>
        <w:t>(Source: WHO, 2026)</w:t>
      </w:r>
    </w:p>
    <w:p w14:paraId="1D5F9941" w14:textId="77777777" w:rsidR="00280FF6" w:rsidRPr="00012E12" w:rsidRDefault="00280FF6" w:rsidP="00280FF6">
      <w:pPr>
        <w:pStyle w:val="Heading3"/>
        <w:rPr>
          <w:lang w:val="en-GB"/>
        </w:rPr>
      </w:pPr>
      <w:bookmarkStart w:id="16" w:name="_wduloryd26td" w:colFirst="0" w:colLast="0"/>
      <w:bookmarkStart w:id="17" w:name="_Toc236669175"/>
      <w:bookmarkEnd w:id="16"/>
      <w:r w:rsidRPr="00012E12">
        <w:rPr>
          <w:lang w:val="en-GB"/>
        </w:rPr>
        <w:t>National and global context</w:t>
      </w:r>
      <w:bookmarkEnd w:id="17"/>
    </w:p>
    <w:p w14:paraId="77871572" w14:textId="77777777" w:rsidR="00280FF6" w:rsidRPr="00012E12" w:rsidRDefault="00280FF6" w:rsidP="00280FF6">
      <w:pPr>
        <w:rPr>
          <w:lang w:val="en-GB"/>
        </w:rPr>
      </w:pPr>
      <w:r w:rsidRPr="00012E12">
        <w:rPr>
          <w:lang w:val="en-GB"/>
        </w:rPr>
        <w:t xml:space="preserve">Surgical error globally continues to represent major patient safety issues. WHO identifies lack of correct patient identification and failure in communication as the leading cause of preventable surgical error (WHO, 2024). Implementation of the WHO surgical safety checklist is effective in reducing postoperative complications by over 30% and mortality by 24% (WHO, 2024). It highlights the importance of systematic verification before conducting surgery. </w:t>
      </w:r>
    </w:p>
    <w:p w14:paraId="144EB785" w14:textId="77777777" w:rsidR="00280FF6" w:rsidRPr="00012E12" w:rsidRDefault="00280FF6" w:rsidP="00280FF6">
      <w:pPr>
        <w:rPr>
          <w:lang w:val="en-GB"/>
        </w:rPr>
      </w:pPr>
      <w:r w:rsidRPr="00012E12">
        <w:rPr>
          <w:lang w:val="en-GB"/>
        </w:rPr>
        <w:t xml:space="preserve">The health care quality in India continues to improve. However, the implementation remains inconsistent across different hospitals. The national quality assurance standard program and surgical safety and patient identification are mandatory quality indicators. However, compliance significantly varies between healthcare institutions (Ministry of Health and Family Welfare, 2023). National Medical Commission (2023), further emphasises effective documentation and patient identification as fundamental professional responsibilities for all healthcare practitioners. </w:t>
      </w:r>
    </w:p>
    <w:p w14:paraId="2AE31B98" w14:textId="77777777" w:rsidR="00280FF6" w:rsidRPr="00012E12" w:rsidRDefault="00280FF6" w:rsidP="00280FF6">
      <w:pPr>
        <w:rPr>
          <w:lang w:val="en-GB"/>
        </w:rPr>
      </w:pPr>
      <w:r w:rsidRPr="00012E12">
        <w:rPr>
          <w:lang w:val="en-GB"/>
        </w:rPr>
        <w:t xml:space="preserve">IHI internationally identifies lack of current patient identification as one of the leading causes for preventing adverse events and recommends two independent patient identifiers before any clinical intervention (IHI, 2023). Joint Commission International (2024) recommendations similarly reflect international patient safety goals that identify accurate patient identification as the first essential safety objective. The consistency between IHI, WHO and international accreditation standards highlights worldwide recognition that failure in the identification of the patient represents significant health care system problems. </w:t>
      </w:r>
    </w:p>
    <w:p w14:paraId="65A66B7C" w14:textId="77777777" w:rsidR="00280FF6" w:rsidRPr="00012E12" w:rsidRDefault="00280FF6" w:rsidP="00280FF6">
      <w:pPr>
        <w:jc w:val="center"/>
        <w:rPr>
          <w:lang w:val="en-GB"/>
        </w:rPr>
      </w:pPr>
      <w:r w:rsidRPr="00012E12">
        <w:rPr>
          <w:noProof/>
          <w:lang w:val="en-GB" w:eastAsia="en-US"/>
        </w:rPr>
        <w:lastRenderedPageBreak/>
        <w:drawing>
          <wp:inline distT="114300" distB="114300" distL="114300" distR="114300" wp14:anchorId="1A0DF4AA" wp14:editId="246FD9ED">
            <wp:extent cx="5190122" cy="4619209"/>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190122" cy="4619209"/>
                    </a:xfrm>
                    <a:prstGeom prst="rect">
                      <a:avLst/>
                    </a:prstGeom>
                    <a:ln w="12700">
                      <a:solidFill>
                        <a:srgbClr val="000000"/>
                      </a:solidFill>
                      <a:prstDash val="solid"/>
                    </a:ln>
                  </pic:spPr>
                </pic:pic>
              </a:graphicData>
            </a:graphic>
          </wp:inline>
        </w:drawing>
      </w:r>
    </w:p>
    <w:p w14:paraId="3C766903" w14:textId="77777777" w:rsidR="00280FF6" w:rsidRPr="00012E12" w:rsidRDefault="00280FF6" w:rsidP="00280FF6">
      <w:pPr>
        <w:jc w:val="center"/>
        <w:rPr>
          <w:b/>
          <w:bCs/>
          <w:lang w:val="en-GB"/>
        </w:rPr>
      </w:pPr>
      <w:r w:rsidRPr="00012E12">
        <w:rPr>
          <w:b/>
          <w:bCs/>
          <w:lang w:val="en-GB"/>
        </w:rPr>
        <w:t xml:space="preserve">Figure 2: Different causes of medical errors </w:t>
      </w:r>
    </w:p>
    <w:p w14:paraId="25A76053" w14:textId="77777777" w:rsidR="00280FF6" w:rsidRPr="00012E12" w:rsidRDefault="00280FF6" w:rsidP="00280FF6">
      <w:pPr>
        <w:jc w:val="center"/>
        <w:rPr>
          <w:lang w:val="en-GB"/>
        </w:rPr>
      </w:pPr>
      <w:r w:rsidRPr="00012E12">
        <w:rPr>
          <w:lang w:val="en-GB"/>
        </w:rPr>
        <w:t>(Source: Alhewiti, 2025)</w:t>
      </w:r>
    </w:p>
    <w:p w14:paraId="21270787" w14:textId="77777777" w:rsidR="00280FF6" w:rsidRPr="00012E12" w:rsidRDefault="00280FF6" w:rsidP="00280FF6">
      <w:pPr>
        <w:pStyle w:val="Heading3"/>
        <w:rPr>
          <w:lang w:val="en-GB"/>
        </w:rPr>
      </w:pPr>
      <w:bookmarkStart w:id="18" w:name="_algax9o1drky" w:colFirst="0" w:colLast="0"/>
      <w:bookmarkStart w:id="19" w:name="_Toc236669176"/>
      <w:bookmarkEnd w:id="18"/>
      <w:r w:rsidRPr="00012E12">
        <w:rPr>
          <w:lang w:val="en-GB"/>
        </w:rPr>
        <w:t>Systemic weakness and governance</w:t>
      </w:r>
      <w:bookmarkEnd w:id="19"/>
    </w:p>
    <w:p w14:paraId="7158826F" w14:textId="77777777" w:rsidR="00280FF6" w:rsidRPr="00012E12" w:rsidRDefault="00280FF6" w:rsidP="00280FF6">
      <w:pPr>
        <w:rPr>
          <w:lang w:val="en-GB"/>
        </w:rPr>
      </w:pPr>
      <w:r w:rsidRPr="00012E12">
        <w:rPr>
          <w:lang w:val="en-GB"/>
        </w:rPr>
        <w:t xml:space="preserve">Primarily, the incident reflects weakness in local governance where the leadership of the hospital is responsible for supervising staff compliance, implementing patient safety policy and monitoring adherence to standard operating procedure. National and regional governance, however, also influences organisational performance through accreditation, regulation and workforce standards. As a result, failure at one governance level can expose weakness across the entire health care system. </w:t>
      </w:r>
    </w:p>
    <w:p w14:paraId="6B90C599" w14:textId="77777777" w:rsidR="00280FF6" w:rsidRPr="00012E12" w:rsidRDefault="00280FF6" w:rsidP="00280FF6">
      <w:pPr>
        <w:jc w:val="center"/>
        <w:rPr>
          <w:lang w:val="en-GB"/>
        </w:rPr>
      </w:pPr>
      <w:r w:rsidRPr="00012E12">
        <w:rPr>
          <w:noProof/>
          <w:lang w:val="en-GB" w:eastAsia="en-US"/>
        </w:rPr>
        <w:lastRenderedPageBreak/>
        <w:drawing>
          <wp:inline distT="114300" distB="114300" distL="114300" distR="114300" wp14:anchorId="72082D77" wp14:editId="3EC51C4D">
            <wp:extent cx="5943600" cy="3467100"/>
            <wp:effectExtent l="76200" t="76200" r="133350" b="13335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467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F9605D" w14:textId="77777777" w:rsidR="00280FF6" w:rsidRPr="00012E12" w:rsidRDefault="00280FF6" w:rsidP="00280FF6">
      <w:pPr>
        <w:jc w:val="center"/>
        <w:rPr>
          <w:lang w:val="en-GB"/>
        </w:rPr>
      </w:pPr>
      <w:r w:rsidRPr="00012E12">
        <w:rPr>
          <w:b/>
          <w:bCs/>
          <w:lang w:val="en-GB"/>
        </w:rPr>
        <w:t>Figure 3: Fishbone diagram</w:t>
      </w:r>
    </w:p>
    <w:p w14:paraId="18F2AB46" w14:textId="77777777" w:rsidR="00280FF6" w:rsidRPr="00012E12" w:rsidRDefault="00280FF6" w:rsidP="00280FF6">
      <w:pPr>
        <w:jc w:val="center"/>
        <w:rPr>
          <w:lang w:val="en-GB"/>
        </w:rPr>
      </w:pPr>
      <w:r w:rsidRPr="00012E12">
        <w:rPr>
          <w:lang w:val="en-GB"/>
        </w:rPr>
        <w:t>(Source: Self-created)</w:t>
      </w:r>
    </w:p>
    <w:p w14:paraId="30A16DF4" w14:textId="77777777" w:rsidR="00280FF6" w:rsidRPr="00012E12" w:rsidRDefault="00280FF6" w:rsidP="00280FF6">
      <w:pPr>
        <w:rPr>
          <w:lang w:val="en-GB"/>
        </w:rPr>
      </w:pPr>
      <w:r w:rsidRPr="00012E12">
        <w:rPr>
          <w:lang w:val="en-GB"/>
        </w:rPr>
        <w:t xml:space="preserve">The above fishbone diagram highlights the ways in which multiple interconnected factors across process, people, communication, governance and leadership contribute to wrong-patient surgery incidents. Healthcare leadership is an important </w:t>
      </w:r>
      <w:r w:rsidR="00D87B47" w:rsidRPr="00012E12">
        <w:rPr>
          <w:lang w:val="en-GB"/>
        </w:rPr>
        <w:t>influence</w:t>
      </w:r>
      <w:r w:rsidRPr="00012E12">
        <w:rPr>
          <w:lang w:val="en-GB"/>
        </w:rPr>
        <w:t xml:space="preserve"> of organisational safety culture. According to WHO, organisations showing strong leadership commitment to the safety of the patient experience very limited preventable adverse impact and achieve greater compliance (WHO, 2023). On the other hand, a limited accountability structure increases the chance of likelihood of staff in the organisation bypassing essential verification procedures during routine clinical practice.</w:t>
      </w:r>
    </w:p>
    <w:p w14:paraId="3C03F518" w14:textId="77777777" w:rsidR="00280FF6" w:rsidRPr="00012E12" w:rsidRDefault="00280FF6" w:rsidP="00280FF6">
      <w:pPr>
        <w:pStyle w:val="Heading3"/>
        <w:rPr>
          <w:lang w:val="en-GB"/>
        </w:rPr>
      </w:pPr>
      <w:bookmarkStart w:id="20" w:name="_nqp4ih8lqzzo" w:colFirst="0" w:colLast="0"/>
      <w:bookmarkStart w:id="21" w:name="_Toc236669177"/>
      <w:bookmarkEnd w:id="20"/>
      <w:r w:rsidRPr="00012E12">
        <w:rPr>
          <w:lang w:val="en-GB"/>
        </w:rPr>
        <w:t>Underlying challenges, feedback loop and communication dependency</w:t>
      </w:r>
      <w:bookmarkEnd w:id="21"/>
    </w:p>
    <w:p w14:paraId="7EDE702F" w14:textId="77777777" w:rsidR="00280FF6" w:rsidRPr="00012E12" w:rsidRDefault="00280FF6" w:rsidP="00280FF6">
      <w:pPr>
        <w:rPr>
          <w:lang w:val="en-GB"/>
        </w:rPr>
      </w:pPr>
      <w:r w:rsidRPr="00012E12">
        <w:rPr>
          <w:lang w:val="en-GB"/>
        </w:rPr>
        <w:t xml:space="preserve">Different underlying principles and system pressure might have contributed to the case study event. WHO estimates a projected global shortage of 10 million healthcare workers by 2030, with most of the shortages concentrated in middle- and low-income countries (WHO, 2022). A </w:t>
      </w:r>
      <w:r w:rsidRPr="00012E12">
        <w:rPr>
          <w:lang w:val="en-GB"/>
        </w:rPr>
        <w:lastRenderedPageBreak/>
        <w:t xml:space="preserve">shortage of the workforce increases fatigue, staff workload and dependence on assumptions rather than conducting structured verification processes. </w:t>
      </w:r>
    </w:p>
    <w:p w14:paraId="3682AC71" w14:textId="77777777" w:rsidR="00280FF6" w:rsidRPr="00012E12" w:rsidRDefault="00280FF6" w:rsidP="00280FF6">
      <w:pPr>
        <w:rPr>
          <w:lang w:val="en-GB"/>
        </w:rPr>
      </w:pPr>
      <w:r w:rsidRPr="00012E12">
        <w:rPr>
          <w:lang w:val="en-GB"/>
        </w:rPr>
        <w:t>Similarly, India also faces continuing challenges of retaining a skilled workforce. According to the reports of the Ministry of Health and Family Welfare (2023), increasing demand among patients within public hospitals, quality assurance, and continuous improvement in staff management and clinical governance. Higher volume of patients, along with pressure in the organisation's operation, increases the dependence of the staff on efficient communication systems and adequate leadership oversight.</w:t>
      </w:r>
    </w:p>
    <w:p w14:paraId="4E1E3E25" w14:textId="77777777" w:rsidR="00280FF6" w:rsidRPr="00012E12" w:rsidRDefault="00280FF6" w:rsidP="00280FF6">
      <w:pPr>
        <w:jc w:val="center"/>
        <w:rPr>
          <w:lang w:val="en-GB"/>
        </w:rPr>
      </w:pPr>
      <w:r w:rsidRPr="00012E12">
        <w:rPr>
          <w:noProof/>
          <w:lang w:val="en-GB" w:eastAsia="en-US"/>
        </w:rPr>
        <w:drawing>
          <wp:inline distT="0" distB="0" distL="0" distR="0" wp14:anchorId="2ADB895F" wp14:editId="4331BB5B">
            <wp:extent cx="5731510" cy="3778250"/>
            <wp:effectExtent l="38100" t="38100" r="38100" b="381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510" cy="3778250"/>
                    </a:xfrm>
                    <a:prstGeom prst="rect">
                      <a:avLst/>
                    </a:prstGeom>
                    <a:ln w="38100">
                      <a:solidFill>
                        <a:srgbClr val="000000"/>
                      </a:solidFill>
                      <a:prstDash val="solid"/>
                    </a:ln>
                  </pic:spPr>
                </pic:pic>
              </a:graphicData>
            </a:graphic>
          </wp:inline>
        </w:drawing>
      </w:r>
    </w:p>
    <w:p w14:paraId="7942FC23" w14:textId="77777777" w:rsidR="00280FF6" w:rsidRPr="00012E12" w:rsidRDefault="00280FF6" w:rsidP="00280FF6">
      <w:pPr>
        <w:jc w:val="center"/>
        <w:rPr>
          <w:lang w:val="en-GB"/>
        </w:rPr>
      </w:pPr>
      <w:r w:rsidRPr="00012E12">
        <w:rPr>
          <w:b/>
          <w:bCs/>
          <w:lang w:val="en-GB"/>
        </w:rPr>
        <w:t>Figure 4: Medicine Negligence Claims received by NHS</w:t>
      </w:r>
    </w:p>
    <w:p w14:paraId="19CFBDBC" w14:textId="77777777" w:rsidR="00280FF6" w:rsidRPr="00012E12" w:rsidRDefault="00280FF6" w:rsidP="00280FF6">
      <w:pPr>
        <w:jc w:val="center"/>
        <w:rPr>
          <w:lang w:val="en-GB"/>
        </w:rPr>
      </w:pPr>
      <w:r w:rsidRPr="00012E12">
        <w:rPr>
          <w:lang w:val="en-GB"/>
        </w:rPr>
        <w:t>(Source: Gadsby Wicks Solicitors, 2026)</w:t>
      </w:r>
    </w:p>
    <w:p w14:paraId="51AE81E1" w14:textId="77777777" w:rsidR="00280FF6" w:rsidRPr="00012E12" w:rsidRDefault="00280FF6" w:rsidP="00280FF6">
      <w:pPr>
        <w:rPr>
          <w:lang w:val="en-GB"/>
        </w:rPr>
      </w:pPr>
      <w:r w:rsidRPr="00012E12">
        <w:rPr>
          <w:lang w:val="en-GB"/>
        </w:rPr>
        <w:t xml:space="preserve">The communication dependencies are evident throughout the journey of the patient in the health care service provider institute. The verbal response of the patient to hearing his name was accepted without independent confirmation. Lack of cross-checking between nurses, admission staff and surgeon allowed the error to progress through different stages before detection. Failure in communication remains one of the leading contributors to serious adverse impacts on </w:t>
      </w:r>
      <w:r w:rsidRPr="00012E12">
        <w:rPr>
          <w:lang w:val="en-GB"/>
        </w:rPr>
        <w:lastRenderedPageBreak/>
        <w:t>the health care event globally (WHO, 2023). Overall, the Kota incident highlights the ways in which patient harm emerges from interconnected organisational processes rather than individual isolated human error. .</w:t>
      </w:r>
    </w:p>
    <w:p w14:paraId="2EB97180" w14:textId="77777777" w:rsidR="00280FF6" w:rsidRPr="00012E12" w:rsidRDefault="00280FF6" w:rsidP="00280FF6">
      <w:pPr>
        <w:pStyle w:val="Heading2"/>
        <w:rPr>
          <w:b w:val="0"/>
          <w:bCs w:val="0"/>
          <w:i w:val="0"/>
          <w:iCs w:val="0"/>
          <w:lang w:val="en-GB"/>
        </w:rPr>
      </w:pPr>
      <w:bookmarkStart w:id="22" w:name="_a3l7185cmz1k" w:colFirst="0" w:colLast="0"/>
      <w:bookmarkStart w:id="23" w:name="_Toc236669178"/>
      <w:bookmarkEnd w:id="22"/>
      <w:r w:rsidRPr="00012E12">
        <w:rPr>
          <w:lang w:val="en-GB"/>
        </w:rPr>
        <w:t>b. Centralisation or Decentralisation within the Case Study</w:t>
      </w:r>
      <w:bookmarkEnd w:id="23"/>
    </w:p>
    <w:p w14:paraId="1B441065" w14:textId="77777777" w:rsidR="00280FF6" w:rsidRPr="00012E12" w:rsidRDefault="00280FF6" w:rsidP="00280FF6">
      <w:pPr>
        <w:pStyle w:val="Heading3"/>
        <w:rPr>
          <w:lang w:val="en-GB"/>
        </w:rPr>
      </w:pPr>
      <w:bookmarkStart w:id="24" w:name="_wwzufz5qgrq5" w:colFirst="0" w:colLast="0"/>
      <w:bookmarkStart w:id="25" w:name="_Toc236669179"/>
      <w:bookmarkEnd w:id="24"/>
      <w:r w:rsidRPr="00012E12">
        <w:rPr>
          <w:lang w:val="en-GB"/>
        </w:rPr>
        <w:t>Justification of the organisational structure</w:t>
      </w:r>
      <w:bookmarkEnd w:id="25"/>
    </w:p>
    <w:p w14:paraId="1D35C4D1" w14:textId="77777777" w:rsidR="00280FF6" w:rsidRPr="00012E12" w:rsidRDefault="00280FF6" w:rsidP="00280FF6">
      <w:pPr>
        <w:rPr>
          <w:lang w:val="en-GB"/>
        </w:rPr>
      </w:pPr>
      <w:r w:rsidRPr="00012E12">
        <w:rPr>
          <w:lang w:val="en-GB"/>
        </w:rPr>
        <w:t>The Kota Medical College Hospital incident reflects a predominantly centralised health care system where policy implementation, authority and accountability are concentrated within government health authorities and hospital management. Even though the frontline clinician makes the operational decision during patient care, standard operating procedures and organisational policy, resource allocation remains controlled. India continues to experience Health Care work force shortage, with an estimated 1 physician per approximately 1511 population and a nursing shortage persisting across many public hospitals. The workforce pressure increases staff overload and can reduce compliance with patient verification procedures during a busy surgical schedule (WHO, 2023). Therefore, the incident demonstrates the ways in which weakness in centralised governance structure impacts patient safety when the leadership oversight and policy implementation fail.</w:t>
      </w:r>
    </w:p>
    <w:p w14:paraId="32CC3C66" w14:textId="77777777" w:rsidR="00280FF6" w:rsidRPr="00012E12" w:rsidRDefault="00280FF6" w:rsidP="00280FF6">
      <w:pPr>
        <w:pStyle w:val="Heading3"/>
        <w:rPr>
          <w:lang w:val="en-GB"/>
        </w:rPr>
      </w:pPr>
      <w:bookmarkStart w:id="26" w:name="_7vff99i5kbjd" w:colFirst="0" w:colLast="0"/>
      <w:bookmarkStart w:id="27" w:name="_Toc236669180"/>
      <w:bookmarkEnd w:id="26"/>
      <w:r w:rsidRPr="00012E12">
        <w:rPr>
          <w:lang w:val="en-GB"/>
        </w:rPr>
        <w:t>Characteristics of centralised decision making</w:t>
      </w:r>
      <w:bookmarkEnd w:id="27"/>
    </w:p>
    <w:p w14:paraId="6035F0EA" w14:textId="77777777" w:rsidR="00280FF6" w:rsidRPr="00012E12" w:rsidRDefault="00280FF6" w:rsidP="00280FF6">
      <w:pPr>
        <w:rPr>
          <w:lang w:val="en-GB"/>
        </w:rPr>
      </w:pPr>
      <w:r w:rsidRPr="00012E12">
        <w:rPr>
          <w:lang w:val="en-GB"/>
        </w:rPr>
        <w:t xml:space="preserve">In a centralised health care system, strategic decision making is concentrated among government authorities and senior hospital administrators, while the frontline healthcare service providers are expected to comply with the established clinical protocol. Surgical safety standards, patient identification procedures, and quality monitoring at Kota Medical College Hospital are determined by hospital leadership in accordance with the national healthcare regulations. Research evaluating implementation of the WHO surgical safety checklist reported an overall compliance rate of 82%, while compliance with the time-out and sign-in component remained comparatively lower, which increased the risk of operation identification error (Kandel </w:t>
      </w:r>
      <w:r w:rsidRPr="00012E12">
        <w:rPr>
          <w:i/>
          <w:iCs/>
          <w:lang w:val="en-GB"/>
        </w:rPr>
        <w:t>et al.,</w:t>
      </w:r>
      <w:r w:rsidRPr="00012E12">
        <w:rPr>
          <w:lang w:val="en-GB"/>
        </w:rPr>
        <w:t xml:space="preserve"> 2023). Following the wrong-patient surgery incident, the hospital principal immediately established a three-member enquiry committee, which highlights corrective actions and accountability were initiated through the senior management rather than individual departments. It highlights the concentration of authority typical of centralised governance. </w:t>
      </w:r>
    </w:p>
    <w:p w14:paraId="10683560" w14:textId="77777777" w:rsidR="00280FF6" w:rsidRPr="00012E12" w:rsidRDefault="00280FF6" w:rsidP="00280FF6">
      <w:pPr>
        <w:rPr>
          <w:lang w:val="en-GB"/>
        </w:rPr>
      </w:pPr>
      <w:r w:rsidRPr="00012E12">
        <w:rPr>
          <w:lang w:val="en-GB"/>
        </w:rPr>
        <w:lastRenderedPageBreak/>
        <w:t>The public health care system of India follows a hierarchical governance structure in which tertiary hospitals operate under the National Quality Standards and the State Health Department. Centralised governance supports consistent implementation of quality standards, Health Care policy and patient safety initiatives across public hospitals (National Health Authority, 2022). OECD (2023) similarly highlights that centralised governance promotes standardisation of accountability and clinical practice through uniform regulation across healthcare organisations.</w:t>
      </w:r>
    </w:p>
    <w:p w14:paraId="08D45ABA" w14:textId="77777777" w:rsidR="00280FF6" w:rsidRPr="00012E12" w:rsidRDefault="00280FF6" w:rsidP="00280FF6">
      <w:pPr>
        <w:pStyle w:val="Heading3"/>
        <w:rPr>
          <w:lang w:val="en-GB"/>
        </w:rPr>
      </w:pPr>
      <w:bookmarkStart w:id="28" w:name="_qiqryve5cz6s" w:colFirst="0" w:colLast="0"/>
      <w:bookmarkStart w:id="29" w:name="_Toc236669181"/>
      <w:bookmarkEnd w:id="28"/>
      <w:r w:rsidRPr="00012E12">
        <w:rPr>
          <w:lang w:val="en-GB"/>
        </w:rPr>
        <w:t>Advantages of centralisation in the case study</w:t>
      </w:r>
      <w:bookmarkEnd w:id="29"/>
    </w:p>
    <w:p w14:paraId="55A9438C" w14:textId="77777777" w:rsidR="00280FF6" w:rsidRPr="00012E12" w:rsidRDefault="00280FF6" w:rsidP="00280FF6">
      <w:pPr>
        <w:rPr>
          <w:lang w:val="en-GB"/>
        </w:rPr>
      </w:pPr>
      <w:r w:rsidRPr="00012E12">
        <w:rPr>
          <w:lang w:val="en-GB"/>
        </w:rPr>
        <w:t>One of the significant advantages of centralisation is the ability to establish consistent patient safety protocol across organisations. The standardised policy like informed consent verification, mandatory patient identification, and pre-operative surgical checklists, reduce variability in clinical practice. Hospitals operating under a standardised governance framework highlight improved consistency in patient safety monitoring and quality assurance (ISQua, 2022).</w:t>
      </w:r>
    </w:p>
    <w:p w14:paraId="5991319E" w14:textId="77777777" w:rsidR="00280FF6" w:rsidRPr="00012E12" w:rsidRDefault="00280FF6" w:rsidP="00280FF6">
      <w:pPr>
        <w:rPr>
          <w:lang w:val="en-GB"/>
        </w:rPr>
      </w:pPr>
      <w:r w:rsidRPr="00012E12">
        <w:rPr>
          <w:lang w:val="en-GB"/>
        </w:rPr>
        <w:t xml:space="preserve">Centralised governance also improves organisational accountability during serious adverse impacts. Immediate formation of the investigation committee in the quota case enabled leadership to identify responsible departments, review procedural failure and recommend corrective actions. Centralised incident investigation facilitates organisational transparency, systematic learning and implementation of hospital-wide improvement procedures rather than individual isolated department responses (AHRQ, 2023). Further, the centralised management enables efficient allocation of organisational resources. Public hospitals operating within a centralised hospital system are more effective in distributing workforce planning, financial resources and infrastructure investment more consistently across different departments (World Bank, 2024). Thus, the coordination supports implementation of hospital-wide quality improvement initiatives and patient safety programs. </w:t>
      </w:r>
    </w:p>
    <w:p w14:paraId="3229597C" w14:textId="77777777" w:rsidR="00280FF6" w:rsidRPr="00012E12" w:rsidRDefault="00280FF6" w:rsidP="00280FF6">
      <w:pPr>
        <w:pStyle w:val="Heading3"/>
        <w:rPr>
          <w:lang w:val="en-GB"/>
        </w:rPr>
      </w:pPr>
      <w:bookmarkStart w:id="30" w:name="_r4f6okxh3ltw" w:colFirst="0" w:colLast="0"/>
      <w:bookmarkStart w:id="31" w:name="_Toc236669182"/>
      <w:bookmarkEnd w:id="30"/>
      <w:r w:rsidRPr="00012E12">
        <w:rPr>
          <w:lang w:val="en-GB"/>
        </w:rPr>
        <w:t>Disadvantages of centralisation in the case study</w:t>
      </w:r>
      <w:bookmarkEnd w:id="31"/>
    </w:p>
    <w:p w14:paraId="775AB0C7" w14:textId="77777777" w:rsidR="00280FF6" w:rsidRPr="00012E12" w:rsidRDefault="00280FF6" w:rsidP="00280FF6">
      <w:pPr>
        <w:rPr>
          <w:lang w:val="en-GB"/>
        </w:rPr>
      </w:pPr>
      <w:r w:rsidRPr="00012E12">
        <w:rPr>
          <w:lang w:val="en-GB"/>
        </w:rPr>
        <w:t xml:space="preserve">Excessive centralisation, despite the advantages, may reduce the responsiveness of the front-line service provider.  Evidence indicates that consistent implementation of the WHO surgical safety checklist is effective in reducing major postoperative complications by nearly 30% and </w:t>
      </w:r>
      <w:r w:rsidR="00D87B47" w:rsidRPr="00012E12">
        <w:rPr>
          <w:lang w:val="en-GB"/>
        </w:rPr>
        <w:t>preoperative</w:t>
      </w:r>
      <w:r w:rsidRPr="00012E12">
        <w:rPr>
          <w:lang w:val="en-GB"/>
        </w:rPr>
        <w:t xml:space="preserve"> mortality by 24% (WHO, 2024). It highlights the importance of following the patient identification protocol. Highly centralised healthcare organisations can experience reduced frontline empowerment, communication and delayed response to the emerging safety concern </w:t>
      </w:r>
      <w:r w:rsidRPr="00012E12">
        <w:rPr>
          <w:lang w:val="en-GB"/>
        </w:rPr>
        <w:lastRenderedPageBreak/>
        <w:t xml:space="preserve">(King's Fund, 2022). Staff working in an extremely rigid hierarchy can hesitate to establish procedures, questioning senior colleagues, which increases the chances of errors progressing through multiple stages before detection. </w:t>
      </w:r>
    </w:p>
    <w:p w14:paraId="6D3CAE1D" w14:textId="77777777" w:rsidR="00280FF6" w:rsidRPr="00012E12" w:rsidRDefault="00280FF6" w:rsidP="00280FF6">
      <w:pPr>
        <w:rPr>
          <w:lang w:val="en-GB"/>
        </w:rPr>
      </w:pPr>
      <w:r w:rsidRPr="00012E12">
        <w:rPr>
          <w:lang w:val="en-GB"/>
        </w:rPr>
        <w:t xml:space="preserve">Additionally, reduced organisational flexibility is yet another significant limitation. Hospitals with highly centralised governance usually experience reduced implementation of local quality improvement initiatives because changes require approval through multiple administrative levels (The Health Foundation, 2023). As a result, the opportunity for rapid learning following near miss incidence can be delayed. The incident also demonstrates limitations in monitoring policy compliance. Patient identification remains among one of the most frequently cited safety compliance issues despite the widespread availability of standard operating procedures (Joint Commission, 2023). It highlights organisational culture significantly influencing adherence. Even though patient identification procedures of the patient are almost certainly established within hospital policies, failure in implementation at several stages is evident. It indicates that centralised governance alone does not ensure compliance unless supported by continuous supervision, leadership engagement and auditing. </w:t>
      </w:r>
    </w:p>
    <w:p w14:paraId="4BF0770F" w14:textId="77777777" w:rsidR="00280FF6" w:rsidRPr="00012E12" w:rsidRDefault="00280FF6" w:rsidP="00280FF6">
      <w:pPr>
        <w:pStyle w:val="Heading3"/>
        <w:rPr>
          <w:lang w:val="en-GB"/>
        </w:rPr>
      </w:pPr>
      <w:bookmarkStart w:id="32" w:name="_c1akr521hasc" w:colFirst="0" w:colLast="0"/>
      <w:bookmarkStart w:id="33" w:name="_Toc236669183"/>
      <w:bookmarkEnd w:id="32"/>
      <w:r w:rsidRPr="00012E12">
        <w:rPr>
          <w:lang w:val="en-GB"/>
        </w:rPr>
        <w:t>Impact on decision making, crisis management and accountability</w:t>
      </w:r>
      <w:bookmarkEnd w:id="33"/>
    </w:p>
    <w:p w14:paraId="63146346" w14:textId="77777777" w:rsidR="00280FF6" w:rsidRPr="00012E12" w:rsidRDefault="00280FF6" w:rsidP="00280FF6">
      <w:pPr>
        <w:rPr>
          <w:lang w:val="en-GB"/>
        </w:rPr>
      </w:pPr>
      <w:r w:rsidRPr="00012E12">
        <w:rPr>
          <w:lang w:val="en-GB"/>
        </w:rPr>
        <w:t xml:space="preserve">The centralised governance structure both hindered and supported management of the incident. The immediate establishment of the enquiry committee from a crisis management perspective demonstrated strong organisational authority as it enabled rapid initiation of formal investigation. Thus, centralised leadership also ensured that responsibility to review the protocol and implement immediate corrective action was restored with the hospital management rather than individual departments or clinicians alone. </w:t>
      </w:r>
    </w:p>
    <w:p w14:paraId="203152B1" w14:textId="77777777" w:rsidR="00280FF6" w:rsidRPr="00012E12" w:rsidRDefault="00280FF6" w:rsidP="00280FF6">
      <w:pPr>
        <w:rPr>
          <w:lang w:val="en-GB"/>
        </w:rPr>
      </w:pPr>
      <w:r w:rsidRPr="00012E12">
        <w:rPr>
          <w:lang w:val="en-GB"/>
        </w:rPr>
        <w:t xml:space="preserve">The same hierarchical structure, however, can have indirectly contributed to the incident itself. Apparently, the frontline </w:t>
      </w:r>
      <w:r w:rsidR="00D87B47" w:rsidRPr="00012E12">
        <w:rPr>
          <w:lang w:val="en-GB"/>
        </w:rPr>
        <w:t>staffs were</w:t>
      </w:r>
      <w:r w:rsidRPr="00012E12">
        <w:rPr>
          <w:lang w:val="en-GB"/>
        </w:rPr>
        <w:t xml:space="preserve"> dependent upon existing administrative processes rather than independently verifying patient identity using multiple identifiers. </w:t>
      </w:r>
      <w:r w:rsidR="00D87B47" w:rsidRPr="00012E12">
        <w:rPr>
          <w:lang w:val="en-GB"/>
        </w:rPr>
        <w:t>Systems thinking suggest</w:t>
      </w:r>
      <w:r w:rsidRPr="00012E12">
        <w:rPr>
          <w:lang w:val="en-GB"/>
        </w:rPr>
        <w:t xml:space="preserve"> that responsibilities for a patient's safety should be distributed across all the members of the multidisciplinary team rather than completely concentrated within a formal management structure. Reportedly, accredited hospitals are required to achieve </w:t>
      </w:r>
      <w:r w:rsidR="00D87B47">
        <w:rPr>
          <w:lang w:val="en-GB"/>
        </w:rPr>
        <w:t xml:space="preserve">a </w:t>
      </w:r>
      <w:r w:rsidRPr="00012E12">
        <w:rPr>
          <w:lang w:val="en-GB"/>
        </w:rPr>
        <w:t xml:space="preserve">hundred percent compliance with patient identification protocol before invasive procedures, which emphasises that any deviation reflects a significant overall system failure (NABH, 2023). Additionally, OECD (2023) estimated that a preventable patient safety failure accounts for 15% of hospital expenditure in the health system, which also demonstrates substantial organisational </w:t>
      </w:r>
      <w:r w:rsidRPr="00012E12">
        <w:rPr>
          <w:lang w:val="en-GB"/>
        </w:rPr>
        <w:lastRenderedPageBreak/>
        <w:t xml:space="preserve">consequences of safety incidents. Further, the Commonwealth Fund (2024) reports that the health system characterised by continuous staff engagement, strong clinical governance and shared accountability achieves better patient safety outcomes compared to a system that is completely dependent on hierarchical control. The findings suggest that even though centralised governance provides organisational consistency, effective patient safety requires combining Central oversight with decentralised responsibility at the point of care. </w:t>
      </w:r>
    </w:p>
    <w:p w14:paraId="1F3E171C" w14:textId="77777777" w:rsidR="00280FF6" w:rsidRPr="00012E12" w:rsidRDefault="00280FF6" w:rsidP="00280FF6">
      <w:pPr>
        <w:rPr>
          <w:lang w:val="en-GB"/>
        </w:rPr>
      </w:pPr>
      <w:r w:rsidRPr="00012E12">
        <w:rPr>
          <w:lang w:val="en-GB"/>
        </w:rPr>
        <w:t xml:space="preserve">The Kota Medical College Hospital case illustrated that a centralised governance structure provides clear accountability following adverse impacts but is less effective at preventing incidents in the first place. As a result, the case supports a balanced governance model where centralised leadership establishes organisational structure while the decentralised clinical team retains authority to question decisions, interview whenever patient safety is threatened and verify patient identity. </w:t>
      </w:r>
    </w:p>
    <w:p w14:paraId="2C09599A" w14:textId="77777777" w:rsidR="00455DCB" w:rsidRPr="00012E12" w:rsidRDefault="005E2CA9" w:rsidP="00280FF6">
      <w:pPr>
        <w:pStyle w:val="Heading2"/>
        <w:rPr>
          <w:lang w:val="en-GB"/>
        </w:rPr>
      </w:pPr>
      <w:bookmarkStart w:id="34" w:name="_Toc236669184"/>
      <w:r w:rsidRPr="00012E12">
        <w:rPr>
          <w:lang w:val="en-GB"/>
        </w:rPr>
        <w:t>c. Leadership Theories and Application to the Case Study</w:t>
      </w:r>
      <w:bookmarkEnd w:id="34"/>
    </w:p>
    <w:p w14:paraId="7DBF26E8" w14:textId="77777777" w:rsidR="00455DCB" w:rsidRPr="00012E12" w:rsidRDefault="005E2CA9" w:rsidP="00280FF6">
      <w:pPr>
        <w:pStyle w:val="Heading3"/>
        <w:rPr>
          <w:lang w:val="en-GB"/>
        </w:rPr>
      </w:pPr>
      <w:bookmarkStart w:id="35" w:name="_k0uq3kxj7e42" w:colFirst="0" w:colLast="0"/>
      <w:bookmarkStart w:id="36" w:name="_Toc236669185"/>
      <w:bookmarkEnd w:id="35"/>
      <w:r w:rsidRPr="00012E12">
        <w:rPr>
          <w:lang w:val="en-GB"/>
        </w:rPr>
        <w:t>Critical analysis of leadership theories</w:t>
      </w:r>
      <w:bookmarkEnd w:id="36"/>
    </w:p>
    <w:p w14:paraId="29449ACD" w14:textId="77777777" w:rsidR="00455DCB" w:rsidRPr="00012E12" w:rsidRDefault="005E2CA9">
      <w:pPr>
        <w:rPr>
          <w:lang w:val="en-GB"/>
        </w:rPr>
      </w:pPr>
      <w:r w:rsidRPr="00012E12">
        <w:rPr>
          <w:lang w:val="en-GB"/>
        </w:rPr>
        <w:t xml:space="preserve">In Kota Medical College Hospital, weak leadership has contributed to wrong patient surgery, which indicates leadership is important to help staff work together to deliver safe patient care. Transformational leadership focuses on inspiring employees and creating a strong patient safety culture by encouraging staff to speak up when they notice risk and support continuous learning. Transformational leadership results in fewer adverse patient events as leaders focus on patient safety and effective risk management by implementing proactive measures (Tsapnidou </w:t>
      </w:r>
      <w:r w:rsidRPr="00D87B47">
        <w:rPr>
          <w:i/>
          <w:lang w:val="en-GB"/>
        </w:rPr>
        <w:t>et al.,</w:t>
      </w:r>
      <w:r w:rsidRPr="00012E12">
        <w:rPr>
          <w:lang w:val="en-GB"/>
        </w:rPr>
        <w:t xml:space="preserve"> 2024). For instance, transformational leadership is associated with high staff engagement and better patient safety as employees feel confident reporting their concerns. On the contrary, transactional leadership emphasises rules, procedures and accountability. For instance, WHO Surgical Safety Checklist was created through extensive consultation to reduce surgical errors and adverse events while improving teamwork and communication (WHO, 2026). In the case of Kota Medical College Hospital, staff failed to follow require verification process before administering anaesthesia and beginning surgery. Although this leadership style promotes consistency and compliance, it may not prevent errors if </w:t>
      </w:r>
      <w:r w:rsidR="00D87B47" w:rsidRPr="00012E12">
        <w:rPr>
          <w:lang w:val="en-GB"/>
        </w:rPr>
        <w:t>staff only follows</w:t>
      </w:r>
      <w:r w:rsidRPr="00012E12">
        <w:rPr>
          <w:lang w:val="en-GB"/>
        </w:rPr>
        <w:t xml:space="preserve"> routines without assessing unusual situations. </w:t>
      </w:r>
    </w:p>
    <w:p w14:paraId="47F38283" w14:textId="77777777" w:rsidR="00455DCB" w:rsidRPr="00012E12" w:rsidRDefault="005E2CA9">
      <w:pPr>
        <w:rPr>
          <w:lang w:val="en-GB"/>
        </w:rPr>
      </w:pPr>
      <w:r w:rsidRPr="00012E12">
        <w:rPr>
          <w:lang w:val="en-GB"/>
        </w:rPr>
        <w:t xml:space="preserve">Situational leadership is important in </w:t>
      </w:r>
      <w:r w:rsidR="00D87B47" w:rsidRPr="00012E12">
        <w:rPr>
          <w:lang w:val="en-GB"/>
        </w:rPr>
        <w:t>hospitals that suggest</w:t>
      </w:r>
      <w:r w:rsidRPr="00012E12">
        <w:rPr>
          <w:lang w:val="en-GB"/>
        </w:rPr>
        <w:t xml:space="preserve"> leaders need to adapt their leadership style according to the situation and staff capability. As mentioned by Singh </w:t>
      </w:r>
      <w:r w:rsidRPr="00D87B47">
        <w:rPr>
          <w:i/>
          <w:lang w:val="en-GB"/>
        </w:rPr>
        <w:t>et al.</w:t>
      </w:r>
      <w:r w:rsidRPr="00012E12">
        <w:rPr>
          <w:lang w:val="en-GB"/>
        </w:rPr>
        <w:t xml:space="preserve"> </w:t>
      </w:r>
      <w:r w:rsidRPr="00012E12">
        <w:rPr>
          <w:lang w:val="en-GB"/>
        </w:rPr>
        <w:lastRenderedPageBreak/>
        <w:t xml:space="preserve">(2024), situational leadership enables leaders to adjust their style considering the situation and provide clear direction during emergencies. Especially in Kota Medical College Hospital, this leadership style during high-risk procedures such as surgery indicates the importance of monitoring clinical activities closely and reporting immediately if uncertainty occurs. Evidence of nursing management and hospital administration shows that situational leadership is linked to higher staff engagement, strong teamwork, job satisfaction and improved perceptions of service quality (Ghallab and Sallam, 2026). Overall, combining different leadership styles is important to provide a strong approach to reduce preventable clinical errors. </w:t>
      </w:r>
    </w:p>
    <w:p w14:paraId="63E2C5D6" w14:textId="77777777" w:rsidR="00455DCB" w:rsidRPr="00012E12" w:rsidRDefault="005E2CA9" w:rsidP="00280FF6">
      <w:pPr>
        <w:pStyle w:val="Heading3"/>
        <w:rPr>
          <w:lang w:val="en-GB"/>
        </w:rPr>
      </w:pPr>
      <w:bookmarkStart w:id="37" w:name="_49427649y4i8" w:colFirst="0" w:colLast="0"/>
      <w:bookmarkStart w:id="38" w:name="_Toc236669186"/>
      <w:bookmarkEnd w:id="37"/>
      <w:r w:rsidRPr="00012E12">
        <w:rPr>
          <w:lang w:val="en-GB"/>
        </w:rPr>
        <w:t>Appropriateness of chosen leadership style</w:t>
      </w:r>
      <w:bookmarkEnd w:id="38"/>
    </w:p>
    <w:p w14:paraId="0DCC9250" w14:textId="77777777" w:rsidR="00455DCB" w:rsidRPr="00012E12" w:rsidRDefault="005E2CA9">
      <w:pPr>
        <w:rPr>
          <w:lang w:val="en-GB"/>
        </w:rPr>
      </w:pPr>
      <w:r w:rsidRPr="00012E12">
        <w:rPr>
          <w:lang w:val="en-GB"/>
        </w:rPr>
        <w:t xml:space="preserve">In Kota's case, the leadership approach demonstrates an inappropriate style for a high-risk clinical situation. Safe surgical care requires leaders' ability to ensure compliance with safety procedures, apart from encouraging staff to communicate openly about concerns. Transactional leadership in Kota Medical College Hospital is necessary as surgery requires strict adherence to different policies, documentation and safety checklists. Transactional leaders take a directive approach by focusing on task completion on time, following established protocols and providing immediate feedback to staff (Al-Rjoub </w:t>
      </w:r>
      <w:r w:rsidRPr="00D87B47">
        <w:rPr>
          <w:i/>
          <w:lang w:val="en-GB"/>
        </w:rPr>
        <w:t>et al.,</w:t>
      </w:r>
      <w:r w:rsidRPr="00012E12">
        <w:rPr>
          <w:lang w:val="en-GB"/>
        </w:rPr>
        <w:t xml:space="preserve"> 2024). However, transactional leadership may not be sufficient in the hospital and combining it with transformational leadership is important to prioritise patient safety over routine. Situational leadership is well suited for managing crises, specifically during the preparation and recovery stages of a crisis (Balasubramanian and Fernandes, 2022). For instance, uncertainty about patient identity requires leaders to immediately suspend procedure until verification is complete. More specifically, appropriate leadership is important in the hospital to improve patient safety and reduce adverse events in terms of enhancing overall organisational safety. </w:t>
      </w:r>
    </w:p>
    <w:p w14:paraId="7C15CC4B" w14:textId="77777777" w:rsidR="00455DCB" w:rsidRPr="00012E12" w:rsidRDefault="005E2CA9" w:rsidP="00280FF6">
      <w:pPr>
        <w:pStyle w:val="Heading3"/>
        <w:rPr>
          <w:lang w:val="en-GB"/>
        </w:rPr>
      </w:pPr>
      <w:bookmarkStart w:id="39" w:name="_9x8h3ppwue0" w:colFirst="0" w:colLast="0"/>
      <w:bookmarkStart w:id="40" w:name="_Toc236669187"/>
      <w:bookmarkEnd w:id="39"/>
      <w:r w:rsidRPr="00012E12">
        <w:rPr>
          <w:lang w:val="en-GB"/>
        </w:rPr>
        <w:t>Leaders' behaviour and data</w:t>
      </w:r>
      <w:bookmarkEnd w:id="40"/>
    </w:p>
    <w:p w14:paraId="6B4B5327" w14:textId="77777777" w:rsidR="00455DCB" w:rsidRPr="00012E12" w:rsidRDefault="005E2CA9">
      <w:pPr>
        <w:rPr>
          <w:lang w:val="en-GB"/>
        </w:rPr>
      </w:pPr>
      <w:r w:rsidRPr="00012E12">
        <w:rPr>
          <w:lang w:val="en-GB"/>
        </w:rPr>
        <w:t xml:space="preserve">The leaders at Kota Medical College Hospital were reactive rather than proactive, which means responding to the problem only after it has occurred. Healthcare regulations often take a reactive approach to worker safety by responding only when serious incidents have occurred rather than preventing them through proactive measures (Lindström, 2025). Additionally, the mistake of taking the wrong patient into the operating theatre was discovered only after the patient’s son noticed his father was missing. Lack of trained medical attention in India is higher in rural areas than urban areas, resulting in deaths by 48.9% and 36.1%, respectively, in 2024 </w:t>
      </w:r>
      <w:r w:rsidRPr="00012E12">
        <w:rPr>
          <w:lang w:val="en-GB"/>
        </w:rPr>
        <w:lastRenderedPageBreak/>
        <w:t xml:space="preserve">(Timesofindia, 2026). This incident reflects that leaders failed to establish effective systems within the organisation to prevent error before surgery began. </w:t>
      </w:r>
    </w:p>
    <w:p w14:paraId="43C1ED63" w14:textId="77777777" w:rsidR="00455DCB" w:rsidRPr="00012E12" w:rsidRDefault="005E2CA9">
      <w:pPr>
        <w:jc w:val="center"/>
        <w:rPr>
          <w:lang w:val="en-GB"/>
        </w:rPr>
      </w:pPr>
      <w:r w:rsidRPr="00012E12">
        <w:rPr>
          <w:noProof/>
          <w:lang w:val="en-GB" w:eastAsia="en-US"/>
        </w:rPr>
        <w:drawing>
          <wp:inline distT="114300" distB="114300" distL="114300" distR="114300" wp14:anchorId="65ED7496" wp14:editId="619E9939">
            <wp:extent cx="3383511" cy="3975930"/>
            <wp:effectExtent l="19050" t="19050" r="26670" b="2476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394806" cy="3989202"/>
                    </a:xfrm>
                    <a:prstGeom prst="rect">
                      <a:avLst/>
                    </a:prstGeom>
                    <a:ln w="12700">
                      <a:solidFill>
                        <a:srgbClr val="000000"/>
                      </a:solidFill>
                      <a:prstDash val="solid"/>
                    </a:ln>
                  </pic:spPr>
                </pic:pic>
              </a:graphicData>
            </a:graphic>
          </wp:inline>
        </w:drawing>
      </w:r>
    </w:p>
    <w:p w14:paraId="01BCD04D" w14:textId="77777777" w:rsidR="00455DCB" w:rsidRPr="00012E12" w:rsidRDefault="00280FF6">
      <w:pPr>
        <w:jc w:val="center"/>
        <w:rPr>
          <w:b/>
          <w:bCs/>
          <w:lang w:val="en-GB"/>
        </w:rPr>
      </w:pPr>
      <w:r w:rsidRPr="00012E12">
        <w:rPr>
          <w:b/>
          <w:bCs/>
          <w:lang w:val="en-GB"/>
        </w:rPr>
        <w:t>Figure 5</w:t>
      </w:r>
      <w:r w:rsidR="005E2CA9" w:rsidRPr="00012E12">
        <w:rPr>
          <w:b/>
          <w:bCs/>
          <w:lang w:val="en-GB"/>
        </w:rPr>
        <w:t xml:space="preserve">: Deaths unattended by professionals </w:t>
      </w:r>
    </w:p>
    <w:p w14:paraId="438FCB93" w14:textId="77777777" w:rsidR="00455DCB" w:rsidRPr="00012E12" w:rsidRDefault="005E2CA9">
      <w:pPr>
        <w:jc w:val="center"/>
        <w:rPr>
          <w:lang w:val="en-GB"/>
        </w:rPr>
      </w:pPr>
      <w:r w:rsidRPr="00012E12">
        <w:rPr>
          <w:lang w:val="en-GB"/>
        </w:rPr>
        <w:t>(Source: Timesofindia, 2026)</w:t>
      </w:r>
    </w:p>
    <w:p w14:paraId="7E81A9AE" w14:textId="77777777" w:rsidR="00455DCB" w:rsidRPr="00012E12" w:rsidRDefault="005E2CA9">
      <w:pPr>
        <w:rPr>
          <w:lang w:val="en-GB"/>
        </w:rPr>
      </w:pPr>
      <w:r w:rsidRPr="00012E12">
        <w:rPr>
          <w:lang w:val="en-GB"/>
        </w:rPr>
        <w:t xml:space="preserve">Healthcare organisations with strong leadership and patient safety cultures have higher staff engagement and fewer medical errors. A staff survey shows the highest mean score of 3.85 for effective teamwork and regular reviews of work pressure, 3.82, indicating a strong perception of teamwork (Alanazi </w:t>
      </w:r>
      <w:r w:rsidRPr="00D87B47">
        <w:rPr>
          <w:i/>
          <w:lang w:val="en-GB"/>
        </w:rPr>
        <w:t>et al.,</w:t>
      </w:r>
      <w:r w:rsidRPr="00012E12">
        <w:rPr>
          <w:lang w:val="en-GB"/>
        </w:rPr>
        <w:t xml:space="preserve"> 2026). Poor leadership and weak safety systems can have serious consequences for the organisation, for which encouraging teamwork and openness are essential. Thus, the Kota Medical College Hospital case demonstrates that proactive and patient-centred leadership is more effective than reactive leadership in improving patient safety. </w:t>
      </w:r>
    </w:p>
    <w:p w14:paraId="4F5782E7" w14:textId="77777777" w:rsidR="00455DCB" w:rsidRPr="00012E12" w:rsidRDefault="005E2CA9">
      <w:pPr>
        <w:jc w:val="center"/>
        <w:rPr>
          <w:lang w:val="en-GB"/>
        </w:rPr>
      </w:pPr>
      <w:r w:rsidRPr="00012E12">
        <w:rPr>
          <w:noProof/>
          <w:lang w:val="en-GB" w:eastAsia="en-US"/>
        </w:rPr>
        <w:lastRenderedPageBreak/>
        <w:drawing>
          <wp:inline distT="114300" distB="114300" distL="114300" distR="114300" wp14:anchorId="1C690DC7" wp14:editId="05425E9E">
            <wp:extent cx="4024313" cy="2948724"/>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024313" cy="2948724"/>
                    </a:xfrm>
                    <a:prstGeom prst="rect">
                      <a:avLst/>
                    </a:prstGeom>
                    <a:ln w="12700">
                      <a:solidFill>
                        <a:srgbClr val="000000"/>
                      </a:solidFill>
                      <a:prstDash val="solid"/>
                    </a:ln>
                  </pic:spPr>
                </pic:pic>
              </a:graphicData>
            </a:graphic>
          </wp:inline>
        </w:drawing>
      </w:r>
    </w:p>
    <w:p w14:paraId="6B45BA26" w14:textId="77777777" w:rsidR="00455DCB" w:rsidRPr="00012E12" w:rsidRDefault="00280FF6">
      <w:pPr>
        <w:jc w:val="center"/>
        <w:rPr>
          <w:b/>
          <w:bCs/>
          <w:lang w:val="en-GB"/>
        </w:rPr>
      </w:pPr>
      <w:r w:rsidRPr="00012E12">
        <w:rPr>
          <w:b/>
          <w:bCs/>
          <w:lang w:val="en-GB"/>
        </w:rPr>
        <w:t>Figure 6</w:t>
      </w:r>
      <w:r w:rsidR="005E2CA9" w:rsidRPr="00012E12">
        <w:rPr>
          <w:b/>
          <w:bCs/>
          <w:lang w:val="en-GB"/>
        </w:rPr>
        <w:t xml:space="preserve">: Staff perception about patient safety </w:t>
      </w:r>
    </w:p>
    <w:p w14:paraId="6D0322A9" w14:textId="77777777" w:rsidR="00455DCB" w:rsidRPr="00012E12" w:rsidRDefault="005E2CA9">
      <w:pPr>
        <w:jc w:val="center"/>
        <w:rPr>
          <w:lang w:val="en-GB"/>
        </w:rPr>
      </w:pPr>
      <w:r w:rsidRPr="00012E12">
        <w:rPr>
          <w:lang w:val="en-GB"/>
        </w:rPr>
        <w:t xml:space="preserve">(Source: Influenced by Alanazi </w:t>
      </w:r>
      <w:r w:rsidRPr="00D87B47">
        <w:rPr>
          <w:i/>
          <w:lang w:val="en-GB"/>
        </w:rPr>
        <w:t>et al.,</w:t>
      </w:r>
      <w:r w:rsidRPr="00012E12">
        <w:rPr>
          <w:lang w:val="en-GB"/>
        </w:rPr>
        <w:t xml:space="preserve"> 2026)</w:t>
      </w:r>
    </w:p>
    <w:p w14:paraId="2C55AC1A" w14:textId="77777777" w:rsidR="00455DCB" w:rsidRPr="00012E12" w:rsidRDefault="005E2CA9" w:rsidP="00280FF6">
      <w:pPr>
        <w:pStyle w:val="Heading3"/>
        <w:rPr>
          <w:lang w:val="en-GB"/>
        </w:rPr>
      </w:pPr>
      <w:bookmarkStart w:id="41" w:name="_m6h7awgqaeol" w:colFirst="0" w:colLast="0"/>
      <w:bookmarkStart w:id="42" w:name="_Toc236669188"/>
      <w:bookmarkEnd w:id="41"/>
      <w:r w:rsidRPr="00012E12">
        <w:rPr>
          <w:lang w:val="en-GB"/>
        </w:rPr>
        <w:t>Different techniques</w:t>
      </w:r>
      <w:bookmarkEnd w:id="42"/>
    </w:p>
    <w:p w14:paraId="6DB81AEA" w14:textId="77777777" w:rsidR="00455DCB" w:rsidRPr="00012E12" w:rsidRDefault="005E2CA9">
      <w:pPr>
        <w:rPr>
          <w:lang w:val="en-GB"/>
        </w:rPr>
      </w:pPr>
      <w:r w:rsidRPr="00012E12">
        <w:rPr>
          <w:lang w:val="en-GB"/>
        </w:rPr>
        <w:t xml:space="preserve">The case of Kota Medical College Hospital could have been prevented through distributed and emotionally intelligent leadership. Sharing responsibility among the different healthcare professionals rather than relying only on senior managers is valued in distributed leadership. NHS has promoted distributed leadership as an approach to support changes in the UK’s healthcare organisations (Svensson and von Knorring, 2025). In addition, nurses, anaesthetists and junior doctors of the hospital need to have the authority to question decisions and stop procedures if they identify a patient safety risk. However, the case shows that staff accepted the patient without completing a proper identity check, which led to a huge clinical error. On the contrary, emotional intelligence emphasises building trust and improving communication among leaders to create a positive safety culture. Emotional intelligence in healthcare is closely linked to transformational leadership through leaders’ ability to empower, encourage and inspire teams (Heikkinen </w:t>
      </w:r>
      <w:r w:rsidRPr="00D87B47">
        <w:rPr>
          <w:i/>
          <w:lang w:val="en-GB"/>
        </w:rPr>
        <w:t>et al.,</w:t>
      </w:r>
      <w:r w:rsidRPr="00012E12">
        <w:rPr>
          <w:lang w:val="en-GB"/>
        </w:rPr>
        <w:t xml:space="preserve"> 2026). Specifically, emotional intelligence of leaders encourages them to listen to staff and respond quickly during unexpected situations. Overall, adopting both distributed and emotional intelligence leadership can improve communication and increase staff accountability at Kota Medical College Hospital. </w:t>
      </w:r>
    </w:p>
    <w:p w14:paraId="4AED690F" w14:textId="77777777" w:rsidR="004572F9" w:rsidRPr="00012E12" w:rsidRDefault="004572F9" w:rsidP="00280FF6">
      <w:pPr>
        <w:pStyle w:val="Heading2"/>
        <w:rPr>
          <w:lang w:val="en-GB"/>
        </w:rPr>
      </w:pPr>
      <w:bookmarkStart w:id="43" w:name="_Toc236669189"/>
      <w:r w:rsidRPr="00012E12">
        <w:rPr>
          <w:lang w:val="en-GB"/>
        </w:rPr>
        <w:lastRenderedPageBreak/>
        <w:t>d. Improvement, and Lessons Learned</w:t>
      </w:r>
      <w:bookmarkEnd w:id="43"/>
      <w:r w:rsidRPr="00012E12">
        <w:rPr>
          <w:lang w:val="en-GB"/>
        </w:rPr>
        <w:t> </w:t>
      </w:r>
    </w:p>
    <w:p w14:paraId="10E44D94" w14:textId="77777777" w:rsidR="004572F9" w:rsidRPr="00012E12" w:rsidRDefault="004572F9" w:rsidP="00280FF6">
      <w:pPr>
        <w:pStyle w:val="Heading3"/>
        <w:rPr>
          <w:lang w:val="en-GB"/>
        </w:rPr>
      </w:pPr>
      <w:bookmarkStart w:id="44" w:name="_Toc236669190"/>
      <w:r w:rsidRPr="00012E12">
        <w:rPr>
          <w:lang w:val="en-GB"/>
        </w:rPr>
        <w:t>Critical Evaluation of Leadership and Governance Interaction</w:t>
      </w:r>
      <w:bookmarkEnd w:id="44"/>
      <w:r w:rsidRPr="00012E12">
        <w:rPr>
          <w:lang w:val="en-GB"/>
        </w:rPr>
        <w:t> </w:t>
      </w:r>
    </w:p>
    <w:p w14:paraId="2180D42D" w14:textId="154ED61E" w:rsidR="004572F9" w:rsidRPr="00012E12" w:rsidRDefault="004572F9" w:rsidP="004572F9">
      <w:pPr>
        <w:rPr>
          <w:lang w:val="en-GB"/>
        </w:rPr>
      </w:pPr>
      <w:r w:rsidRPr="00012E12">
        <w:rPr>
          <w:lang w:val="en-GB"/>
        </w:rPr>
        <w:t xml:space="preserve">Kota Medical College Hospital is a case of wrong patient surgery, which was driven by a mix of inadequate organisation control, poor governance and poor leadership, rather than by a single mistake. The incident was a result of the patient being </w:t>
      </w:r>
      <w:r w:rsidR="00D87B47" w:rsidRPr="00012E12">
        <w:rPr>
          <w:lang w:val="en-GB"/>
        </w:rPr>
        <w:t>misidentified;</w:t>
      </w:r>
      <w:r w:rsidRPr="00012E12">
        <w:rPr>
          <w:lang w:val="en-GB"/>
        </w:rPr>
        <w:t xml:space="preserve"> however, it was indicative of issues in leadership oversight, accountability framework and patient safety governance. Leaders of the hospital seemed to have a fairly hierarchical decision-making system where frontline staff implemented routine practice and did not question unsafe assumptions. Higher direct supervisor leadership scores correlate with decreased provider burnout and increased professional </w:t>
      </w:r>
      <w:r w:rsidR="002D7FBA" w:rsidRPr="00012E12">
        <w:rPr>
          <w:lang w:val="en-GB"/>
        </w:rPr>
        <w:t>fulfilment</w:t>
      </w:r>
      <w:r w:rsidRPr="00012E12">
        <w:rPr>
          <w:lang w:val="en-GB"/>
        </w:rPr>
        <w:t xml:space="preserve"> (Wallace </w:t>
      </w:r>
      <w:r w:rsidRPr="000E1B7D">
        <w:rPr>
          <w:i/>
          <w:lang w:val="en-GB"/>
        </w:rPr>
        <w:t xml:space="preserve">et al., </w:t>
      </w:r>
      <w:r w:rsidRPr="00012E12">
        <w:rPr>
          <w:lang w:val="en-GB"/>
        </w:rPr>
        <w:t>2025). As such, theatre personnel accepted verbal confirmation made with a similar patient name only without independent verification with multiple patient identifiers (MPIs). This is a sign of a low patient safety culture where the attention put on performing tasks quickly outweighs following protocols.</w:t>
      </w:r>
    </w:p>
    <w:p w14:paraId="665878AB" w14:textId="010105E6" w:rsidR="004572F9" w:rsidRPr="00012E12" w:rsidRDefault="004572F9" w:rsidP="004572F9">
      <w:pPr>
        <w:rPr>
          <w:lang w:val="en-GB"/>
        </w:rPr>
      </w:pPr>
      <w:r w:rsidRPr="00012E12">
        <w:rPr>
          <w:lang w:val="en-GB"/>
        </w:rPr>
        <w:t xml:space="preserve">Governance mechanisms </w:t>
      </w:r>
      <w:r w:rsidR="002D7FBA" w:rsidRPr="00012E12">
        <w:rPr>
          <w:lang w:val="en-GB"/>
        </w:rPr>
        <w:t>w</w:t>
      </w:r>
      <w:r w:rsidR="002D7FBA">
        <w:rPr>
          <w:lang w:val="en-GB"/>
        </w:rPr>
        <w:t>er</w:t>
      </w:r>
      <w:r w:rsidR="002D7FBA" w:rsidRPr="00012E12">
        <w:rPr>
          <w:lang w:val="en-GB"/>
        </w:rPr>
        <w:t>e</w:t>
      </w:r>
      <w:r w:rsidRPr="00012E12">
        <w:rPr>
          <w:lang w:val="en-GB"/>
        </w:rPr>
        <w:t xml:space="preserve"> weak as key features of effective clinical governance are documented operating procedures, regular safety audits, management and leadership accountability for incidents, and incident reporting systems. Establishing a Just Culture in healthcare is essential to improving patient safety, encouraging open communication (Mohamed </w:t>
      </w:r>
      <w:r w:rsidRPr="000E1B7D">
        <w:rPr>
          <w:i/>
          <w:lang w:val="en-GB"/>
        </w:rPr>
        <w:t>et al.,</w:t>
      </w:r>
      <w:r w:rsidRPr="00012E12">
        <w:rPr>
          <w:lang w:val="en-GB"/>
        </w:rPr>
        <w:t xml:space="preserve"> 2026). Organisational change for sustainability will need to involve redesign of the system, and not merely a blame game. In modern health care leadership, workers are encouraged to report mistakes without repercussions and held accountable for careless behaviour. Therefore, this then will allow organisations to find the hidden weaknesses in the system before they cause harm to patients.</w:t>
      </w:r>
    </w:p>
    <w:p w14:paraId="6B1A2C68" w14:textId="77777777" w:rsidR="004572F9" w:rsidRPr="00012E12" w:rsidRDefault="004572F9" w:rsidP="00280FF6">
      <w:pPr>
        <w:pStyle w:val="Heading3"/>
        <w:rPr>
          <w:lang w:val="en-GB"/>
        </w:rPr>
      </w:pPr>
      <w:bookmarkStart w:id="45" w:name="_Toc236669191"/>
      <w:r w:rsidRPr="00012E12">
        <w:rPr>
          <w:lang w:val="en-GB"/>
        </w:rPr>
        <w:t>Missed Opportunities and Evidence-Based Solutions</w:t>
      </w:r>
      <w:bookmarkEnd w:id="45"/>
      <w:r w:rsidRPr="00012E12">
        <w:rPr>
          <w:lang w:val="en-GB"/>
        </w:rPr>
        <w:t> </w:t>
      </w:r>
    </w:p>
    <w:tbl>
      <w:tblPr>
        <w:tblW w:w="5000" w:type="pct"/>
        <w:jc w:val="center"/>
        <w:tblCellMar>
          <w:top w:w="15" w:type="dxa"/>
          <w:left w:w="15" w:type="dxa"/>
          <w:bottom w:w="15" w:type="dxa"/>
          <w:right w:w="15" w:type="dxa"/>
        </w:tblCellMar>
        <w:tblLook w:val="04A0" w:firstRow="1" w:lastRow="0" w:firstColumn="1" w:lastColumn="0" w:noHBand="0" w:noVBand="1"/>
      </w:tblPr>
      <w:tblGrid>
        <w:gridCol w:w="2055"/>
        <w:gridCol w:w="3308"/>
        <w:gridCol w:w="4197"/>
      </w:tblGrid>
      <w:tr w:rsidR="004572F9" w:rsidRPr="00012E12" w14:paraId="69A655D4" w14:textId="77777777" w:rsidTr="004572F9">
        <w:trPr>
          <w:trHeight w:val="954"/>
          <w:jc w:val="center"/>
        </w:trPr>
        <w:tc>
          <w:tcPr>
            <w:tcW w:w="10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268E63" w14:textId="77777777" w:rsidR="004572F9" w:rsidRPr="00012E12" w:rsidRDefault="004572F9" w:rsidP="004572F9">
            <w:pPr>
              <w:jc w:val="center"/>
              <w:rPr>
                <w:lang w:val="en-GB"/>
              </w:rPr>
            </w:pPr>
            <w:r w:rsidRPr="00012E12">
              <w:rPr>
                <w:b/>
                <w:bCs/>
                <w:lang w:val="en-GB"/>
              </w:rPr>
              <w:t>Problem Identified</w:t>
            </w:r>
          </w:p>
        </w:tc>
        <w:tc>
          <w:tcPr>
            <w:tcW w:w="17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314880" w14:textId="77777777" w:rsidR="004572F9" w:rsidRPr="00012E12" w:rsidRDefault="004572F9" w:rsidP="004572F9">
            <w:pPr>
              <w:jc w:val="center"/>
              <w:rPr>
                <w:lang w:val="en-GB"/>
              </w:rPr>
            </w:pPr>
            <w:r w:rsidRPr="00012E12">
              <w:rPr>
                <w:b/>
                <w:bCs/>
                <w:lang w:val="en-GB"/>
              </w:rPr>
              <w:t>solutions</w:t>
            </w:r>
          </w:p>
        </w:tc>
        <w:tc>
          <w:tcPr>
            <w:tcW w:w="21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B73CDA" w14:textId="77777777" w:rsidR="004572F9" w:rsidRPr="00012E12" w:rsidRDefault="004572F9" w:rsidP="004572F9">
            <w:pPr>
              <w:jc w:val="center"/>
              <w:rPr>
                <w:lang w:val="en-GB"/>
              </w:rPr>
            </w:pPr>
            <w:r w:rsidRPr="00012E12">
              <w:rPr>
                <w:b/>
                <w:bCs/>
                <w:lang w:val="en-GB"/>
              </w:rPr>
              <w:t>Evidence-based Discussion</w:t>
            </w:r>
          </w:p>
        </w:tc>
      </w:tr>
      <w:tr w:rsidR="004572F9" w:rsidRPr="00012E12" w14:paraId="718CEDA9" w14:textId="77777777" w:rsidTr="004572F9">
        <w:trPr>
          <w:jc w:val="center"/>
        </w:trPr>
        <w:tc>
          <w:tcPr>
            <w:tcW w:w="10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78FAA" w14:textId="77777777" w:rsidR="004572F9" w:rsidRPr="00012E12" w:rsidRDefault="004572F9" w:rsidP="004572F9">
            <w:pPr>
              <w:rPr>
                <w:lang w:val="en-GB"/>
              </w:rPr>
            </w:pPr>
            <w:r w:rsidRPr="00012E12">
              <w:rPr>
                <w:lang w:val="en-GB"/>
              </w:rPr>
              <w:t xml:space="preserve">Failure to verify patient identity </w:t>
            </w:r>
            <w:r w:rsidRPr="00012E12">
              <w:rPr>
                <w:lang w:val="en-GB"/>
              </w:rPr>
              <w:lastRenderedPageBreak/>
              <w:t>before surgery </w:t>
            </w:r>
          </w:p>
        </w:tc>
        <w:tc>
          <w:tcPr>
            <w:tcW w:w="17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8F4AF1" w14:textId="77777777" w:rsidR="004572F9" w:rsidRPr="00012E12" w:rsidRDefault="004572F9" w:rsidP="004572F9">
            <w:pPr>
              <w:rPr>
                <w:lang w:val="en-GB"/>
              </w:rPr>
            </w:pPr>
            <w:r w:rsidRPr="00012E12">
              <w:rPr>
                <w:lang w:val="en-GB"/>
              </w:rPr>
              <w:lastRenderedPageBreak/>
              <w:t xml:space="preserve">The patient needs to match a name when there was no confirmation, and was found </w:t>
            </w:r>
            <w:r w:rsidRPr="00012E12">
              <w:rPr>
                <w:lang w:val="en-GB"/>
              </w:rPr>
              <w:lastRenderedPageBreak/>
              <w:t>during surgery. </w:t>
            </w:r>
          </w:p>
        </w:tc>
        <w:tc>
          <w:tcPr>
            <w:tcW w:w="21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AE5C0" w14:textId="77777777" w:rsidR="004572F9" w:rsidRPr="00012E12" w:rsidRDefault="004572F9" w:rsidP="004572F9">
            <w:pPr>
              <w:rPr>
                <w:lang w:val="en-GB"/>
              </w:rPr>
            </w:pPr>
            <w:r w:rsidRPr="00012E12">
              <w:rPr>
                <w:lang w:val="en-GB"/>
              </w:rPr>
              <w:lastRenderedPageBreak/>
              <w:t xml:space="preserve">“The International Patient Safety Goal (IPSG) 01” states that two patient identifiers must be used prior to any </w:t>
            </w:r>
            <w:r w:rsidRPr="00012E12">
              <w:rPr>
                <w:lang w:val="en-GB"/>
              </w:rPr>
              <w:lastRenderedPageBreak/>
              <w:t>invasive procedure (Metasofsda, 2026).</w:t>
            </w:r>
          </w:p>
        </w:tc>
      </w:tr>
      <w:tr w:rsidR="004572F9" w:rsidRPr="00012E12" w14:paraId="6AEA99ED" w14:textId="77777777" w:rsidTr="004572F9">
        <w:trPr>
          <w:jc w:val="center"/>
        </w:trPr>
        <w:tc>
          <w:tcPr>
            <w:tcW w:w="10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65059" w14:textId="77777777" w:rsidR="004572F9" w:rsidRPr="00012E12" w:rsidRDefault="004572F9" w:rsidP="004572F9">
            <w:pPr>
              <w:rPr>
                <w:lang w:val="en-GB"/>
              </w:rPr>
            </w:pPr>
            <w:r w:rsidRPr="00012E12">
              <w:rPr>
                <w:lang w:val="en-GB"/>
              </w:rPr>
              <w:lastRenderedPageBreak/>
              <w:t>Weak compliance with the WHO Surgical Safety Checklist </w:t>
            </w:r>
          </w:p>
        </w:tc>
        <w:tc>
          <w:tcPr>
            <w:tcW w:w="17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54C29" w14:textId="77777777" w:rsidR="004572F9" w:rsidRPr="00012E12" w:rsidRDefault="004572F9" w:rsidP="004572F9">
            <w:pPr>
              <w:rPr>
                <w:lang w:val="en-GB"/>
              </w:rPr>
            </w:pPr>
            <w:r w:rsidRPr="00012E12">
              <w:rPr>
                <w:lang w:val="en-GB"/>
              </w:rPr>
              <w:t>The patient needed to receive anaesthetic and began operating before it was realised that it was patient's “Peri Apparatus” instead of the surgical "Time-Out".</w:t>
            </w:r>
          </w:p>
        </w:tc>
        <w:tc>
          <w:tcPr>
            <w:tcW w:w="21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794F8" w14:textId="77777777" w:rsidR="004572F9" w:rsidRPr="00012E12" w:rsidRDefault="004572F9" w:rsidP="004572F9">
            <w:pPr>
              <w:rPr>
                <w:lang w:val="en-GB"/>
              </w:rPr>
            </w:pPr>
            <w:r w:rsidRPr="00012E12">
              <w:rPr>
                <w:lang w:val="en-GB"/>
              </w:rPr>
              <w:t>For each surgical case, implementation studies indicate that higher use of a checklist significantly decreases surgical complications and fatalities.</w:t>
            </w:r>
          </w:p>
        </w:tc>
      </w:tr>
      <w:tr w:rsidR="004572F9" w:rsidRPr="00012E12" w14:paraId="580E2567" w14:textId="77777777" w:rsidTr="004572F9">
        <w:trPr>
          <w:jc w:val="center"/>
        </w:trPr>
        <w:tc>
          <w:tcPr>
            <w:tcW w:w="10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FFCE7" w14:textId="77777777" w:rsidR="004572F9" w:rsidRPr="00012E12" w:rsidRDefault="004572F9" w:rsidP="004572F9">
            <w:pPr>
              <w:rPr>
                <w:lang w:val="en-GB"/>
              </w:rPr>
            </w:pPr>
            <w:r w:rsidRPr="00012E12">
              <w:rPr>
                <w:lang w:val="en-GB"/>
              </w:rPr>
              <w:t>Hierarchical communication culture </w:t>
            </w:r>
          </w:p>
        </w:tc>
        <w:tc>
          <w:tcPr>
            <w:tcW w:w="17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3601A8" w14:textId="77777777" w:rsidR="004572F9" w:rsidRPr="00012E12" w:rsidRDefault="004572F9" w:rsidP="004572F9">
            <w:pPr>
              <w:rPr>
                <w:lang w:val="en-GB"/>
              </w:rPr>
            </w:pPr>
            <w:r w:rsidRPr="00012E12">
              <w:rPr>
                <w:lang w:val="en-GB"/>
              </w:rPr>
              <w:t>Staff made assumptions and patients' identity was a lack of psychological safety and a poor team working approach.</w:t>
            </w:r>
          </w:p>
        </w:tc>
        <w:tc>
          <w:tcPr>
            <w:tcW w:w="21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EA7EC4" w14:textId="77777777" w:rsidR="004572F9" w:rsidRPr="00012E12" w:rsidRDefault="004572F9" w:rsidP="004572F9">
            <w:pPr>
              <w:rPr>
                <w:lang w:val="en-GB"/>
              </w:rPr>
            </w:pPr>
            <w:r w:rsidRPr="00012E12">
              <w:rPr>
                <w:lang w:val="en-GB"/>
              </w:rPr>
              <w:t xml:space="preserve">Requirement to implement transformational leadership and </w:t>
            </w:r>
            <w:r w:rsidR="0061010F" w:rsidRPr="00012E12">
              <w:rPr>
                <w:lang w:val="en-GB"/>
              </w:rPr>
              <w:t>Team STEPPS</w:t>
            </w:r>
            <w:r w:rsidRPr="00012E12">
              <w:rPr>
                <w:lang w:val="en-GB"/>
              </w:rPr>
              <w:t xml:space="preserve"> to encourage nurses, anaesthetists and theatre technicians to speak up about unsafe practices in any role, irrespective of their status.</w:t>
            </w:r>
          </w:p>
        </w:tc>
      </w:tr>
      <w:tr w:rsidR="004572F9" w:rsidRPr="00012E12" w14:paraId="593A00CE" w14:textId="77777777" w:rsidTr="004572F9">
        <w:trPr>
          <w:jc w:val="center"/>
        </w:trPr>
        <w:tc>
          <w:tcPr>
            <w:tcW w:w="10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BDD887" w14:textId="77777777" w:rsidR="004572F9" w:rsidRPr="00012E12" w:rsidRDefault="004572F9" w:rsidP="004572F9">
            <w:pPr>
              <w:rPr>
                <w:lang w:val="en-GB"/>
              </w:rPr>
            </w:pPr>
            <w:r w:rsidRPr="00012E12">
              <w:rPr>
                <w:lang w:val="en-GB"/>
              </w:rPr>
              <w:t>Lack of digital patient tracking </w:t>
            </w:r>
          </w:p>
        </w:tc>
        <w:tc>
          <w:tcPr>
            <w:tcW w:w="17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89366" w14:textId="77777777" w:rsidR="004572F9" w:rsidRPr="00012E12" w:rsidRDefault="004572F9" w:rsidP="004572F9">
            <w:pPr>
              <w:rPr>
                <w:lang w:val="en-GB"/>
              </w:rPr>
            </w:pPr>
            <w:r w:rsidRPr="00012E12">
              <w:rPr>
                <w:lang w:val="en-GB"/>
              </w:rPr>
              <w:t>Kota Medical College Hospital requires e-health records with bar code identification or biometric identification of patients in pre-operative and surgical processes.</w:t>
            </w:r>
          </w:p>
        </w:tc>
        <w:tc>
          <w:tcPr>
            <w:tcW w:w="21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BA086" w14:textId="77777777" w:rsidR="004572F9" w:rsidRPr="00012E12" w:rsidRDefault="004572F9" w:rsidP="004572F9">
            <w:pPr>
              <w:rPr>
                <w:lang w:val="en-GB"/>
              </w:rPr>
            </w:pPr>
            <w:r w:rsidRPr="00012E12">
              <w:rPr>
                <w:lang w:val="en-GB"/>
              </w:rPr>
              <w:t>Digital patient safety tools in primary care can be beneficial - particularly when they combine multiple features, such as automated prescribing (Nihr, 2026).</w:t>
            </w:r>
          </w:p>
        </w:tc>
      </w:tr>
      <w:tr w:rsidR="004572F9" w:rsidRPr="00012E12" w14:paraId="22B7B7C1" w14:textId="77777777" w:rsidTr="004572F9">
        <w:trPr>
          <w:jc w:val="center"/>
        </w:trPr>
        <w:tc>
          <w:tcPr>
            <w:tcW w:w="10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3DCDA8" w14:textId="77777777" w:rsidR="004572F9" w:rsidRPr="00012E12" w:rsidRDefault="004572F9" w:rsidP="004572F9">
            <w:pPr>
              <w:rPr>
                <w:lang w:val="en-GB"/>
              </w:rPr>
            </w:pPr>
            <w:r w:rsidRPr="00012E12">
              <w:rPr>
                <w:lang w:val="en-GB"/>
              </w:rPr>
              <w:t>Reactive governance and incident management </w:t>
            </w:r>
          </w:p>
        </w:tc>
        <w:tc>
          <w:tcPr>
            <w:tcW w:w="17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07724F" w14:textId="77777777" w:rsidR="004572F9" w:rsidRPr="00012E12" w:rsidRDefault="004572F9" w:rsidP="004572F9">
            <w:pPr>
              <w:rPr>
                <w:lang w:val="en-GB"/>
              </w:rPr>
            </w:pPr>
            <w:r w:rsidRPr="00012E12">
              <w:rPr>
                <w:lang w:val="en-GB"/>
              </w:rPr>
              <w:t xml:space="preserve">Implement a “Digital Incident Reporting System (DIRS)”, regular monthly patient safety dashboards showing patient safety incident involvement, and “Root Cause Analysis (RCA)” for all serious incidents, </w:t>
            </w:r>
            <w:r w:rsidRPr="00012E12">
              <w:rPr>
                <w:lang w:val="en-GB"/>
              </w:rPr>
              <w:lastRenderedPageBreak/>
              <w:t>with oversight by hospital leadership.</w:t>
            </w:r>
          </w:p>
        </w:tc>
        <w:tc>
          <w:tcPr>
            <w:tcW w:w="21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B91717" w14:textId="77777777" w:rsidR="004572F9" w:rsidRPr="00012E12" w:rsidRDefault="004572F9" w:rsidP="004572F9">
            <w:pPr>
              <w:rPr>
                <w:lang w:val="en-GB"/>
              </w:rPr>
            </w:pPr>
            <w:r w:rsidRPr="00012E12">
              <w:rPr>
                <w:lang w:val="en-GB"/>
              </w:rPr>
              <w:lastRenderedPageBreak/>
              <w:t xml:space="preserve">Suspensions of staff only came after the incident raised public awareness to the level of monitoring undertaken, which was limited. Diagnostic errors, that is delayed or incorrect diagnoses, are estimated to occur in 5–15% of the patient visits and admissions and can </w:t>
            </w:r>
            <w:r w:rsidRPr="00012E12">
              <w:rPr>
                <w:lang w:val="en-GB"/>
              </w:rPr>
              <w:lastRenderedPageBreak/>
              <w:t xml:space="preserve">cause severe morbidity and mortality (Hooftman </w:t>
            </w:r>
            <w:r w:rsidRPr="000E1B7D">
              <w:rPr>
                <w:i/>
                <w:lang w:val="en-GB"/>
              </w:rPr>
              <w:t>et al.,</w:t>
            </w:r>
            <w:r w:rsidRPr="00012E12">
              <w:rPr>
                <w:lang w:val="en-GB"/>
              </w:rPr>
              <w:t xml:space="preserve"> 2024). </w:t>
            </w:r>
          </w:p>
        </w:tc>
      </w:tr>
    </w:tbl>
    <w:p w14:paraId="7D113E40" w14:textId="77777777" w:rsidR="004572F9" w:rsidRPr="00012E12" w:rsidRDefault="004572F9" w:rsidP="004572F9">
      <w:pPr>
        <w:jc w:val="center"/>
        <w:rPr>
          <w:lang w:val="en-GB"/>
        </w:rPr>
      </w:pPr>
      <w:r w:rsidRPr="00012E12">
        <w:rPr>
          <w:b/>
          <w:bCs/>
          <w:lang w:val="en-GB"/>
        </w:rPr>
        <w:lastRenderedPageBreak/>
        <w:t>Table 1: Missed Opportunities and Evidence-Based Solutions</w:t>
      </w:r>
    </w:p>
    <w:p w14:paraId="198E26F9" w14:textId="77777777" w:rsidR="004572F9" w:rsidRPr="00012E12" w:rsidRDefault="004572F9" w:rsidP="004572F9">
      <w:pPr>
        <w:jc w:val="center"/>
        <w:rPr>
          <w:lang w:val="en-GB"/>
        </w:rPr>
      </w:pPr>
      <w:r w:rsidRPr="00012E12">
        <w:rPr>
          <w:lang w:val="en-GB"/>
        </w:rPr>
        <w:t>(Source: Self-Developed)</w:t>
      </w:r>
    </w:p>
    <w:p w14:paraId="7D79CC89" w14:textId="77777777" w:rsidR="004572F9" w:rsidRPr="00012E12" w:rsidRDefault="004572F9" w:rsidP="00280FF6">
      <w:pPr>
        <w:pStyle w:val="Heading3"/>
        <w:rPr>
          <w:lang w:val="en-GB"/>
        </w:rPr>
      </w:pPr>
      <w:bookmarkStart w:id="46" w:name="_Toc236669192"/>
      <w:r w:rsidRPr="00012E12">
        <w:rPr>
          <w:lang w:val="en-GB"/>
        </w:rPr>
        <w:t>System-Level Discussion - Problems, Solutions and Supporting Data</w:t>
      </w:r>
      <w:bookmarkEnd w:id="46"/>
      <w:r w:rsidRPr="00012E12">
        <w:rPr>
          <w:lang w:val="en-GB"/>
        </w:rPr>
        <w:t> </w:t>
      </w:r>
    </w:p>
    <w:p w14:paraId="44A898CF" w14:textId="77777777" w:rsidR="004572F9" w:rsidRPr="00012E12" w:rsidRDefault="004572F9" w:rsidP="004572F9">
      <w:pPr>
        <w:rPr>
          <w:lang w:val="en-GB"/>
        </w:rPr>
      </w:pPr>
      <w:r w:rsidRPr="00012E12">
        <w:rPr>
          <w:lang w:val="en-GB"/>
        </w:rPr>
        <w:t>The Kota incident is a reminder that it is vital to create resilient healthcare systems and not just the competent individual. Poor communications can result in misdiagnoses and other medical mistakes that can easily lead to avoidable health complications and adverse events for patients (Hipaajournal, 2026). Patient misidentification also is one of the most common causes for wrong-site and wrong patient surgeries, adding thousands more to the mix annually around the world. </w:t>
      </w:r>
    </w:p>
    <w:p w14:paraId="12FB0C8D" w14:textId="77777777" w:rsidR="004572F9" w:rsidRPr="00012E12" w:rsidRDefault="004572F9" w:rsidP="004572F9">
      <w:pPr>
        <w:rPr>
          <w:lang w:val="en-GB"/>
        </w:rPr>
      </w:pPr>
      <w:r w:rsidRPr="00012E12">
        <w:rPr>
          <w:lang w:val="en-GB"/>
        </w:rPr>
        <w:t>A significant missed opportunity was the need for strong identity verifier technologies. Barcodes wristband systems have been successfully adopted in hospitals and have been found to result in a substantial decrease in patient identification errors due to the fact that human decisions are complemented by electronic verification. Patient safety has become a strategic pillar in healthcare organisations, requiring significant resources to avoid accidents during the hospital stay (El-Awady, 2023). Near-miss analysis is a standard practice for high-performing healthcare organisations, and is commonly conducted using “Root Cause Analysis” or “Failure Mode and Effects Analysis (FMEA)” to identify and address hazards before they lead to patient harm or adverse events. The Kota case was the one that resulted in the actual adverse event and only then led to an organisational review.</w:t>
      </w:r>
    </w:p>
    <w:p w14:paraId="441D3E69" w14:textId="77777777" w:rsidR="004572F9" w:rsidRPr="00012E12" w:rsidRDefault="004572F9" w:rsidP="004572F9">
      <w:pPr>
        <w:numPr>
          <w:ilvl w:val="0"/>
          <w:numId w:val="2"/>
        </w:numPr>
        <w:rPr>
          <w:lang w:val="en-GB"/>
        </w:rPr>
      </w:pPr>
      <w:r w:rsidRPr="00012E12">
        <w:rPr>
          <w:lang w:val="en-GB"/>
        </w:rPr>
        <w:t>It should keep track of indicators that include percent of compliance for two patient identifier verification targets of 100%.</w:t>
      </w:r>
    </w:p>
    <w:p w14:paraId="30F01D09" w14:textId="77777777" w:rsidR="004572F9" w:rsidRPr="00012E12" w:rsidRDefault="004572F9" w:rsidP="004572F9">
      <w:pPr>
        <w:numPr>
          <w:ilvl w:val="0"/>
          <w:numId w:val="2"/>
        </w:numPr>
        <w:rPr>
          <w:lang w:val="en-GB"/>
        </w:rPr>
      </w:pPr>
      <w:r w:rsidRPr="00012E12">
        <w:rPr>
          <w:lang w:val="en-GB"/>
        </w:rPr>
        <w:t>Completion of WHO Surgical Safety Checklist expected 100%.</w:t>
      </w:r>
    </w:p>
    <w:p w14:paraId="0696A269" w14:textId="77777777" w:rsidR="004572F9" w:rsidRPr="00012E12" w:rsidRDefault="004572F9" w:rsidP="004572F9">
      <w:pPr>
        <w:numPr>
          <w:ilvl w:val="0"/>
          <w:numId w:val="2"/>
        </w:numPr>
        <w:rPr>
          <w:lang w:val="en-GB"/>
        </w:rPr>
      </w:pPr>
      <w:r w:rsidRPr="00012E12">
        <w:rPr>
          <w:lang w:val="en-GB"/>
        </w:rPr>
        <w:t>Incidents related to patient identification per 1,000 surgeries.</w:t>
      </w:r>
    </w:p>
    <w:p w14:paraId="5BE15C33" w14:textId="77777777" w:rsidR="004572F9" w:rsidRPr="00012E12" w:rsidRDefault="004572F9" w:rsidP="004572F9">
      <w:pPr>
        <w:numPr>
          <w:ilvl w:val="0"/>
          <w:numId w:val="2"/>
        </w:numPr>
        <w:rPr>
          <w:lang w:val="en-GB"/>
        </w:rPr>
      </w:pPr>
      <w:r w:rsidRPr="00012E12">
        <w:rPr>
          <w:lang w:val="en-GB"/>
        </w:rPr>
        <w:t>Time to report serious incidents (Target within 24 hours).</w:t>
      </w:r>
    </w:p>
    <w:p w14:paraId="6F9B0A5C" w14:textId="77777777" w:rsidR="004572F9" w:rsidRPr="00012E12" w:rsidRDefault="004572F9" w:rsidP="00280FF6">
      <w:pPr>
        <w:pStyle w:val="Heading3"/>
        <w:rPr>
          <w:lang w:val="en-GB"/>
        </w:rPr>
      </w:pPr>
      <w:bookmarkStart w:id="47" w:name="_Toc236669193"/>
      <w:r w:rsidRPr="00012E12">
        <w:rPr>
          <w:lang w:val="en-GB"/>
        </w:rPr>
        <w:lastRenderedPageBreak/>
        <w:t>Findings - Lessons Learned based</w:t>
      </w:r>
      <w:bookmarkEnd w:id="47"/>
      <w:r w:rsidRPr="00012E12">
        <w:rPr>
          <w:lang w:val="en-GB"/>
        </w:rPr>
        <w:t> </w:t>
      </w:r>
    </w:p>
    <w:p w14:paraId="29E9529A" w14:textId="77777777" w:rsidR="004572F9" w:rsidRPr="00012E12" w:rsidRDefault="004572F9" w:rsidP="004572F9">
      <w:pPr>
        <w:rPr>
          <w:lang w:val="en-GB"/>
        </w:rPr>
      </w:pPr>
      <w:r w:rsidRPr="00012E12">
        <w:rPr>
          <w:lang w:val="en-GB"/>
        </w:rPr>
        <w:t>The case of Kota Medical College Hospital is an example of a failed individual clinical event in the context of a combination of organisational structure, leadership behaviour and governance, which all influence patient safety. The leadership promotes a culture of patient safety by conducting different activities, including monthly patient safety walk-rounds to identify and take action on safety issues (Who, 2026). As such, many systems have failed, in tandem, and led to unnecessary harm to a patient. This incident offers other healthcare organisations a number of valuable lessons. First, patient identification procedures should never be viewed as a "formality" but rather as a critical safety step in the process of caring for the patient. </w:t>
      </w:r>
    </w:p>
    <w:p w14:paraId="77129610" w14:textId="77777777" w:rsidR="004572F9" w:rsidRPr="00012E12" w:rsidRDefault="004572F9" w:rsidP="004572F9">
      <w:pPr>
        <w:rPr>
          <w:lang w:val="en-GB"/>
        </w:rPr>
      </w:pPr>
      <w:r w:rsidRPr="00012E12">
        <w:rPr>
          <w:lang w:val="en-GB"/>
        </w:rPr>
        <w:t xml:space="preserve">Again, governance mechanisms need to incorporate digital technologies, regular audits, Root Cause Analysis and openness in all performance reporting, to enhance the accountability of the organisations. Critical incidents (CIs) are unexpected events that may reach patients and thus threaten patient safety (Goekcimen </w:t>
      </w:r>
      <w:r w:rsidRPr="000E1B7D">
        <w:rPr>
          <w:i/>
          <w:lang w:val="en-GB"/>
        </w:rPr>
        <w:t>et al.,</w:t>
      </w:r>
      <w:r w:rsidRPr="00012E12">
        <w:rPr>
          <w:lang w:val="en-GB"/>
        </w:rPr>
        <w:t xml:space="preserve"> 2022). Therefore, effective governance, transformational leadership and quality improvement through data can build a resilient health-care system that prevents similar incidents and improves patient safety, accountability and public confidence in the health system. </w:t>
      </w:r>
    </w:p>
    <w:p w14:paraId="1F13E5E4" w14:textId="77777777" w:rsidR="004572F9" w:rsidRPr="00012E12" w:rsidRDefault="004572F9" w:rsidP="00280FF6">
      <w:pPr>
        <w:pStyle w:val="Heading2"/>
        <w:rPr>
          <w:lang w:val="en-GB"/>
        </w:rPr>
      </w:pPr>
      <w:bookmarkStart w:id="48" w:name="_Toc236669194"/>
      <w:r w:rsidRPr="00012E12">
        <w:rPr>
          <w:lang w:val="en-GB"/>
        </w:rPr>
        <w:t>Recommendation</w:t>
      </w:r>
      <w:bookmarkEnd w:id="48"/>
      <w:r w:rsidRPr="00012E12">
        <w:rPr>
          <w:lang w:val="en-GB"/>
        </w:rPr>
        <w:t> </w:t>
      </w:r>
    </w:p>
    <w:p w14:paraId="59671BE4" w14:textId="77777777" w:rsidR="004572F9" w:rsidRPr="00012E12" w:rsidRDefault="004572F9" w:rsidP="00280FF6">
      <w:pPr>
        <w:pStyle w:val="Heading3"/>
        <w:rPr>
          <w:lang w:val="en-GB"/>
        </w:rPr>
      </w:pPr>
      <w:bookmarkStart w:id="49" w:name="_Toc236669195"/>
      <w:r w:rsidRPr="00012E12">
        <w:rPr>
          <w:lang w:val="en-GB"/>
        </w:rPr>
        <w:t>Strengthen Patient Safety and Clinical Processes</w:t>
      </w:r>
      <w:bookmarkEnd w:id="49"/>
      <w:r w:rsidRPr="00012E12">
        <w:rPr>
          <w:lang w:val="en-GB"/>
        </w:rPr>
        <w:t> </w:t>
      </w:r>
    </w:p>
    <w:p w14:paraId="63A5DF47" w14:textId="77777777" w:rsidR="004572F9" w:rsidRPr="00012E12" w:rsidRDefault="004572F9" w:rsidP="004572F9">
      <w:pPr>
        <w:rPr>
          <w:lang w:val="en-GB"/>
        </w:rPr>
      </w:pPr>
      <w:r w:rsidRPr="00012E12">
        <w:rPr>
          <w:lang w:val="en-GB"/>
        </w:rPr>
        <w:t xml:space="preserve">Kota Medical College Hospital must focus on improving patient safety systems through introduction of compulsory patient identification methods along the surgical pathway. Healthcare is a constantly evolving field enriched by new technologies, medications, and treatment methods (Madine </w:t>
      </w:r>
      <w:r w:rsidRPr="000E1B7D">
        <w:rPr>
          <w:i/>
          <w:lang w:val="en-GB"/>
        </w:rPr>
        <w:t>et al.,</w:t>
      </w:r>
      <w:r w:rsidRPr="00012E12">
        <w:rPr>
          <w:lang w:val="en-GB"/>
        </w:rPr>
        <w:t xml:space="preserve"> 2025). All patients should be checked with two identifiers before transfer, anaesthesia and surgery, following the “World Health Organization (WHO)” Surgical Safety Checklist and International Patient Safety Goals (IPSG). To reduce manual identification mistakes, barcode wristbands and electronic Health Records (EHRs) should be implemented. Additionally, surgical "Time-Out" procedures should be audited regularly for compliance and the risk of wrong-patient surgery should be minimized.</w:t>
      </w:r>
    </w:p>
    <w:p w14:paraId="6D73A4BF" w14:textId="77777777" w:rsidR="004572F9" w:rsidRPr="00012E12" w:rsidRDefault="004572F9" w:rsidP="00280FF6">
      <w:pPr>
        <w:pStyle w:val="Heading3"/>
        <w:rPr>
          <w:lang w:val="en-GB"/>
        </w:rPr>
      </w:pPr>
      <w:bookmarkStart w:id="50" w:name="_Toc236669196"/>
      <w:r w:rsidRPr="00012E12">
        <w:rPr>
          <w:lang w:val="en-GB"/>
        </w:rPr>
        <w:t>Adopt Effective Leadership for Sustainable Improvement</w:t>
      </w:r>
      <w:bookmarkEnd w:id="50"/>
      <w:r w:rsidRPr="00012E12">
        <w:rPr>
          <w:lang w:val="en-GB"/>
        </w:rPr>
        <w:t> </w:t>
      </w:r>
    </w:p>
    <w:p w14:paraId="08841A31" w14:textId="77777777" w:rsidR="004572F9" w:rsidRPr="00012E12" w:rsidRDefault="004572F9" w:rsidP="004572F9">
      <w:pPr>
        <w:rPr>
          <w:lang w:val="en-GB"/>
        </w:rPr>
      </w:pPr>
      <w:r w:rsidRPr="00012E12">
        <w:rPr>
          <w:lang w:val="en-GB"/>
        </w:rPr>
        <w:t xml:space="preserve">To be able to improve the current state of the organisation long term, the hospital needs transformational leadership with distributed leadership. Transformational leaders foster a </w:t>
      </w:r>
      <w:r w:rsidRPr="00012E12">
        <w:rPr>
          <w:lang w:val="en-GB"/>
        </w:rPr>
        <w:lastRenderedPageBreak/>
        <w:t>patient-centred culture and motivate employees to focus not only on doing things right, but on improving processes and products continually and creatively. Transformational leadership is a relational, values-driven leadership style that emphasizes inspiration, innovation, and shared vision rather than authority and control (Chcm, 2026). These leadership styles encourage collaboration, psychological safety and accountability, which can help employees spot and mitigate potential problems before they arise, and help them be part of safer clinical care.</w:t>
      </w:r>
    </w:p>
    <w:p w14:paraId="4EED855E" w14:textId="77777777" w:rsidR="004572F9" w:rsidRPr="00012E12" w:rsidRDefault="004572F9" w:rsidP="00280FF6">
      <w:pPr>
        <w:pStyle w:val="Heading3"/>
        <w:rPr>
          <w:lang w:val="en-GB"/>
        </w:rPr>
      </w:pPr>
      <w:bookmarkStart w:id="51" w:name="_Toc236669197"/>
      <w:r w:rsidRPr="00012E12">
        <w:rPr>
          <w:lang w:val="en-GB"/>
        </w:rPr>
        <w:t>Strengthen Governance, Communication and Systems Integration</w:t>
      </w:r>
      <w:bookmarkEnd w:id="51"/>
      <w:r w:rsidRPr="00012E12">
        <w:rPr>
          <w:lang w:val="en-GB"/>
        </w:rPr>
        <w:t> </w:t>
      </w:r>
    </w:p>
    <w:p w14:paraId="09225080" w14:textId="77777777" w:rsidR="004572F9" w:rsidRPr="00012E12" w:rsidRDefault="004572F9" w:rsidP="004572F9">
      <w:pPr>
        <w:rPr>
          <w:lang w:val="en-GB"/>
        </w:rPr>
      </w:pPr>
      <w:r w:rsidRPr="00012E12">
        <w:rPr>
          <w:lang w:val="en-GB"/>
        </w:rPr>
        <w:t xml:space="preserve">There should be a multidisciplinary Patient Safety and Clinical Governance Committee to monitor adherence to patient safety standards and to lead organisational learning, to complement clinical governance. An incident reporting system should be in place that is digital and allows for updated reporting, Root Cause Analysis (RCA) and timely corrective action. “The SBAR (Situation, Background, Assessment, </w:t>
      </w:r>
      <w:r w:rsidR="000E1B7D" w:rsidRPr="00012E12">
        <w:rPr>
          <w:lang w:val="en-GB"/>
        </w:rPr>
        <w:t>and Recommendation</w:t>
      </w:r>
      <w:r w:rsidRPr="00012E12">
        <w:rPr>
          <w:lang w:val="en-GB"/>
        </w:rPr>
        <w:t>)” communication tool offers a structured framework that enhances clarity, efficiency, and reliability during shift transitions (Soed et al., 2025). Key performance indicators should be reviewed monthly such as patient identification compliance, checklist filling compliance, incident reporting performance, and others. </w:t>
      </w:r>
    </w:p>
    <w:p w14:paraId="047700D1" w14:textId="77777777" w:rsidR="004572F9" w:rsidRPr="00012E12" w:rsidRDefault="004572F9" w:rsidP="00280FF6">
      <w:pPr>
        <w:pStyle w:val="Heading3"/>
        <w:rPr>
          <w:lang w:val="en-GB"/>
        </w:rPr>
      </w:pPr>
      <w:bookmarkStart w:id="52" w:name="_Toc236669198"/>
      <w:r w:rsidRPr="00012E12">
        <w:rPr>
          <w:lang w:val="en-GB"/>
        </w:rPr>
        <w:t>Enhance Technical and Allocative Efficiency</w:t>
      </w:r>
      <w:bookmarkEnd w:id="52"/>
      <w:r w:rsidRPr="00012E12">
        <w:rPr>
          <w:lang w:val="en-GB"/>
        </w:rPr>
        <w:t> </w:t>
      </w:r>
    </w:p>
    <w:p w14:paraId="6466FBE2" w14:textId="77777777" w:rsidR="004572F9" w:rsidRPr="00012E12" w:rsidRDefault="004572F9" w:rsidP="004572F9">
      <w:pPr>
        <w:rPr>
          <w:lang w:val="en-GB"/>
        </w:rPr>
      </w:pPr>
      <w:r w:rsidRPr="00012E12">
        <w:rPr>
          <w:lang w:val="en-GB"/>
        </w:rPr>
        <w:t>The normalisation of surgical procedures, implementation of barcode patient identification, and the elimination of unnecessary duplication of documentation should all be improved to achieve technical efficiency, as should providing patient safety training for all healthcare staff through simulation. Technical efficiency is about producing the most possible output for the least possible input, which is the common approach to efficiency in healthcare (Healtheconomicsunit, 2022). Allocative efficiency can be improved through investing human and financial resources in the right patient safety interventions, such as digital health technologies, staffing and ongoing quality improvement initiatives. A focus on prevention-based safety investments will likely decrease adverse events, medico-legal and unnecessary resource utilisation in the long-term.</w:t>
      </w:r>
    </w:p>
    <w:p w14:paraId="5DDA0283" w14:textId="77777777" w:rsidR="004572F9" w:rsidRPr="00012E12" w:rsidRDefault="004572F9" w:rsidP="00280FF6">
      <w:pPr>
        <w:pStyle w:val="Heading3"/>
        <w:rPr>
          <w:lang w:val="en-GB"/>
        </w:rPr>
      </w:pPr>
      <w:bookmarkStart w:id="53" w:name="_Toc236669199"/>
      <w:r w:rsidRPr="00012E12">
        <w:rPr>
          <w:lang w:val="en-GB"/>
        </w:rPr>
        <w:t>Promote Continuous Learning, Stakeholder Engagement and Co-production</w:t>
      </w:r>
      <w:bookmarkEnd w:id="53"/>
      <w:r w:rsidRPr="00012E12">
        <w:rPr>
          <w:lang w:val="en-GB"/>
        </w:rPr>
        <w:t> </w:t>
      </w:r>
    </w:p>
    <w:p w14:paraId="0F9F4DA2" w14:textId="77777777" w:rsidR="004572F9" w:rsidRPr="00012E12" w:rsidRDefault="004572F9" w:rsidP="004572F9">
      <w:pPr>
        <w:rPr>
          <w:lang w:val="en-GB"/>
        </w:rPr>
      </w:pPr>
      <w:r w:rsidRPr="00012E12">
        <w:rPr>
          <w:lang w:val="en-GB"/>
        </w:rPr>
        <w:t xml:space="preserve">Hospitals should have an ongoing process of organisational learning as part of their routine. Frequent clinical audits, Root Cause Analyses (RCA), Failure Mode and Effects Analysis (FMEA) and mandatory annual patient safety training should be carried out to detect the risks </w:t>
      </w:r>
      <w:r w:rsidRPr="00012E12">
        <w:rPr>
          <w:lang w:val="en-GB"/>
        </w:rPr>
        <w:lastRenderedPageBreak/>
        <w:t xml:space="preserve">and facilitate the continuous improvement. Aging is a complex process that diminishes the reserve of every organ system and often results in a patient that is vulnerable to the stress of surgery (Vacas </w:t>
      </w:r>
      <w:r w:rsidRPr="000E1B7D">
        <w:rPr>
          <w:i/>
          <w:lang w:val="en-GB"/>
        </w:rPr>
        <w:t>et al.,</w:t>
      </w:r>
      <w:r w:rsidRPr="00012E12">
        <w:rPr>
          <w:lang w:val="en-GB"/>
        </w:rPr>
        <w:t xml:space="preserve"> 2022). Partnership with health care professionals, administrators and regulatory bodies will further establish accountability and promote systems for joint decision making, and boost public trust. Overall, incorporation of evidence-based learning, with stakeholder co-production as part of the organisational governance, will help Kota Medical College Hospital to build a resilient, patient-centred healthcare system.</w:t>
      </w:r>
    </w:p>
    <w:p w14:paraId="6D7204DC" w14:textId="77777777" w:rsidR="00455DCB" w:rsidRPr="00012E12" w:rsidRDefault="005E2CA9">
      <w:pPr>
        <w:pStyle w:val="Heading1"/>
        <w:rPr>
          <w:lang w:val="en-GB"/>
        </w:rPr>
      </w:pPr>
      <w:bookmarkStart w:id="54" w:name="_mar93p86te7m" w:colFirst="0" w:colLast="0"/>
      <w:bookmarkStart w:id="55" w:name="_Toc236669200"/>
      <w:bookmarkEnd w:id="54"/>
      <w:r w:rsidRPr="00012E12">
        <w:rPr>
          <w:lang w:val="en-GB"/>
        </w:rPr>
        <w:t>Conclusion</w:t>
      </w:r>
      <w:bookmarkEnd w:id="55"/>
    </w:p>
    <w:p w14:paraId="4A3150ED" w14:textId="77777777" w:rsidR="00455DCB" w:rsidRPr="00012E12" w:rsidRDefault="005E2CA9">
      <w:pPr>
        <w:pStyle w:val="Heading2"/>
        <w:rPr>
          <w:lang w:val="en-GB"/>
        </w:rPr>
      </w:pPr>
      <w:bookmarkStart w:id="56" w:name="_8hbxwb53bnof" w:colFirst="0" w:colLast="0"/>
      <w:bookmarkStart w:id="57" w:name="_Toc236669201"/>
      <w:bookmarkEnd w:id="56"/>
      <w:r w:rsidRPr="00012E12">
        <w:rPr>
          <w:lang w:val="en-GB"/>
        </w:rPr>
        <w:t>Summarising findings</w:t>
      </w:r>
      <w:bookmarkEnd w:id="57"/>
    </w:p>
    <w:p w14:paraId="60FA683E" w14:textId="77777777" w:rsidR="00455DCB" w:rsidRPr="00012E12" w:rsidRDefault="005E2CA9">
      <w:pPr>
        <w:rPr>
          <w:b/>
          <w:bCs/>
          <w:lang w:val="en-GB"/>
        </w:rPr>
      </w:pPr>
      <w:r w:rsidRPr="00012E12">
        <w:rPr>
          <w:lang w:val="en-GB"/>
        </w:rPr>
        <w:t xml:space="preserve">The analysis of the case in Kota Medical College Hospital reflects inconsistent improvement, although effective documentation is a prioritised factor in the healthcare system. Staff retention and pressure on healthcare organisations remained major problems in India, which resulted in huge clinical errors. Situational leadership is important in the organisation because leaders need to adjust their behaviour when unexpected situations arise. </w:t>
      </w:r>
      <w:r w:rsidR="00E12FB4" w:rsidRPr="00012E12">
        <w:rPr>
          <w:lang w:val="en-GB"/>
        </w:rPr>
        <w:t>More than that, a</w:t>
      </w:r>
      <w:r w:rsidRPr="00012E12">
        <w:rPr>
          <w:lang w:val="en-GB"/>
        </w:rPr>
        <w:t>pplication of emotional intelligence leadership in the hospital can make staff comfortable reporting mistakes without fear of blame. Apart from this, strengthening leadership, communication and reporting systems adequately are important for the organisation to reduce preventable patient harm. Overall findings support the conclusion that leadership during the incident in Kota Medical College Hospital was reactive and contributed to poor communication and inadequate supervision.</w:t>
      </w:r>
    </w:p>
    <w:p w14:paraId="017DEBB1" w14:textId="77777777" w:rsidR="00455DCB" w:rsidRPr="00012E12" w:rsidRDefault="005E2CA9">
      <w:pPr>
        <w:pStyle w:val="Heading2"/>
        <w:rPr>
          <w:lang w:val="en-GB"/>
        </w:rPr>
      </w:pPr>
      <w:bookmarkStart w:id="58" w:name="_k406b4vf107e" w:colFirst="0" w:colLast="0"/>
      <w:bookmarkStart w:id="59" w:name="_Toc236669202"/>
      <w:bookmarkEnd w:id="58"/>
      <w:r w:rsidRPr="00012E12">
        <w:rPr>
          <w:lang w:val="en-GB"/>
        </w:rPr>
        <w:t>Importance of leadership, governance, and systems thinking</w:t>
      </w:r>
      <w:bookmarkEnd w:id="59"/>
    </w:p>
    <w:p w14:paraId="56C79E9F" w14:textId="77777777" w:rsidR="00455DCB" w:rsidRPr="00012E12" w:rsidRDefault="005E2CA9">
      <w:pPr>
        <w:rPr>
          <w:lang w:val="en-GB"/>
        </w:rPr>
      </w:pPr>
      <w:r w:rsidRPr="00012E12">
        <w:rPr>
          <w:lang w:val="en-GB"/>
        </w:rPr>
        <w:t xml:space="preserve">Analysing the case highlights these three factors that have an important role in improving healthcare quality and patient safety. Effective leadership within the organisation helps professionals work collaboratively and communicate clearly, apart from achieving shared goals. Similarly, good governance supports leadership by establishing clear policies, responsibilities and a monitoring system in Kota Medical College Hospital. In other words, good governance is essential for regular audits, incident reporting and reviewing performance in the organisation to identify risk and improve patient safety. On the contrary, systems thinking recognises that Kota Medical College Hospital is made up of connected people, processes and departments. This approach helps the organisation identify the root cause of the problem and develop long-term solutions. The case of Kota demonstrates that patient safety depends on leadership, good </w:t>
      </w:r>
      <w:r w:rsidRPr="00012E12">
        <w:rPr>
          <w:lang w:val="en-GB"/>
        </w:rPr>
        <w:lastRenderedPageBreak/>
        <w:t xml:space="preserve">governance and a systems approach. Combining these elements can support continuous improvement and reduce preventable clinical errors in future, besides strengthening accountability. </w:t>
      </w:r>
      <w:r w:rsidRPr="00012E12">
        <w:rPr>
          <w:lang w:val="en-GB"/>
        </w:rPr>
        <w:br w:type="page"/>
      </w:r>
    </w:p>
    <w:p w14:paraId="431D11E1" w14:textId="77777777" w:rsidR="00455DCB" w:rsidRPr="00012E12" w:rsidRDefault="005E2CA9">
      <w:pPr>
        <w:pStyle w:val="Heading1"/>
        <w:rPr>
          <w:lang w:val="en-GB"/>
        </w:rPr>
      </w:pPr>
      <w:bookmarkStart w:id="60" w:name="_y3sy3xxm7r1a" w:colFirst="0" w:colLast="0"/>
      <w:bookmarkStart w:id="61" w:name="_Toc236669203"/>
      <w:bookmarkEnd w:id="60"/>
      <w:r w:rsidRPr="00012E12">
        <w:rPr>
          <w:lang w:val="en-GB"/>
        </w:rPr>
        <w:lastRenderedPageBreak/>
        <w:t>References</w:t>
      </w:r>
      <w:bookmarkEnd w:id="61"/>
    </w:p>
    <w:p w14:paraId="4D43BB0E" w14:textId="77777777" w:rsidR="005A0461" w:rsidRPr="00012E12" w:rsidRDefault="005A0461" w:rsidP="00280FF6">
      <w:pPr>
        <w:spacing w:before="240" w:after="240"/>
        <w:rPr>
          <w:lang w:val="en-GB"/>
        </w:rPr>
      </w:pPr>
      <w:r w:rsidRPr="00012E12">
        <w:rPr>
          <w:lang w:val="en-GB"/>
        </w:rPr>
        <w:t xml:space="preserve">AHRQ (2023) </w:t>
      </w:r>
      <w:r w:rsidRPr="00012E12">
        <w:rPr>
          <w:i/>
          <w:iCs/>
          <w:lang w:val="en-GB"/>
        </w:rPr>
        <w:t>Patient Safety Network (PSNet)</w:t>
      </w:r>
      <w:r w:rsidRPr="00012E12">
        <w:rPr>
          <w:lang w:val="en-GB"/>
        </w:rPr>
        <w:t>. Available at:</w:t>
      </w:r>
      <w:hyperlink r:id="rId14"/>
      <w:hyperlink r:id="rId15">
        <w:r w:rsidRPr="00012E12">
          <w:rPr>
            <w:color w:val="1155CC"/>
            <w:u w:val="single"/>
            <w:lang w:val="en-GB"/>
          </w:rPr>
          <w:t>https://psnet.ahrq.gov</w:t>
        </w:r>
      </w:hyperlink>
      <w:r w:rsidRPr="00012E12">
        <w:rPr>
          <w:lang w:val="en-GB"/>
        </w:rPr>
        <w:t xml:space="preserve"> (Accessed: 3 August 2026).</w:t>
      </w:r>
    </w:p>
    <w:p w14:paraId="3A6BEB84" w14:textId="77777777" w:rsidR="005A0461" w:rsidRPr="00012E12" w:rsidRDefault="005A0461" w:rsidP="0032563F">
      <w:pPr>
        <w:rPr>
          <w:lang w:val="en-GB"/>
        </w:rPr>
      </w:pPr>
      <w:r w:rsidRPr="00012E12">
        <w:rPr>
          <w:color w:val="222222"/>
          <w:lang w:val="en-GB"/>
        </w:rPr>
        <w:t xml:space="preserve">Aini, Q. and Rachman, N., (2024). ‘Leadership styles in healthcare settings for hospital management and employee engagement.’ </w:t>
      </w:r>
      <w:r w:rsidRPr="00012E12">
        <w:rPr>
          <w:i/>
          <w:iCs/>
          <w:color w:val="222222"/>
          <w:lang w:val="en-GB"/>
        </w:rPr>
        <w:t>Journal of Angiotherapy</w:t>
      </w:r>
      <w:r w:rsidRPr="00012E12">
        <w:rPr>
          <w:color w:val="222222"/>
          <w:lang w:val="en-GB"/>
        </w:rPr>
        <w:t xml:space="preserve">, </w:t>
      </w:r>
      <w:r w:rsidRPr="00012E12">
        <w:rPr>
          <w:i/>
          <w:iCs/>
          <w:color w:val="222222"/>
          <w:lang w:val="en-GB"/>
        </w:rPr>
        <w:t>8</w:t>
      </w:r>
      <w:r w:rsidRPr="00012E12">
        <w:rPr>
          <w:color w:val="222222"/>
          <w:lang w:val="en-GB"/>
        </w:rPr>
        <w:t>(5), pp.1-7.</w:t>
      </w:r>
      <w:r w:rsidRPr="00012E12">
        <w:rPr>
          <w:lang w:val="en-GB"/>
        </w:rPr>
        <w:t xml:space="preserve">  Available at: </w:t>
      </w:r>
      <w:hyperlink r:id="rId16">
        <w:r w:rsidRPr="00012E12">
          <w:rPr>
            <w:color w:val="1155CC"/>
            <w:u w:val="single"/>
            <w:lang w:val="en-GB"/>
          </w:rPr>
          <w:t>https://doi.org/10.25163/angiotherapy.859697</w:t>
        </w:r>
      </w:hyperlink>
    </w:p>
    <w:p w14:paraId="59370237" w14:textId="77777777" w:rsidR="005A0461" w:rsidRPr="00012E12" w:rsidRDefault="005A0461" w:rsidP="0032563F">
      <w:pPr>
        <w:rPr>
          <w:lang w:val="en-GB"/>
        </w:rPr>
      </w:pPr>
      <w:r w:rsidRPr="00012E12">
        <w:rPr>
          <w:color w:val="222222"/>
          <w:lang w:val="en-GB"/>
        </w:rPr>
        <w:t xml:space="preserve">Alanazi, A.K., Berekaa, M.M., Alsaif, A.S., Alsahli, K.S., Aljassim, M.T., Al-Warthan, M.A. and Alwadei, M.M., (2026), March. ‘Perception of Patient Safety Culture Among Healthcare Practitioners in Dammam and Jeddah, Saudi Arabia.’ In </w:t>
      </w:r>
      <w:r w:rsidRPr="00012E12">
        <w:rPr>
          <w:i/>
          <w:iCs/>
          <w:color w:val="222222"/>
          <w:lang w:val="en-GB"/>
        </w:rPr>
        <w:t>Healthcare</w:t>
      </w:r>
      <w:r w:rsidRPr="00012E12">
        <w:rPr>
          <w:color w:val="222222"/>
          <w:lang w:val="en-GB"/>
        </w:rPr>
        <w:t xml:space="preserve"> (Vol. 14, No. 6, p. 767). MDPI.</w:t>
      </w:r>
      <w:r w:rsidRPr="00012E12">
        <w:rPr>
          <w:lang w:val="en-GB"/>
        </w:rPr>
        <w:t xml:space="preserve">  Available at: </w:t>
      </w:r>
      <w:hyperlink r:id="rId17">
        <w:r w:rsidRPr="00012E12">
          <w:rPr>
            <w:color w:val="1155CC"/>
            <w:u w:val="single"/>
            <w:lang w:val="en-GB"/>
          </w:rPr>
          <w:t>https://doi.org/10.3390/healthcare14060767</w:t>
        </w:r>
      </w:hyperlink>
    </w:p>
    <w:p w14:paraId="2E5CDAF6" w14:textId="77777777" w:rsidR="005A0461" w:rsidRPr="00012E12" w:rsidRDefault="005A0461" w:rsidP="00280FF6">
      <w:pPr>
        <w:spacing w:after="160"/>
        <w:rPr>
          <w:color w:val="1155CC"/>
          <w:u w:val="single"/>
          <w:lang w:val="en-GB"/>
        </w:rPr>
      </w:pPr>
      <w:r w:rsidRPr="00012E12">
        <w:rPr>
          <w:lang w:val="en-GB"/>
        </w:rPr>
        <w:t xml:space="preserve">Alhewiti, A., (2025). ‘Public perception of medical errors and confusion about medical complications: implications for healthcare safety in Saudi Arabia.’ </w:t>
      </w:r>
      <w:r w:rsidRPr="00012E12">
        <w:rPr>
          <w:i/>
          <w:iCs/>
          <w:lang w:val="en-GB"/>
        </w:rPr>
        <w:t>International Journal of General Medicine</w:t>
      </w:r>
      <w:r w:rsidRPr="00012E12">
        <w:rPr>
          <w:lang w:val="en-GB"/>
        </w:rPr>
        <w:t>, pp.2093-2106. Available at:</w:t>
      </w:r>
      <w:hyperlink r:id="rId18"/>
      <w:hyperlink r:id="rId19">
        <w:r w:rsidRPr="00012E12">
          <w:rPr>
            <w:color w:val="1155CC"/>
            <w:u w:val="single"/>
            <w:lang w:val="en-GB"/>
          </w:rPr>
          <w:t>https://doi.org/10.2147/IJGM.S517843</w:t>
        </w:r>
      </w:hyperlink>
    </w:p>
    <w:p w14:paraId="3B48E72F" w14:textId="77777777" w:rsidR="005A0461" w:rsidRPr="00012E12" w:rsidRDefault="005A0461" w:rsidP="0032563F">
      <w:pPr>
        <w:rPr>
          <w:lang w:val="en-GB"/>
        </w:rPr>
      </w:pPr>
      <w:r w:rsidRPr="00012E12">
        <w:rPr>
          <w:color w:val="222222"/>
          <w:lang w:val="en-GB"/>
        </w:rPr>
        <w:t xml:space="preserve">Al-Rjoub, S., Alsharawneh, A., Alhawajreh, M.J. and Othman, E.H., (2024). ‘Exploring the impact of transformational and transactional style of leadership on nursing care performance and patient outcomes.’ </w:t>
      </w:r>
      <w:r w:rsidRPr="00012E12">
        <w:rPr>
          <w:i/>
          <w:iCs/>
          <w:color w:val="222222"/>
          <w:lang w:val="en-GB"/>
        </w:rPr>
        <w:t>Journal of Healthcare Leadership</w:t>
      </w:r>
      <w:r w:rsidRPr="00012E12">
        <w:rPr>
          <w:color w:val="222222"/>
          <w:lang w:val="en-GB"/>
        </w:rPr>
        <w:t>, pp.557-568.</w:t>
      </w:r>
      <w:r w:rsidRPr="00012E12">
        <w:rPr>
          <w:lang w:val="en-GB"/>
        </w:rPr>
        <w:t xml:space="preserve">  Available at: </w:t>
      </w:r>
      <w:hyperlink r:id="rId20">
        <w:r w:rsidRPr="00012E12">
          <w:rPr>
            <w:color w:val="1155CC"/>
            <w:u w:val="single"/>
            <w:lang w:val="en-GB"/>
          </w:rPr>
          <w:t>https://doi.org/10.2147/JHL.S496266</w:t>
        </w:r>
      </w:hyperlink>
    </w:p>
    <w:p w14:paraId="76D9CB6A" w14:textId="77777777" w:rsidR="005A0461" w:rsidRPr="00012E12" w:rsidRDefault="005A0461" w:rsidP="0032563F">
      <w:pPr>
        <w:rPr>
          <w:lang w:val="en-GB"/>
        </w:rPr>
      </w:pPr>
      <w:r w:rsidRPr="00012E12">
        <w:rPr>
          <w:color w:val="222222"/>
          <w:lang w:val="en-GB"/>
        </w:rPr>
        <w:t xml:space="preserve">Balasubramanian, S. and Fernandes, C., (2022). ‘Confirmation of a crisis leadership model and its effectiveness: Lessons from the COVID-19 pandemic.’ </w:t>
      </w:r>
      <w:r w:rsidRPr="00012E12">
        <w:rPr>
          <w:i/>
          <w:iCs/>
          <w:color w:val="222222"/>
          <w:lang w:val="en-GB"/>
        </w:rPr>
        <w:t>Cogent business &amp; management</w:t>
      </w:r>
      <w:r w:rsidRPr="00012E12">
        <w:rPr>
          <w:color w:val="222222"/>
          <w:lang w:val="en-GB"/>
        </w:rPr>
        <w:t xml:space="preserve">, </w:t>
      </w:r>
      <w:r w:rsidRPr="00012E12">
        <w:rPr>
          <w:i/>
          <w:iCs/>
          <w:color w:val="222222"/>
          <w:lang w:val="en-GB"/>
        </w:rPr>
        <w:t>9</w:t>
      </w:r>
      <w:r w:rsidRPr="00012E12">
        <w:rPr>
          <w:color w:val="222222"/>
          <w:lang w:val="en-GB"/>
        </w:rPr>
        <w:t>(1), p.2022824.</w:t>
      </w:r>
      <w:r w:rsidRPr="00012E12">
        <w:rPr>
          <w:lang w:val="en-GB"/>
        </w:rPr>
        <w:t xml:space="preserve">  Available at: </w:t>
      </w:r>
      <w:hyperlink r:id="rId21">
        <w:r w:rsidRPr="00012E12">
          <w:rPr>
            <w:color w:val="1155CC"/>
            <w:u w:val="single"/>
            <w:lang w:val="en-GB"/>
          </w:rPr>
          <w:t>https://doi.org/10.1080/23311975.2021.2022824</w:t>
        </w:r>
      </w:hyperlink>
    </w:p>
    <w:p w14:paraId="1C5D9D71" w14:textId="77777777" w:rsidR="005A0461" w:rsidRPr="00012E12" w:rsidRDefault="005A0461">
      <w:pPr>
        <w:rPr>
          <w:lang w:val="en-GB"/>
        </w:rPr>
      </w:pPr>
      <w:r w:rsidRPr="00012E12">
        <w:rPr>
          <w:lang w:val="en-GB"/>
        </w:rPr>
        <w:t xml:space="preserve">Chcm (2026) </w:t>
      </w:r>
      <w:r w:rsidRPr="00012E12">
        <w:rPr>
          <w:i/>
          <w:iCs/>
          <w:lang w:val="en-GB"/>
        </w:rPr>
        <w:t>Essential Traits of Transformational Leadership in Healthcare</w:t>
      </w:r>
      <w:r w:rsidRPr="00012E12">
        <w:rPr>
          <w:lang w:val="en-GB"/>
        </w:rPr>
        <w:t xml:space="preserve">. Available at: </w:t>
      </w:r>
      <w:hyperlink r:id="rId22" w:history="1">
        <w:r w:rsidRPr="00012E12">
          <w:rPr>
            <w:rStyle w:val="Hyperlink"/>
            <w:lang w:val="en-GB"/>
          </w:rPr>
          <w:t>https://chcm.com/transformational-leadership-in-healthcare/</w:t>
        </w:r>
      </w:hyperlink>
      <w:r w:rsidRPr="00012E12">
        <w:rPr>
          <w:lang w:val="en-GB"/>
        </w:rPr>
        <w:t xml:space="preserve"> (Accessed: 3 August 2026)</w:t>
      </w:r>
    </w:p>
    <w:p w14:paraId="4E6DBC4F" w14:textId="77777777" w:rsidR="005A0461" w:rsidRPr="00012E12" w:rsidRDefault="005A0461" w:rsidP="00280FF6">
      <w:pPr>
        <w:spacing w:before="240" w:after="240"/>
        <w:rPr>
          <w:lang w:val="en-GB"/>
        </w:rPr>
      </w:pPr>
      <w:r w:rsidRPr="00012E12">
        <w:rPr>
          <w:lang w:val="en-GB"/>
        </w:rPr>
        <w:t xml:space="preserve">Commonwealth Fund (2024) </w:t>
      </w:r>
      <w:r w:rsidRPr="00012E12">
        <w:rPr>
          <w:i/>
          <w:iCs/>
          <w:lang w:val="en-GB"/>
        </w:rPr>
        <w:t>Mirror, Mirror 2024: A Portrait of the Failing U.S. Health System</w:t>
      </w:r>
      <w:r w:rsidRPr="00012E12">
        <w:rPr>
          <w:lang w:val="en-GB"/>
        </w:rPr>
        <w:t>. Available at:</w:t>
      </w:r>
      <w:hyperlink r:id="rId23"/>
      <w:hyperlink r:id="rId24">
        <w:r w:rsidRPr="00012E12">
          <w:rPr>
            <w:color w:val="1155CC"/>
            <w:u w:val="single"/>
            <w:lang w:val="en-GB"/>
          </w:rPr>
          <w:t>https://www.commonwealthfund.org</w:t>
        </w:r>
      </w:hyperlink>
      <w:r w:rsidRPr="00012E12">
        <w:rPr>
          <w:lang w:val="en-GB"/>
        </w:rPr>
        <w:t xml:space="preserve"> (Accessed: 3 August 2026).</w:t>
      </w:r>
    </w:p>
    <w:p w14:paraId="62DE0EBE" w14:textId="77777777" w:rsidR="005A0461" w:rsidRPr="00012E12" w:rsidRDefault="005A0461" w:rsidP="007B124E">
      <w:pPr>
        <w:rPr>
          <w:lang w:val="en-GB"/>
        </w:rPr>
      </w:pPr>
      <w:r w:rsidRPr="00012E12">
        <w:rPr>
          <w:lang w:val="en-GB"/>
        </w:rPr>
        <w:t xml:space="preserve">El-Awady, S.M., (2023). ‘Overview of failure mode and effects analysis (FMEA): a patient safety tool’. </w:t>
      </w:r>
      <w:r w:rsidRPr="00012E12">
        <w:rPr>
          <w:i/>
          <w:iCs/>
          <w:lang w:val="en-GB"/>
        </w:rPr>
        <w:t>Global Journal on Quality and Safety in Healthcare, 6</w:t>
      </w:r>
      <w:r w:rsidRPr="00012E12">
        <w:rPr>
          <w:lang w:val="en-GB"/>
        </w:rPr>
        <w:t xml:space="preserve">(1), pp.24-26. Available at: </w:t>
      </w:r>
      <w:hyperlink r:id="rId25" w:history="1">
        <w:r w:rsidRPr="00012E12">
          <w:rPr>
            <w:rStyle w:val="Hyperlink"/>
            <w:lang w:val="en-GB"/>
          </w:rPr>
          <w:t>http://dx.doi.org/10.36401/JQSH-23-X2</w:t>
        </w:r>
      </w:hyperlink>
      <w:r w:rsidRPr="00012E12">
        <w:rPr>
          <w:lang w:val="en-GB"/>
        </w:rPr>
        <w:t>  </w:t>
      </w:r>
    </w:p>
    <w:p w14:paraId="7BE88C60" w14:textId="77777777" w:rsidR="005A0461" w:rsidRPr="00012E12" w:rsidRDefault="005A0461" w:rsidP="00280FF6">
      <w:pPr>
        <w:spacing w:before="240" w:after="160"/>
        <w:rPr>
          <w:lang w:val="en-GB"/>
        </w:rPr>
      </w:pPr>
      <w:r w:rsidRPr="00012E12">
        <w:rPr>
          <w:lang w:val="en-GB"/>
        </w:rPr>
        <w:lastRenderedPageBreak/>
        <w:t xml:space="preserve">Gadsby Wicks Solicitors (2026). </w:t>
      </w:r>
      <w:r w:rsidRPr="00012E12">
        <w:rPr>
          <w:i/>
          <w:iCs/>
          <w:lang w:val="en-GB"/>
        </w:rPr>
        <w:t>NHS medical negligence claims statistics.</w:t>
      </w:r>
      <w:r w:rsidRPr="00012E12">
        <w:rPr>
          <w:lang w:val="en-GB"/>
        </w:rPr>
        <w:t xml:space="preserve"> Available at:</w:t>
      </w:r>
      <w:hyperlink r:id="rId26">
        <w:r w:rsidRPr="00012E12">
          <w:rPr>
            <w:color w:val="0563C1"/>
            <w:u w:val="single"/>
            <w:lang w:val="en-GB"/>
          </w:rPr>
          <w:t xml:space="preserve"> https://www.gadsbywicks.co.uk/insights/medical-negligence/nhs-medical-negligence-claims-statsistics</w:t>
        </w:r>
      </w:hyperlink>
      <w:r w:rsidRPr="00012E12">
        <w:rPr>
          <w:lang w:val="en-GB"/>
        </w:rPr>
        <w:t xml:space="preserve"> (Accessed: 3 August 2026).</w:t>
      </w:r>
    </w:p>
    <w:p w14:paraId="235E3AA9" w14:textId="77777777" w:rsidR="005A0461" w:rsidRPr="00012E12" w:rsidRDefault="005A0461" w:rsidP="0032563F">
      <w:pPr>
        <w:rPr>
          <w:lang w:val="en-GB"/>
        </w:rPr>
      </w:pPr>
      <w:r w:rsidRPr="00012E12">
        <w:rPr>
          <w:color w:val="222222"/>
          <w:lang w:val="en-GB"/>
        </w:rPr>
        <w:t xml:space="preserve">Ghallab, A. and Sallam, F., (2026). ‘The Effect of Situational Leadership on Healthcare Service Quality Through Crisis Management and Resources Availability: The Moderating Role of Leader Experience.’ </w:t>
      </w:r>
      <w:r w:rsidRPr="00012E12">
        <w:rPr>
          <w:i/>
          <w:iCs/>
          <w:color w:val="222222"/>
          <w:lang w:val="en-GB"/>
        </w:rPr>
        <w:t>Risk Management and Healthcare Policy</w:t>
      </w:r>
      <w:r w:rsidRPr="00012E12">
        <w:rPr>
          <w:color w:val="222222"/>
          <w:lang w:val="en-GB"/>
        </w:rPr>
        <w:t>, p.589078.</w:t>
      </w:r>
      <w:r w:rsidRPr="00012E12">
        <w:rPr>
          <w:lang w:val="en-GB"/>
        </w:rPr>
        <w:t xml:space="preserve">  Available at: </w:t>
      </w:r>
      <w:hyperlink r:id="rId27">
        <w:r w:rsidRPr="00012E12">
          <w:rPr>
            <w:color w:val="1155CC"/>
            <w:u w:val="single"/>
            <w:lang w:val="en-GB"/>
          </w:rPr>
          <w:t>https://doi.org/10.2147/RMHP.S589078</w:t>
        </w:r>
      </w:hyperlink>
    </w:p>
    <w:p w14:paraId="70FD1B91" w14:textId="77777777" w:rsidR="005A0461" w:rsidRPr="00012E12" w:rsidRDefault="005A0461" w:rsidP="007B124E">
      <w:pPr>
        <w:rPr>
          <w:lang w:val="en-GB"/>
        </w:rPr>
      </w:pPr>
      <w:r w:rsidRPr="00012E12">
        <w:rPr>
          <w:lang w:val="en-GB"/>
        </w:rPr>
        <w:t xml:space="preserve">Goekcimen, K., Schwendimann, R., Pfeiffer, Y., Mohr, G., Jaeger, C. and Mueller, S., (2022). ‘Addressing patient safety hazards using critical incident reporting in hospitals: a systematic review’. </w:t>
      </w:r>
      <w:r w:rsidRPr="00012E12">
        <w:rPr>
          <w:i/>
          <w:iCs/>
          <w:lang w:val="en-GB"/>
        </w:rPr>
        <w:t>Journal of patient safety, 19</w:t>
      </w:r>
      <w:r w:rsidRPr="00012E12">
        <w:rPr>
          <w:lang w:val="en-GB"/>
        </w:rPr>
        <w:t xml:space="preserve">(1), p.e1. Available at: </w:t>
      </w:r>
      <w:hyperlink r:id="rId28" w:history="1">
        <w:r w:rsidRPr="00012E12">
          <w:rPr>
            <w:rStyle w:val="Hyperlink"/>
            <w:lang w:val="en-GB"/>
          </w:rPr>
          <w:t>http://dx.doi.org/10.1097/PTS.0000000000001072</w:t>
        </w:r>
      </w:hyperlink>
      <w:r w:rsidRPr="00012E12">
        <w:rPr>
          <w:lang w:val="en-GB"/>
        </w:rPr>
        <w:t>  </w:t>
      </w:r>
    </w:p>
    <w:p w14:paraId="39177007" w14:textId="77777777" w:rsidR="005A0461" w:rsidRPr="00012E12" w:rsidRDefault="005A0461" w:rsidP="007B124E">
      <w:pPr>
        <w:rPr>
          <w:lang w:val="en-GB"/>
        </w:rPr>
      </w:pPr>
      <w:r w:rsidRPr="00012E12">
        <w:rPr>
          <w:lang w:val="en-GB"/>
        </w:rPr>
        <w:t xml:space="preserve">Healtheconomicsunit (2022) </w:t>
      </w:r>
      <w:r w:rsidRPr="00012E12">
        <w:rPr>
          <w:i/>
          <w:iCs/>
          <w:lang w:val="en-GB"/>
        </w:rPr>
        <w:t>Population Health Finance: Why allocative efficiency should be embedded in NHS finance processes.</w:t>
      </w:r>
      <w:r w:rsidRPr="00012E12">
        <w:rPr>
          <w:lang w:val="en-GB"/>
        </w:rPr>
        <w:t xml:space="preserve"> Available at: </w:t>
      </w:r>
      <w:hyperlink r:id="rId29" w:history="1">
        <w:r w:rsidRPr="00012E12">
          <w:rPr>
            <w:rStyle w:val="Hyperlink"/>
            <w:lang w:val="en-GB"/>
          </w:rPr>
          <w:t>https://www.healtheconomicsunit.nhs.uk/population-health-finance/index.html</w:t>
        </w:r>
      </w:hyperlink>
      <w:r w:rsidRPr="00012E12">
        <w:rPr>
          <w:lang w:val="en-GB"/>
        </w:rPr>
        <w:t xml:space="preserve"> (Accessed: 3 August 2026)</w:t>
      </w:r>
    </w:p>
    <w:p w14:paraId="53319B2D" w14:textId="77777777" w:rsidR="005A0461" w:rsidRPr="00012E12" w:rsidRDefault="005A0461">
      <w:pPr>
        <w:rPr>
          <w:lang w:val="en-GB"/>
        </w:rPr>
      </w:pPr>
      <w:r w:rsidRPr="00012E12">
        <w:rPr>
          <w:color w:val="222222"/>
          <w:lang w:val="en-GB"/>
        </w:rPr>
        <w:t xml:space="preserve">Heikkinen, H., Kuha, S. and Kanste, O., (2026). ‘Exploring the core of emotional intelligence in healthcare leadership: a concept analysis.’ </w:t>
      </w:r>
      <w:r w:rsidRPr="00012E12">
        <w:rPr>
          <w:i/>
          <w:iCs/>
          <w:color w:val="222222"/>
          <w:lang w:val="en-GB"/>
        </w:rPr>
        <w:t>Journal of Advanced Nursing</w:t>
      </w:r>
      <w:r w:rsidRPr="00012E12">
        <w:rPr>
          <w:color w:val="222222"/>
          <w:lang w:val="en-GB"/>
        </w:rPr>
        <w:t xml:space="preserve">, </w:t>
      </w:r>
      <w:r w:rsidRPr="00012E12">
        <w:rPr>
          <w:i/>
          <w:iCs/>
          <w:color w:val="222222"/>
          <w:lang w:val="en-GB"/>
        </w:rPr>
        <w:t>82</w:t>
      </w:r>
      <w:r w:rsidRPr="00012E12">
        <w:rPr>
          <w:color w:val="222222"/>
          <w:lang w:val="en-GB"/>
        </w:rPr>
        <w:t>(2), pp.1760-1774.</w:t>
      </w:r>
      <w:r w:rsidRPr="00012E12">
        <w:rPr>
          <w:lang w:val="en-GB"/>
        </w:rPr>
        <w:t xml:space="preserve">  Available at: </w:t>
      </w:r>
      <w:hyperlink r:id="rId30">
        <w:r w:rsidRPr="00012E12">
          <w:rPr>
            <w:color w:val="1155CC"/>
            <w:u w:val="single"/>
            <w:lang w:val="en-GB"/>
          </w:rPr>
          <w:t>https://doi.org/10.1111/jan.17023</w:t>
        </w:r>
      </w:hyperlink>
    </w:p>
    <w:p w14:paraId="311AF6FF" w14:textId="77777777" w:rsidR="005A0461" w:rsidRPr="00012E12" w:rsidRDefault="005A0461" w:rsidP="007B124E">
      <w:pPr>
        <w:rPr>
          <w:lang w:val="en-GB"/>
        </w:rPr>
      </w:pPr>
      <w:r w:rsidRPr="00012E12">
        <w:rPr>
          <w:lang w:val="en-GB"/>
        </w:rPr>
        <w:t xml:space="preserve">Hipaajournal (2026) </w:t>
      </w:r>
      <w:r w:rsidRPr="00012E12">
        <w:rPr>
          <w:i/>
          <w:iCs/>
          <w:lang w:val="en-GB"/>
        </w:rPr>
        <w:t xml:space="preserve">Effects of Poor Communication in Healthcare. </w:t>
      </w:r>
      <w:r w:rsidRPr="00012E12">
        <w:rPr>
          <w:lang w:val="en-GB"/>
        </w:rPr>
        <w:t xml:space="preserve">Available at: </w:t>
      </w:r>
      <w:hyperlink r:id="rId31" w:history="1">
        <w:r w:rsidRPr="00012E12">
          <w:rPr>
            <w:rStyle w:val="Hyperlink"/>
            <w:lang w:val="en-GB"/>
          </w:rPr>
          <w:t>https://www.hipaajournal.com/effects-of-poor-communication-in-healthcare/</w:t>
        </w:r>
      </w:hyperlink>
      <w:r w:rsidRPr="00012E12">
        <w:rPr>
          <w:lang w:val="en-GB"/>
        </w:rPr>
        <w:t xml:space="preserve"> (Accessed: 3 August 2026)</w:t>
      </w:r>
    </w:p>
    <w:p w14:paraId="728272D2" w14:textId="77777777" w:rsidR="005A0461" w:rsidRPr="00012E12" w:rsidRDefault="005A0461" w:rsidP="007B124E">
      <w:pPr>
        <w:rPr>
          <w:lang w:val="en-GB"/>
        </w:rPr>
      </w:pPr>
      <w:r w:rsidRPr="00012E12">
        <w:rPr>
          <w:lang w:val="en-GB"/>
        </w:rPr>
        <w:t xml:space="preserve">Hooftman, J., Dijkstra, A.C., Suurmeijer, I., Van Der Bij, A., Paap, E. and Zwaan, L., (2024). ‘Common contributing factors of diagnostic error: A retrospective analysis of 109 serious adverse event reports from Dutch hospitals’. </w:t>
      </w:r>
      <w:r w:rsidRPr="00012E12">
        <w:rPr>
          <w:i/>
          <w:iCs/>
          <w:lang w:val="en-GB"/>
        </w:rPr>
        <w:t>BMJ Quality &amp; Safety, 33</w:t>
      </w:r>
      <w:r w:rsidRPr="00012E12">
        <w:rPr>
          <w:lang w:val="en-GB"/>
        </w:rPr>
        <w:t xml:space="preserve">(10), pp.642-651. Available at: </w:t>
      </w:r>
      <w:hyperlink r:id="rId32" w:history="1">
        <w:r w:rsidRPr="00012E12">
          <w:rPr>
            <w:rStyle w:val="Hyperlink"/>
            <w:lang w:val="en-GB"/>
          </w:rPr>
          <w:t>http://dx.doi.org/10.1136/bmjqs-2022-015876</w:t>
        </w:r>
      </w:hyperlink>
      <w:r w:rsidRPr="00012E12">
        <w:rPr>
          <w:lang w:val="en-GB"/>
        </w:rPr>
        <w:t> </w:t>
      </w:r>
    </w:p>
    <w:p w14:paraId="117BC87F" w14:textId="77777777" w:rsidR="005A0461" w:rsidRPr="00012E12" w:rsidRDefault="005A0461" w:rsidP="00280FF6">
      <w:pPr>
        <w:spacing w:before="240" w:after="240"/>
        <w:rPr>
          <w:lang w:val="en-GB"/>
        </w:rPr>
      </w:pPr>
      <w:r w:rsidRPr="00012E12">
        <w:rPr>
          <w:lang w:val="en-GB"/>
        </w:rPr>
        <w:t xml:space="preserve">IHI (2023) </w:t>
      </w:r>
      <w:r w:rsidRPr="00012E12">
        <w:rPr>
          <w:i/>
          <w:iCs/>
          <w:lang w:val="en-GB"/>
        </w:rPr>
        <w:t>Patient Safety Essentials Toolkit</w:t>
      </w:r>
      <w:r w:rsidRPr="00012E12">
        <w:rPr>
          <w:lang w:val="en-GB"/>
        </w:rPr>
        <w:t>. Available at:</w:t>
      </w:r>
      <w:hyperlink r:id="rId33"/>
      <w:hyperlink r:id="rId34">
        <w:r w:rsidRPr="00012E12">
          <w:rPr>
            <w:color w:val="1155CC"/>
            <w:u w:val="single"/>
            <w:lang w:val="en-GB"/>
          </w:rPr>
          <w:t>https://www.ihi.org/library/tools/patient-safety-essentials-toolkit</w:t>
        </w:r>
      </w:hyperlink>
      <w:r w:rsidRPr="00012E12">
        <w:rPr>
          <w:lang w:val="en-GB"/>
        </w:rPr>
        <w:t xml:space="preserve">  (Accessed: 3 August 2026).</w:t>
      </w:r>
    </w:p>
    <w:p w14:paraId="54C75A52" w14:textId="77777777" w:rsidR="005A0461" w:rsidRPr="00012E12" w:rsidRDefault="005A0461" w:rsidP="00280FF6">
      <w:pPr>
        <w:spacing w:before="240" w:after="240"/>
        <w:rPr>
          <w:lang w:val="en-GB"/>
        </w:rPr>
      </w:pPr>
      <w:r w:rsidRPr="00012E12">
        <w:rPr>
          <w:lang w:val="en-GB"/>
        </w:rPr>
        <w:t xml:space="preserve">ISQua (2022) </w:t>
      </w:r>
      <w:r w:rsidRPr="00012E12">
        <w:rPr>
          <w:i/>
          <w:iCs/>
          <w:lang w:val="en-GB"/>
        </w:rPr>
        <w:t>ISQua Standards and External Evaluation</w:t>
      </w:r>
      <w:r w:rsidRPr="00012E12">
        <w:rPr>
          <w:lang w:val="en-GB"/>
        </w:rPr>
        <w:t>. Available at:</w:t>
      </w:r>
      <w:hyperlink r:id="rId35"/>
      <w:hyperlink r:id="rId36">
        <w:r w:rsidRPr="00012E12">
          <w:rPr>
            <w:color w:val="1155CC"/>
            <w:u w:val="single"/>
            <w:lang w:val="en-GB"/>
          </w:rPr>
          <w:t>https://ieea.ch/wp-content/uploads/2024/09/Guidelines-and-Standards-for-External-Evaluation-Organisations-5th-Edition-v1.1.pdf</w:t>
        </w:r>
      </w:hyperlink>
      <w:r w:rsidRPr="00012E12">
        <w:rPr>
          <w:lang w:val="en-GB"/>
        </w:rPr>
        <w:t xml:space="preserve"> (Accessed: 3 August 2026).</w:t>
      </w:r>
    </w:p>
    <w:p w14:paraId="7EE0DFBD" w14:textId="77777777" w:rsidR="005A0461" w:rsidRPr="00012E12" w:rsidRDefault="005A0461" w:rsidP="00280FF6">
      <w:pPr>
        <w:spacing w:before="240" w:after="240"/>
        <w:rPr>
          <w:lang w:val="en-GB"/>
        </w:rPr>
      </w:pPr>
      <w:r w:rsidRPr="00012E12">
        <w:rPr>
          <w:lang w:val="en-GB"/>
        </w:rPr>
        <w:lastRenderedPageBreak/>
        <w:t xml:space="preserve">Joint Commission (2023) </w:t>
      </w:r>
      <w:r w:rsidRPr="00012E12">
        <w:rPr>
          <w:i/>
          <w:iCs/>
          <w:lang w:val="en-GB"/>
        </w:rPr>
        <w:t>National Patient Safety Goals</w:t>
      </w:r>
      <w:r w:rsidRPr="00012E12">
        <w:rPr>
          <w:lang w:val="en-GB"/>
        </w:rPr>
        <w:t>. Available at:</w:t>
      </w:r>
      <w:hyperlink r:id="rId37"/>
      <w:hyperlink r:id="rId38">
        <w:r w:rsidRPr="00012E12">
          <w:rPr>
            <w:color w:val="1155CC"/>
            <w:u w:val="single"/>
            <w:lang w:val="en-GB"/>
          </w:rPr>
          <w:t>https://www.pslhub.org/learn/organisations-linked-to-patient-safety-uk-and-beyond/international-patient-safety/joint-commission-2023-national-patient-safety-goals-r9276/</w:t>
        </w:r>
      </w:hyperlink>
      <w:r w:rsidRPr="00012E12">
        <w:rPr>
          <w:lang w:val="en-GB"/>
        </w:rPr>
        <w:t xml:space="preserve">  (Accessed: 3 August 2026).</w:t>
      </w:r>
    </w:p>
    <w:p w14:paraId="13F461B4" w14:textId="77777777" w:rsidR="005A0461" w:rsidRPr="00012E12" w:rsidRDefault="005A0461" w:rsidP="00280FF6">
      <w:pPr>
        <w:spacing w:before="240" w:after="240"/>
        <w:rPr>
          <w:lang w:val="en-GB"/>
        </w:rPr>
      </w:pPr>
      <w:r w:rsidRPr="00012E12">
        <w:rPr>
          <w:lang w:val="en-GB"/>
        </w:rPr>
        <w:t xml:space="preserve">Joint Commission International (2024) </w:t>
      </w:r>
      <w:r w:rsidRPr="00012E12">
        <w:rPr>
          <w:i/>
          <w:iCs/>
          <w:lang w:val="en-GB"/>
        </w:rPr>
        <w:t>International Patient Safety Goals</w:t>
      </w:r>
      <w:r w:rsidRPr="00012E12">
        <w:rPr>
          <w:lang w:val="en-GB"/>
        </w:rPr>
        <w:t>. Available at:</w:t>
      </w:r>
      <w:hyperlink r:id="rId39"/>
      <w:hyperlink r:id="rId40">
        <w:r w:rsidRPr="00012E12">
          <w:rPr>
            <w:color w:val="1155CC"/>
            <w:u w:val="single"/>
            <w:lang w:val="en-GB"/>
          </w:rPr>
          <w:t>https://www.jointcommissioninternational.org</w:t>
        </w:r>
      </w:hyperlink>
      <w:r w:rsidRPr="00012E12">
        <w:rPr>
          <w:lang w:val="en-GB"/>
        </w:rPr>
        <w:t xml:space="preserve"> (Accessed: 3 August 2026).</w:t>
      </w:r>
    </w:p>
    <w:p w14:paraId="2154FC9A" w14:textId="77777777" w:rsidR="005A0461" w:rsidRPr="00012E12" w:rsidRDefault="005A0461" w:rsidP="00280FF6">
      <w:pPr>
        <w:spacing w:before="240" w:after="240"/>
        <w:rPr>
          <w:lang w:val="en-GB"/>
        </w:rPr>
      </w:pPr>
      <w:r w:rsidRPr="00012E12">
        <w:rPr>
          <w:lang w:val="en-GB"/>
        </w:rPr>
        <w:t xml:space="preserve">King's Fund (2022) </w:t>
      </w:r>
      <w:r w:rsidRPr="00012E12">
        <w:rPr>
          <w:i/>
          <w:iCs/>
          <w:lang w:val="en-GB"/>
        </w:rPr>
        <w:t>Leadership and Culture in Health Care</w:t>
      </w:r>
      <w:r w:rsidRPr="00012E12">
        <w:rPr>
          <w:lang w:val="en-GB"/>
        </w:rPr>
        <w:t>. Available at:</w:t>
      </w:r>
      <w:hyperlink r:id="rId41"/>
      <w:hyperlink r:id="rId42">
        <w:r w:rsidRPr="00012E12">
          <w:rPr>
            <w:color w:val="1155CC"/>
            <w:u w:val="single"/>
            <w:lang w:val="en-GB"/>
          </w:rPr>
          <w:t>https://www.kingsfund.org.uk</w:t>
        </w:r>
      </w:hyperlink>
      <w:r w:rsidRPr="00012E12">
        <w:rPr>
          <w:lang w:val="en-GB"/>
        </w:rPr>
        <w:t xml:space="preserve"> (Accessed: 3 August 2026).</w:t>
      </w:r>
    </w:p>
    <w:p w14:paraId="546B5AFD" w14:textId="77777777" w:rsidR="005A0461" w:rsidRPr="00012E12" w:rsidRDefault="005A0461" w:rsidP="0032563F">
      <w:pPr>
        <w:rPr>
          <w:lang w:val="en-GB"/>
        </w:rPr>
      </w:pPr>
      <w:r w:rsidRPr="00012E12">
        <w:rPr>
          <w:color w:val="222222"/>
          <w:lang w:val="en-GB"/>
        </w:rPr>
        <w:t xml:space="preserve">Lindström, A.P., (2025). ‘Leadership dynamics in healthcare: examining Micro, Meso, and macro level influences on workforce conditions and patient care.’ </w:t>
      </w:r>
      <w:r w:rsidRPr="00012E12">
        <w:rPr>
          <w:i/>
          <w:iCs/>
          <w:color w:val="222222"/>
          <w:lang w:val="en-GB"/>
        </w:rPr>
        <w:t>Open Journal of Nursing</w:t>
      </w:r>
      <w:r w:rsidRPr="00012E12">
        <w:rPr>
          <w:color w:val="222222"/>
          <w:lang w:val="en-GB"/>
        </w:rPr>
        <w:t xml:space="preserve">, </w:t>
      </w:r>
      <w:r w:rsidRPr="00012E12">
        <w:rPr>
          <w:i/>
          <w:iCs/>
          <w:color w:val="222222"/>
          <w:lang w:val="en-GB"/>
        </w:rPr>
        <w:t>15</w:t>
      </w:r>
      <w:r w:rsidRPr="00012E12">
        <w:rPr>
          <w:color w:val="222222"/>
          <w:lang w:val="en-GB"/>
        </w:rPr>
        <w:t>(7), pp.488-502.</w:t>
      </w:r>
      <w:r w:rsidRPr="00012E12">
        <w:rPr>
          <w:lang w:val="en-GB"/>
        </w:rPr>
        <w:t xml:space="preserve">  Available at: </w:t>
      </w:r>
      <w:hyperlink r:id="rId43">
        <w:r w:rsidRPr="00012E12">
          <w:rPr>
            <w:color w:val="1155CC"/>
            <w:u w:val="single"/>
            <w:lang w:val="en-GB"/>
          </w:rPr>
          <w:t>https://doi.org/10.4236/ojn.2025.157036</w:t>
        </w:r>
      </w:hyperlink>
    </w:p>
    <w:p w14:paraId="358E7AD8" w14:textId="77777777" w:rsidR="005A0461" w:rsidRPr="00012E12" w:rsidRDefault="005A0461" w:rsidP="007B124E">
      <w:pPr>
        <w:rPr>
          <w:lang w:val="en-GB"/>
        </w:rPr>
      </w:pPr>
      <w:r w:rsidRPr="00012E12">
        <w:rPr>
          <w:lang w:val="en-GB"/>
        </w:rPr>
        <w:t xml:space="preserve">Madine, M., Simsekler, M.C.E., Salah, K. and Ellahham, S., (2025). ‘Applying quality improvement science to patient safety: strategies, frameworks, and sustainable solutions’. </w:t>
      </w:r>
      <w:r w:rsidRPr="00012E12">
        <w:rPr>
          <w:i/>
          <w:iCs/>
          <w:lang w:val="en-GB"/>
        </w:rPr>
        <w:t>Risk Management and Healthcare Policy</w:t>
      </w:r>
      <w:r w:rsidRPr="00012E12">
        <w:rPr>
          <w:lang w:val="en-GB"/>
        </w:rPr>
        <w:t xml:space="preserve">, pp.3781-3791. Available at: </w:t>
      </w:r>
      <w:hyperlink r:id="rId44" w:history="1">
        <w:r w:rsidRPr="00012E12">
          <w:rPr>
            <w:rStyle w:val="Hyperlink"/>
            <w:lang w:val="en-GB"/>
          </w:rPr>
          <w:t>https://doi.org/10.2147/RMHP.S564459</w:t>
        </w:r>
      </w:hyperlink>
    </w:p>
    <w:p w14:paraId="360B8FA1" w14:textId="77777777" w:rsidR="005A0461" w:rsidRPr="00012E12" w:rsidRDefault="005A0461" w:rsidP="007B124E">
      <w:pPr>
        <w:rPr>
          <w:lang w:val="en-GB"/>
        </w:rPr>
      </w:pPr>
      <w:r w:rsidRPr="00012E12">
        <w:rPr>
          <w:lang w:val="en-GB"/>
        </w:rPr>
        <w:t xml:space="preserve">Metasofsda (2026) </w:t>
      </w:r>
      <w:r w:rsidRPr="00012E12">
        <w:rPr>
          <w:i/>
          <w:iCs/>
          <w:lang w:val="en-GB"/>
        </w:rPr>
        <w:t>International Patient Safety Goals.</w:t>
      </w:r>
      <w:r w:rsidRPr="00012E12">
        <w:rPr>
          <w:lang w:val="en-GB"/>
        </w:rPr>
        <w:t xml:space="preserve"> Available at: </w:t>
      </w:r>
      <w:hyperlink r:id="rId45" w:history="1">
        <w:r w:rsidRPr="00012E12">
          <w:rPr>
            <w:rStyle w:val="Hyperlink"/>
            <w:lang w:val="en-GB"/>
          </w:rPr>
          <w:t>https://surathospital.metasofsda.in/international_patients_pdf/International%20Patient%20Safety%20Protocols.pdf</w:t>
        </w:r>
      </w:hyperlink>
      <w:r w:rsidRPr="00012E12">
        <w:rPr>
          <w:lang w:val="en-GB"/>
        </w:rPr>
        <w:t xml:space="preserve"> (Accessed: 3 August 2026)</w:t>
      </w:r>
    </w:p>
    <w:p w14:paraId="7491E130" w14:textId="77777777" w:rsidR="005A0461" w:rsidRPr="00012E12" w:rsidRDefault="005A0461" w:rsidP="00280FF6">
      <w:pPr>
        <w:spacing w:before="240" w:after="240"/>
        <w:rPr>
          <w:lang w:val="en-GB"/>
        </w:rPr>
      </w:pPr>
      <w:r w:rsidRPr="00012E12">
        <w:rPr>
          <w:lang w:val="en-GB"/>
        </w:rPr>
        <w:t xml:space="preserve">Ministry of Health and Family Welfare (2023) </w:t>
      </w:r>
      <w:r w:rsidRPr="00012E12">
        <w:rPr>
          <w:i/>
          <w:iCs/>
          <w:lang w:val="en-GB"/>
        </w:rPr>
        <w:t>National Quality Assurance Standards (NQAS)</w:t>
      </w:r>
      <w:r w:rsidRPr="00012E12">
        <w:rPr>
          <w:lang w:val="en-GB"/>
        </w:rPr>
        <w:t>. Government of India. Available at:</w:t>
      </w:r>
      <w:hyperlink r:id="rId46"/>
      <w:hyperlink r:id="rId47">
        <w:r w:rsidRPr="00012E12">
          <w:rPr>
            <w:color w:val="1155CC"/>
            <w:u w:val="single"/>
            <w:lang w:val="en-GB"/>
          </w:rPr>
          <w:t>https://qps.nhsrcindia.org/nqas</w:t>
        </w:r>
      </w:hyperlink>
      <w:r w:rsidRPr="00012E12">
        <w:rPr>
          <w:lang w:val="en-GB"/>
        </w:rPr>
        <w:t xml:space="preserve"> (Accessed: 3 August 2026).</w:t>
      </w:r>
    </w:p>
    <w:p w14:paraId="1B78D624" w14:textId="77777777" w:rsidR="005A0461" w:rsidRPr="00012E12" w:rsidRDefault="005A0461" w:rsidP="007B124E">
      <w:pPr>
        <w:rPr>
          <w:lang w:val="en-GB"/>
        </w:rPr>
      </w:pPr>
      <w:r w:rsidRPr="00012E12">
        <w:rPr>
          <w:lang w:val="en-GB"/>
        </w:rPr>
        <w:t xml:space="preserve">Mohamed Badran, F.M., Rahman Gaber Khalifa, M.A.E., Elghannam, H.M. and Mohamed Ali, E.H., (2026). ‘From blame to learning: implementing a just culture program for head nurses and its impact on silent behavior and error reporting among staff nurses’. </w:t>
      </w:r>
      <w:r w:rsidRPr="00012E12">
        <w:rPr>
          <w:i/>
          <w:iCs/>
          <w:lang w:val="en-GB"/>
        </w:rPr>
        <w:t>BMC nursing, 25</w:t>
      </w:r>
      <w:r w:rsidRPr="00012E12">
        <w:rPr>
          <w:lang w:val="en-GB"/>
        </w:rPr>
        <w:t xml:space="preserve">(1), p.96.  Available at: </w:t>
      </w:r>
      <w:hyperlink r:id="rId48" w:history="1">
        <w:r w:rsidRPr="00012E12">
          <w:rPr>
            <w:rStyle w:val="Hyperlink"/>
            <w:lang w:val="en-GB"/>
          </w:rPr>
          <w:t>https://doi.org/10.1186/s12912-025-04265-5</w:t>
        </w:r>
      </w:hyperlink>
      <w:r w:rsidRPr="00012E12">
        <w:rPr>
          <w:lang w:val="en-GB"/>
        </w:rPr>
        <w:t>  </w:t>
      </w:r>
    </w:p>
    <w:p w14:paraId="05BBE58B" w14:textId="77777777" w:rsidR="005A0461" w:rsidRPr="00012E12" w:rsidRDefault="005A0461" w:rsidP="00280FF6">
      <w:pPr>
        <w:spacing w:before="240" w:after="240"/>
        <w:rPr>
          <w:lang w:val="en-GB"/>
        </w:rPr>
      </w:pPr>
      <w:r w:rsidRPr="00012E12">
        <w:rPr>
          <w:lang w:val="en-GB"/>
        </w:rPr>
        <w:t xml:space="preserve">NABH (2023) </w:t>
      </w:r>
      <w:r w:rsidRPr="00012E12">
        <w:rPr>
          <w:i/>
          <w:iCs/>
          <w:lang w:val="en-GB"/>
        </w:rPr>
        <w:t>Accreditation Standards for Hospitals (6th ed.)</w:t>
      </w:r>
      <w:r w:rsidRPr="00012E12">
        <w:rPr>
          <w:lang w:val="en-GB"/>
        </w:rPr>
        <w:t>. Available at:</w:t>
      </w:r>
      <w:hyperlink r:id="rId49"/>
      <w:hyperlink r:id="rId50">
        <w:r w:rsidRPr="00012E12">
          <w:rPr>
            <w:color w:val="1155CC"/>
            <w:u w:val="single"/>
            <w:lang w:val="en-GB"/>
          </w:rPr>
          <w:t>https://nabh.co</w:t>
        </w:r>
      </w:hyperlink>
      <w:r w:rsidRPr="00012E12">
        <w:rPr>
          <w:lang w:val="en-GB"/>
        </w:rPr>
        <w:t xml:space="preserve"> (Accessed: 3 August 2026).</w:t>
      </w:r>
    </w:p>
    <w:p w14:paraId="1461BD65" w14:textId="77777777" w:rsidR="005A0461" w:rsidRPr="00012E12" w:rsidRDefault="005A0461" w:rsidP="00280FF6">
      <w:pPr>
        <w:spacing w:before="240" w:after="240"/>
        <w:rPr>
          <w:lang w:val="en-GB"/>
        </w:rPr>
      </w:pPr>
      <w:r w:rsidRPr="00012E12">
        <w:rPr>
          <w:lang w:val="en-GB"/>
        </w:rPr>
        <w:t xml:space="preserve">National Health Authority (2022) </w:t>
      </w:r>
      <w:r w:rsidRPr="00012E12">
        <w:rPr>
          <w:i/>
          <w:iCs/>
          <w:lang w:val="en-GB"/>
        </w:rPr>
        <w:t>National Digital Health Mission: Governance Framework</w:t>
      </w:r>
      <w:r w:rsidRPr="00012E12">
        <w:rPr>
          <w:lang w:val="en-GB"/>
        </w:rPr>
        <w:t>. Available at:</w:t>
      </w:r>
      <w:hyperlink r:id="rId51"/>
      <w:hyperlink r:id="rId52">
        <w:r w:rsidRPr="00012E12">
          <w:rPr>
            <w:color w:val="1155CC"/>
            <w:u w:val="single"/>
            <w:lang w:val="en-GB"/>
          </w:rPr>
          <w:t>https://abdm.gov.in</w:t>
        </w:r>
      </w:hyperlink>
      <w:r w:rsidRPr="00012E12">
        <w:rPr>
          <w:lang w:val="en-GB"/>
        </w:rPr>
        <w:t xml:space="preserve"> (Accessed: 3 August 2026).</w:t>
      </w:r>
    </w:p>
    <w:p w14:paraId="04AB9281" w14:textId="77777777" w:rsidR="005A0461" w:rsidRPr="00012E12" w:rsidRDefault="005A0461" w:rsidP="00280FF6">
      <w:pPr>
        <w:spacing w:before="240" w:after="240"/>
        <w:rPr>
          <w:lang w:val="en-GB"/>
        </w:rPr>
      </w:pPr>
      <w:r w:rsidRPr="00012E12">
        <w:rPr>
          <w:lang w:val="en-GB"/>
        </w:rPr>
        <w:lastRenderedPageBreak/>
        <w:t xml:space="preserve">National Medical Commission (2023) </w:t>
      </w:r>
      <w:r w:rsidRPr="00012E12">
        <w:rPr>
          <w:i/>
          <w:iCs/>
          <w:lang w:val="en-GB"/>
        </w:rPr>
        <w:t>Competency Based Medical Education Guidelines</w:t>
      </w:r>
      <w:r w:rsidRPr="00012E12">
        <w:rPr>
          <w:lang w:val="en-GB"/>
        </w:rPr>
        <w:t>. Available at:</w:t>
      </w:r>
      <w:hyperlink r:id="rId53"/>
      <w:hyperlink r:id="rId54">
        <w:r w:rsidRPr="00012E12">
          <w:rPr>
            <w:color w:val="1155CC"/>
            <w:u w:val="single"/>
            <w:lang w:val="en-GB"/>
          </w:rPr>
          <w:t>https://www.nmc.org.in</w:t>
        </w:r>
      </w:hyperlink>
      <w:r w:rsidRPr="00012E12">
        <w:rPr>
          <w:lang w:val="en-GB"/>
        </w:rPr>
        <w:t xml:space="preserve"> (Accessed: 3 August 2026).</w:t>
      </w:r>
    </w:p>
    <w:p w14:paraId="452004ED" w14:textId="77777777" w:rsidR="005A0461" w:rsidRPr="00012E12" w:rsidRDefault="005A0461" w:rsidP="0032563F">
      <w:pPr>
        <w:rPr>
          <w:lang w:val="en-GB"/>
        </w:rPr>
      </w:pPr>
      <w:r w:rsidRPr="00012E12">
        <w:rPr>
          <w:lang w:val="en-GB"/>
        </w:rPr>
        <w:t xml:space="preserve">NDTV (2025) </w:t>
      </w:r>
      <w:r w:rsidRPr="00012E12">
        <w:rPr>
          <w:i/>
          <w:iCs/>
          <w:lang w:val="en-GB"/>
        </w:rPr>
        <w:t xml:space="preserve">Tale Of 2 'Jagdishes': Hospital Mix-Up Could Have Led To Unwanted Surgery. </w:t>
      </w:r>
      <w:r w:rsidRPr="00012E12">
        <w:rPr>
          <w:lang w:val="en-GB"/>
        </w:rPr>
        <w:t xml:space="preserve">Available at: </w:t>
      </w:r>
      <w:hyperlink r:id="rId55">
        <w:r w:rsidRPr="00012E12">
          <w:rPr>
            <w:color w:val="1155CC"/>
            <w:u w:val="single"/>
            <w:lang w:val="en-GB"/>
          </w:rPr>
          <w:t>https://www.ndtv.com/india-news/kota-medical-college-tale-of-2-jagdishes-hospital-mix-up-could-have-led-to-unwanted-surgery-8187530</w:t>
        </w:r>
      </w:hyperlink>
      <w:r w:rsidRPr="00012E12">
        <w:rPr>
          <w:lang w:val="en-GB"/>
        </w:rPr>
        <w:t xml:space="preserve"> (Accessed: 3 August 2026)</w:t>
      </w:r>
    </w:p>
    <w:p w14:paraId="7869DC6C" w14:textId="77777777" w:rsidR="005A0461" w:rsidRPr="00012E12" w:rsidRDefault="005A0461" w:rsidP="007B124E">
      <w:pPr>
        <w:rPr>
          <w:lang w:val="en-GB"/>
        </w:rPr>
      </w:pPr>
      <w:r w:rsidRPr="00012E12">
        <w:rPr>
          <w:lang w:val="en-GB"/>
        </w:rPr>
        <w:t xml:space="preserve">Nihr (2026) </w:t>
      </w:r>
      <w:r w:rsidRPr="00012E12">
        <w:rPr>
          <w:i/>
          <w:iCs/>
          <w:lang w:val="en-GB"/>
        </w:rPr>
        <w:t>Digital tech in GP surgeries can cut medical errors and patient harm.</w:t>
      </w:r>
      <w:r w:rsidRPr="00012E12">
        <w:rPr>
          <w:lang w:val="en-GB"/>
        </w:rPr>
        <w:t xml:space="preserve"> Available at: </w:t>
      </w:r>
      <w:hyperlink r:id="rId56" w:history="1">
        <w:r w:rsidRPr="00012E12">
          <w:rPr>
            <w:rStyle w:val="Hyperlink"/>
            <w:lang w:val="en-GB"/>
          </w:rPr>
          <w:t>https://www.nihr.ac.uk/news/digital-tech-gp-surgeries-can-cut-medical-errors-and-patient-harm</w:t>
        </w:r>
      </w:hyperlink>
      <w:r w:rsidRPr="00012E12">
        <w:rPr>
          <w:lang w:val="en-GB"/>
        </w:rPr>
        <w:t xml:space="preserve"> (Accessed: 3 August 2026)</w:t>
      </w:r>
    </w:p>
    <w:p w14:paraId="103A23C2" w14:textId="77777777" w:rsidR="005A0461" w:rsidRPr="00012E12" w:rsidRDefault="005A0461" w:rsidP="00280FF6">
      <w:pPr>
        <w:spacing w:before="240" w:after="240"/>
        <w:rPr>
          <w:lang w:val="en-GB"/>
        </w:rPr>
      </w:pPr>
      <w:r w:rsidRPr="00012E12">
        <w:rPr>
          <w:lang w:val="en-GB"/>
        </w:rPr>
        <w:t xml:space="preserve">OECD (2023) </w:t>
      </w:r>
      <w:r w:rsidRPr="00012E12">
        <w:rPr>
          <w:i/>
          <w:iCs/>
          <w:lang w:val="en-GB"/>
        </w:rPr>
        <w:t>Health at a Glance 2023</w:t>
      </w:r>
      <w:r w:rsidRPr="00012E12">
        <w:rPr>
          <w:lang w:val="en-GB"/>
        </w:rPr>
        <w:t>. Available at:</w:t>
      </w:r>
      <w:hyperlink r:id="rId57"/>
      <w:hyperlink r:id="rId58">
        <w:r w:rsidRPr="00012E12">
          <w:rPr>
            <w:color w:val="1155CC"/>
            <w:u w:val="single"/>
            <w:lang w:val="en-GB"/>
          </w:rPr>
          <w:t>https://www.oecd.org/health/health-at-a-glance/</w:t>
        </w:r>
      </w:hyperlink>
      <w:r w:rsidRPr="00012E12">
        <w:rPr>
          <w:lang w:val="en-GB"/>
        </w:rPr>
        <w:t xml:space="preserve"> (Accessed: 3 August 2026).</w:t>
      </w:r>
    </w:p>
    <w:p w14:paraId="217A7B28" w14:textId="77777777" w:rsidR="005A0461" w:rsidRPr="00012E12" w:rsidRDefault="005A0461" w:rsidP="0032563F">
      <w:pPr>
        <w:rPr>
          <w:lang w:val="en-GB"/>
        </w:rPr>
      </w:pPr>
      <w:r w:rsidRPr="00012E12">
        <w:rPr>
          <w:color w:val="222222"/>
          <w:lang w:val="en-GB"/>
        </w:rPr>
        <w:t xml:space="preserve">Ohrling, M., (2026). ‘Having and eating the cake? The centralisation paradox in decentralised healthcare governance: a scoping review.’ </w:t>
      </w:r>
      <w:r w:rsidRPr="00012E12">
        <w:rPr>
          <w:i/>
          <w:iCs/>
          <w:color w:val="222222"/>
          <w:lang w:val="en-GB"/>
        </w:rPr>
        <w:t>BMC Health Services Research</w:t>
      </w:r>
      <w:r w:rsidRPr="00012E12">
        <w:rPr>
          <w:color w:val="222222"/>
          <w:lang w:val="en-GB"/>
        </w:rPr>
        <w:t xml:space="preserve">, </w:t>
      </w:r>
      <w:r w:rsidRPr="00012E12">
        <w:rPr>
          <w:i/>
          <w:iCs/>
          <w:color w:val="222222"/>
          <w:lang w:val="en-GB"/>
        </w:rPr>
        <w:t>26</w:t>
      </w:r>
      <w:r w:rsidRPr="00012E12">
        <w:rPr>
          <w:color w:val="222222"/>
          <w:lang w:val="en-GB"/>
        </w:rPr>
        <w:t>(1), p.1020.</w:t>
      </w:r>
      <w:r w:rsidRPr="00012E12">
        <w:rPr>
          <w:lang w:val="en-GB"/>
        </w:rPr>
        <w:t xml:space="preserve"> Available at: </w:t>
      </w:r>
      <w:hyperlink r:id="rId59">
        <w:r w:rsidRPr="00012E12">
          <w:rPr>
            <w:color w:val="1155CC"/>
            <w:u w:val="single"/>
            <w:lang w:val="en-GB"/>
          </w:rPr>
          <w:t>https://doi.org/10.1186/s12913-026-15162-1</w:t>
        </w:r>
      </w:hyperlink>
    </w:p>
    <w:p w14:paraId="72D3716A" w14:textId="77777777" w:rsidR="005A0461" w:rsidRPr="00012E12" w:rsidRDefault="005A0461" w:rsidP="0032563F">
      <w:pPr>
        <w:rPr>
          <w:lang w:val="en-GB"/>
        </w:rPr>
      </w:pPr>
      <w:r w:rsidRPr="00012E12">
        <w:rPr>
          <w:color w:val="222222"/>
          <w:lang w:val="en-GB"/>
        </w:rPr>
        <w:t xml:space="preserve">Restivo, V., Minutolo, G., Battaglini, A., Carli, A., Capraro, M., Gaeta, M., Odone, A., Trucchi, C., Favaretti, C., Vitale, F. and Casuccio, A., (2022). ‘Leadership effectiveness in healthcare settings: a systematic review and meta-analysis of cross-sectional and before–after studies.’ </w:t>
      </w:r>
      <w:r w:rsidRPr="00012E12">
        <w:rPr>
          <w:i/>
          <w:iCs/>
          <w:color w:val="222222"/>
          <w:lang w:val="en-GB"/>
        </w:rPr>
        <w:t>International journal of environmental research and public health</w:t>
      </w:r>
      <w:r w:rsidRPr="00012E12">
        <w:rPr>
          <w:color w:val="222222"/>
          <w:lang w:val="en-GB"/>
        </w:rPr>
        <w:t xml:space="preserve">, </w:t>
      </w:r>
      <w:r w:rsidRPr="00012E12">
        <w:rPr>
          <w:i/>
          <w:iCs/>
          <w:color w:val="222222"/>
          <w:lang w:val="en-GB"/>
        </w:rPr>
        <w:t>19</w:t>
      </w:r>
      <w:r w:rsidRPr="00012E12">
        <w:rPr>
          <w:color w:val="222222"/>
          <w:lang w:val="en-GB"/>
        </w:rPr>
        <w:t>(17), p.10995.</w:t>
      </w:r>
      <w:r w:rsidRPr="00012E12">
        <w:rPr>
          <w:lang w:val="en-GB"/>
        </w:rPr>
        <w:t xml:space="preserve"> Available at: </w:t>
      </w:r>
      <w:hyperlink r:id="rId60">
        <w:r w:rsidRPr="00012E12">
          <w:rPr>
            <w:color w:val="1155CC"/>
            <w:u w:val="single"/>
            <w:lang w:val="en-GB"/>
          </w:rPr>
          <w:t>https://doi.org/10.3390/ijerph191710995</w:t>
        </w:r>
      </w:hyperlink>
    </w:p>
    <w:p w14:paraId="34B2DF14" w14:textId="77777777" w:rsidR="005A0461" w:rsidRPr="00012E12" w:rsidRDefault="005A0461" w:rsidP="0032563F">
      <w:pPr>
        <w:rPr>
          <w:lang w:val="en-GB"/>
        </w:rPr>
      </w:pPr>
      <w:r w:rsidRPr="00012E12">
        <w:rPr>
          <w:color w:val="222222"/>
          <w:lang w:val="en-GB"/>
        </w:rPr>
        <w:t xml:space="preserve">Singh, P.K., Singh, S., Kumari, V. and Tiwari, M., (2024). ‘Navigating healthcare leadership: Theories, challenges, and practical insights for the future.’ </w:t>
      </w:r>
      <w:r w:rsidRPr="00012E12">
        <w:rPr>
          <w:i/>
          <w:iCs/>
          <w:color w:val="222222"/>
          <w:lang w:val="en-GB"/>
        </w:rPr>
        <w:t>Journal of postgraduate medicine</w:t>
      </w:r>
      <w:r w:rsidRPr="00012E12">
        <w:rPr>
          <w:color w:val="222222"/>
          <w:lang w:val="en-GB"/>
        </w:rPr>
        <w:t xml:space="preserve">, </w:t>
      </w:r>
      <w:r w:rsidRPr="00012E12">
        <w:rPr>
          <w:i/>
          <w:iCs/>
          <w:color w:val="222222"/>
          <w:lang w:val="en-GB"/>
        </w:rPr>
        <w:t>70</w:t>
      </w:r>
      <w:r w:rsidRPr="00012E12">
        <w:rPr>
          <w:color w:val="222222"/>
          <w:lang w:val="en-GB"/>
        </w:rPr>
        <w:t>(4), p.232.</w:t>
      </w:r>
      <w:r w:rsidRPr="00012E12">
        <w:rPr>
          <w:lang w:val="en-GB"/>
        </w:rPr>
        <w:t xml:space="preserve">  Available at: DOI: 10.4103/jpgm.jpgm_533_24  </w:t>
      </w:r>
    </w:p>
    <w:p w14:paraId="4D24C793" w14:textId="77777777" w:rsidR="005A0461" w:rsidRPr="00012E12" w:rsidRDefault="005A0461" w:rsidP="007B124E">
      <w:pPr>
        <w:rPr>
          <w:lang w:val="en-GB"/>
        </w:rPr>
      </w:pPr>
      <w:r w:rsidRPr="00012E12">
        <w:rPr>
          <w:lang w:val="en-GB"/>
        </w:rPr>
        <w:t xml:space="preserve">Soed, N., Ludin, S.M., Abdullah, S.N.S. and Al-Zahrawi, R., (2025). ‘Exploring the impact of the SBAR on nursing handover: a scoping review’. </w:t>
      </w:r>
      <w:r w:rsidRPr="00012E12">
        <w:rPr>
          <w:i/>
          <w:iCs/>
          <w:lang w:val="en-GB"/>
        </w:rPr>
        <w:t>The Malaysian Journal of Nursing (MJN), 17</w:t>
      </w:r>
      <w:r w:rsidRPr="00012E12">
        <w:rPr>
          <w:lang w:val="en-GB"/>
        </w:rPr>
        <w:t xml:space="preserve">(1), pp.233-245. Available at: </w:t>
      </w:r>
      <w:hyperlink r:id="rId61" w:history="1">
        <w:r w:rsidRPr="00012E12">
          <w:rPr>
            <w:rStyle w:val="Hyperlink"/>
            <w:lang w:val="en-GB"/>
          </w:rPr>
          <w:t>https://doi.org/10.31674/mjn.2025.v17i01.024</w:t>
        </w:r>
      </w:hyperlink>
      <w:r w:rsidRPr="00012E12">
        <w:rPr>
          <w:lang w:val="en-GB"/>
        </w:rPr>
        <w:t> </w:t>
      </w:r>
    </w:p>
    <w:p w14:paraId="17092CEB" w14:textId="77777777" w:rsidR="005A0461" w:rsidRPr="00012E12" w:rsidRDefault="005A0461" w:rsidP="0032563F">
      <w:pPr>
        <w:rPr>
          <w:lang w:val="en-GB"/>
        </w:rPr>
      </w:pPr>
      <w:r w:rsidRPr="00012E12">
        <w:rPr>
          <w:color w:val="222222"/>
          <w:lang w:val="en-GB"/>
        </w:rPr>
        <w:t xml:space="preserve">Svensson, I. and von Knorring, M., (2025). ‘Connecting distributed leadership and leadership-as-practice to increase understanding of leadership as distributed in healthcare practice.’ </w:t>
      </w:r>
      <w:r w:rsidRPr="00012E12">
        <w:rPr>
          <w:i/>
          <w:iCs/>
          <w:color w:val="222222"/>
          <w:lang w:val="en-GB"/>
        </w:rPr>
        <w:t>Journal of change management</w:t>
      </w:r>
      <w:r w:rsidRPr="00012E12">
        <w:rPr>
          <w:color w:val="222222"/>
          <w:lang w:val="en-GB"/>
        </w:rPr>
        <w:t xml:space="preserve">, </w:t>
      </w:r>
      <w:r w:rsidRPr="00012E12">
        <w:rPr>
          <w:i/>
          <w:iCs/>
          <w:color w:val="222222"/>
          <w:lang w:val="en-GB"/>
        </w:rPr>
        <w:t>25</w:t>
      </w:r>
      <w:r w:rsidRPr="00012E12">
        <w:rPr>
          <w:color w:val="222222"/>
          <w:lang w:val="en-GB"/>
        </w:rPr>
        <w:t>(1), pp.11-30.</w:t>
      </w:r>
      <w:r w:rsidRPr="00012E12">
        <w:rPr>
          <w:lang w:val="en-GB"/>
        </w:rPr>
        <w:t xml:space="preserve">  Available at: </w:t>
      </w:r>
      <w:hyperlink r:id="rId62">
        <w:r w:rsidRPr="00012E12">
          <w:rPr>
            <w:color w:val="1155CC"/>
            <w:u w:val="single"/>
            <w:lang w:val="en-GB"/>
          </w:rPr>
          <w:t>https://doi.org/10.1080/14697017.2025.2453136</w:t>
        </w:r>
      </w:hyperlink>
    </w:p>
    <w:p w14:paraId="560CF708" w14:textId="77777777" w:rsidR="005A0461" w:rsidRPr="00012E12" w:rsidRDefault="005A0461" w:rsidP="00280FF6">
      <w:pPr>
        <w:spacing w:before="240" w:after="240"/>
        <w:rPr>
          <w:lang w:val="en-GB"/>
        </w:rPr>
      </w:pPr>
      <w:r w:rsidRPr="00012E12">
        <w:rPr>
          <w:lang w:val="en-GB"/>
        </w:rPr>
        <w:lastRenderedPageBreak/>
        <w:t xml:space="preserve">The Health Foundation (2023) </w:t>
      </w:r>
      <w:r w:rsidRPr="00012E12">
        <w:rPr>
          <w:i/>
          <w:iCs/>
          <w:lang w:val="en-GB"/>
        </w:rPr>
        <w:t>Quality Improvement Made Simple</w:t>
      </w:r>
      <w:r w:rsidRPr="00012E12">
        <w:rPr>
          <w:lang w:val="en-GB"/>
        </w:rPr>
        <w:t>. Available at:</w:t>
      </w:r>
      <w:hyperlink r:id="rId63"/>
      <w:hyperlink r:id="rId64">
        <w:r w:rsidRPr="00012E12">
          <w:rPr>
            <w:color w:val="1155CC"/>
            <w:u w:val="single"/>
            <w:lang w:val="en-GB"/>
          </w:rPr>
          <w:t>https://www.health.org.uk</w:t>
        </w:r>
      </w:hyperlink>
      <w:r w:rsidRPr="00012E12">
        <w:rPr>
          <w:lang w:val="en-GB"/>
        </w:rPr>
        <w:t xml:space="preserve"> (Accessed: 3 August 2026).</w:t>
      </w:r>
    </w:p>
    <w:p w14:paraId="4A6DC892" w14:textId="77777777" w:rsidR="005A0461" w:rsidRPr="00012E12" w:rsidRDefault="005A0461" w:rsidP="0032563F">
      <w:pPr>
        <w:rPr>
          <w:lang w:val="en-GB"/>
        </w:rPr>
      </w:pPr>
      <w:r w:rsidRPr="00012E12">
        <w:rPr>
          <w:lang w:val="en-GB"/>
        </w:rPr>
        <w:t xml:space="preserve">Timesofindia (2026) </w:t>
      </w:r>
      <w:r w:rsidRPr="00012E12">
        <w:rPr>
          <w:i/>
          <w:iCs/>
          <w:lang w:val="en-GB"/>
        </w:rPr>
        <w:t>At nearly 50%, no. of deaths without medical care up sharply since 2020.</w:t>
      </w:r>
      <w:r w:rsidRPr="00012E12">
        <w:rPr>
          <w:lang w:val="en-GB"/>
        </w:rPr>
        <w:t xml:space="preserve"> Available at: </w:t>
      </w:r>
      <w:hyperlink r:id="rId65">
        <w:r w:rsidRPr="00012E12">
          <w:rPr>
            <w:color w:val="1155CC"/>
            <w:u w:val="single"/>
            <w:lang w:val="en-GB"/>
          </w:rPr>
          <w:t>https://timesofindia.indiatimes.com/india/at-nearly-50-no-of-deaths-without-medical-care-up-sharply-since-2020/articleshow/131559001.cms</w:t>
        </w:r>
      </w:hyperlink>
      <w:r w:rsidRPr="00012E12">
        <w:rPr>
          <w:lang w:val="en-GB"/>
        </w:rPr>
        <w:t xml:space="preserve"> (Accessed: 3 August 2026)</w:t>
      </w:r>
    </w:p>
    <w:p w14:paraId="70B45AA2" w14:textId="77777777" w:rsidR="005A0461" w:rsidRPr="00012E12" w:rsidRDefault="005A0461" w:rsidP="0032563F">
      <w:pPr>
        <w:rPr>
          <w:lang w:val="en-GB"/>
        </w:rPr>
      </w:pPr>
      <w:r w:rsidRPr="00012E12">
        <w:rPr>
          <w:color w:val="222222"/>
          <w:lang w:val="en-GB"/>
        </w:rPr>
        <w:t xml:space="preserve">Tsapnidou, E., Kelesi, M., Rovithis, M., Katharakis, G., Gerogianni, G., Dafogianni, C., Toylia, G., Fasoi, G. and Stavropoulou, A., (2024). ‘Transformational leadership—quality achievements and benefits for the healthcare organizations: a scoping review.’ </w:t>
      </w:r>
      <w:r w:rsidRPr="00012E12">
        <w:rPr>
          <w:i/>
          <w:iCs/>
          <w:color w:val="222222"/>
          <w:lang w:val="en-GB"/>
        </w:rPr>
        <w:t>Hospitals</w:t>
      </w:r>
      <w:r w:rsidRPr="00012E12">
        <w:rPr>
          <w:color w:val="222222"/>
          <w:lang w:val="en-GB"/>
        </w:rPr>
        <w:t xml:space="preserve">, </w:t>
      </w:r>
      <w:r w:rsidRPr="00012E12">
        <w:rPr>
          <w:i/>
          <w:iCs/>
          <w:color w:val="222222"/>
          <w:lang w:val="en-GB"/>
        </w:rPr>
        <w:t>1</w:t>
      </w:r>
      <w:r w:rsidRPr="00012E12">
        <w:rPr>
          <w:color w:val="222222"/>
          <w:lang w:val="en-GB"/>
        </w:rPr>
        <w:t>(1), pp.87-103.</w:t>
      </w:r>
      <w:r w:rsidRPr="00012E12">
        <w:rPr>
          <w:lang w:val="en-GB"/>
        </w:rPr>
        <w:t xml:space="preserve">  Available at: </w:t>
      </w:r>
      <w:hyperlink r:id="rId66">
        <w:r w:rsidRPr="00012E12">
          <w:rPr>
            <w:color w:val="1155CC"/>
            <w:u w:val="single"/>
            <w:lang w:val="en-GB"/>
          </w:rPr>
          <w:t>https://doi.org/10.3390/hospitals1010008</w:t>
        </w:r>
      </w:hyperlink>
    </w:p>
    <w:p w14:paraId="5205F1A3" w14:textId="77777777" w:rsidR="005A0461" w:rsidRPr="00012E12" w:rsidRDefault="005A0461" w:rsidP="007B124E">
      <w:pPr>
        <w:rPr>
          <w:lang w:val="en-GB"/>
        </w:rPr>
      </w:pPr>
      <w:r w:rsidRPr="00012E12">
        <w:rPr>
          <w:lang w:val="en-GB"/>
        </w:rPr>
        <w:t xml:space="preserve">Vacas, S., Canales, C., Deiner, S.G. and Cole, D.J., (2022). ‘Perioperative brain health in the older adult: a patient safety imperative’. </w:t>
      </w:r>
      <w:r w:rsidRPr="00012E12">
        <w:rPr>
          <w:i/>
          <w:iCs/>
          <w:lang w:val="en-GB"/>
        </w:rPr>
        <w:t>Anesthesia and analgesia, 135</w:t>
      </w:r>
      <w:r w:rsidRPr="00012E12">
        <w:rPr>
          <w:lang w:val="en-GB"/>
        </w:rPr>
        <w:t xml:space="preserve">(2), p.316. Available at: </w:t>
      </w:r>
      <w:hyperlink r:id="rId67" w:history="1">
        <w:r w:rsidRPr="00012E12">
          <w:rPr>
            <w:rStyle w:val="Hyperlink"/>
            <w:lang w:val="en-GB"/>
          </w:rPr>
          <w:t>https://doi.org/10.1213/ANE.0000000000006090</w:t>
        </w:r>
      </w:hyperlink>
      <w:r w:rsidRPr="00012E12">
        <w:rPr>
          <w:lang w:val="en-GB"/>
        </w:rPr>
        <w:t> </w:t>
      </w:r>
    </w:p>
    <w:p w14:paraId="4913CC90" w14:textId="77777777" w:rsidR="005A0461" w:rsidRPr="00012E12" w:rsidRDefault="005A0461" w:rsidP="007B124E">
      <w:pPr>
        <w:rPr>
          <w:lang w:val="en-GB"/>
        </w:rPr>
      </w:pPr>
      <w:r w:rsidRPr="00012E12">
        <w:rPr>
          <w:lang w:val="en-GB"/>
        </w:rPr>
        <w:t xml:space="preserve">Wallace, J., Pierce, R., Staff, T.J. and Allyn, R., (2025). ‘Voices of frontline leaders: challenges and opportunities from frontline primary care clinic leaders in a safety-net health care system’. </w:t>
      </w:r>
      <w:r w:rsidRPr="00012E12">
        <w:rPr>
          <w:i/>
          <w:iCs/>
          <w:lang w:val="en-GB"/>
        </w:rPr>
        <w:t>The Joint Commission Journal on Quality and Patient Safety, 51</w:t>
      </w:r>
      <w:r w:rsidRPr="00012E12">
        <w:rPr>
          <w:lang w:val="en-GB"/>
        </w:rPr>
        <w:t xml:space="preserve">(4), pp.261-269. Available at: </w:t>
      </w:r>
      <w:hyperlink r:id="rId68" w:history="1">
        <w:r w:rsidRPr="00012E12">
          <w:rPr>
            <w:rStyle w:val="Hyperlink"/>
            <w:lang w:val="en-GB"/>
          </w:rPr>
          <w:t>https://doi.org/10.1016/j.jcjq.2024.11.012</w:t>
        </w:r>
      </w:hyperlink>
      <w:r w:rsidRPr="00012E12">
        <w:rPr>
          <w:lang w:val="en-GB"/>
        </w:rPr>
        <w:t> </w:t>
      </w:r>
    </w:p>
    <w:p w14:paraId="179B7BB1" w14:textId="77777777" w:rsidR="005A0461" w:rsidRPr="00012E12" w:rsidRDefault="005A0461" w:rsidP="00280FF6">
      <w:pPr>
        <w:spacing w:before="240" w:after="240"/>
        <w:rPr>
          <w:lang w:val="en-GB"/>
        </w:rPr>
      </w:pPr>
      <w:r w:rsidRPr="00012E12">
        <w:rPr>
          <w:lang w:val="en-GB"/>
        </w:rPr>
        <w:t xml:space="preserve">WHO (2022) </w:t>
      </w:r>
      <w:r w:rsidRPr="00012E12">
        <w:rPr>
          <w:i/>
          <w:iCs/>
          <w:lang w:val="en-GB"/>
        </w:rPr>
        <w:t>Health and Care Workforce in the Context of COVID-19</w:t>
      </w:r>
      <w:r w:rsidRPr="00012E12">
        <w:rPr>
          <w:lang w:val="en-GB"/>
        </w:rPr>
        <w:t>. Available at:</w:t>
      </w:r>
      <w:hyperlink r:id="rId69"/>
      <w:hyperlink r:id="rId70">
        <w:r w:rsidRPr="00012E12">
          <w:rPr>
            <w:color w:val="1155CC"/>
            <w:u w:val="single"/>
            <w:lang w:val="en-GB"/>
          </w:rPr>
          <w:t>https://www.who.int/teams/health-workforce</w:t>
        </w:r>
      </w:hyperlink>
      <w:r w:rsidRPr="00012E12">
        <w:rPr>
          <w:lang w:val="en-GB"/>
        </w:rPr>
        <w:t xml:space="preserve"> (Accessed: 3 August 2026).</w:t>
      </w:r>
    </w:p>
    <w:p w14:paraId="42E504CD" w14:textId="77777777" w:rsidR="005A0461" w:rsidRPr="00012E12" w:rsidRDefault="005A0461" w:rsidP="00280FF6">
      <w:pPr>
        <w:spacing w:before="240" w:after="240"/>
        <w:rPr>
          <w:lang w:val="en-GB"/>
        </w:rPr>
      </w:pPr>
      <w:r w:rsidRPr="00012E12">
        <w:rPr>
          <w:lang w:val="en-GB"/>
        </w:rPr>
        <w:t xml:space="preserve">WHO (2023) </w:t>
      </w:r>
      <w:r w:rsidRPr="00012E12">
        <w:rPr>
          <w:i/>
          <w:iCs/>
          <w:lang w:val="en-GB"/>
        </w:rPr>
        <w:t>Patient Safety Rights Charter</w:t>
      </w:r>
      <w:r w:rsidRPr="00012E12">
        <w:rPr>
          <w:lang w:val="en-GB"/>
        </w:rPr>
        <w:t>. Available at:</w:t>
      </w:r>
      <w:hyperlink r:id="rId71"/>
      <w:hyperlink r:id="rId72">
        <w:r w:rsidRPr="00012E12">
          <w:rPr>
            <w:color w:val="1155CC"/>
            <w:u w:val="single"/>
            <w:lang w:val="en-GB"/>
          </w:rPr>
          <w:t>https://www.who.int/teams/integrated-health-services/patient-safety</w:t>
        </w:r>
      </w:hyperlink>
      <w:r w:rsidRPr="00012E12">
        <w:rPr>
          <w:lang w:val="en-GB"/>
        </w:rPr>
        <w:t xml:space="preserve"> (Accessed: 3 August 2026).</w:t>
      </w:r>
    </w:p>
    <w:p w14:paraId="66F5FB98" w14:textId="77777777" w:rsidR="005A0461" w:rsidRPr="00012E12" w:rsidRDefault="005A0461" w:rsidP="00280FF6">
      <w:pPr>
        <w:spacing w:before="240" w:after="240"/>
        <w:rPr>
          <w:lang w:val="en-GB"/>
        </w:rPr>
      </w:pPr>
      <w:r w:rsidRPr="00012E12">
        <w:rPr>
          <w:lang w:val="en-GB"/>
        </w:rPr>
        <w:t xml:space="preserve">WHO (2024) </w:t>
      </w:r>
      <w:r w:rsidRPr="00012E12">
        <w:rPr>
          <w:i/>
          <w:iCs/>
          <w:lang w:val="en-GB"/>
        </w:rPr>
        <w:t>Global Patient Safety Report</w:t>
      </w:r>
      <w:r w:rsidRPr="00012E12">
        <w:rPr>
          <w:lang w:val="en-GB"/>
        </w:rPr>
        <w:t>. Available at:</w:t>
      </w:r>
      <w:hyperlink r:id="rId73"/>
      <w:hyperlink r:id="rId74">
        <w:r w:rsidRPr="00012E12">
          <w:rPr>
            <w:color w:val="1155CC"/>
            <w:u w:val="single"/>
            <w:lang w:val="en-GB"/>
          </w:rPr>
          <w:t>https://www.who.int/publications/i/item/9789240095458</w:t>
        </w:r>
      </w:hyperlink>
      <w:r w:rsidRPr="00012E12">
        <w:rPr>
          <w:lang w:val="en-GB"/>
        </w:rPr>
        <w:t xml:space="preserve">  (Accessed: 3 August 2026).</w:t>
      </w:r>
    </w:p>
    <w:p w14:paraId="05C1EF3B" w14:textId="77777777" w:rsidR="005A0461" w:rsidRPr="00012E12" w:rsidRDefault="005A0461" w:rsidP="00280FF6">
      <w:pPr>
        <w:spacing w:before="240" w:after="240"/>
        <w:rPr>
          <w:lang w:val="en-GB"/>
        </w:rPr>
      </w:pPr>
      <w:r w:rsidRPr="00012E12">
        <w:rPr>
          <w:lang w:val="en-GB"/>
        </w:rPr>
        <w:t xml:space="preserve">WHO (2024) </w:t>
      </w:r>
      <w:r w:rsidRPr="00012E12">
        <w:rPr>
          <w:i/>
          <w:iCs/>
          <w:lang w:val="en-GB"/>
        </w:rPr>
        <w:t>Patient Safety</w:t>
      </w:r>
      <w:r w:rsidRPr="00012E12">
        <w:rPr>
          <w:lang w:val="en-GB"/>
        </w:rPr>
        <w:t>. Available at:</w:t>
      </w:r>
      <w:hyperlink r:id="rId75"/>
      <w:hyperlink r:id="rId76">
        <w:r w:rsidRPr="00012E12">
          <w:rPr>
            <w:color w:val="1155CC"/>
            <w:u w:val="single"/>
            <w:lang w:val="en-GB"/>
          </w:rPr>
          <w:t>https://www.who.int/news-room/fact-sheets/detail/patient-safety</w:t>
        </w:r>
      </w:hyperlink>
      <w:r w:rsidRPr="00012E12">
        <w:rPr>
          <w:lang w:val="en-GB"/>
        </w:rPr>
        <w:t xml:space="preserve"> (Accessed: 3 August 2026).</w:t>
      </w:r>
    </w:p>
    <w:p w14:paraId="7C036B51" w14:textId="77777777" w:rsidR="005A0461" w:rsidRPr="00012E12" w:rsidRDefault="005A0461" w:rsidP="00280FF6">
      <w:pPr>
        <w:spacing w:before="240" w:after="240"/>
        <w:rPr>
          <w:lang w:val="en-GB"/>
        </w:rPr>
      </w:pPr>
      <w:r w:rsidRPr="00012E12">
        <w:rPr>
          <w:lang w:val="en-GB"/>
        </w:rPr>
        <w:t xml:space="preserve">WHO (2024) </w:t>
      </w:r>
      <w:r w:rsidRPr="00012E12">
        <w:rPr>
          <w:i/>
          <w:iCs/>
          <w:lang w:val="en-GB"/>
        </w:rPr>
        <w:t>Safe Surgery Saves Lives</w:t>
      </w:r>
      <w:r w:rsidRPr="00012E12">
        <w:rPr>
          <w:lang w:val="en-GB"/>
        </w:rPr>
        <w:t>. Available at:</w:t>
      </w:r>
      <w:hyperlink r:id="rId77"/>
      <w:hyperlink r:id="rId78">
        <w:r w:rsidRPr="00012E12">
          <w:rPr>
            <w:color w:val="1155CC"/>
            <w:u w:val="single"/>
            <w:lang w:val="en-GB"/>
          </w:rPr>
          <w:t>https://www.who.int/teams/integrated-health-services/patient-safety/safe-surgery</w:t>
        </w:r>
      </w:hyperlink>
      <w:r w:rsidRPr="00012E12">
        <w:rPr>
          <w:lang w:val="en-GB"/>
        </w:rPr>
        <w:t xml:space="preserve"> (Accessed: 3 August 2026).</w:t>
      </w:r>
    </w:p>
    <w:p w14:paraId="2A390E2B" w14:textId="77777777" w:rsidR="005A0461" w:rsidRPr="00012E12" w:rsidRDefault="005A0461" w:rsidP="007B124E">
      <w:pPr>
        <w:rPr>
          <w:lang w:val="en-GB"/>
        </w:rPr>
      </w:pPr>
      <w:r w:rsidRPr="00012E12">
        <w:rPr>
          <w:lang w:val="en-GB"/>
        </w:rPr>
        <w:t xml:space="preserve">Who (2026) </w:t>
      </w:r>
      <w:r w:rsidRPr="00012E12">
        <w:rPr>
          <w:i/>
          <w:iCs/>
          <w:lang w:val="en-GB"/>
        </w:rPr>
        <w:t>Patient safety assessment manual.</w:t>
      </w:r>
      <w:r w:rsidRPr="00012E12">
        <w:rPr>
          <w:lang w:val="en-GB"/>
        </w:rPr>
        <w:t xml:space="preserve"> Available at: </w:t>
      </w:r>
      <w:hyperlink r:id="rId79" w:history="1">
        <w:r w:rsidRPr="00012E12">
          <w:rPr>
            <w:rStyle w:val="Hyperlink"/>
            <w:lang w:val="en-GB"/>
          </w:rPr>
          <w:t>https://applications.emro.who.int/docs/9789290223221-eng.pdf</w:t>
        </w:r>
      </w:hyperlink>
      <w:r w:rsidRPr="00012E12">
        <w:rPr>
          <w:lang w:val="en-GB"/>
        </w:rPr>
        <w:t xml:space="preserve"> (Accessed: 3 August 2026)</w:t>
      </w:r>
    </w:p>
    <w:p w14:paraId="69E15851" w14:textId="77777777" w:rsidR="005A0461" w:rsidRPr="00012E12" w:rsidRDefault="005A0461" w:rsidP="0032563F">
      <w:pPr>
        <w:rPr>
          <w:lang w:val="en-GB"/>
        </w:rPr>
      </w:pPr>
      <w:r w:rsidRPr="00012E12">
        <w:rPr>
          <w:lang w:val="en-GB"/>
        </w:rPr>
        <w:lastRenderedPageBreak/>
        <w:t xml:space="preserve">WHO (2026) </w:t>
      </w:r>
      <w:r w:rsidRPr="00012E12">
        <w:rPr>
          <w:i/>
          <w:iCs/>
          <w:lang w:val="en-GB"/>
        </w:rPr>
        <w:t>WHO Surgical Safety Checklist.</w:t>
      </w:r>
      <w:r w:rsidRPr="00012E12">
        <w:rPr>
          <w:lang w:val="en-GB"/>
        </w:rPr>
        <w:t xml:space="preserve"> Available at: </w:t>
      </w:r>
      <w:hyperlink r:id="rId80">
        <w:r w:rsidRPr="00012E12">
          <w:rPr>
            <w:color w:val="1155CC"/>
            <w:u w:val="single"/>
            <w:lang w:val="en-GB"/>
          </w:rPr>
          <w:t>https://www.who.int/teams/integrated-health-services/patient-safety/research/safe-surgery/tool-and-resources</w:t>
        </w:r>
      </w:hyperlink>
      <w:r w:rsidRPr="00012E12">
        <w:rPr>
          <w:lang w:val="en-GB"/>
        </w:rPr>
        <w:t xml:space="preserve"> (Accessed: 3 August 2026)</w:t>
      </w:r>
    </w:p>
    <w:p w14:paraId="05060D52" w14:textId="77777777" w:rsidR="005A0461" w:rsidRPr="00012E12" w:rsidRDefault="005A0461" w:rsidP="00280FF6">
      <w:pPr>
        <w:spacing w:after="160"/>
        <w:rPr>
          <w:lang w:val="en-GB"/>
        </w:rPr>
      </w:pPr>
      <w:r w:rsidRPr="00012E12">
        <w:rPr>
          <w:lang w:val="en-GB"/>
        </w:rPr>
        <w:t xml:space="preserve">WHO (2026) </w:t>
      </w:r>
      <w:r w:rsidRPr="00012E12">
        <w:rPr>
          <w:i/>
          <w:iCs/>
          <w:lang w:val="en-GB"/>
        </w:rPr>
        <w:t>World health statistics 2026.</w:t>
      </w:r>
      <w:r w:rsidRPr="00012E12">
        <w:rPr>
          <w:lang w:val="en-GB"/>
        </w:rPr>
        <w:t xml:space="preserve"> Available at:</w:t>
      </w:r>
      <w:hyperlink r:id="rId81"/>
      <w:hyperlink r:id="rId82">
        <w:r w:rsidRPr="00012E12">
          <w:rPr>
            <w:color w:val="1155CC"/>
            <w:u w:val="single"/>
            <w:lang w:val="en-GB"/>
          </w:rPr>
          <w:t>https://iris.who.int/server/api/core/bitstreams/45189137-2f10-48e1-ae43-91b0d8ddd120/content</w:t>
        </w:r>
      </w:hyperlink>
      <w:r w:rsidRPr="00012E12">
        <w:rPr>
          <w:lang w:val="en-GB"/>
        </w:rPr>
        <w:t xml:space="preserve"> (Accessed: 3 August 2026).</w:t>
      </w:r>
    </w:p>
    <w:p w14:paraId="5439B9DC" w14:textId="77777777" w:rsidR="005A0461" w:rsidRPr="00012E12" w:rsidRDefault="005A0461" w:rsidP="00280FF6">
      <w:pPr>
        <w:spacing w:before="240" w:after="240"/>
        <w:rPr>
          <w:lang w:val="en-GB"/>
        </w:rPr>
      </w:pPr>
      <w:r w:rsidRPr="00012E12">
        <w:rPr>
          <w:lang w:val="en-GB"/>
        </w:rPr>
        <w:t xml:space="preserve">World Bank (2024) </w:t>
      </w:r>
      <w:r w:rsidRPr="00012E12">
        <w:rPr>
          <w:i/>
          <w:iCs/>
          <w:lang w:val="en-GB"/>
        </w:rPr>
        <w:t>Improving Health System Efficiency</w:t>
      </w:r>
      <w:r w:rsidRPr="00012E12">
        <w:rPr>
          <w:lang w:val="en-GB"/>
        </w:rPr>
        <w:t>. Available at:</w:t>
      </w:r>
      <w:hyperlink r:id="rId83"/>
      <w:hyperlink r:id="rId84">
        <w:r w:rsidRPr="00012E12">
          <w:rPr>
            <w:color w:val="1155CC"/>
            <w:u w:val="single"/>
            <w:lang w:val="en-GB"/>
          </w:rPr>
          <w:t>https://www.worldbank.org/en/topic/health</w:t>
        </w:r>
      </w:hyperlink>
      <w:r w:rsidRPr="00012E12">
        <w:rPr>
          <w:lang w:val="en-GB"/>
        </w:rPr>
        <w:t xml:space="preserve"> (Accessed: 3 August 2026).</w:t>
      </w:r>
    </w:p>
    <w:sectPr w:rsidR="005A0461" w:rsidRPr="00012E12" w:rsidSect="00E12FB4">
      <w:headerReference w:type="default" r:id="rId85"/>
      <w:footerReference w:type="default" r:id="rId86"/>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161A1" w14:textId="77777777" w:rsidR="00BF032D" w:rsidRDefault="00BF032D" w:rsidP="00E12FB4">
      <w:pPr>
        <w:spacing w:before="0" w:after="0" w:line="240" w:lineRule="auto"/>
      </w:pPr>
      <w:r>
        <w:separator/>
      </w:r>
    </w:p>
  </w:endnote>
  <w:endnote w:type="continuationSeparator" w:id="0">
    <w:p w14:paraId="04952E5F" w14:textId="77777777" w:rsidR="00BF032D" w:rsidRDefault="00BF032D" w:rsidP="00E12FB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6E3F70E7-43DE-4779-9B14-82F93C073ECE}"/>
  </w:font>
  <w:font w:name="Tahoma">
    <w:panose1 w:val="020B0604030504040204"/>
    <w:charset w:val="00"/>
    <w:family w:val="swiss"/>
    <w:pitch w:val="variable"/>
    <w:sig w:usb0="E1002EFF" w:usb1="C000605B" w:usb2="00000029" w:usb3="00000000" w:csb0="000101FF" w:csb1="00000000"/>
    <w:embedRegular r:id="rId2" w:fontKey="{53D98C6E-145F-4C80-9DC4-D66414560251}"/>
  </w:font>
  <w:font w:name="Cambria">
    <w:panose1 w:val="02040503050406030204"/>
    <w:charset w:val="00"/>
    <w:family w:val="roman"/>
    <w:pitch w:val="variable"/>
    <w:sig w:usb0="E00006FF" w:usb1="420024FF" w:usb2="02000000" w:usb3="00000000" w:csb0="0000019F" w:csb1="00000000"/>
    <w:embedRegular r:id="rId3" w:fontKey="{D55DE7F6-70EF-451A-9AAE-58A7B893907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0138722"/>
      <w:docPartObj>
        <w:docPartGallery w:val="Page Numbers (Bottom of Page)"/>
        <w:docPartUnique/>
      </w:docPartObj>
    </w:sdtPr>
    <w:sdtEndPr>
      <w:rPr>
        <w:noProof/>
      </w:rPr>
    </w:sdtEndPr>
    <w:sdtContent>
      <w:p w14:paraId="621B3E8E" w14:textId="77777777" w:rsidR="00E12FB4" w:rsidRDefault="005E2EB6">
        <w:pPr>
          <w:pStyle w:val="Footer"/>
          <w:jc w:val="right"/>
        </w:pPr>
        <w:r>
          <w:fldChar w:fldCharType="begin"/>
        </w:r>
        <w:r w:rsidR="00E12FB4">
          <w:instrText xml:space="preserve"> PAGE   \* MERGEFORMAT </w:instrText>
        </w:r>
        <w:r>
          <w:fldChar w:fldCharType="separate"/>
        </w:r>
        <w:r w:rsidR="00C84957">
          <w:rPr>
            <w:noProof/>
          </w:rPr>
          <w:t>4</w:t>
        </w:r>
        <w:r>
          <w:rPr>
            <w:noProof/>
          </w:rPr>
          <w:fldChar w:fldCharType="end"/>
        </w:r>
      </w:p>
    </w:sdtContent>
  </w:sdt>
  <w:p w14:paraId="4A3BC4F2" w14:textId="77777777" w:rsidR="00E12FB4" w:rsidRDefault="00E12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114BE6" w14:textId="77777777" w:rsidR="00BF032D" w:rsidRDefault="00BF032D" w:rsidP="00E12FB4">
      <w:pPr>
        <w:spacing w:before="0" w:after="0" w:line="240" w:lineRule="auto"/>
      </w:pPr>
      <w:r>
        <w:separator/>
      </w:r>
    </w:p>
  </w:footnote>
  <w:footnote w:type="continuationSeparator" w:id="0">
    <w:p w14:paraId="5F3F192B" w14:textId="77777777" w:rsidR="00BF032D" w:rsidRDefault="00BF032D" w:rsidP="00E12FB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13624" w14:textId="77777777" w:rsidR="00E12FB4" w:rsidRDefault="00E12FB4">
    <w:pPr>
      <w:pStyle w:val="Header"/>
    </w:pPr>
    <w:r w:rsidRPr="00A406E5">
      <w:rPr>
        <w:noProof/>
        <w:lang w:val="en-US" w:eastAsia="en-US"/>
      </w:rPr>
      <w:drawing>
        <wp:anchor distT="0" distB="0" distL="114300" distR="114300" simplePos="0" relativeHeight="251659264" behindDoc="0" locked="0" layoutInCell="1" allowOverlap="1" wp14:anchorId="126F18B2" wp14:editId="4B133104">
          <wp:simplePos x="0" y="0"/>
          <wp:positionH relativeFrom="margin">
            <wp:posOffset>5242560</wp:posOffset>
          </wp:positionH>
          <wp:positionV relativeFrom="paragraph">
            <wp:posOffset>-274320</wp:posOffset>
          </wp:positionV>
          <wp:extent cx="1143000" cy="487680"/>
          <wp:effectExtent l="0" t="0" r="0" b="7620"/>
          <wp:wrapSquare wrapText="bothSides"/>
          <wp:docPr id="817004520" name="Picture 81700452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143000" cy="4876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6F2960"/>
    <w:multiLevelType w:val="hybridMultilevel"/>
    <w:tmpl w:val="019E4D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5B15BB2"/>
    <w:multiLevelType w:val="multilevel"/>
    <w:tmpl w:val="ED2A0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5DCB"/>
    <w:rsid w:val="00012E12"/>
    <w:rsid w:val="0004263E"/>
    <w:rsid w:val="000E1B7D"/>
    <w:rsid w:val="00280FF6"/>
    <w:rsid w:val="00295C8B"/>
    <w:rsid w:val="002D7FBA"/>
    <w:rsid w:val="0032563F"/>
    <w:rsid w:val="00380225"/>
    <w:rsid w:val="00455DCB"/>
    <w:rsid w:val="004572F9"/>
    <w:rsid w:val="00483E9B"/>
    <w:rsid w:val="005A0461"/>
    <w:rsid w:val="005E2CA9"/>
    <w:rsid w:val="005E2EB6"/>
    <w:rsid w:val="0061010F"/>
    <w:rsid w:val="00620C37"/>
    <w:rsid w:val="00673651"/>
    <w:rsid w:val="007B124E"/>
    <w:rsid w:val="007C7AA9"/>
    <w:rsid w:val="008241B4"/>
    <w:rsid w:val="00854C1E"/>
    <w:rsid w:val="00857FAB"/>
    <w:rsid w:val="00862047"/>
    <w:rsid w:val="00891CA0"/>
    <w:rsid w:val="009369C0"/>
    <w:rsid w:val="00993109"/>
    <w:rsid w:val="009E5630"/>
    <w:rsid w:val="00A52AE8"/>
    <w:rsid w:val="00AA3529"/>
    <w:rsid w:val="00AE2EFD"/>
    <w:rsid w:val="00B07D2B"/>
    <w:rsid w:val="00B63BBA"/>
    <w:rsid w:val="00BF032D"/>
    <w:rsid w:val="00C12857"/>
    <w:rsid w:val="00C23077"/>
    <w:rsid w:val="00C65E4C"/>
    <w:rsid w:val="00C84957"/>
    <w:rsid w:val="00D87B47"/>
    <w:rsid w:val="00E12FB4"/>
    <w:rsid w:val="00F43537"/>
    <w:rsid w:val="00F66A74"/>
    <w:rsid w:val="00F9306F"/>
    <w:rsid w:val="00FC4B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D26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EB6"/>
  </w:style>
  <w:style w:type="paragraph" w:styleId="Heading1">
    <w:name w:val="heading 1"/>
    <w:basedOn w:val="Normal"/>
    <w:next w:val="Normal"/>
    <w:uiPriority w:val="9"/>
    <w:qFormat/>
    <w:rsid w:val="005E2EB6"/>
    <w:pPr>
      <w:keepNext/>
      <w:keepLines/>
      <w:outlineLvl w:val="0"/>
    </w:pPr>
    <w:rPr>
      <w:b/>
      <w:bCs/>
    </w:rPr>
  </w:style>
  <w:style w:type="paragraph" w:styleId="Heading2">
    <w:name w:val="heading 2"/>
    <w:basedOn w:val="Normal"/>
    <w:next w:val="Normal"/>
    <w:uiPriority w:val="9"/>
    <w:unhideWhenUsed/>
    <w:qFormat/>
    <w:rsid w:val="00280FF6"/>
    <w:pPr>
      <w:keepNext/>
      <w:keepLines/>
      <w:outlineLvl w:val="1"/>
    </w:pPr>
    <w:rPr>
      <w:b/>
      <w:bCs/>
      <w:i/>
      <w:iCs/>
    </w:rPr>
  </w:style>
  <w:style w:type="paragraph" w:styleId="Heading3">
    <w:name w:val="heading 3"/>
    <w:basedOn w:val="Normal"/>
    <w:next w:val="Normal"/>
    <w:uiPriority w:val="9"/>
    <w:unhideWhenUsed/>
    <w:qFormat/>
    <w:rsid w:val="00280FF6"/>
    <w:pPr>
      <w:keepNext/>
      <w:keepLines/>
      <w:spacing w:before="320" w:after="80"/>
      <w:outlineLvl w:val="2"/>
    </w:pPr>
    <w:rPr>
      <w:b/>
      <w:i/>
      <w:color w:val="000000" w:themeColor="text1"/>
      <w:szCs w:val="28"/>
      <w:u w:val="single"/>
    </w:rPr>
  </w:style>
  <w:style w:type="paragraph" w:styleId="Heading4">
    <w:name w:val="heading 4"/>
    <w:basedOn w:val="Normal"/>
    <w:next w:val="Normal"/>
    <w:uiPriority w:val="9"/>
    <w:semiHidden/>
    <w:unhideWhenUsed/>
    <w:qFormat/>
    <w:rsid w:val="005E2EB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E2EB6"/>
    <w:pPr>
      <w:keepNext/>
      <w:keepLines/>
      <w:spacing w:before="240" w:after="80"/>
      <w:outlineLvl w:val="4"/>
    </w:pPr>
    <w:rPr>
      <w:color w:val="666666"/>
    </w:rPr>
  </w:style>
  <w:style w:type="paragraph" w:styleId="Heading6">
    <w:name w:val="heading 6"/>
    <w:basedOn w:val="Normal"/>
    <w:next w:val="Normal"/>
    <w:uiPriority w:val="9"/>
    <w:semiHidden/>
    <w:unhideWhenUsed/>
    <w:qFormat/>
    <w:rsid w:val="005E2EB6"/>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E2EB6"/>
    <w:tblPr>
      <w:tblCellMar>
        <w:top w:w="100" w:type="dxa"/>
        <w:left w:w="100" w:type="dxa"/>
        <w:bottom w:w="100" w:type="dxa"/>
        <w:right w:w="100" w:type="dxa"/>
      </w:tblCellMar>
    </w:tblPr>
  </w:style>
  <w:style w:type="paragraph" w:styleId="Title">
    <w:name w:val="Title"/>
    <w:basedOn w:val="Normal"/>
    <w:next w:val="Normal"/>
    <w:uiPriority w:val="10"/>
    <w:qFormat/>
    <w:rsid w:val="005E2EB6"/>
    <w:pPr>
      <w:keepNext/>
      <w:keepLines/>
      <w:spacing w:before="0" w:after="60"/>
    </w:pPr>
    <w:rPr>
      <w:sz w:val="52"/>
      <w:szCs w:val="52"/>
    </w:rPr>
  </w:style>
  <w:style w:type="paragraph" w:styleId="Subtitle">
    <w:name w:val="Subtitle"/>
    <w:basedOn w:val="Normal"/>
    <w:next w:val="Normal"/>
    <w:uiPriority w:val="11"/>
    <w:qFormat/>
    <w:rsid w:val="005E2EB6"/>
    <w:pPr>
      <w:keepNext/>
      <w:keepLines/>
      <w:spacing w:before="0" w:after="320"/>
    </w:pPr>
    <w:rPr>
      <w:color w:val="666666"/>
      <w:sz w:val="30"/>
      <w:szCs w:val="30"/>
    </w:rPr>
  </w:style>
  <w:style w:type="paragraph" w:styleId="Header">
    <w:name w:val="header"/>
    <w:basedOn w:val="Normal"/>
    <w:link w:val="HeaderChar"/>
    <w:uiPriority w:val="99"/>
    <w:unhideWhenUsed/>
    <w:rsid w:val="00E12FB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12FB4"/>
  </w:style>
  <w:style w:type="paragraph" w:styleId="Footer">
    <w:name w:val="footer"/>
    <w:basedOn w:val="Normal"/>
    <w:link w:val="FooterChar"/>
    <w:uiPriority w:val="99"/>
    <w:unhideWhenUsed/>
    <w:rsid w:val="00E12FB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12FB4"/>
  </w:style>
  <w:style w:type="paragraph" w:styleId="TOCHeading">
    <w:name w:val="TOC Heading"/>
    <w:basedOn w:val="Heading1"/>
    <w:next w:val="Normal"/>
    <w:uiPriority w:val="39"/>
    <w:unhideWhenUsed/>
    <w:qFormat/>
    <w:rsid w:val="00E12FB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12FB4"/>
    <w:pPr>
      <w:spacing w:after="100"/>
    </w:pPr>
  </w:style>
  <w:style w:type="paragraph" w:styleId="TOC2">
    <w:name w:val="toc 2"/>
    <w:basedOn w:val="Normal"/>
    <w:next w:val="Normal"/>
    <w:autoRedefine/>
    <w:uiPriority w:val="39"/>
    <w:unhideWhenUsed/>
    <w:rsid w:val="00E12FB4"/>
    <w:pPr>
      <w:spacing w:after="100"/>
      <w:ind w:left="220"/>
    </w:pPr>
  </w:style>
  <w:style w:type="character" w:styleId="Hyperlink">
    <w:name w:val="Hyperlink"/>
    <w:basedOn w:val="DefaultParagraphFont"/>
    <w:uiPriority w:val="99"/>
    <w:unhideWhenUsed/>
    <w:rsid w:val="00E12FB4"/>
    <w:rPr>
      <w:color w:val="0000FF" w:themeColor="hyperlink"/>
      <w:u w:val="single"/>
    </w:rPr>
  </w:style>
  <w:style w:type="paragraph" w:styleId="ListParagraph">
    <w:name w:val="List Paragraph"/>
    <w:basedOn w:val="Normal"/>
    <w:uiPriority w:val="34"/>
    <w:qFormat/>
    <w:rsid w:val="0032563F"/>
    <w:pPr>
      <w:ind w:left="720"/>
      <w:contextualSpacing/>
    </w:pPr>
  </w:style>
  <w:style w:type="character" w:customStyle="1" w:styleId="UnresolvedMention1">
    <w:name w:val="Unresolved Mention1"/>
    <w:basedOn w:val="DefaultParagraphFont"/>
    <w:uiPriority w:val="99"/>
    <w:semiHidden/>
    <w:unhideWhenUsed/>
    <w:rsid w:val="007B124E"/>
    <w:rPr>
      <w:color w:val="605E5C"/>
      <w:shd w:val="clear" w:color="auto" w:fill="E1DFDD"/>
    </w:rPr>
  </w:style>
  <w:style w:type="paragraph" w:styleId="TOC3">
    <w:name w:val="toc 3"/>
    <w:basedOn w:val="Normal"/>
    <w:next w:val="Normal"/>
    <w:autoRedefine/>
    <w:uiPriority w:val="39"/>
    <w:unhideWhenUsed/>
    <w:rsid w:val="00280FF6"/>
    <w:pPr>
      <w:spacing w:after="100"/>
      <w:ind w:left="440"/>
    </w:pPr>
  </w:style>
  <w:style w:type="paragraph" w:styleId="BalloonText">
    <w:name w:val="Balloon Text"/>
    <w:basedOn w:val="Normal"/>
    <w:link w:val="BalloonTextChar"/>
    <w:uiPriority w:val="99"/>
    <w:semiHidden/>
    <w:unhideWhenUsed/>
    <w:rsid w:val="00012E1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2E1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gadsbywicks.co.uk/insights/medical-negligence/nhs-medical-negligence-claims-statsistics?utm_source=copilot.com" TargetMode="External"/><Relationship Id="rId21" Type="http://schemas.openxmlformats.org/officeDocument/2006/relationships/hyperlink" Target="https://doi.org/10.1080/23311975.2021.2022824" TargetMode="External"/><Relationship Id="rId42" Type="http://schemas.openxmlformats.org/officeDocument/2006/relationships/hyperlink" Target="https://www.kingsfund.org.uk" TargetMode="External"/><Relationship Id="rId47" Type="http://schemas.openxmlformats.org/officeDocument/2006/relationships/hyperlink" Target="https://qps.nhsrcindia.org/nqas" TargetMode="External"/><Relationship Id="rId63" Type="http://schemas.openxmlformats.org/officeDocument/2006/relationships/hyperlink" Target="https://www.health.org.uk" TargetMode="External"/><Relationship Id="rId68" Type="http://schemas.openxmlformats.org/officeDocument/2006/relationships/hyperlink" Target="https://doi.org/10.1016/j.jcjq.2024.11.012" TargetMode="External"/><Relationship Id="rId84" Type="http://schemas.openxmlformats.org/officeDocument/2006/relationships/hyperlink" Target="https://www.worldbank.org/en/topic/health" TargetMode="External"/><Relationship Id="rId16" Type="http://schemas.openxmlformats.org/officeDocument/2006/relationships/hyperlink" Target="https://doi.org/10.25163/angiotherapy.859697" TargetMode="External"/><Relationship Id="rId11" Type="http://schemas.openxmlformats.org/officeDocument/2006/relationships/image" Target="media/image4.png"/><Relationship Id="rId32" Type="http://schemas.openxmlformats.org/officeDocument/2006/relationships/hyperlink" Target="http://dx.doi.org/10.1136/bmjqs-2022-015876" TargetMode="External"/><Relationship Id="rId37" Type="http://schemas.openxmlformats.org/officeDocument/2006/relationships/hyperlink" Target="https://www.pslhub.org/learn/organisations-linked-to-patient-safety-uk-and-beyond/international-patient-safety/joint-commission-2023-national-patient-safety-goals-r9276/" TargetMode="External"/><Relationship Id="rId53" Type="http://schemas.openxmlformats.org/officeDocument/2006/relationships/hyperlink" Target="https://www.nmc.org.in" TargetMode="External"/><Relationship Id="rId58" Type="http://schemas.openxmlformats.org/officeDocument/2006/relationships/hyperlink" Target="https://www.oecd.org/health/health-at-a-glance/" TargetMode="External"/><Relationship Id="rId74" Type="http://schemas.openxmlformats.org/officeDocument/2006/relationships/hyperlink" Target="https://www.who.int/publications/i/item/9789240095458" TargetMode="External"/><Relationship Id="rId79" Type="http://schemas.openxmlformats.org/officeDocument/2006/relationships/hyperlink" Target="https://applications.emro.who.int/docs/9789290223221-eng.pdf" TargetMode="External"/><Relationship Id="rId5" Type="http://schemas.openxmlformats.org/officeDocument/2006/relationships/webSettings" Target="webSettings.xml"/><Relationship Id="rId19" Type="http://schemas.openxmlformats.org/officeDocument/2006/relationships/hyperlink" Target="https://doi.org/10.2147/IJGM.S517843" TargetMode="External"/><Relationship Id="rId14" Type="http://schemas.openxmlformats.org/officeDocument/2006/relationships/hyperlink" Target="https://psnet.ahrq.gov" TargetMode="External"/><Relationship Id="rId22" Type="http://schemas.openxmlformats.org/officeDocument/2006/relationships/hyperlink" Target="https://chcm.com/transformational-leadership-in-healthcare/" TargetMode="External"/><Relationship Id="rId27" Type="http://schemas.openxmlformats.org/officeDocument/2006/relationships/hyperlink" Target="https://doi.org/10.2147/RMHP.S589078" TargetMode="External"/><Relationship Id="rId30" Type="http://schemas.openxmlformats.org/officeDocument/2006/relationships/hyperlink" Target="https://doi.org/10.1111/jan.17023" TargetMode="External"/><Relationship Id="rId35" Type="http://schemas.openxmlformats.org/officeDocument/2006/relationships/hyperlink" Target="https://ieea.ch/wp-content/uploads/2024/09/Guidelines-and-Standards-for-External-Evaluation-Organisations-5th-Edition-v1.1.pdf" TargetMode="External"/><Relationship Id="rId43" Type="http://schemas.openxmlformats.org/officeDocument/2006/relationships/hyperlink" Target="https://doi.org/10.4236/ojn.2025.157036" TargetMode="External"/><Relationship Id="rId48" Type="http://schemas.openxmlformats.org/officeDocument/2006/relationships/hyperlink" Target="https://doi.org/10.1186/s12912-025-04265-5" TargetMode="External"/><Relationship Id="rId56" Type="http://schemas.openxmlformats.org/officeDocument/2006/relationships/hyperlink" Target="https://www.nihr.ac.uk/news/digital-tech-gp-surgeries-can-cut-medical-errors-and-patient-harm" TargetMode="External"/><Relationship Id="rId64" Type="http://schemas.openxmlformats.org/officeDocument/2006/relationships/hyperlink" Target="https://www.health.org.uk" TargetMode="External"/><Relationship Id="rId69" Type="http://schemas.openxmlformats.org/officeDocument/2006/relationships/hyperlink" Target="https://www.who.int/teams/health-workforce" TargetMode="External"/><Relationship Id="rId77" Type="http://schemas.openxmlformats.org/officeDocument/2006/relationships/hyperlink" Target="https://www.who.int/teams/integrated-health-services/patient-safety/safe-surgery" TargetMode="External"/><Relationship Id="rId8" Type="http://schemas.openxmlformats.org/officeDocument/2006/relationships/image" Target="media/image1.png"/><Relationship Id="rId51" Type="http://schemas.openxmlformats.org/officeDocument/2006/relationships/hyperlink" Target="https://abdm.gov.in" TargetMode="External"/><Relationship Id="rId72" Type="http://schemas.openxmlformats.org/officeDocument/2006/relationships/hyperlink" Target="https://www.who.int/teams/integrated-health-services/patient-safety" TargetMode="External"/><Relationship Id="rId80" Type="http://schemas.openxmlformats.org/officeDocument/2006/relationships/hyperlink" Target="https://www.who.int/teams/integrated-health-services/patient-safety/research/safe-surgery/tool-and-resources" TargetMode="External"/><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3390/healthcare14060767" TargetMode="External"/><Relationship Id="rId25" Type="http://schemas.openxmlformats.org/officeDocument/2006/relationships/hyperlink" Target="http://dx.doi.org/10.36401/JQSH-23-X2" TargetMode="External"/><Relationship Id="rId33" Type="http://schemas.openxmlformats.org/officeDocument/2006/relationships/hyperlink" Target="https://www.ihi.org/library/tools/patient-safety-essentials-toolkit" TargetMode="External"/><Relationship Id="rId38" Type="http://schemas.openxmlformats.org/officeDocument/2006/relationships/hyperlink" Target="https://www.pslhub.org/learn/organisations-linked-to-patient-safety-uk-and-beyond/international-patient-safety/joint-commission-2023-national-patient-safety-goals-r9276/" TargetMode="External"/><Relationship Id="rId46" Type="http://schemas.openxmlformats.org/officeDocument/2006/relationships/hyperlink" Target="https://qps.nhsrcindia.org/nqas" TargetMode="External"/><Relationship Id="rId59" Type="http://schemas.openxmlformats.org/officeDocument/2006/relationships/hyperlink" Target="https://doi.org/10.1186/s12913-026-15162-1" TargetMode="External"/><Relationship Id="rId67" Type="http://schemas.openxmlformats.org/officeDocument/2006/relationships/hyperlink" Target="https://doi.org/10.1213/ANE.0000000000006090" TargetMode="External"/><Relationship Id="rId20" Type="http://schemas.openxmlformats.org/officeDocument/2006/relationships/hyperlink" Target="https://doi.org/10.2147/JHL.S496266" TargetMode="External"/><Relationship Id="rId41" Type="http://schemas.openxmlformats.org/officeDocument/2006/relationships/hyperlink" Target="https://www.kingsfund.org.uk" TargetMode="External"/><Relationship Id="rId54" Type="http://schemas.openxmlformats.org/officeDocument/2006/relationships/hyperlink" Target="https://www.nmc.org.in" TargetMode="External"/><Relationship Id="rId62" Type="http://schemas.openxmlformats.org/officeDocument/2006/relationships/hyperlink" Target="https://doi.org/10.1080/14697017.2025.2453136" TargetMode="External"/><Relationship Id="rId70" Type="http://schemas.openxmlformats.org/officeDocument/2006/relationships/hyperlink" Target="https://www.who.int/teams/health-workforce" TargetMode="External"/><Relationship Id="rId75" Type="http://schemas.openxmlformats.org/officeDocument/2006/relationships/hyperlink" Target="https://www.who.int/news-room/fact-sheets/detail/patient-safety" TargetMode="External"/><Relationship Id="rId83" Type="http://schemas.openxmlformats.org/officeDocument/2006/relationships/hyperlink" Target="https://www.worldbank.org/en/topic/health"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snet.ahrq.gov" TargetMode="External"/><Relationship Id="rId23" Type="http://schemas.openxmlformats.org/officeDocument/2006/relationships/hyperlink" Target="https://www.commonwealthfund.org" TargetMode="External"/><Relationship Id="rId28" Type="http://schemas.openxmlformats.org/officeDocument/2006/relationships/hyperlink" Target="http://dx.doi.org/10.1097/PTS.0000000000001072" TargetMode="External"/><Relationship Id="rId36" Type="http://schemas.openxmlformats.org/officeDocument/2006/relationships/hyperlink" Target="https://ieea.ch/wp-content/uploads/2024/09/Guidelines-and-Standards-for-External-Evaluation-Organisations-5th-Edition-v1.1.pdf" TargetMode="External"/><Relationship Id="rId49" Type="http://schemas.openxmlformats.org/officeDocument/2006/relationships/hyperlink" Target="https://nabh.co" TargetMode="External"/><Relationship Id="rId57" Type="http://schemas.openxmlformats.org/officeDocument/2006/relationships/hyperlink" Target="https://www.oecd.org/health/health-at-a-glance/" TargetMode="External"/><Relationship Id="rId10" Type="http://schemas.openxmlformats.org/officeDocument/2006/relationships/image" Target="media/image3.png"/><Relationship Id="rId31" Type="http://schemas.openxmlformats.org/officeDocument/2006/relationships/hyperlink" Target="https://www.hipaajournal.com/effects-of-poor-communication-in-healthcare/" TargetMode="External"/><Relationship Id="rId44" Type="http://schemas.openxmlformats.org/officeDocument/2006/relationships/hyperlink" Target="https://doi.org/10.2147/RMHP.S564459" TargetMode="External"/><Relationship Id="rId52" Type="http://schemas.openxmlformats.org/officeDocument/2006/relationships/hyperlink" Target="https://abdm.gov.in" TargetMode="External"/><Relationship Id="rId60" Type="http://schemas.openxmlformats.org/officeDocument/2006/relationships/hyperlink" Target="https://doi.org/10.3390/ijerph191710995" TargetMode="External"/><Relationship Id="rId65" Type="http://schemas.openxmlformats.org/officeDocument/2006/relationships/hyperlink" Target="https://timesofindia.indiatimes.com/india/at-nearly-50-no-of-deaths-without-medical-care-up-sharply-since-2020/articleshow/131559001.cms" TargetMode="External"/><Relationship Id="rId73" Type="http://schemas.openxmlformats.org/officeDocument/2006/relationships/hyperlink" Target="https://www.who.int/publications/i/item/9789240095458" TargetMode="External"/><Relationship Id="rId78" Type="http://schemas.openxmlformats.org/officeDocument/2006/relationships/hyperlink" Target="https://www.who.int/teams/integrated-health-services/patient-safety/safe-surgery" TargetMode="External"/><Relationship Id="rId81" Type="http://schemas.openxmlformats.org/officeDocument/2006/relationships/hyperlink" Target="https://iris.who.int/server/api/core/bitstreams/45189137-2f10-48e1-ae43-91b0d8ddd120/content" TargetMode="External"/><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2147/IJGM.S517843" TargetMode="External"/><Relationship Id="rId39" Type="http://schemas.openxmlformats.org/officeDocument/2006/relationships/hyperlink" Target="https://www.jointcommissioninternational.org" TargetMode="External"/><Relationship Id="rId34" Type="http://schemas.openxmlformats.org/officeDocument/2006/relationships/hyperlink" Target="https://www.ihi.org/library/tools/patient-safety-essentials-toolkit" TargetMode="External"/><Relationship Id="rId50" Type="http://schemas.openxmlformats.org/officeDocument/2006/relationships/hyperlink" Target="https://nabh.co" TargetMode="External"/><Relationship Id="rId55" Type="http://schemas.openxmlformats.org/officeDocument/2006/relationships/hyperlink" Target="https://www.ndtv.com/india-news/kota-medical-college-tale-of-2-jagdishes-hospital-mix-up-could-have-led-to-unwanted-surgery-8187530" TargetMode="External"/><Relationship Id="rId76" Type="http://schemas.openxmlformats.org/officeDocument/2006/relationships/hyperlink" Target="https://www.who.int/news-room/fact-sheets/detail/patient-safety" TargetMode="External"/><Relationship Id="rId7" Type="http://schemas.openxmlformats.org/officeDocument/2006/relationships/endnotes" Target="endnotes.xml"/><Relationship Id="rId71" Type="http://schemas.openxmlformats.org/officeDocument/2006/relationships/hyperlink" Target="https://www.who.int/teams/integrated-health-services/patient-safety" TargetMode="External"/><Relationship Id="rId2" Type="http://schemas.openxmlformats.org/officeDocument/2006/relationships/numbering" Target="numbering.xml"/><Relationship Id="rId29" Type="http://schemas.openxmlformats.org/officeDocument/2006/relationships/hyperlink" Target="https://www.healtheconomicsunit.nhs.uk/population-health-finance/index.html" TargetMode="External"/><Relationship Id="rId24" Type="http://schemas.openxmlformats.org/officeDocument/2006/relationships/hyperlink" Target="https://www.commonwealthfund.org" TargetMode="External"/><Relationship Id="rId40" Type="http://schemas.openxmlformats.org/officeDocument/2006/relationships/hyperlink" Target="https://www.jointcommissioninternational.org" TargetMode="External"/><Relationship Id="rId45" Type="http://schemas.openxmlformats.org/officeDocument/2006/relationships/hyperlink" Target="https://surathospital.metasofsda.in/international_patients_pdf/International%20Patient%20Safety%20Protocols.pdf" TargetMode="External"/><Relationship Id="rId66" Type="http://schemas.openxmlformats.org/officeDocument/2006/relationships/hyperlink" Target="https://doi.org/10.3390/hospitals1010008" TargetMode="External"/><Relationship Id="rId87" Type="http://schemas.openxmlformats.org/officeDocument/2006/relationships/fontTable" Target="fontTable.xml"/><Relationship Id="rId61" Type="http://schemas.openxmlformats.org/officeDocument/2006/relationships/hyperlink" Target="https://doi.org/10.31674/mjn.2025.v17i01.024" TargetMode="External"/><Relationship Id="rId82" Type="http://schemas.openxmlformats.org/officeDocument/2006/relationships/hyperlink" Target="https://iris.who.int/server/api/core/bitstreams/45189137-2f10-48e1-ae43-91b0d8ddd120/conten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C8DE73-58C7-4BDA-8232-AA7CC32ED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9011</Words>
  <Characters>51366</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2026-08-03T10:49:00Z</dcterms:created>
  <dcterms:modified xsi:type="dcterms:W3CDTF">2026-08-05T08:05:00Z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3d82f136-bad4-47a1-b576-785199b479ad</vt:lpwstr>
  </property>
</Properties>
</file>