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Pr="00117251" w:rsidRDefault="00B21F2E" w:rsidP="00117251">
      <w:pPr>
        <w:spacing w:line="360" w:lineRule="auto"/>
        <w:jc w:val="both"/>
        <w:rPr>
          <w:rFonts w:ascii="Arial" w:hAnsi="Arial" w:cs="Arial"/>
          <w:b/>
          <w:u w:val="single"/>
        </w:rPr>
      </w:pPr>
    </w:p>
    <w:p w14:paraId="618BF57D" w14:textId="77777777" w:rsidR="001B69C8" w:rsidRPr="00117251" w:rsidRDefault="001B69C8" w:rsidP="00117251">
      <w:pPr>
        <w:spacing w:line="360" w:lineRule="auto"/>
        <w:jc w:val="both"/>
        <w:rPr>
          <w:rFonts w:ascii="Arial" w:hAnsi="Arial" w:cs="Arial"/>
          <w:b/>
          <w:u w:val="single"/>
        </w:rPr>
      </w:pPr>
    </w:p>
    <w:p w14:paraId="5E1B2845" w14:textId="779CEF2F" w:rsidR="001B69C8" w:rsidRPr="00117251" w:rsidRDefault="001B69C8" w:rsidP="00117251">
      <w:pPr>
        <w:spacing w:line="360" w:lineRule="auto"/>
        <w:jc w:val="both"/>
        <w:rPr>
          <w:rFonts w:ascii="Arial" w:hAnsi="Arial" w:cs="Arial"/>
          <w:b/>
          <w:u w:val="single"/>
        </w:rPr>
      </w:pPr>
    </w:p>
    <w:p w14:paraId="5A90DB21" w14:textId="023360FA" w:rsidR="00117251" w:rsidRPr="00117251" w:rsidRDefault="00117251" w:rsidP="00117251">
      <w:pPr>
        <w:spacing w:line="360" w:lineRule="auto"/>
        <w:jc w:val="both"/>
        <w:rPr>
          <w:rFonts w:ascii="Arial" w:hAnsi="Arial" w:cs="Arial"/>
          <w:b/>
          <w:u w:val="single"/>
        </w:rPr>
      </w:pPr>
    </w:p>
    <w:p w14:paraId="3084F740" w14:textId="77777777" w:rsidR="00117251" w:rsidRPr="00117251" w:rsidRDefault="00117251" w:rsidP="00117251">
      <w:pPr>
        <w:spacing w:line="360" w:lineRule="auto"/>
        <w:jc w:val="both"/>
        <w:rPr>
          <w:rFonts w:ascii="Arial" w:hAnsi="Arial" w:cs="Arial"/>
          <w:bCs/>
        </w:rPr>
      </w:pPr>
    </w:p>
    <w:p w14:paraId="780E2378" w14:textId="1245074A" w:rsidR="00117251" w:rsidRPr="00BF3277" w:rsidRDefault="00BF3277" w:rsidP="00117251">
      <w:pPr>
        <w:spacing w:line="360" w:lineRule="auto"/>
        <w:jc w:val="both"/>
        <w:rPr>
          <w:rFonts w:ascii="Arial" w:hAnsi="Arial" w:cs="Arial"/>
          <w:b/>
          <w:sz w:val="28"/>
          <w:szCs w:val="28"/>
        </w:rPr>
      </w:pPr>
      <w:r>
        <w:rPr>
          <w:rFonts w:ascii="Arial" w:hAnsi="Arial" w:cs="Arial"/>
          <w:bCs/>
        </w:rPr>
        <w:t xml:space="preserve">         </w:t>
      </w:r>
      <w:r w:rsidR="00117251" w:rsidRPr="00BF3277">
        <w:rPr>
          <w:rFonts w:ascii="Arial" w:hAnsi="Arial" w:cs="Arial"/>
          <w:b/>
          <w:sz w:val="28"/>
          <w:szCs w:val="28"/>
        </w:rPr>
        <w:t>FOREIGN LANGUAGES AND CULTURAL AWARNESS LEVEL 5</w:t>
      </w:r>
    </w:p>
    <w:p w14:paraId="1317C1D2" w14:textId="77777777" w:rsidR="00BF3277" w:rsidRDefault="00117251" w:rsidP="00117251">
      <w:pPr>
        <w:spacing w:line="360" w:lineRule="auto"/>
        <w:jc w:val="both"/>
        <w:rPr>
          <w:rFonts w:ascii="Arial" w:hAnsi="Arial" w:cs="Arial"/>
          <w:b/>
          <w:sz w:val="28"/>
          <w:szCs w:val="28"/>
        </w:rPr>
      </w:pPr>
      <w:r w:rsidRPr="00BF3277">
        <w:rPr>
          <w:rFonts w:ascii="Arial" w:hAnsi="Arial" w:cs="Arial"/>
          <w:b/>
          <w:sz w:val="28"/>
          <w:szCs w:val="28"/>
        </w:rPr>
        <w:t xml:space="preserve">       </w:t>
      </w:r>
      <w:r w:rsidR="00BF3277">
        <w:rPr>
          <w:rFonts w:ascii="Arial" w:hAnsi="Arial" w:cs="Arial"/>
          <w:b/>
          <w:sz w:val="28"/>
          <w:szCs w:val="28"/>
        </w:rPr>
        <w:t xml:space="preserve"> </w:t>
      </w:r>
    </w:p>
    <w:p w14:paraId="0AE61034" w14:textId="77777777" w:rsidR="007F0AEA" w:rsidRDefault="00BF3277" w:rsidP="00117251">
      <w:pPr>
        <w:spacing w:line="360" w:lineRule="auto"/>
        <w:jc w:val="both"/>
        <w:rPr>
          <w:rFonts w:ascii="Arial" w:hAnsi="Arial" w:cs="Arial"/>
          <w:b/>
          <w:sz w:val="28"/>
          <w:szCs w:val="28"/>
        </w:rPr>
      </w:pPr>
      <w:r>
        <w:rPr>
          <w:rFonts w:ascii="Arial" w:hAnsi="Arial" w:cs="Arial"/>
          <w:b/>
          <w:sz w:val="28"/>
          <w:szCs w:val="28"/>
        </w:rPr>
        <w:t xml:space="preserve">        </w:t>
      </w:r>
      <w:r w:rsidR="00117251" w:rsidRPr="00BF3277">
        <w:rPr>
          <w:rFonts w:ascii="Arial" w:hAnsi="Arial" w:cs="Arial"/>
          <w:b/>
          <w:sz w:val="28"/>
          <w:szCs w:val="28"/>
        </w:rPr>
        <w:t xml:space="preserve">Student: </w:t>
      </w:r>
      <w:r w:rsidR="007F0AEA">
        <w:rPr>
          <w:rFonts w:ascii="Arial" w:hAnsi="Arial" w:cs="Arial"/>
          <w:b/>
          <w:sz w:val="28"/>
          <w:szCs w:val="28"/>
        </w:rPr>
        <w:t>Andreea Florentina Simon</w:t>
      </w:r>
      <w:r w:rsidR="00117251" w:rsidRPr="00BF3277">
        <w:rPr>
          <w:rFonts w:ascii="Arial" w:hAnsi="Arial" w:cs="Arial"/>
          <w:b/>
          <w:sz w:val="28"/>
          <w:szCs w:val="28"/>
        </w:rPr>
        <w:t xml:space="preserve">  </w:t>
      </w:r>
    </w:p>
    <w:p w14:paraId="15A58F5F" w14:textId="4FA5A864" w:rsidR="007F0AEA" w:rsidRDefault="007F0AEA" w:rsidP="00117251">
      <w:pPr>
        <w:spacing w:line="360" w:lineRule="auto"/>
        <w:jc w:val="both"/>
        <w:rPr>
          <w:rFonts w:ascii="Arial" w:hAnsi="Arial" w:cs="Arial"/>
          <w:b/>
          <w:sz w:val="28"/>
          <w:szCs w:val="28"/>
        </w:rPr>
      </w:pPr>
      <w:r>
        <w:rPr>
          <w:rFonts w:ascii="Arial" w:hAnsi="Arial" w:cs="Arial"/>
          <w:b/>
          <w:sz w:val="28"/>
          <w:szCs w:val="28"/>
        </w:rPr>
        <w:t xml:space="preserve">        Student number: 2025170</w:t>
      </w:r>
      <w:r w:rsidR="00117251" w:rsidRPr="00BF3277">
        <w:rPr>
          <w:rFonts w:ascii="Arial" w:hAnsi="Arial" w:cs="Arial"/>
          <w:b/>
          <w:sz w:val="28"/>
          <w:szCs w:val="28"/>
        </w:rPr>
        <w:t xml:space="preserve">  </w:t>
      </w:r>
    </w:p>
    <w:p w14:paraId="5173AEE6" w14:textId="4739D493" w:rsidR="00117251" w:rsidRPr="00BF3277" w:rsidRDefault="007F0AEA" w:rsidP="00117251">
      <w:pPr>
        <w:spacing w:line="360" w:lineRule="auto"/>
        <w:jc w:val="both"/>
        <w:rPr>
          <w:rFonts w:ascii="Arial" w:hAnsi="Arial" w:cs="Arial"/>
          <w:b/>
          <w:sz w:val="28"/>
          <w:szCs w:val="28"/>
        </w:rPr>
      </w:pPr>
      <w:r>
        <w:rPr>
          <w:rFonts w:ascii="Arial" w:hAnsi="Arial" w:cs="Arial"/>
          <w:b/>
          <w:sz w:val="28"/>
          <w:szCs w:val="28"/>
        </w:rPr>
        <w:t xml:space="preserve">        </w:t>
      </w:r>
      <w:r w:rsidR="00117251" w:rsidRPr="00BF3277">
        <w:rPr>
          <w:rFonts w:ascii="Arial" w:hAnsi="Arial" w:cs="Arial"/>
          <w:b/>
          <w:sz w:val="28"/>
          <w:szCs w:val="28"/>
        </w:rPr>
        <w:t>Lecturer Name: Rodrigo F. Aguilera</w:t>
      </w:r>
    </w:p>
    <w:p w14:paraId="71EC42E0" w14:textId="09294CC1" w:rsidR="00BF3277" w:rsidRDefault="00117251" w:rsidP="00117251">
      <w:pPr>
        <w:spacing w:line="360" w:lineRule="auto"/>
        <w:jc w:val="both"/>
        <w:rPr>
          <w:rFonts w:ascii="Arial" w:hAnsi="Arial" w:cs="Arial"/>
          <w:b/>
          <w:sz w:val="28"/>
          <w:szCs w:val="28"/>
        </w:rPr>
      </w:pPr>
      <w:r w:rsidRPr="00BF3277">
        <w:rPr>
          <w:rFonts w:ascii="Arial" w:hAnsi="Arial" w:cs="Arial"/>
          <w:b/>
          <w:sz w:val="28"/>
          <w:szCs w:val="28"/>
        </w:rPr>
        <w:t xml:space="preserve">        </w:t>
      </w:r>
    </w:p>
    <w:p w14:paraId="5E099494" w14:textId="301A0987" w:rsidR="00117251" w:rsidRPr="00BF3277" w:rsidRDefault="00117251" w:rsidP="00117251">
      <w:pPr>
        <w:spacing w:line="360" w:lineRule="auto"/>
        <w:jc w:val="both"/>
        <w:rPr>
          <w:rFonts w:ascii="Arial" w:hAnsi="Arial" w:cs="Arial"/>
          <w:b/>
          <w:sz w:val="28"/>
          <w:szCs w:val="28"/>
        </w:rPr>
      </w:pPr>
      <w:r w:rsidRPr="00BF3277">
        <w:rPr>
          <w:rFonts w:ascii="Arial" w:hAnsi="Arial" w:cs="Arial"/>
          <w:b/>
          <w:sz w:val="28"/>
          <w:szCs w:val="28"/>
        </w:rPr>
        <w:t xml:space="preserve"> </w:t>
      </w:r>
    </w:p>
    <w:p w14:paraId="224E8344" w14:textId="58DD8F49" w:rsidR="007F0AEA" w:rsidRDefault="00117251" w:rsidP="007F0AEA">
      <w:pPr>
        <w:spacing w:line="360" w:lineRule="auto"/>
        <w:jc w:val="center"/>
        <w:rPr>
          <w:rFonts w:ascii="Arial" w:hAnsi="Arial" w:cs="Arial"/>
          <w:b/>
          <w:sz w:val="40"/>
          <w:szCs w:val="40"/>
        </w:rPr>
      </w:pPr>
      <w:r w:rsidRPr="00BF3277">
        <w:rPr>
          <w:rFonts w:ascii="Arial" w:hAnsi="Arial" w:cs="Arial"/>
          <w:b/>
          <w:sz w:val="40"/>
          <w:szCs w:val="40"/>
        </w:rPr>
        <w:t>Hotel Handbook</w:t>
      </w:r>
    </w:p>
    <w:p w14:paraId="46CEBE8F" w14:textId="77777777" w:rsidR="007F0AEA" w:rsidRPr="007F0AEA" w:rsidRDefault="007F0AEA" w:rsidP="007F0AEA">
      <w:pPr>
        <w:spacing w:line="360" w:lineRule="auto"/>
        <w:jc w:val="both"/>
        <w:rPr>
          <w:rFonts w:ascii="Arial" w:hAnsi="Arial" w:cs="Arial"/>
          <w:b/>
        </w:rPr>
      </w:pPr>
    </w:p>
    <w:p w14:paraId="7FD9D45D" w14:textId="62B4FE8D" w:rsidR="007F0AEA" w:rsidRPr="007F0AEA" w:rsidRDefault="007F0AEA" w:rsidP="007F0AEA">
      <w:pPr>
        <w:spacing w:line="360" w:lineRule="auto"/>
        <w:jc w:val="both"/>
        <w:rPr>
          <w:rFonts w:ascii="Arial" w:hAnsi="Arial" w:cs="Arial"/>
          <w:b/>
        </w:rPr>
      </w:pPr>
    </w:p>
    <w:sdt>
      <w:sdtPr>
        <w:rPr>
          <w:rFonts w:ascii="Arial" w:eastAsiaTheme="minorHAnsi" w:hAnsi="Arial" w:cs="Arial"/>
          <w:color w:val="auto"/>
          <w:sz w:val="24"/>
          <w:szCs w:val="24"/>
          <w:lang w:val="en-GB"/>
        </w:rPr>
        <w:id w:val="-1377848588"/>
        <w:docPartObj>
          <w:docPartGallery w:val="Table of Contents"/>
          <w:docPartUnique/>
        </w:docPartObj>
      </w:sdtPr>
      <w:sdtEndPr>
        <w:rPr>
          <w:rFonts w:eastAsia="Times New Roman"/>
          <w:b/>
          <w:bCs/>
          <w:noProof/>
          <w:lang w:eastAsia="en-GB"/>
        </w:rPr>
      </w:sdtEndPr>
      <w:sdtContent>
        <w:p w14:paraId="60F0EA46" w14:textId="77777777" w:rsidR="007F0AEA" w:rsidRPr="007F0AEA" w:rsidRDefault="007F0AEA" w:rsidP="007F0AEA">
          <w:pPr>
            <w:pStyle w:val="TOCHeading"/>
            <w:spacing w:line="360" w:lineRule="auto"/>
            <w:jc w:val="both"/>
            <w:rPr>
              <w:rFonts w:ascii="Arial" w:hAnsi="Arial" w:cs="Arial"/>
              <w:sz w:val="24"/>
              <w:szCs w:val="24"/>
            </w:rPr>
          </w:pPr>
          <w:r w:rsidRPr="007F0AEA">
            <w:rPr>
              <w:rFonts w:ascii="Arial" w:hAnsi="Arial" w:cs="Arial"/>
              <w:sz w:val="24"/>
              <w:szCs w:val="24"/>
            </w:rPr>
            <w:t>Table of Contents</w:t>
          </w:r>
        </w:p>
        <w:p w14:paraId="15587C0A" w14:textId="77777777" w:rsidR="007F0AEA" w:rsidRPr="007F0AEA" w:rsidRDefault="007F0AEA" w:rsidP="007F0AEA">
          <w:pPr>
            <w:pStyle w:val="TOC1"/>
            <w:tabs>
              <w:tab w:val="right" w:leader="dot" w:pos="9350"/>
            </w:tabs>
            <w:rPr>
              <w:rFonts w:ascii="Arial" w:hAnsi="Arial" w:cs="Arial"/>
              <w:noProof/>
              <w:szCs w:val="24"/>
            </w:rPr>
          </w:pPr>
          <w:r w:rsidRPr="007F0AEA">
            <w:rPr>
              <w:rFonts w:ascii="Arial" w:hAnsi="Arial" w:cs="Arial"/>
              <w:szCs w:val="24"/>
            </w:rPr>
            <w:fldChar w:fldCharType="begin"/>
          </w:r>
          <w:r w:rsidRPr="007F0AEA">
            <w:rPr>
              <w:rFonts w:ascii="Arial" w:hAnsi="Arial" w:cs="Arial"/>
              <w:szCs w:val="24"/>
            </w:rPr>
            <w:instrText xml:space="preserve"> TOC \o "1-3" \h \z \u </w:instrText>
          </w:r>
          <w:r w:rsidRPr="007F0AEA">
            <w:rPr>
              <w:rFonts w:ascii="Arial" w:hAnsi="Arial" w:cs="Arial"/>
              <w:szCs w:val="24"/>
            </w:rPr>
            <w:fldChar w:fldCharType="separate"/>
          </w:r>
          <w:hyperlink w:anchor="_Toc106903455" w:history="1">
            <w:r w:rsidRPr="007F0AEA">
              <w:rPr>
                <w:rStyle w:val="Hyperlink"/>
                <w:rFonts w:ascii="Arial" w:hAnsi="Arial" w:cs="Arial"/>
                <w:noProof/>
                <w:szCs w:val="24"/>
              </w:rPr>
              <w:t>Introduction</w:t>
            </w:r>
            <w:r w:rsidRPr="007F0AEA">
              <w:rPr>
                <w:rFonts w:ascii="Arial" w:hAnsi="Arial" w:cs="Arial"/>
                <w:noProof/>
                <w:webHidden/>
                <w:szCs w:val="24"/>
              </w:rPr>
              <w:tab/>
            </w:r>
            <w:r w:rsidRPr="007F0AEA">
              <w:rPr>
                <w:rFonts w:ascii="Arial" w:hAnsi="Arial" w:cs="Arial"/>
                <w:noProof/>
                <w:webHidden/>
                <w:szCs w:val="24"/>
              </w:rPr>
              <w:fldChar w:fldCharType="begin"/>
            </w:r>
            <w:r w:rsidRPr="007F0AEA">
              <w:rPr>
                <w:rFonts w:ascii="Arial" w:hAnsi="Arial" w:cs="Arial"/>
                <w:noProof/>
                <w:webHidden/>
                <w:szCs w:val="24"/>
              </w:rPr>
              <w:instrText xml:space="preserve"> PAGEREF _Toc106903455 \h </w:instrText>
            </w:r>
            <w:r w:rsidRPr="007F0AEA">
              <w:rPr>
                <w:rFonts w:ascii="Arial" w:hAnsi="Arial" w:cs="Arial"/>
                <w:noProof/>
                <w:webHidden/>
                <w:szCs w:val="24"/>
              </w:rPr>
            </w:r>
            <w:r w:rsidRPr="007F0AEA">
              <w:rPr>
                <w:rFonts w:ascii="Arial" w:hAnsi="Arial" w:cs="Arial"/>
                <w:noProof/>
                <w:webHidden/>
                <w:szCs w:val="24"/>
              </w:rPr>
              <w:fldChar w:fldCharType="separate"/>
            </w:r>
            <w:r w:rsidRPr="007F0AEA">
              <w:rPr>
                <w:rFonts w:ascii="Arial" w:hAnsi="Arial" w:cs="Arial"/>
                <w:noProof/>
                <w:webHidden/>
                <w:szCs w:val="24"/>
              </w:rPr>
              <w:t>3</w:t>
            </w:r>
            <w:r w:rsidRPr="007F0AEA">
              <w:rPr>
                <w:rFonts w:ascii="Arial" w:hAnsi="Arial" w:cs="Arial"/>
                <w:noProof/>
                <w:webHidden/>
                <w:szCs w:val="24"/>
              </w:rPr>
              <w:fldChar w:fldCharType="end"/>
            </w:r>
          </w:hyperlink>
        </w:p>
        <w:p w14:paraId="7E9B41BA" w14:textId="77777777" w:rsidR="007F0AEA" w:rsidRPr="007F0AEA" w:rsidRDefault="007F0AEA" w:rsidP="007F0AEA">
          <w:pPr>
            <w:pStyle w:val="TOC1"/>
            <w:tabs>
              <w:tab w:val="right" w:leader="dot" w:pos="9350"/>
            </w:tabs>
            <w:rPr>
              <w:rFonts w:ascii="Arial" w:hAnsi="Arial" w:cs="Arial"/>
              <w:noProof/>
              <w:szCs w:val="24"/>
            </w:rPr>
          </w:pPr>
          <w:hyperlink w:anchor="_Toc106903456" w:history="1">
            <w:r w:rsidRPr="007F0AEA">
              <w:rPr>
                <w:rStyle w:val="Hyperlink"/>
                <w:rFonts w:ascii="Arial" w:hAnsi="Arial" w:cs="Arial"/>
                <w:noProof/>
                <w:szCs w:val="24"/>
              </w:rPr>
              <w:t>Identification of the cultural differences in international countries</w:t>
            </w:r>
            <w:r w:rsidRPr="007F0AEA">
              <w:rPr>
                <w:rFonts w:ascii="Arial" w:hAnsi="Arial" w:cs="Arial"/>
                <w:noProof/>
                <w:webHidden/>
                <w:szCs w:val="24"/>
              </w:rPr>
              <w:tab/>
            </w:r>
            <w:r w:rsidRPr="007F0AEA">
              <w:rPr>
                <w:rFonts w:ascii="Arial" w:hAnsi="Arial" w:cs="Arial"/>
                <w:noProof/>
                <w:webHidden/>
                <w:szCs w:val="24"/>
              </w:rPr>
              <w:fldChar w:fldCharType="begin"/>
            </w:r>
            <w:r w:rsidRPr="007F0AEA">
              <w:rPr>
                <w:rFonts w:ascii="Arial" w:hAnsi="Arial" w:cs="Arial"/>
                <w:noProof/>
                <w:webHidden/>
                <w:szCs w:val="24"/>
              </w:rPr>
              <w:instrText xml:space="preserve"> PAGEREF _Toc106903456 \h </w:instrText>
            </w:r>
            <w:r w:rsidRPr="007F0AEA">
              <w:rPr>
                <w:rFonts w:ascii="Arial" w:hAnsi="Arial" w:cs="Arial"/>
                <w:noProof/>
                <w:webHidden/>
                <w:szCs w:val="24"/>
              </w:rPr>
            </w:r>
            <w:r w:rsidRPr="007F0AEA">
              <w:rPr>
                <w:rFonts w:ascii="Arial" w:hAnsi="Arial" w:cs="Arial"/>
                <w:noProof/>
                <w:webHidden/>
                <w:szCs w:val="24"/>
              </w:rPr>
              <w:fldChar w:fldCharType="separate"/>
            </w:r>
            <w:r w:rsidRPr="007F0AEA">
              <w:rPr>
                <w:rFonts w:ascii="Arial" w:hAnsi="Arial" w:cs="Arial"/>
                <w:noProof/>
                <w:webHidden/>
                <w:szCs w:val="24"/>
              </w:rPr>
              <w:t>3</w:t>
            </w:r>
            <w:r w:rsidRPr="007F0AEA">
              <w:rPr>
                <w:rFonts w:ascii="Arial" w:hAnsi="Arial" w:cs="Arial"/>
                <w:noProof/>
                <w:webHidden/>
                <w:szCs w:val="24"/>
              </w:rPr>
              <w:fldChar w:fldCharType="end"/>
            </w:r>
          </w:hyperlink>
        </w:p>
        <w:p w14:paraId="25358252" w14:textId="77777777" w:rsidR="007F0AEA" w:rsidRPr="007F0AEA" w:rsidRDefault="007F0AEA" w:rsidP="007F0AEA">
          <w:pPr>
            <w:pStyle w:val="TOC1"/>
            <w:tabs>
              <w:tab w:val="right" w:leader="dot" w:pos="9350"/>
            </w:tabs>
            <w:rPr>
              <w:rFonts w:ascii="Arial" w:hAnsi="Arial" w:cs="Arial"/>
              <w:noProof/>
              <w:szCs w:val="24"/>
            </w:rPr>
          </w:pPr>
          <w:hyperlink w:anchor="_Toc106903457" w:history="1">
            <w:r w:rsidRPr="007F0AEA">
              <w:rPr>
                <w:rStyle w:val="Hyperlink"/>
                <w:rFonts w:ascii="Arial" w:hAnsi="Arial" w:cs="Arial"/>
                <w:noProof/>
                <w:szCs w:val="24"/>
              </w:rPr>
              <w:t>Do’s and Don’ts for the hotel staffs regarding cultural awareness</w:t>
            </w:r>
            <w:r w:rsidRPr="007F0AEA">
              <w:rPr>
                <w:rFonts w:ascii="Arial" w:hAnsi="Arial" w:cs="Arial"/>
                <w:noProof/>
                <w:webHidden/>
                <w:szCs w:val="24"/>
              </w:rPr>
              <w:tab/>
            </w:r>
            <w:r w:rsidRPr="007F0AEA">
              <w:rPr>
                <w:rFonts w:ascii="Arial" w:hAnsi="Arial" w:cs="Arial"/>
                <w:noProof/>
                <w:webHidden/>
                <w:szCs w:val="24"/>
              </w:rPr>
              <w:fldChar w:fldCharType="begin"/>
            </w:r>
            <w:r w:rsidRPr="007F0AEA">
              <w:rPr>
                <w:rFonts w:ascii="Arial" w:hAnsi="Arial" w:cs="Arial"/>
                <w:noProof/>
                <w:webHidden/>
                <w:szCs w:val="24"/>
              </w:rPr>
              <w:instrText xml:space="preserve"> PAGEREF _Toc106903457 \h </w:instrText>
            </w:r>
            <w:r w:rsidRPr="007F0AEA">
              <w:rPr>
                <w:rFonts w:ascii="Arial" w:hAnsi="Arial" w:cs="Arial"/>
                <w:noProof/>
                <w:webHidden/>
                <w:szCs w:val="24"/>
              </w:rPr>
            </w:r>
            <w:r w:rsidRPr="007F0AEA">
              <w:rPr>
                <w:rFonts w:ascii="Arial" w:hAnsi="Arial" w:cs="Arial"/>
                <w:noProof/>
                <w:webHidden/>
                <w:szCs w:val="24"/>
              </w:rPr>
              <w:fldChar w:fldCharType="separate"/>
            </w:r>
            <w:r w:rsidRPr="007F0AEA">
              <w:rPr>
                <w:rFonts w:ascii="Arial" w:hAnsi="Arial" w:cs="Arial"/>
                <w:noProof/>
                <w:webHidden/>
                <w:szCs w:val="24"/>
              </w:rPr>
              <w:t>5</w:t>
            </w:r>
            <w:r w:rsidRPr="007F0AEA">
              <w:rPr>
                <w:rFonts w:ascii="Arial" w:hAnsi="Arial" w:cs="Arial"/>
                <w:noProof/>
                <w:webHidden/>
                <w:szCs w:val="24"/>
              </w:rPr>
              <w:fldChar w:fldCharType="end"/>
            </w:r>
          </w:hyperlink>
        </w:p>
        <w:p w14:paraId="10D5401C" w14:textId="77777777" w:rsidR="007F0AEA" w:rsidRPr="007F0AEA" w:rsidRDefault="007F0AEA" w:rsidP="007F0AEA">
          <w:pPr>
            <w:pStyle w:val="TOC1"/>
            <w:tabs>
              <w:tab w:val="right" w:leader="dot" w:pos="9350"/>
            </w:tabs>
            <w:rPr>
              <w:rFonts w:ascii="Arial" w:hAnsi="Arial" w:cs="Arial"/>
              <w:noProof/>
              <w:szCs w:val="24"/>
            </w:rPr>
          </w:pPr>
          <w:hyperlink w:anchor="_Toc106903458" w:history="1">
            <w:r w:rsidRPr="007F0AEA">
              <w:rPr>
                <w:rStyle w:val="Hyperlink"/>
                <w:rFonts w:ascii="Arial" w:hAnsi="Arial" w:cs="Arial"/>
                <w:noProof/>
                <w:szCs w:val="24"/>
              </w:rPr>
              <w:t>Conclusion</w:t>
            </w:r>
            <w:r w:rsidRPr="007F0AEA">
              <w:rPr>
                <w:rFonts w:ascii="Arial" w:hAnsi="Arial" w:cs="Arial"/>
                <w:noProof/>
                <w:webHidden/>
                <w:szCs w:val="24"/>
              </w:rPr>
              <w:tab/>
            </w:r>
            <w:r w:rsidRPr="007F0AEA">
              <w:rPr>
                <w:rFonts w:ascii="Arial" w:hAnsi="Arial" w:cs="Arial"/>
                <w:noProof/>
                <w:webHidden/>
                <w:szCs w:val="24"/>
              </w:rPr>
              <w:fldChar w:fldCharType="begin"/>
            </w:r>
            <w:r w:rsidRPr="007F0AEA">
              <w:rPr>
                <w:rFonts w:ascii="Arial" w:hAnsi="Arial" w:cs="Arial"/>
                <w:noProof/>
                <w:webHidden/>
                <w:szCs w:val="24"/>
              </w:rPr>
              <w:instrText xml:space="preserve"> PAGEREF _Toc106903458 \h </w:instrText>
            </w:r>
            <w:r w:rsidRPr="007F0AEA">
              <w:rPr>
                <w:rFonts w:ascii="Arial" w:hAnsi="Arial" w:cs="Arial"/>
                <w:noProof/>
                <w:webHidden/>
                <w:szCs w:val="24"/>
              </w:rPr>
            </w:r>
            <w:r w:rsidRPr="007F0AEA">
              <w:rPr>
                <w:rFonts w:ascii="Arial" w:hAnsi="Arial" w:cs="Arial"/>
                <w:noProof/>
                <w:webHidden/>
                <w:szCs w:val="24"/>
              </w:rPr>
              <w:fldChar w:fldCharType="separate"/>
            </w:r>
            <w:r w:rsidRPr="007F0AEA">
              <w:rPr>
                <w:rFonts w:ascii="Arial" w:hAnsi="Arial" w:cs="Arial"/>
                <w:noProof/>
                <w:webHidden/>
                <w:szCs w:val="24"/>
              </w:rPr>
              <w:t>5</w:t>
            </w:r>
            <w:r w:rsidRPr="007F0AEA">
              <w:rPr>
                <w:rFonts w:ascii="Arial" w:hAnsi="Arial" w:cs="Arial"/>
                <w:noProof/>
                <w:webHidden/>
                <w:szCs w:val="24"/>
              </w:rPr>
              <w:fldChar w:fldCharType="end"/>
            </w:r>
          </w:hyperlink>
        </w:p>
        <w:p w14:paraId="60092E1D" w14:textId="77777777" w:rsidR="007F0AEA" w:rsidRPr="007F0AEA" w:rsidRDefault="007F0AEA" w:rsidP="007F0AEA">
          <w:pPr>
            <w:pStyle w:val="TOC1"/>
            <w:tabs>
              <w:tab w:val="right" w:leader="dot" w:pos="9350"/>
            </w:tabs>
            <w:rPr>
              <w:rFonts w:ascii="Arial" w:hAnsi="Arial" w:cs="Arial"/>
              <w:noProof/>
              <w:szCs w:val="24"/>
            </w:rPr>
          </w:pPr>
          <w:hyperlink w:anchor="_Toc106903459" w:history="1">
            <w:r w:rsidRPr="007F0AEA">
              <w:rPr>
                <w:rStyle w:val="Hyperlink"/>
                <w:rFonts w:ascii="Arial" w:hAnsi="Arial" w:cs="Arial"/>
                <w:noProof/>
                <w:szCs w:val="24"/>
              </w:rPr>
              <w:t>References</w:t>
            </w:r>
            <w:r w:rsidRPr="007F0AEA">
              <w:rPr>
                <w:rFonts w:ascii="Arial" w:hAnsi="Arial" w:cs="Arial"/>
                <w:noProof/>
                <w:webHidden/>
                <w:szCs w:val="24"/>
              </w:rPr>
              <w:tab/>
            </w:r>
            <w:r w:rsidRPr="007F0AEA">
              <w:rPr>
                <w:rFonts w:ascii="Arial" w:hAnsi="Arial" w:cs="Arial"/>
                <w:noProof/>
                <w:webHidden/>
                <w:szCs w:val="24"/>
              </w:rPr>
              <w:fldChar w:fldCharType="begin"/>
            </w:r>
            <w:r w:rsidRPr="007F0AEA">
              <w:rPr>
                <w:rFonts w:ascii="Arial" w:hAnsi="Arial" w:cs="Arial"/>
                <w:noProof/>
                <w:webHidden/>
                <w:szCs w:val="24"/>
              </w:rPr>
              <w:instrText xml:space="preserve"> PAGEREF _Toc106903459 \h </w:instrText>
            </w:r>
            <w:r w:rsidRPr="007F0AEA">
              <w:rPr>
                <w:rFonts w:ascii="Arial" w:hAnsi="Arial" w:cs="Arial"/>
                <w:noProof/>
                <w:webHidden/>
                <w:szCs w:val="24"/>
              </w:rPr>
            </w:r>
            <w:r w:rsidRPr="007F0AEA">
              <w:rPr>
                <w:rFonts w:ascii="Arial" w:hAnsi="Arial" w:cs="Arial"/>
                <w:noProof/>
                <w:webHidden/>
                <w:szCs w:val="24"/>
              </w:rPr>
              <w:fldChar w:fldCharType="separate"/>
            </w:r>
            <w:r w:rsidRPr="007F0AEA">
              <w:rPr>
                <w:rFonts w:ascii="Arial" w:hAnsi="Arial" w:cs="Arial"/>
                <w:noProof/>
                <w:webHidden/>
                <w:szCs w:val="24"/>
              </w:rPr>
              <w:t>6</w:t>
            </w:r>
            <w:r w:rsidRPr="007F0AEA">
              <w:rPr>
                <w:rFonts w:ascii="Arial" w:hAnsi="Arial" w:cs="Arial"/>
                <w:noProof/>
                <w:webHidden/>
                <w:szCs w:val="24"/>
              </w:rPr>
              <w:fldChar w:fldCharType="end"/>
            </w:r>
          </w:hyperlink>
        </w:p>
        <w:p w14:paraId="5B3AF45D" w14:textId="77777777" w:rsidR="007F0AEA" w:rsidRPr="007F0AEA" w:rsidRDefault="007F0AEA" w:rsidP="007F0AEA">
          <w:pPr>
            <w:spacing w:line="360" w:lineRule="auto"/>
            <w:jc w:val="both"/>
            <w:rPr>
              <w:rFonts w:ascii="Arial" w:hAnsi="Arial" w:cs="Arial"/>
            </w:rPr>
          </w:pPr>
          <w:r w:rsidRPr="007F0AEA">
            <w:rPr>
              <w:rFonts w:ascii="Arial" w:hAnsi="Arial" w:cs="Arial"/>
              <w:b/>
              <w:bCs/>
              <w:noProof/>
            </w:rPr>
            <w:fldChar w:fldCharType="end"/>
          </w:r>
        </w:p>
      </w:sdtContent>
    </w:sdt>
    <w:p w14:paraId="7FBD67DA" w14:textId="04714207" w:rsidR="007F0AEA" w:rsidRPr="007F0AEA" w:rsidRDefault="007F0AEA" w:rsidP="007F0AEA">
      <w:pPr>
        <w:spacing w:line="360" w:lineRule="auto"/>
        <w:jc w:val="both"/>
        <w:rPr>
          <w:rFonts w:ascii="Arial" w:hAnsi="Arial" w:cs="Arial"/>
          <w:b/>
        </w:rPr>
      </w:pPr>
      <w:r w:rsidRPr="007F0AEA">
        <w:rPr>
          <w:rFonts w:ascii="Arial" w:hAnsi="Arial" w:cs="Arial"/>
          <w:b/>
        </w:rPr>
        <w:br w:type="page"/>
      </w:r>
    </w:p>
    <w:p w14:paraId="07FEC45D" w14:textId="0E8F11FE" w:rsidR="007F0AEA" w:rsidRPr="007F0AEA" w:rsidRDefault="007F0AEA" w:rsidP="007F0AEA">
      <w:pPr>
        <w:spacing w:line="360" w:lineRule="auto"/>
        <w:jc w:val="both"/>
        <w:rPr>
          <w:rFonts w:ascii="Arial" w:hAnsi="Arial" w:cs="Arial"/>
          <w:b/>
        </w:rPr>
      </w:pPr>
    </w:p>
    <w:p w14:paraId="21B1E417" w14:textId="77777777" w:rsidR="007F0AEA" w:rsidRPr="007F0AEA" w:rsidRDefault="007F0AEA" w:rsidP="007F0AEA">
      <w:pPr>
        <w:spacing w:line="360" w:lineRule="auto"/>
        <w:jc w:val="both"/>
        <w:rPr>
          <w:rFonts w:ascii="Arial" w:eastAsiaTheme="majorEastAsia" w:hAnsi="Arial" w:cs="Arial"/>
          <w:color w:val="365F91" w:themeColor="accent1" w:themeShade="BF"/>
        </w:rPr>
      </w:pPr>
    </w:p>
    <w:p w14:paraId="20460EC2" w14:textId="77777777" w:rsidR="007F0AEA" w:rsidRPr="007F0AEA" w:rsidRDefault="007F0AEA" w:rsidP="007F0AEA">
      <w:pPr>
        <w:pStyle w:val="Heading1"/>
        <w:rPr>
          <w:rFonts w:ascii="Arial" w:hAnsi="Arial" w:cs="Arial"/>
          <w:b/>
          <w:sz w:val="24"/>
          <w:szCs w:val="24"/>
        </w:rPr>
      </w:pPr>
      <w:bookmarkStart w:id="0" w:name="_Toc106903455"/>
      <w:r w:rsidRPr="007F0AEA">
        <w:rPr>
          <w:rFonts w:ascii="Arial" w:hAnsi="Arial" w:cs="Arial"/>
          <w:sz w:val="24"/>
          <w:szCs w:val="24"/>
        </w:rPr>
        <w:t>Introduction</w:t>
      </w:r>
      <w:bookmarkEnd w:id="0"/>
    </w:p>
    <w:p w14:paraId="3AB0E5FE"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Cultural awareness is defined as the ability of recognising the nuances of different culture that facilitates appreciation of different cultural background </w:t>
      </w:r>
      <w:sdt>
        <w:sdtPr>
          <w:rPr>
            <w:rFonts w:ascii="Arial" w:hAnsi="Arial" w:cs="Arial"/>
          </w:rPr>
          <w:id w:val="1787629212"/>
          <w:citation/>
        </w:sdtPr>
        <w:sdtContent>
          <w:r w:rsidRPr="007F0AEA">
            <w:rPr>
              <w:rFonts w:ascii="Arial" w:hAnsi="Arial" w:cs="Arial"/>
            </w:rPr>
            <w:fldChar w:fldCharType="begin"/>
          </w:r>
          <w:r w:rsidRPr="007F0AEA">
            <w:rPr>
              <w:rFonts w:ascii="Arial" w:hAnsi="Arial" w:cs="Arial"/>
              <w:lang w:val="en-US"/>
            </w:rPr>
            <w:instrText xml:space="preserve"> CITATION Mah18 \l 1033 </w:instrText>
          </w:r>
          <w:r w:rsidRPr="007F0AEA">
            <w:rPr>
              <w:rFonts w:ascii="Arial" w:hAnsi="Arial" w:cs="Arial"/>
            </w:rPr>
            <w:fldChar w:fldCharType="separate"/>
          </w:r>
          <w:r w:rsidRPr="007F0AEA">
            <w:rPr>
              <w:rFonts w:ascii="Arial" w:hAnsi="Arial" w:cs="Arial"/>
              <w:noProof/>
              <w:lang w:val="en-US"/>
            </w:rPr>
            <w:t>(Mahfud, et al., 2018)</w:t>
          </w:r>
          <w:r w:rsidRPr="007F0AEA">
            <w:rPr>
              <w:rFonts w:ascii="Arial" w:hAnsi="Arial" w:cs="Arial"/>
            </w:rPr>
            <w:fldChar w:fldCharType="end"/>
          </w:r>
        </w:sdtContent>
      </w:sdt>
      <w:r w:rsidRPr="007F0AEA">
        <w:rPr>
          <w:rFonts w:ascii="Arial" w:hAnsi="Arial" w:cs="Arial"/>
        </w:rPr>
        <w:t>. This assessment is based on identification of the cultural differences among different countries across the world, which includes different customs and behaviours to be maintained. It also includes a set of Do’s and Don’ts for the employees in the hotels, which will help to maintain behaviour and improve customer satisfaction for the foreign guests.</w:t>
      </w:r>
    </w:p>
    <w:p w14:paraId="2F741FFC" w14:textId="77777777" w:rsidR="007F0AEA" w:rsidRPr="007F0AEA" w:rsidRDefault="007F0AEA" w:rsidP="007F0AEA">
      <w:pPr>
        <w:pStyle w:val="Heading1"/>
        <w:rPr>
          <w:rFonts w:ascii="Arial" w:hAnsi="Arial" w:cs="Arial"/>
          <w:b/>
          <w:sz w:val="24"/>
          <w:szCs w:val="24"/>
        </w:rPr>
      </w:pPr>
      <w:bookmarkStart w:id="1" w:name="_Toc106903456"/>
      <w:r w:rsidRPr="007F0AEA">
        <w:rPr>
          <w:rFonts w:ascii="Arial" w:hAnsi="Arial" w:cs="Arial"/>
          <w:sz w:val="24"/>
          <w:szCs w:val="24"/>
        </w:rPr>
        <w:t>Identification of the cultural differences in international countries</w:t>
      </w:r>
      <w:bookmarkEnd w:id="1"/>
    </w:p>
    <w:p w14:paraId="14FBD0CE"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The identification of the international countries based on cultural differences in terms of behaviours and customs include </w:t>
      </w:r>
      <w:proofErr w:type="gramStart"/>
      <w:r w:rsidRPr="007F0AEA">
        <w:rPr>
          <w:rFonts w:ascii="Arial" w:hAnsi="Arial" w:cs="Arial"/>
        </w:rPr>
        <w:t>the Australia</w:t>
      </w:r>
      <w:proofErr w:type="gramEnd"/>
      <w:r w:rsidRPr="007F0AEA">
        <w:rPr>
          <w:rFonts w:ascii="Arial" w:hAnsi="Arial" w:cs="Arial"/>
        </w:rPr>
        <w:t xml:space="preserve">, New Zealand, Italy, and Switzerland, which are described in the comparison of the UK. The identification of the cultural differences </w:t>
      </w:r>
      <w:proofErr w:type="gramStart"/>
      <w:r w:rsidRPr="007F0AEA">
        <w:rPr>
          <w:rFonts w:ascii="Arial" w:hAnsi="Arial" w:cs="Arial"/>
        </w:rPr>
        <w:t>allow</w:t>
      </w:r>
      <w:proofErr w:type="gramEnd"/>
      <w:r w:rsidRPr="007F0AEA">
        <w:rPr>
          <w:rFonts w:ascii="Arial" w:hAnsi="Arial" w:cs="Arial"/>
        </w:rPr>
        <w:t xml:space="preserve"> the employees in the hospitality industry to manage their behaviours according to the country of origin of the guests.</w:t>
      </w:r>
    </w:p>
    <w:p w14:paraId="1B86228A" w14:textId="77777777" w:rsidR="007F0AEA" w:rsidRPr="007F0AEA" w:rsidRDefault="007F0AEA" w:rsidP="007F0AEA">
      <w:pPr>
        <w:spacing w:line="360" w:lineRule="auto"/>
        <w:jc w:val="both"/>
        <w:rPr>
          <w:rFonts w:ascii="Arial" w:hAnsi="Arial" w:cs="Arial"/>
          <w:b/>
          <w:i/>
        </w:rPr>
      </w:pPr>
      <w:r w:rsidRPr="007F0AEA">
        <w:rPr>
          <w:rFonts w:ascii="Arial" w:hAnsi="Arial" w:cs="Arial"/>
          <w:b/>
          <w:i/>
        </w:rPr>
        <w:t>Australia</w:t>
      </w:r>
    </w:p>
    <w:p w14:paraId="03E7C85A"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Australian people </w:t>
      </w:r>
      <w:proofErr w:type="gramStart"/>
      <w:r w:rsidRPr="007F0AEA">
        <w:rPr>
          <w:rFonts w:ascii="Arial" w:hAnsi="Arial" w:cs="Arial"/>
        </w:rPr>
        <w:t>tends</w:t>
      </w:r>
      <w:proofErr w:type="gramEnd"/>
      <w:r w:rsidRPr="007F0AEA">
        <w:rPr>
          <w:rFonts w:ascii="Arial" w:hAnsi="Arial" w:cs="Arial"/>
        </w:rPr>
        <w:t xml:space="preserve"> to live healthier lifestyle with a superior climate where the British people are more sophisticate people in terms of maintaining cultural heritage, which indicate a significant cultural difference among these two countries citizens. In terms of work culture, the Australians choose social life over work life that allows the people to maintain an open culture in the workplace where the British people are dedicated to productivity and discipline rather than an open culture </w:t>
      </w:r>
      <w:sdt>
        <w:sdtPr>
          <w:rPr>
            <w:rFonts w:ascii="Arial" w:hAnsi="Arial" w:cs="Arial"/>
          </w:rPr>
          <w:id w:val="881603382"/>
          <w:citation/>
        </w:sdtPr>
        <w:sdtContent>
          <w:r w:rsidRPr="007F0AEA">
            <w:rPr>
              <w:rFonts w:ascii="Arial" w:hAnsi="Arial" w:cs="Arial"/>
            </w:rPr>
            <w:fldChar w:fldCharType="begin"/>
          </w:r>
          <w:r w:rsidRPr="007F0AEA">
            <w:rPr>
              <w:rFonts w:ascii="Arial" w:hAnsi="Arial" w:cs="Arial"/>
              <w:lang w:val="en-US"/>
            </w:rPr>
            <w:instrText xml:space="preserve"> CITATION Vay20 \l 1033 </w:instrText>
          </w:r>
          <w:r w:rsidRPr="007F0AEA">
            <w:rPr>
              <w:rFonts w:ascii="Arial" w:hAnsi="Arial" w:cs="Arial"/>
            </w:rPr>
            <w:fldChar w:fldCharType="separate"/>
          </w:r>
          <w:r w:rsidRPr="007F0AEA">
            <w:rPr>
              <w:rFonts w:ascii="Arial" w:hAnsi="Arial" w:cs="Arial"/>
              <w:noProof/>
              <w:lang w:val="en-US"/>
            </w:rPr>
            <w:t>(Vayro, et al., 2020)</w:t>
          </w:r>
          <w:r w:rsidRPr="007F0AEA">
            <w:rPr>
              <w:rFonts w:ascii="Arial" w:hAnsi="Arial" w:cs="Arial"/>
            </w:rPr>
            <w:fldChar w:fldCharType="end"/>
          </w:r>
        </w:sdtContent>
      </w:sdt>
      <w:r w:rsidRPr="007F0AEA">
        <w:rPr>
          <w:rFonts w:ascii="Arial" w:hAnsi="Arial" w:cs="Arial"/>
        </w:rPr>
        <w:t xml:space="preserve">. Due to this uncertainty avoidance culture, the Australian people are considered more attracted to parties and drinking, which is required to be acknowledged by the hospitality employees in the UK. Apart from this, the </w:t>
      </w:r>
      <w:proofErr w:type="gramStart"/>
      <w:r w:rsidRPr="007F0AEA">
        <w:rPr>
          <w:rFonts w:ascii="Arial" w:hAnsi="Arial" w:cs="Arial"/>
        </w:rPr>
        <w:t>can do</w:t>
      </w:r>
      <w:proofErr w:type="gramEnd"/>
      <w:r w:rsidRPr="007F0AEA">
        <w:rPr>
          <w:rFonts w:ascii="Arial" w:hAnsi="Arial" w:cs="Arial"/>
        </w:rPr>
        <w:t xml:space="preserve"> attitude of the Australians do not make them open for feedback, rigid, and intolerant to changes, whereas the British people are considered more accepting of failures than the Australians. In terms of behaviours and customs, the Australians are friendlier than the British where their stereotypical attitude allow talk to other on the roads without being formal. Therefore, the hotel employees are needed to be friendlier without being more formal to the Australians, which would allow them to satisfy the guests.</w:t>
      </w:r>
    </w:p>
    <w:p w14:paraId="56F892FA" w14:textId="77777777" w:rsidR="007F0AEA" w:rsidRDefault="007F0AEA" w:rsidP="007F0AEA">
      <w:pPr>
        <w:spacing w:line="360" w:lineRule="auto"/>
        <w:jc w:val="both"/>
        <w:rPr>
          <w:rFonts w:ascii="Arial" w:hAnsi="Arial" w:cs="Arial"/>
          <w:b/>
          <w:i/>
        </w:rPr>
      </w:pPr>
    </w:p>
    <w:p w14:paraId="31B47AE0" w14:textId="77777777" w:rsidR="007F0AEA" w:rsidRDefault="007F0AEA" w:rsidP="007F0AEA">
      <w:pPr>
        <w:spacing w:line="360" w:lineRule="auto"/>
        <w:jc w:val="both"/>
        <w:rPr>
          <w:rFonts w:ascii="Arial" w:hAnsi="Arial" w:cs="Arial"/>
          <w:b/>
          <w:i/>
        </w:rPr>
      </w:pPr>
    </w:p>
    <w:p w14:paraId="2721551B" w14:textId="77777777" w:rsidR="007F0AEA" w:rsidRDefault="007F0AEA" w:rsidP="007F0AEA">
      <w:pPr>
        <w:spacing w:line="360" w:lineRule="auto"/>
        <w:jc w:val="both"/>
        <w:rPr>
          <w:rFonts w:ascii="Arial" w:hAnsi="Arial" w:cs="Arial"/>
          <w:b/>
          <w:i/>
        </w:rPr>
      </w:pPr>
    </w:p>
    <w:p w14:paraId="300BB8CF" w14:textId="77777777" w:rsidR="007F0AEA" w:rsidRDefault="007F0AEA" w:rsidP="007F0AEA">
      <w:pPr>
        <w:spacing w:line="360" w:lineRule="auto"/>
        <w:jc w:val="both"/>
        <w:rPr>
          <w:rFonts w:ascii="Arial" w:hAnsi="Arial" w:cs="Arial"/>
          <w:b/>
          <w:i/>
        </w:rPr>
      </w:pPr>
    </w:p>
    <w:p w14:paraId="6DFDCB5B" w14:textId="44CAB843" w:rsidR="007F0AEA" w:rsidRPr="007F0AEA" w:rsidRDefault="007F0AEA" w:rsidP="007F0AEA">
      <w:pPr>
        <w:spacing w:line="360" w:lineRule="auto"/>
        <w:jc w:val="both"/>
        <w:rPr>
          <w:rFonts w:ascii="Arial" w:hAnsi="Arial" w:cs="Arial"/>
          <w:b/>
          <w:i/>
        </w:rPr>
      </w:pPr>
      <w:r w:rsidRPr="007F0AEA">
        <w:rPr>
          <w:rFonts w:ascii="Arial" w:hAnsi="Arial" w:cs="Arial"/>
          <w:b/>
          <w:i/>
        </w:rPr>
        <w:t>New Zealand</w:t>
      </w:r>
    </w:p>
    <w:p w14:paraId="3C6F57C6"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The sense of national identity greater than the people in the UK distinguish the people of the New Zealand in terms of customs and behaviours where the open-minded and friendly behaviour to all types of people make them more welcoming </w:t>
      </w:r>
      <w:sdt>
        <w:sdtPr>
          <w:rPr>
            <w:rFonts w:ascii="Arial" w:hAnsi="Arial" w:cs="Arial"/>
          </w:rPr>
          <w:id w:val="383302528"/>
          <w:citation/>
        </w:sdtPr>
        <w:sdtContent>
          <w:r w:rsidRPr="007F0AEA">
            <w:rPr>
              <w:rFonts w:ascii="Arial" w:hAnsi="Arial" w:cs="Arial"/>
            </w:rPr>
            <w:fldChar w:fldCharType="begin"/>
          </w:r>
          <w:r w:rsidRPr="007F0AEA">
            <w:rPr>
              <w:rFonts w:ascii="Arial" w:hAnsi="Arial" w:cs="Arial"/>
              <w:lang w:val="en-US"/>
            </w:rPr>
            <w:instrText xml:space="preserve"> CITATION Gon21 \l 1033 </w:instrText>
          </w:r>
          <w:r w:rsidRPr="007F0AEA">
            <w:rPr>
              <w:rFonts w:ascii="Arial" w:hAnsi="Arial" w:cs="Arial"/>
            </w:rPr>
            <w:fldChar w:fldCharType="separate"/>
          </w:r>
          <w:r w:rsidRPr="007F0AEA">
            <w:rPr>
              <w:rFonts w:ascii="Arial" w:hAnsi="Arial" w:cs="Arial"/>
              <w:noProof/>
              <w:lang w:val="en-US"/>
            </w:rPr>
            <w:t>(Gong, et al., 2021)</w:t>
          </w:r>
          <w:r w:rsidRPr="007F0AEA">
            <w:rPr>
              <w:rFonts w:ascii="Arial" w:hAnsi="Arial" w:cs="Arial"/>
            </w:rPr>
            <w:fldChar w:fldCharType="end"/>
          </w:r>
        </w:sdtContent>
      </w:sdt>
      <w:r w:rsidRPr="007F0AEA">
        <w:rPr>
          <w:rFonts w:ascii="Arial" w:hAnsi="Arial" w:cs="Arial"/>
        </w:rPr>
        <w:t xml:space="preserve">. The strong focus on the coffee in the morning also distinguish the people of New Zealand than the British, which should be maintained by the hoteliers in terms of satisfying the guest. The liberal culture of the people is also considered a significant cultural aspect of the people in New Zealand that indicates their commitment towards traditional values and supporting other cultures as well. Moreover, the culture of eating more ready to eat foods determines the eating pattern of the people in this country where the hotels and supermarkets contribute highly </w:t>
      </w:r>
      <w:proofErr w:type="gramStart"/>
      <w:r w:rsidRPr="007F0AEA">
        <w:rPr>
          <w:rFonts w:ascii="Arial" w:hAnsi="Arial" w:cs="Arial"/>
        </w:rPr>
        <w:t>in</w:t>
      </w:r>
      <w:proofErr w:type="gramEnd"/>
      <w:r w:rsidRPr="007F0AEA">
        <w:rPr>
          <w:rFonts w:ascii="Arial" w:hAnsi="Arial" w:cs="Arial"/>
        </w:rPr>
        <w:t xml:space="preserve"> this cultural change </w:t>
      </w:r>
      <w:sdt>
        <w:sdtPr>
          <w:rPr>
            <w:rFonts w:ascii="Arial" w:hAnsi="Arial" w:cs="Arial"/>
          </w:rPr>
          <w:id w:val="1117638163"/>
          <w:citation/>
        </w:sdtPr>
        <w:sdtContent>
          <w:r w:rsidRPr="007F0AEA">
            <w:rPr>
              <w:rFonts w:ascii="Arial" w:hAnsi="Arial" w:cs="Arial"/>
            </w:rPr>
            <w:fldChar w:fldCharType="begin"/>
          </w:r>
          <w:r w:rsidRPr="007F0AEA">
            <w:rPr>
              <w:rFonts w:ascii="Arial" w:hAnsi="Arial" w:cs="Arial"/>
              <w:lang w:val="en-US"/>
            </w:rPr>
            <w:instrText xml:space="preserve"> CITATION NZQ22 \l 1033 </w:instrText>
          </w:r>
          <w:r w:rsidRPr="007F0AEA">
            <w:rPr>
              <w:rFonts w:ascii="Arial" w:hAnsi="Arial" w:cs="Arial"/>
            </w:rPr>
            <w:fldChar w:fldCharType="separate"/>
          </w:r>
          <w:r w:rsidRPr="007F0AEA">
            <w:rPr>
              <w:rFonts w:ascii="Arial" w:hAnsi="Arial" w:cs="Arial"/>
              <w:noProof/>
              <w:lang w:val="en-US"/>
            </w:rPr>
            <w:t>(NZQA, 2022)</w:t>
          </w:r>
          <w:r w:rsidRPr="007F0AEA">
            <w:rPr>
              <w:rFonts w:ascii="Arial" w:hAnsi="Arial" w:cs="Arial"/>
            </w:rPr>
            <w:fldChar w:fldCharType="end"/>
          </w:r>
        </w:sdtContent>
      </w:sdt>
      <w:r w:rsidRPr="007F0AEA">
        <w:rPr>
          <w:rFonts w:ascii="Arial" w:hAnsi="Arial" w:cs="Arial"/>
        </w:rPr>
        <w:t>. Therefore, these factors are essential to satisfy the Kiwis in the hotels of the UK, which will help to retain customers and increase visits.</w:t>
      </w:r>
    </w:p>
    <w:p w14:paraId="16870832" w14:textId="77777777" w:rsidR="007F0AEA" w:rsidRPr="007F0AEA" w:rsidRDefault="007F0AEA" w:rsidP="007F0AEA">
      <w:pPr>
        <w:spacing w:line="360" w:lineRule="auto"/>
        <w:jc w:val="both"/>
        <w:rPr>
          <w:rFonts w:ascii="Arial" w:hAnsi="Arial" w:cs="Arial"/>
          <w:b/>
          <w:i/>
        </w:rPr>
      </w:pPr>
      <w:r w:rsidRPr="007F0AEA">
        <w:rPr>
          <w:rFonts w:ascii="Arial" w:hAnsi="Arial" w:cs="Arial"/>
          <w:b/>
          <w:i/>
        </w:rPr>
        <w:t>Italy</w:t>
      </w:r>
    </w:p>
    <w:p w14:paraId="555221A8"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Gesticulation is one of the most significant cultural </w:t>
      </w:r>
      <w:proofErr w:type="gramStart"/>
      <w:r w:rsidRPr="007F0AEA">
        <w:rPr>
          <w:rFonts w:ascii="Arial" w:hAnsi="Arial" w:cs="Arial"/>
        </w:rPr>
        <w:t>characteristic</w:t>
      </w:r>
      <w:proofErr w:type="gramEnd"/>
      <w:r w:rsidRPr="007F0AEA">
        <w:rPr>
          <w:rFonts w:ascii="Arial" w:hAnsi="Arial" w:cs="Arial"/>
        </w:rPr>
        <w:t xml:space="preserve"> of the Italian people as they use a lot of gestures while talking to other people or describe anything </w:t>
      </w:r>
      <w:sdt>
        <w:sdtPr>
          <w:rPr>
            <w:rFonts w:ascii="Arial" w:hAnsi="Arial" w:cs="Arial"/>
          </w:rPr>
          <w:id w:val="1915510754"/>
          <w:citation/>
        </w:sdtPr>
        <w:sdtContent>
          <w:r w:rsidRPr="007F0AEA">
            <w:rPr>
              <w:rFonts w:ascii="Arial" w:hAnsi="Arial" w:cs="Arial"/>
            </w:rPr>
            <w:fldChar w:fldCharType="begin"/>
          </w:r>
          <w:r w:rsidRPr="007F0AEA">
            <w:rPr>
              <w:rFonts w:ascii="Arial" w:hAnsi="Arial" w:cs="Arial"/>
              <w:lang w:val="en-US"/>
            </w:rPr>
            <w:instrText xml:space="preserve"> CITATION Orl21 \l 1033 </w:instrText>
          </w:r>
          <w:r w:rsidRPr="007F0AEA">
            <w:rPr>
              <w:rFonts w:ascii="Arial" w:hAnsi="Arial" w:cs="Arial"/>
            </w:rPr>
            <w:fldChar w:fldCharType="separate"/>
          </w:r>
          <w:r w:rsidRPr="007F0AEA">
            <w:rPr>
              <w:rFonts w:ascii="Arial" w:hAnsi="Arial" w:cs="Arial"/>
              <w:noProof/>
              <w:lang w:val="en-US"/>
            </w:rPr>
            <w:t>(Orlandi, et al., 2021)</w:t>
          </w:r>
          <w:r w:rsidRPr="007F0AEA">
            <w:rPr>
              <w:rFonts w:ascii="Arial" w:hAnsi="Arial" w:cs="Arial"/>
            </w:rPr>
            <w:fldChar w:fldCharType="end"/>
          </w:r>
        </w:sdtContent>
      </w:sdt>
      <w:r w:rsidRPr="007F0AEA">
        <w:rPr>
          <w:rFonts w:ascii="Arial" w:hAnsi="Arial" w:cs="Arial"/>
        </w:rPr>
        <w:t xml:space="preserve">. </w:t>
      </w:r>
      <w:proofErr w:type="gramStart"/>
      <w:r w:rsidRPr="007F0AEA">
        <w:rPr>
          <w:rFonts w:ascii="Arial" w:hAnsi="Arial" w:cs="Arial"/>
        </w:rPr>
        <w:t>Moreover</w:t>
      </w:r>
      <w:proofErr w:type="gramEnd"/>
      <w:r w:rsidRPr="007F0AEA">
        <w:rPr>
          <w:rFonts w:ascii="Arial" w:hAnsi="Arial" w:cs="Arial"/>
        </w:rPr>
        <w:t xml:space="preserve"> their friendly attitude allow them to talk loudly, which is to be acknowledged by the hoteliers in the UK in order to enhance customer satisfaction. The Italian people are more family oriented as they love to spend time with their family rather than partying with friends, which represents their collectivism culture where the British people are mostly attracted to working and maintaining their rich heritage culture. Their generous and hospitable behaviour rather than formal attitude help the hoteliers to satisfy them easily. Apart from this, the love for pizza of the Italians is also considered a significant cultural factor, which is required to be acknowledged in the hotels for providing F&amp;B services.</w:t>
      </w:r>
    </w:p>
    <w:p w14:paraId="4AE20C69" w14:textId="77777777" w:rsidR="007F0AEA" w:rsidRPr="007F0AEA" w:rsidRDefault="007F0AEA" w:rsidP="007F0AEA">
      <w:pPr>
        <w:spacing w:line="360" w:lineRule="auto"/>
        <w:jc w:val="both"/>
        <w:rPr>
          <w:rFonts w:ascii="Arial" w:hAnsi="Arial" w:cs="Arial"/>
          <w:b/>
          <w:i/>
        </w:rPr>
      </w:pPr>
      <w:r w:rsidRPr="007F0AEA">
        <w:rPr>
          <w:rFonts w:ascii="Arial" w:hAnsi="Arial" w:cs="Arial"/>
          <w:b/>
          <w:i/>
        </w:rPr>
        <w:t>Switzerland</w:t>
      </w:r>
    </w:p>
    <w:p w14:paraId="4F152EDA" w14:textId="77777777" w:rsidR="007F0AEA" w:rsidRDefault="007F0AEA" w:rsidP="007F0AEA">
      <w:pPr>
        <w:spacing w:line="360" w:lineRule="auto"/>
        <w:jc w:val="both"/>
        <w:rPr>
          <w:rFonts w:ascii="Arial" w:hAnsi="Arial" w:cs="Arial"/>
        </w:rPr>
      </w:pPr>
      <w:r w:rsidRPr="007F0AEA">
        <w:rPr>
          <w:rFonts w:ascii="Arial" w:hAnsi="Arial" w:cs="Arial"/>
        </w:rPr>
        <w:t xml:space="preserve">In terms of cultural aspect, people of the Swiss people are considered more materialistic in terms of masculine culture than the British people as they are more attracted to maintaining the importance of money in terms of savings </w:t>
      </w:r>
      <w:sdt>
        <w:sdtPr>
          <w:rPr>
            <w:rFonts w:ascii="Arial" w:hAnsi="Arial" w:cs="Arial"/>
          </w:rPr>
          <w:id w:val="-999877429"/>
          <w:citation/>
        </w:sdtPr>
        <w:sdtContent>
          <w:r w:rsidRPr="007F0AEA">
            <w:rPr>
              <w:rFonts w:ascii="Arial" w:hAnsi="Arial" w:cs="Arial"/>
            </w:rPr>
            <w:fldChar w:fldCharType="begin"/>
          </w:r>
          <w:r w:rsidRPr="007F0AEA">
            <w:rPr>
              <w:rFonts w:ascii="Arial" w:hAnsi="Arial" w:cs="Arial"/>
              <w:lang w:val="en-US"/>
            </w:rPr>
            <w:instrText xml:space="preserve"> CITATION Din18 \l 1033 </w:instrText>
          </w:r>
          <w:r w:rsidRPr="007F0AEA">
            <w:rPr>
              <w:rFonts w:ascii="Arial" w:hAnsi="Arial" w:cs="Arial"/>
            </w:rPr>
            <w:fldChar w:fldCharType="separate"/>
          </w:r>
          <w:r w:rsidRPr="007F0AEA">
            <w:rPr>
              <w:rFonts w:ascii="Arial" w:hAnsi="Arial" w:cs="Arial"/>
              <w:noProof/>
              <w:lang w:val="en-US"/>
            </w:rPr>
            <w:t>(Dingerkus, et al., 2018)</w:t>
          </w:r>
          <w:r w:rsidRPr="007F0AEA">
            <w:rPr>
              <w:rFonts w:ascii="Arial" w:hAnsi="Arial" w:cs="Arial"/>
            </w:rPr>
            <w:fldChar w:fldCharType="end"/>
          </w:r>
        </w:sdtContent>
      </w:sdt>
      <w:r w:rsidRPr="007F0AEA">
        <w:rPr>
          <w:rFonts w:ascii="Arial" w:hAnsi="Arial" w:cs="Arial"/>
        </w:rPr>
        <w:t xml:space="preserve">. The people of Switzerland greet all the people as per their custom, which makes them friendlier than the formal behaviour of the British people where greeting is considered a nice gesture for the hoteliers to satisfy them. The use of chewing gums is an impolite attitude for the Swiss people where the hoteliers are required to avoid this activity </w:t>
      </w:r>
      <w:proofErr w:type="gramStart"/>
      <w:r w:rsidRPr="007F0AEA">
        <w:rPr>
          <w:rFonts w:ascii="Arial" w:hAnsi="Arial" w:cs="Arial"/>
        </w:rPr>
        <w:t>in order to</w:t>
      </w:r>
      <w:proofErr w:type="gramEnd"/>
      <w:r w:rsidRPr="007F0AEA">
        <w:rPr>
          <w:rFonts w:ascii="Arial" w:hAnsi="Arial" w:cs="Arial"/>
        </w:rPr>
        <w:t xml:space="preserve"> avoid any insulting behaviour. The Swiss cuisine mostly include cheese and cream along with veg meals, which represent </w:t>
      </w:r>
    </w:p>
    <w:p w14:paraId="4762CBA9" w14:textId="77777777" w:rsidR="007F0AEA" w:rsidRDefault="007F0AEA" w:rsidP="007F0AEA">
      <w:pPr>
        <w:spacing w:line="360" w:lineRule="auto"/>
        <w:jc w:val="both"/>
        <w:rPr>
          <w:rFonts w:ascii="Arial" w:hAnsi="Arial" w:cs="Arial"/>
        </w:rPr>
      </w:pPr>
    </w:p>
    <w:p w14:paraId="12635EDF" w14:textId="77777777" w:rsidR="007F0AEA" w:rsidRDefault="007F0AEA" w:rsidP="007F0AEA">
      <w:pPr>
        <w:spacing w:line="360" w:lineRule="auto"/>
        <w:jc w:val="both"/>
        <w:rPr>
          <w:rFonts w:ascii="Arial" w:hAnsi="Arial" w:cs="Arial"/>
        </w:rPr>
      </w:pPr>
    </w:p>
    <w:p w14:paraId="5D0304F0" w14:textId="342BE0FF" w:rsidR="007F0AEA" w:rsidRPr="007F0AEA" w:rsidRDefault="007F0AEA" w:rsidP="007F0AEA">
      <w:pPr>
        <w:spacing w:line="360" w:lineRule="auto"/>
        <w:jc w:val="both"/>
        <w:rPr>
          <w:rFonts w:ascii="Arial" w:hAnsi="Arial" w:cs="Arial"/>
        </w:rPr>
      </w:pPr>
      <w:r w:rsidRPr="007F0AEA">
        <w:rPr>
          <w:rFonts w:ascii="Arial" w:hAnsi="Arial" w:cs="Arial"/>
        </w:rPr>
        <w:t>the eating habit of the people in Switzerland. Hence, acknowledging this factor allow the employees of hotels in the UK to provide recommended justification to the Swiss people and increase satisfaction.</w:t>
      </w:r>
    </w:p>
    <w:p w14:paraId="57E16180" w14:textId="77777777" w:rsidR="007F0AEA" w:rsidRPr="007F0AEA" w:rsidRDefault="007F0AEA" w:rsidP="007F0AEA">
      <w:pPr>
        <w:pStyle w:val="Heading1"/>
        <w:rPr>
          <w:rFonts w:ascii="Arial" w:hAnsi="Arial" w:cs="Arial"/>
          <w:b/>
          <w:sz w:val="24"/>
          <w:szCs w:val="24"/>
        </w:rPr>
      </w:pPr>
      <w:bookmarkStart w:id="2" w:name="_Toc106903457"/>
      <w:proofErr w:type="gramStart"/>
      <w:r w:rsidRPr="007F0AEA">
        <w:rPr>
          <w:rFonts w:ascii="Arial" w:hAnsi="Arial" w:cs="Arial"/>
          <w:sz w:val="24"/>
          <w:szCs w:val="24"/>
        </w:rPr>
        <w:t>Do’s</w:t>
      </w:r>
      <w:proofErr w:type="gramEnd"/>
      <w:r w:rsidRPr="007F0AEA">
        <w:rPr>
          <w:rFonts w:ascii="Arial" w:hAnsi="Arial" w:cs="Arial"/>
          <w:sz w:val="24"/>
          <w:szCs w:val="24"/>
        </w:rPr>
        <w:t xml:space="preserve"> and Don’ts for the hotel staffs regarding cultural awareness</w:t>
      </w:r>
      <w:bookmarkEnd w:id="2"/>
    </w:p>
    <w:p w14:paraId="7C663E11" w14:textId="77777777" w:rsidR="007F0AEA" w:rsidRPr="007F0AEA" w:rsidRDefault="007F0AEA" w:rsidP="007F0AEA">
      <w:pPr>
        <w:spacing w:line="360" w:lineRule="auto"/>
        <w:jc w:val="both"/>
        <w:rPr>
          <w:rFonts w:ascii="Arial" w:hAnsi="Arial" w:cs="Arial"/>
        </w:rPr>
      </w:pPr>
      <w:r w:rsidRPr="007F0AEA">
        <w:rPr>
          <w:rFonts w:ascii="Arial" w:hAnsi="Arial" w:cs="Arial"/>
        </w:rPr>
        <w:t xml:space="preserve">The </w:t>
      </w:r>
      <w:proofErr w:type="gramStart"/>
      <w:r w:rsidRPr="007F0AEA">
        <w:rPr>
          <w:rFonts w:ascii="Arial" w:hAnsi="Arial" w:cs="Arial"/>
        </w:rPr>
        <w:t>do’s</w:t>
      </w:r>
      <w:proofErr w:type="gramEnd"/>
      <w:r w:rsidRPr="007F0AEA">
        <w:rPr>
          <w:rFonts w:ascii="Arial" w:hAnsi="Arial" w:cs="Arial"/>
        </w:rPr>
        <w:t xml:space="preserve"> and don’ts are based on the cultural behaviours and customs of people from different countries, which allow the hotel staffs to encounter the international guests successfully without offending or insulting them with any kind of activity.</w:t>
      </w:r>
    </w:p>
    <w:tbl>
      <w:tblPr>
        <w:tblStyle w:val="TableGrid"/>
        <w:tblW w:w="0" w:type="auto"/>
        <w:tblLook w:val="04A0" w:firstRow="1" w:lastRow="0" w:firstColumn="1" w:lastColumn="0" w:noHBand="0" w:noVBand="1"/>
      </w:tblPr>
      <w:tblGrid>
        <w:gridCol w:w="1705"/>
        <w:gridCol w:w="7645"/>
      </w:tblGrid>
      <w:tr w:rsidR="007F0AEA" w:rsidRPr="007F0AEA" w14:paraId="16504B48" w14:textId="77777777" w:rsidTr="005D496A">
        <w:tc>
          <w:tcPr>
            <w:tcW w:w="1705" w:type="dxa"/>
          </w:tcPr>
          <w:p w14:paraId="796818D2" w14:textId="77777777" w:rsidR="007F0AEA" w:rsidRPr="007F0AEA" w:rsidRDefault="007F0AEA" w:rsidP="007F0AEA">
            <w:pPr>
              <w:spacing w:line="360" w:lineRule="auto"/>
              <w:jc w:val="both"/>
              <w:rPr>
                <w:rFonts w:ascii="Arial" w:hAnsi="Arial" w:cs="Arial"/>
              </w:rPr>
            </w:pPr>
            <w:r w:rsidRPr="007F0AEA">
              <w:rPr>
                <w:rFonts w:ascii="Arial" w:hAnsi="Arial" w:cs="Arial"/>
              </w:rPr>
              <w:t>Do’s</w:t>
            </w:r>
          </w:p>
        </w:tc>
        <w:tc>
          <w:tcPr>
            <w:tcW w:w="7645" w:type="dxa"/>
          </w:tcPr>
          <w:p w14:paraId="298D19DD"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Be courteous and polite in every situation with every staff</w:t>
            </w:r>
          </w:p>
          <w:p w14:paraId="25260A94"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Always greet with a smile</w:t>
            </w:r>
          </w:p>
          <w:p w14:paraId="3F709AB2"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Use decent hand gestures while talking</w:t>
            </w:r>
          </w:p>
          <w:p w14:paraId="5DEB6AB7"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Maintain eye contact, especially while communicating to the guests</w:t>
            </w:r>
          </w:p>
          <w:p w14:paraId="2B69D655"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Always ask for preferred options for food or any kind of service</w:t>
            </w:r>
          </w:p>
        </w:tc>
      </w:tr>
      <w:tr w:rsidR="007F0AEA" w:rsidRPr="007F0AEA" w14:paraId="5AF4CC30" w14:textId="77777777" w:rsidTr="005D496A">
        <w:tc>
          <w:tcPr>
            <w:tcW w:w="1705" w:type="dxa"/>
          </w:tcPr>
          <w:p w14:paraId="2164B8D0" w14:textId="77777777" w:rsidR="007F0AEA" w:rsidRPr="007F0AEA" w:rsidRDefault="007F0AEA" w:rsidP="007F0AEA">
            <w:pPr>
              <w:spacing w:line="360" w:lineRule="auto"/>
              <w:jc w:val="both"/>
              <w:rPr>
                <w:rFonts w:ascii="Arial" w:hAnsi="Arial" w:cs="Arial"/>
              </w:rPr>
            </w:pPr>
            <w:r w:rsidRPr="007F0AEA">
              <w:rPr>
                <w:rFonts w:ascii="Arial" w:hAnsi="Arial" w:cs="Arial"/>
              </w:rPr>
              <w:t>Don’ts</w:t>
            </w:r>
          </w:p>
        </w:tc>
        <w:tc>
          <w:tcPr>
            <w:tcW w:w="7645" w:type="dxa"/>
          </w:tcPr>
          <w:p w14:paraId="3012CB1F"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Be over-friendly in every situation</w:t>
            </w:r>
          </w:p>
          <w:p w14:paraId="5C0729A5"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Use chewing gum in front of any guest</w:t>
            </w:r>
          </w:p>
          <w:p w14:paraId="19D5806D"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Provide suggestions without understanding the culture or background of the guest</w:t>
            </w:r>
          </w:p>
          <w:p w14:paraId="2EAC9523"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Avoid greetings in the morning or not asking for coffee or tea</w:t>
            </w:r>
          </w:p>
          <w:p w14:paraId="2DE23AC1" w14:textId="77777777" w:rsidR="007F0AEA" w:rsidRPr="007F0AEA" w:rsidRDefault="007F0AEA" w:rsidP="007F0AEA">
            <w:pPr>
              <w:pStyle w:val="ListParagraph"/>
              <w:numPr>
                <w:ilvl w:val="0"/>
                <w:numId w:val="31"/>
              </w:numPr>
              <w:spacing w:line="360" w:lineRule="auto"/>
              <w:jc w:val="both"/>
              <w:rPr>
                <w:rFonts w:ascii="Arial" w:hAnsi="Arial" w:cs="Arial"/>
              </w:rPr>
            </w:pPr>
            <w:r w:rsidRPr="007F0AEA">
              <w:rPr>
                <w:rFonts w:ascii="Arial" w:hAnsi="Arial" w:cs="Arial"/>
              </w:rPr>
              <w:t>Involve in arguments with the guests rather than being humble</w:t>
            </w:r>
          </w:p>
        </w:tc>
      </w:tr>
    </w:tbl>
    <w:p w14:paraId="7C4A319D" w14:textId="77777777" w:rsidR="007F0AEA" w:rsidRPr="007F0AEA" w:rsidRDefault="007F0AEA" w:rsidP="007F0AEA">
      <w:pPr>
        <w:spacing w:line="360" w:lineRule="auto"/>
        <w:jc w:val="both"/>
        <w:rPr>
          <w:rFonts w:ascii="Arial" w:hAnsi="Arial" w:cs="Arial"/>
        </w:rPr>
      </w:pPr>
    </w:p>
    <w:p w14:paraId="455E4E9E" w14:textId="77777777" w:rsidR="007F0AEA" w:rsidRPr="007F0AEA" w:rsidRDefault="007F0AEA" w:rsidP="007F0AEA">
      <w:pPr>
        <w:pStyle w:val="Heading1"/>
        <w:rPr>
          <w:rFonts w:ascii="Arial" w:hAnsi="Arial" w:cs="Arial"/>
          <w:b/>
          <w:sz w:val="24"/>
          <w:szCs w:val="24"/>
        </w:rPr>
      </w:pPr>
      <w:bookmarkStart w:id="3" w:name="_Toc106903458"/>
      <w:r w:rsidRPr="007F0AEA">
        <w:rPr>
          <w:rFonts w:ascii="Arial" w:hAnsi="Arial" w:cs="Arial"/>
          <w:sz w:val="24"/>
          <w:szCs w:val="24"/>
        </w:rPr>
        <w:t>Conclusion</w:t>
      </w:r>
      <w:bookmarkEnd w:id="3"/>
    </w:p>
    <w:p w14:paraId="4DFAE388" w14:textId="77777777" w:rsidR="007F0AEA" w:rsidRPr="007F0AEA" w:rsidRDefault="007F0AEA" w:rsidP="007F0AEA">
      <w:pPr>
        <w:spacing w:line="360" w:lineRule="auto"/>
        <w:jc w:val="both"/>
        <w:rPr>
          <w:rFonts w:ascii="Arial" w:hAnsi="Arial" w:cs="Arial"/>
        </w:rPr>
      </w:pPr>
      <w:r w:rsidRPr="007F0AEA">
        <w:rPr>
          <w:rFonts w:ascii="Arial" w:hAnsi="Arial" w:cs="Arial"/>
        </w:rPr>
        <w:t>This hotel handbook allows the hotel staffs in the UK to have a clear idea about the cultural behaviours and customs about the people of Australia, New Zealand, Italy, and Switzerland including the food habits and impolite attitudes. The Do’s and Don’ts allow the hoteliers to understand the things to be maintained while attending the guests and the things to be avoided like having chewing gum or arguing, which will be beneficial to increase customer satisfaction.</w:t>
      </w:r>
    </w:p>
    <w:p w14:paraId="2CF7B3F8" w14:textId="77777777" w:rsidR="007F0AEA" w:rsidRPr="007F0AEA" w:rsidRDefault="007F0AEA" w:rsidP="007F0AEA">
      <w:pPr>
        <w:spacing w:line="360" w:lineRule="auto"/>
        <w:jc w:val="both"/>
        <w:rPr>
          <w:rFonts w:ascii="Arial" w:hAnsi="Arial" w:cs="Arial"/>
        </w:rPr>
      </w:pPr>
      <w:r w:rsidRPr="007F0AEA">
        <w:rPr>
          <w:rFonts w:ascii="Arial" w:hAnsi="Arial" w:cs="Arial"/>
        </w:rPr>
        <w:br w:type="page"/>
      </w:r>
    </w:p>
    <w:p w14:paraId="35C00996" w14:textId="77777777" w:rsidR="007F0AEA" w:rsidRPr="007F0AEA" w:rsidRDefault="007F0AEA" w:rsidP="007F0AEA">
      <w:pPr>
        <w:pStyle w:val="Heading1"/>
        <w:rPr>
          <w:rFonts w:ascii="Arial" w:hAnsi="Arial" w:cs="Arial"/>
          <w:b/>
          <w:sz w:val="24"/>
          <w:szCs w:val="24"/>
        </w:rPr>
      </w:pPr>
      <w:bookmarkStart w:id="4" w:name="_Toc106903459"/>
      <w:r w:rsidRPr="007F0AEA">
        <w:rPr>
          <w:rFonts w:ascii="Arial" w:hAnsi="Arial" w:cs="Arial"/>
          <w:sz w:val="24"/>
          <w:szCs w:val="24"/>
        </w:rPr>
        <w:lastRenderedPageBreak/>
        <w:t>References</w:t>
      </w:r>
      <w:bookmarkEnd w:id="4"/>
    </w:p>
    <w:p w14:paraId="233C86D3"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Dingerkus, F., Dubied, A., Keel, G., Sacco, V., and Wyss, V. (2018). Journalists in Switzerland: Structures and attitudes revisited. </w:t>
      </w:r>
      <w:r w:rsidRPr="007F0AEA">
        <w:rPr>
          <w:rFonts w:ascii="Arial" w:hAnsi="Arial" w:cs="Arial"/>
          <w:i/>
          <w:iCs/>
          <w:noProof/>
        </w:rPr>
        <w:t>Studies in Communication Sciences, 18</w:t>
      </w:r>
      <w:r w:rsidRPr="007F0AEA">
        <w:rPr>
          <w:rFonts w:ascii="Arial" w:hAnsi="Arial" w:cs="Arial"/>
          <w:noProof/>
        </w:rPr>
        <w:t>(1), 117-129.</w:t>
      </w:r>
    </w:p>
    <w:p w14:paraId="640D237E"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Gong, Y., Gao, X., Li, M., and Lai, C. (2021). Cultural adaptation challenges and strategies during study abroad: New Zealand students. </w:t>
      </w:r>
      <w:r w:rsidRPr="007F0AEA">
        <w:rPr>
          <w:rFonts w:ascii="Arial" w:hAnsi="Arial" w:cs="Arial"/>
          <w:i/>
          <w:iCs/>
          <w:noProof/>
        </w:rPr>
        <w:t>Culture and Curriculum, 34</w:t>
      </w:r>
      <w:r w:rsidRPr="007F0AEA">
        <w:rPr>
          <w:rFonts w:ascii="Arial" w:hAnsi="Arial" w:cs="Arial"/>
          <w:noProof/>
        </w:rPr>
        <w:t>(4), 417-437.</w:t>
      </w:r>
    </w:p>
    <w:p w14:paraId="6717869E"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Jiang, Y., and Wang, J. (2018). A study of cultural empathy in foreign language teaching from the perspective of cross-cultural communication. </w:t>
      </w:r>
      <w:r w:rsidRPr="007F0AEA">
        <w:rPr>
          <w:rFonts w:ascii="Arial" w:hAnsi="Arial" w:cs="Arial"/>
          <w:i/>
          <w:iCs/>
          <w:noProof/>
        </w:rPr>
        <w:t>Theory and Practice in Language Studies, 12</w:t>
      </w:r>
      <w:r w:rsidRPr="007F0AEA">
        <w:rPr>
          <w:rFonts w:ascii="Arial" w:hAnsi="Arial" w:cs="Arial"/>
          <w:noProof/>
        </w:rPr>
        <w:t>(8), 1664-1670, DOI: DOI: 10.17507/tpls.0812.12.</w:t>
      </w:r>
    </w:p>
    <w:p w14:paraId="0C94402E"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Mahfud, Y., Badea, C., Verkuyten, M., and Reynolds, K. (2018). Multiculturalism and attitudes toward immigrants: The impact of perceived cultural distance. </w:t>
      </w:r>
      <w:r w:rsidRPr="007F0AEA">
        <w:rPr>
          <w:rFonts w:ascii="Arial" w:hAnsi="Arial" w:cs="Arial"/>
          <w:i/>
          <w:iCs/>
          <w:noProof/>
        </w:rPr>
        <w:t>Journal of Cross-Cultural Psychology, 49</w:t>
      </w:r>
      <w:r w:rsidRPr="007F0AEA">
        <w:rPr>
          <w:rFonts w:ascii="Arial" w:hAnsi="Arial" w:cs="Arial"/>
          <w:noProof/>
        </w:rPr>
        <w:t>(6), 945-958; DOI: 10.1177/0022022117730828.</w:t>
      </w:r>
    </w:p>
    <w:p w14:paraId="2E6EE3F4"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NZQA. (2022). </w:t>
      </w:r>
      <w:r w:rsidRPr="007F0AEA">
        <w:rPr>
          <w:rFonts w:ascii="Arial" w:hAnsi="Arial" w:cs="Arial"/>
          <w:i/>
          <w:iCs/>
          <w:noProof/>
        </w:rPr>
        <w:t>The last fifty years have seen major changes in the way- NZQA</w:t>
      </w:r>
      <w:r w:rsidRPr="007F0AEA">
        <w:rPr>
          <w:rFonts w:ascii="Arial" w:hAnsi="Arial" w:cs="Arial"/>
          <w:noProof/>
        </w:rPr>
        <w:t>. Retrieved June 23, 2022, from https://www.nzqa.govt.nz/assets/qualifications-and-standards/qualifications/ncea/NCEA-subject-resources/home-economics/91469/91469-EXP-student1-001.pdf</w:t>
      </w:r>
    </w:p>
    <w:p w14:paraId="6F2BC6CD" w14:textId="77777777" w:rsidR="007F0AEA" w:rsidRPr="007F0AEA" w:rsidRDefault="007F0AEA" w:rsidP="007F0AEA">
      <w:pPr>
        <w:spacing w:line="360" w:lineRule="auto"/>
        <w:jc w:val="both"/>
        <w:rPr>
          <w:rFonts w:ascii="Arial" w:hAnsi="Arial" w:cs="Arial"/>
          <w:noProof/>
        </w:rPr>
      </w:pPr>
      <w:r w:rsidRPr="007F0AEA">
        <w:rPr>
          <w:rFonts w:ascii="Arial" w:hAnsi="Arial" w:cs="Arial"/>
          <w:noProof/>
        </w:rPr>
        <w:t xml:space="preserve">Orlandi, M., Rosselli, M., Pellegrino, A., Boddi, M., Stefani, L., Toncelli, L., and Modesti, P. (2021). Gender differences in the impact on physical activity and lifestyle in Italy during the lockdown, due to the COVID-19 pandemic. </w:t>
      </w:r>
      <w:r w:rsidRPr="007F0AEA">
        <w:rPr>
          <w:rFonts w:ascii="Arial" w:hAnsi="Arial" w:cs="Arial"/>
          <w:i/>
          <w:iCs/>
          <w:noProof/>
        </w:rPr>
        <w:t>Nutrition, Metabolism and Cardiovascular Diseases, 31</w:t>
      </w:r>
      <w:r w:rsidRPr="007F0AEA">
        <w:rPr>
          <w:rFonts w:ascii="Arial" w:hAnsi="Arial" w:cs="Arial"/>
          <w:noProof/>
        </w:rPr>
        <w:t>(7), 2173-2180.</w:t>
      </w:r>
    </w:p>
    <w:p w14:paraId="7D76AB64" w14:textId="77777777" w:rsidR="007F0AEA" w:rsidRPr="007F0AEA" w:rsidRDefault="007F0AEA" w:rsidP="007F0AEA">
      <w:pPr>
        <w:spacing w:line="360" w:lineRule="auto"/>
        <w:jc w:val="both"/>
        <w:rPr>
          <w:rFonts w:ascii="Arial" w:hAnsi="Arial" w:cs="Arial"/>
        </w:rPr>
      </w:pPr>
      <w:r w:rsidRPr="007F0AEA">
        <w:rPr>
          <w:rFonts w:ascii="Arial" w:hAnsi="Arial" w:cs="Arial"/>
          <w:noProof/>
        </w:rPr>
        <w:t>Vayro, C., Brownlow, C., Ireland, M., and March, S. (2020). ‘Farming is not Just an Occupation [but] a Whole Lifestyle’: a qualitative examination of lifestyle and cultural factors affecting mental health help</w:t>
      </w:r>
      <w:r w:rsidRPr="007F0AEA">
        <w:rPr>
          <w:rFonts w:ascii="Cambria Math" w:hAnsi="Cambria Math" w:cs="Cambria Math"/>
          <w:noProof/>
        </w:rPr>
        <w:t>‐</w:t>
      </w:r>
      <w:r w:rsidRPr="007F0AEA">
        <w:rPr>
          <w:rFonts w:ascii="Arial" w:hAnsi="Arial" w:cs="Arial"/>
          <w:noProof/>
        </w:rPr>
        <w:t xml:space="preserve">seeking in Australian farmers. </w:t>
      </w:r>
      <w:r w:rsidRPr="007F0AEA">
        <w:rPr>
          <w:rFonts w:ascii="Arial" w:hAnsi="Arial" w:cs="Arial"/>
          <w:i/>
          <w:iCs/>
          <w:noProof/>
        </w:rPr>
        <w:t>Sociologia Ruralis, 60</w:t>
      </w:r>
      <w:r w:rsidRPr="007F0AEA">
        <w:rPr>
          <w:rFonts w:ascii="Arial" w:hAnsi="Arial" w:cs="Arial"/>
          <w:noProof/>
        </w:rPr>
        <w:t>(1), 151-173; DOI: 10.1111/soru.12274.</w:t>
      </w:r>
    </w:p>
    <w:p w14:paraId="4C9A2485" w14:textId="77777777" w:rsidR="007F0AEA" w:rsidRPr="007F0AEA" w:rsidRDefault="007F0AEA" w:rsidP="007F0AEA">
      <w:pPr>
        <w:spacing w:line="360" w:lineRule="auto"/>
        <w:jc w:val="both"/>
        <w:rPr>
          <w:rFonts w:ascii="Arial" w:hAnsi="Arial" w:cs="Arial"/>
        </w:rPr>
      </w:pPr>
    </w:p>
    <w:p w14:paraId="68E2D421" w14:textId="77777777" w:rsidR="007F0AEA" w:rsidRPr="00BF3277" w:rsidRDefault="007F0AEA" w:rsidP="00BF3277">
      <w:pPr>
        <w:spacing w:line="360" w:lineRule="auto"/>
        <w:jc w:val="center"/>
        <w:rPr>
          <w:rFonts w:ascii="Arial" w:hAnsi="Arial" w:cs="Arial"/>
          <w:b/>
          <w:sz w:val="40"/>
          <w:szCs w:val="40"/>
        </w:rPr>
      </w:pPr>
    </w:p>
    <w:sectPr w:rsidR="007F0AEA" w:rsidRPr="00BF3277" w:rsidSect="00117251">
      <w:headerReference w:type="default" r:id="rId8"/>
      <w:footerReference w:type="default" r:id="rId9"/>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6E83E" w14:textId="77777777" w:rsidR="005A7063" w:rsidRDefault="005A7063">
      <w:r>
        <w:separator/>
      </w:r>
    </w:p>
  </w:endnote>
  <w:endnote w:type="continuationSeparator" w:id="0">
    <w:p w14:paraId="01F65CDF" w14:textId="77777777" w:rsidR="005A7063" w:rsidRDefault="005A7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1B016" w14:textId="77777777" w:rsidR="005A7063" w:rsidRDefault="005A7063">
      <w:r>
        <w:separator/>
      </w:r>
    </w:p>
  </w:footnote>
  <w:footnote w:type="continuationSeparator" w:id="0">
    <w:p w14:paraId="3702A37C" w14:textId="77777777" w:rsidR="005A7063" w:rsidRDefault="005A70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7216"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61BC6"/>
    <w:multiLevelType w:val="hybridMultilevel"/>
    <w:tmpl w:val="E778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C2D20"/>
    <w:multiLevelType w:val="multilevel"/>
    <w:tmpl w:val="C1627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4A67B7"/>
    <w:multiLevelType w:val="hybridMultilevel"/>
    <w:tmpl w:val="5A981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83589540">
    <w:abstractNumId w:val="13"/>
  </w:num>
  <w:num w:numId="2" w16cid:durableId="1030423468">
    <w:abstractNumId w:val="5"/>
  </w:num>
  <w:num w:numId="3" w16cid:durableId="1347950534">
    <w:abstractNumId w:val="30"/>
  </w:num>
  <w:num w:numId="4" w16cid:durableId="1174496801">
    <w:abstractNumId w:val="6"/>
  </w:num>
  <w:num w:numId="5" w16cid:durableId="655183106">
    <w:abstractNumId w:val="24"/>
  </w:num>
  <w:num w:numId="6" w16cid:durableId="1155411763">
    <w:abstractNumId w:val="7"/>
  </w:num>
  <w:num w:numId="7" w16cid:durableId="92290551">
    <w:abstractNumId w:val="0"/>
  </w:num>
  <w:num w:numId="8" w16cid:durableId="1667367253">
    <w:abstractNumId w:val="29"/>
  </w:num>
  <w:num w:numId="9" w16cid:durableId="2035299412">
    <w:abstractNumId w:val="16"/>
  </w:num>
  <w:num w:numId="10" w16cid:durableId="704986697">
    <w:abstractNumId w:val="19"/>
  </w:num>
  <w:num w:numId="11" w16cid:durableId="257981304">
    <w:abstractNumId w:val="4"/>
  </w:num>
  <w:num w:numId="12" w16cid:durableId="559555074">
    <w:abstractNumId w:val="14"/>
  </w:num>
  <w:num w:numId="13" w16cid:durableId="1378359281">
    <w:abstractNumId w:val="3"/>
  </w:num>
  <w:num w:numId="14" w16cid:durableId="1128935930">
    <w:abstractNumId w:val="10"/>
  </w:num>
  <w:num w:numId="15" w16cid:durableId="1125080873">
    <w:abstractNumId w:val="18"/>
  </w:num>
  <w:num w:numId="16" w16cid:durableId="620499327">
    <w:abstractNumId w:val="20"/>
  </w:num>
  <w:num w:numId="17" w16cid:durableId="671417627">
    <w:abstractNumId w:val="2"/>
  </w:num>
  <w:num w:numId="18" w16cid:durableId="966932579">
    <w:abstractNumId w:val="26"/>
  </w:num>
  <w:num w:numId="19" w16cid:durableId="1426269222">
    <w:abstractNumId w:val="9"/>
  </w:num>
  <w:num w:numId="20" w16cid:durableId="1589147733">
    <w:abstractNumId w:val="21"/>
  </w:num>
  <w:num w:numId="21" w16cid:durableId="2123378380">
    <w:abstractNumId w:val="12"/>
  </w:num>
  <w:num w:numId="22" w16cid:durableId="1454404655">
    <w:abstractNumId w:val="17"/>
  </w:num>
  <w:num w:numId="23" w16cid:durableId="1184393710">
    <w:abstractNumId w:val="25"/>
  </w:num>
  <w:num w:numId="24" w16cid:durableId="1207765811">
    <w:abstractNumId w:val="11"/>
  </w:num>
  <w:num w:numId="25" w16cid:durableId="580454220">
    <w:abstractNumId w:val="23"/>
  </w:num>
  <w:num w:numId="26" w16cid:durableId="806313716">
    <w:abstractNumId w:val="8"/>
  </w:num>
  <w:num w:numId="27" w16cid:durableId="1104813318">
    <w:abstractNumId w:val="22"/>
  </w:num>
  <w:num w:numId="28" w16cid:durableId="1129127558">
    <w:abstractNumId w:val="15"/>
  </w:num>
  <w:num w:numId="29" w16cid:durableId="925189911">
    <w:abstractNumId w:val="27"/>
  </w:num>
  <w:num w:numId="30" w16cid:durableId="519394192">
    <w:abstractNumId w:val="28"/>
  </w:num>
  <w:num w:numId="31" w16cid:durableId="1337227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17251"/>
    <w:rsid w:val="00126936"/>
    <w:rsid w:val="00162FE2"/>
    <w:rsid w:val="001703BD"/>
    <w:rsid w:val="00170A87"/>
    <w:rsid w:val="00181913"/>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792"/>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A7063"/>
    <w:rsid w:val="005C6352"/>
    <w:rsid w:val="005D0DDE"/>
    <w:rsid w:val="005D5D0B"/>
    <w:rsid w:val="0062012D"/>
    <w:rsid w:val="006356F2"/>
    <w:rsid w:val="00643CB9"/>
    <w:rsid w:val="0066732A"/>
    <w:rsid w:val="00677D1F"/>
    <w:rsid w:val="00697481"/>
    <w:rsid w:val="006A4F97"/>
    <w:rsid w:val="006C4640"/>
    <w:rsid w:val="006F4FB6"/>
    <w:rsid w:val="006F501B"/>
    <w:rsid w:val="00702077"/>
    <w:rsid w:val="00714D18"/>
    <w:rsid w:val="00725F0E"/>
    <w:rsid w:val="00734189"/>
    <w:rsid w:val="00735BB1"/>
    <w:rsid w:val="00744482"/>
    <w:rsid w:val="007451E8"/>
    <w:rsid w:val="0078654A"/>
    <w:rsid w:val="0079230B"/>
    <w:rsid w:val="00797115"/>
    <w:rsid w:val="007A5E44"/>
    <w:rsid w:val="007D18CA"/>
    <w:rsid w:val="007E500C"/>
    <w:rsid w:val="007E7BB4"/>
    <w:rsid w:val="007F055A"/>
    <w:rsid w:val="007F0AEA"/>
    <w:rsid w:val="007F418B"/>
    <w:rsid w:val="00814801"/>
    <w:rsid w:val="0082407E"/>
    <w:rsid w:val="00826699"/>
    <w:rsid w:val="00895843"/>
    <w:rsid w:val="008B4B9C"/>
    <w:rsid w:val="008B534C"/>
    <w:rsid w:val="008E2A5A"/>
    <w:rsid w:val="008F0B0D"/>
    <w:rsid w:val="008F0D83"/>
    <w:rsid w:val="008F5E87"/>
    <w:rsid w:val="00906539"/>
    <w:rsid w:val="00911C43"/>
    <w:rsid w:val="009139BF"/>
    <w:rsid w:val="00923E76"/>
    <w:rsid w:val="009448FE"/>
    <w:rsid w:val="00946B23"/>
    <w:rsid w:val="00952349"/>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382B"/>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96399"/>
    <w:rsid w:val="00BA53CD"/>
    <w:rsid w:val="00BB5FB3"/>
    <w:rsid w:val="00BC4D17"/>
    <w:rsid w:val="00BC7F1B"/>
    <w:rsid w:val="00BE2584"/>
    <w:rsid w:val="00BF3277"/>
    <w:rsid w:val="00C01FCC"/>
    <w:rsid w:val="00C10069"/>
    <w:rsid w:val="00C21568"/>
    <w:rsid w:val="00C414B0"/>
    <w:rsid w:val="00C421F0"/>
    <w:rsid w:val="00C44B74"/>
    <w:rsid w:val="00C50AE7"/>
    <w:rsid w:val="00C6009E"/>
    <w:rsid w:val="00C72708"/>
    <w:rsid w:val="00C76757"/>
    <w:rsid w:val="00C85B9B"/>
    <w:rsid w:val="00CA1BF5"/>
    <w:rsid w:val="00CB27CB"/>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716B3"/>
    <w:rsid w:val="00EB1686"/>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next w:val="Normal"/>
    <w:link w:val="Heading1Char"/>
    <w:uiPriority w:val="9"/>
    <w:qFormat/>
    <w:rsid w:val="00117251"/>
    <w:pPr>
      <w:keepNext/>
      <w:keepLines/>
      <w:spacing w:before="240" w:line="360" w:lineRule="auto"/>
      <w:jc w:val="both"/>
      <w:outlineLvl w:val="0"/>
    </w:pPr>
    <w:rPr>
      <w:rFonts w:asciiTheme="majorHAnsi" w:eastAsiaTheme="majorEastAsia" w:hAnsiTheme="majorHAnsi" w:cstheme="majorBidi"/>
      <w:color w:val="365F91" w:themeColor="accent1" w:themeShade="BF"/>
      <w:sz w:val="30"/>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uiPriority w:val="39"/>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117251"/>
    <w:rPr>
      <w:rFonts w:asciiTheme="majorHAnsi" w:eastAsiaTheme="majorEastAsia" w:hAnsiTheme="majorHAnsi" w:cstheme="majorBidi"/>
      <w:color w:val="365F91" w:themeColor="accent1" w:themeShade="BF"/>
      <w:sz w:val="30"/>
      <w:szCs w:val="32"/>
      <w:lang w:eastAsia="en-US"/>
    </w:rPr>
  </w:style>
  <w:style w:type="paragraph" w:styleId="TOCHeading">
    <w:name w:val="TOC Heading"/>
    <w:basedOn w:val="Heading1"/>
    <w:next w:val="Normal"/>
    <w:uiPriority w:val="39"/>
    <w:unhideWhenUsed/>
    <w:qFormat/>
    <w:rsid w:val="00117251"/>
    <w:pPr>
      <w:spacing w:line="259" w:lineRule="auto"/>
      <w:jc w:val="left"/>
      <w:outlineLvl w:val="9"/>
    </w:pPr>
    <w:rPr>
      <w:sz w:val="32"/>
      <w:lang w:val="en-US"/>
    </w:rPr>
  </w:style>
  <w:style w:type="paragraph" w:styleId="TOC1">
    <w:name w:val="toc 1"/>
    <w:basedOn w:val="Normal"/>
    <w:next w:val="Normal"/>
    <w:autoRedefine/>
    <w:uiPriority w:val="39"/>
    <w:unhideWhenUsed/>
    <w:rsid w:val="00117251"/>
    <w:pPr>
      <w:spacing w:after="100" w:line="360" w:lineRule="auto"/>
      <w:jc w:val="both"/>
    </w:pPr>
    <w:rPr>
      <w:rFonts w:eastAsiaTheme="minorHAnsi" w:cstheme="minorBidi"/>
      <w:szCs w:val="22"/>
      <w:lang w:eastAsia="en-US"/>
    </w:rPr>
  </w:style>
  <w:style w:type="character" w:styleId="Hyperlink">
    <w:name w:val="Hyperlink"/>
    <w:basedOn w:val="DefaultParagraphFont"/>
    <w:uiPriority w:val="99"/>
    <w:unhideWhenUsed/>
    <w:rsid w:val="001172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34923729">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Woo18</b:Tag>
    <b:SourceType>JournalArticle</b:SourceType>
    <b:Guid>{A563232C-4113-4681-A6C5-DFFCD741E62B}</b:Guid>
    <b:Author>
      <b:Author>
        <b:NameList>
          <b:Person>
            <b:Last>Woods</b:Last>
            <b:First>M</b:First>
          </b:Person>
        </b:NameList>
      </b:Author>
    </b:Author>
    <b:Title>Precarious rural cosmopolitanism: Negotiating globalization, migration and diversity in Irish small towns.</b:Title>
    <b:JournalName>Journal of Rural Studies</b:JournalName>
    <b:Year>2018</b:Year>
    <b:Pages>164-176, DOI: 10.1016/j.jrurstud.2018.03.014</b:Pages>
    <b:Volume>64</b:Volume>
    <b:Issue>2</b:Issue>
    <b:RefOrder>1</b:RefOrder>
  </b:Source>
  <b:Source>
    <b:Tag>Gop19</b:Tag>
    <b:SourceType>JournalArticle</b:SourceType>
    <b:Guid>{4A29B16C-9027-4FE5-BA0E-B718E9D4E44B}</b:Guid>
    <b:Author>
      <b:Author>
        <b:NameList>
          <b:Person>
            <b:Last>Gopalkrishnan</b:Last>
            <b:First>N</b:First>
          </b:Person>
        </b:NameList>
      </b:Author>
    </b:Author>
    <b:Title>Cultural Competence and Beyond: Working Across Cultures in Culturally Dynamic Partnerships</b:Title>
    <b:JournalName> The International Journal of Community and Social Development</b:JournalName>
    <b:Year>2019</b:Year>
    <b:Pages>28-41, doi/abs/10.1177/2516602619826712</b:Pages>
    <b:Volume>1</b:Volume>
    <b:Issue>1</b:Issue>
    <b:RefOrder>2</b:RefOrder>
  </b:Source>
  <b:Source>
    <b:Tag>Gay18</b:Tag>
    <b:SourceType>Book</b:SourceType>
    <b:Guid>{C4414350-22D5-46CE-AEFD-A3E6142FBE66}</b:Guid>
    <b:Author>
      <b:Author>
        <b:NameList>
          <b:Person>
            <b:Last>Gay</b:Last>
            <b:First>G</b:First>
          </b:Person>
        </b:NameList>
      </b:Author>
    </b:Author>
    <b:Title> Culturally responsive teaching: Theory, research, and practice</b:Title>
    <b:Year> 2018</b:Year>
    <b:City>London </b:City>
    <b:Publisher>Teachers College Press</b:Publisher>
    <b:Edition>2nd </b:Edition>
    <b:RefOrder>3</b:RefOrder>
  </b:Source>
  <b:Source>
    <b:Tag>Mah18</b:Tag>
    <b:SourceType>JournalArticle</b:SourceType>
    <b:Guid>{08929BCB-70D0-4942-81C2-70BDB92CEADB}</b:Guid>
    <b:Author>
      <b:Author>
        <b:NameList>
          <b:Person>
            <b:Last>Mahfud</b:Last>
            <b:First>Y.</b:First>
          </b:Person>
          <b:Person>
            <b:Last>Badea</b:Last>
            <b:First>C.</b:First>
          </b:Person>
          <b:Person>
            <b:Last>Verkuyten</b:Last>
            <b:First>M.</b:First>
          </b:Person>
          <b:Person>
            <b:Last>Reynolds</b:Last>
            <b:First>K</b:First>
          </b:Person>
        </b:NameList>
      </b:Author>
    </b:Author>
    <b:Title>Multiculturalism and attitudes toward immigrants: The impact of perceived cultural distance</b:Title>
    <b:JournalName>Journal of Cross-Cultural Psychology</b:JournalName>
    <b:Year>2018</b:Year>
    <b:Pages>945-958; DOI: 10.1177/0022022117730828</b:Pages>
    <b:Volume>49</b:Volume>
    <b:Issue>6</b:Issue>
    <b:RefOrder>1</b:RefOrder>
  </b:Source>
  <b:Source>
    <b:Tag>Vay20</b:Tag>
    <b:SourceType>JournalArticle</b:SourceType>
    <b:Guid>{1AFAF42A-2EC8-481D-84FF-BA58D1496DD7}</b:Guid>
    <b:Title>‘Farming is not Just an Occupation [but] a Whole Lifestyle’: a qualitative examination of lifestyle and cultural factors affecting mental health help‐seeking in Australian farmers</b:Title>
    <b:Year>2020</b:Year>
    <b:Author>
      <b:Author>
        <b:NameList>
          <b:Person>
            <b:Last>Vayro</b:Last>
            <b:First>C.</b:First>
          </b:Person>
          <b:Person>
            <b:Last>Brownlow</b:Last>
            <b:First>C.</b:First>
          </b:Person>
          <b:Person>
            <b:Last>Ireland</b:Last>
            <b:First>M.</b:First>
          </b:Person>
          <b:Person>
            <b:Last>March</b:Last>
            <b:First>S</b:First>
          </b:Person>
        </b:NameList>
      </b:Author>
    </b:Author>
    <b:JournalName>Sociologia Ruralis</b:JournalName>
    <b:Pages>151-173; DOI: 10.1111/soru.12274</b:Pages>
    <b:Volume>60</b:Volume>
    <b:Issue>1</b:Issue>
    <b:RefOrder>2</b:RefOrder>
  </b:Source>
  <b:Source>
    <b:Tag>Gon21</b:Tag>
    <b:SourceType>JournalArticle</b:SourceType>
    <b:Guid>{5348E307-91A0-4C80-8178-D358326A56E4}</b:Guid>
    <b:Author>
      <b:Author>
        <b:NameList>
          <b:Person>
            <b:Last>Gong</b:Last>
            <b:First>Y.</b:First>
          </b:Person>
          <b:Person>
            <b:Last>Gao</b:Last>
            <b:First>X.</b:First>
          </b:Person>
          <b:Person>
            <b:Last>Li</b:Last>
            <b:First>M.</b:First>
          </b:Person>
          <b:Person>
            <b:Last>Lai</b:Last>
            <b:First>C</b:First>
          </b:Person>
        </b:NameList>
      </b:Author>
    </b:Author>
    <b:Title>Cultural adaptation challenges and strategies during study abroad: New Zealand students</b:Title>
    <b:JournalName>Culture and Curriculum</b:JournalName>
    <b:Year>2021</b:Year>
    <b:Pages>417-437</b:Pages>
    <b:Volume>34</b:Volume>
    <b:Issue>4</b:Issue>
    <b:RefOrder>3</b:RefOrder>
  </b:Source>
  <b:Source>
    <b:Tag>NZQ22</b:Tag>
    <b:SourceType>InternetSite</b:SourceType>
    <b:Guid>{665378D6-BF68-4F05-BCF0-81E64B4E138E}</b:Guid>
    <b:Author>
      <b:Author>
        <b:Corporate>NZQA</b:Corporate>
      </b:Author>
    </b:Author>
    <b:Title>The last fifty years have seen major changes in the way- NZQA</b:Title>
    <b:Year>2022</b:Year>
    <b:YearAccessed>2022</b:YearAccessed>
    <b:MonthAccessed>June</b:MonthAccessed>
    <b:DayAccessed>23</b:DayAccessed>
    <b:URL>https://www.nzqa.govt.nz/assets/qualifications-and-standards/qualifications/ncea/NCEA-subject-resources/home-economics/91469/91469-EXP-student1-001.pdf</b:URL>
    <b:RefOrder>4</b:RefOrder>
  </b:Source>
  <b:Source>
    <b:Tag>Orl21</b:Tag>
    <b:SourceType>JournalArticle</b:SourceType>
    <b:Guid>{319E4184-DF5E-4581-B250-49073CD46868}</b:Guid>
    <b:Author>
      <b:Author>
        <b:NameList>
          <b:Person>
            <b:Last>Orlandi</b:Last>
            <b:First>M.</b:First>
          </b:Person>
          <b:Person>
            <b:Last>Rosselli</b:Last>
            <b:First>M.</b:First>
          </b:Person>
          <b:Person>
            <b:Last>Pellegrino</b:Last>
            <b:First>A.</b:First>
          </b:Person>
          <b:Person>
            <b:Last>Boddi</b:Last>
            <b:First>M.</b:First>
          </b:Person>
          <b:Person>
            <b:Last>Stefani</b:Last>
            <b:First>L.</b:First>
          </b:Person>
          <b:Person>
            <b:Last>Toncelli</b:Last>
            <b:First>L.</b:First>
          </b:Person>
          <b:Person>
            <b:Last>Modesti</b:Last>
            <b:First>P.A</b:First>
          </b:Person>
        </b:NameList>
      </b:Author>
    </b:Author>
    <b:Title>Gender differences in the impact on physical activity and lifestyle in Italy during the lockdown, due to the COVID-19 pandemic</b:Title>
    <b:JournalName>Nutrition, Metabolism and Cardiovascular Diseases</b:JournalName>
    <b:Year>2021</b:Year>
    <b:Pages>2173-2180</b:Pages>
    <b:Volume>31</b:Volume>
    <b:Issue>7</b:Issue>
    <b:RefOrder>5</b:RefOrder>
  </b:Source>
  <b:Source>
    <b:Tag>Din18</b:Tag>
    <b:SourceType>JournalArticle</b:SourceType>
    <b:Guid>{A8F1C3B1-C3D7-47BF-8046-EFB934F9AB1E}</b:Guid>
    <b:Author>
      <b:Author>
        <b:NameList>
          <b:Person>
            <b:Last>Dingerkus</b:Last>
            <b:First>F.</b:First>
          </b:Person>
          <b:Person>
            <b:Last>Dubied</b:Last>
            <b:First>A.</b:First>
          </b:Person>
          <b:Person>
            <b:Last>Keel</b:Last>
            <b:First>G.</b:First>
          </b:Person>
          <b:Person>
            <b:Last>Sacco</b:Last>
            <b:First>V.</b:First>
          </b:Person>
          <b:Person>
            <b:Last>Wyss</b:Last>
            <b:First>V</b:First>
          </b:Person>
        </b:NameList>
      </b:Author>
    </b:Author>
    <b:Title>Journalists in Switzerland: Structures and attitudes revisited</b:Title>
    <b:JournalName>Studies in Communication Sciences</b:JournalName>
    <b:Year>2018</b:Year>
    <b:Pages>117-129</b:Pages>
    <b:Volume>18</b:Volume>
    <b:Issue>1</b:Issue>
    <b:RefOrder>6</b:RefOrder>
  </b:Source>
</b:Sources>
</file>

<file path=customXml/itemProps1.xml><?xml version="1.0" encoding="utf-8"?>
<ds:datastoreItem xmlns:ds="http://schemas.openxmlformats.org/officeDocument/2006/customXml" ds:itemID="{37704B63-64F0-47B5-9C76-33B7BDD2A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Liviu Simon (2025169)</cp:lastModifiedBy>
  <cp:revision>2</cp:revision>
  <cp:lastPrinted>2020-09-28T20:53:00Z</cp:lastPrinted>
  <dcterms:created xsi:type="dcterms:W3CDTF">2022-06-27T20:03:00Z</dcterms:created>
  <dcterms:modified xsi:type="dcterms:W3CDTF">2022-06-27T20:03:00Z</dcterms:modified>
</cp:coreProperties>
</file>