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5D103B" w14:textId="77777777" w:rsidR="0054223A" w:rsidRDefault="0054223A" w:rsidP="0054223A">
      <w:r>
        <w:t xml:space="preserve">Good evening. My name is Lucy Howells, and I have chosen to research dyslexia. Through my work with children who exhibit dyslexic traits, I have developed an interest in understanding the condition. My uncle was diagnosed at 35 while attending university, and both my father and brother have displayed dyslexic traits throughout their lives. Currently, my 15-year-old daughter is undergoing an assessment for dyslexia. These personal experiences have driven me to explore the topic further, seeking to understand its impact, and the strategies available to provide adequate support. </w:t>
      </w:r>
    </w:p>
    <w:p w14:paraId="1A44A35E" w14:textId="77777777" w:rsidR="0054223A" w:rsidRDefault="0054223A" w:rsidP="0054223A"/>
    <w:p w14:paraId="563C1168" w14:textId="77777777" w:rsidR="0054223A" w:rsidRDefault="0054223A" w:rsidP="0054223A">
      <w:r>
        <w:t xml:space="preserve">Dyslexia was identified in the late 19th century, with Rudolf Berlin coining the term in 1887 to describe reading difficulties despite normal intelligence (Mendonça et al., 2020). In the 20th century, researchers such as Samuel Orton suggested a link to brain lateralization (Ahearn, 2016).  Advocacy in the 1980s led to the 1981 Education Act, requiring schools to support children with dyslexia (Elliot, 2014), followed by the 1993 Education Act (legislation.gov.uk, 2011) and the 1995 Disability Discrimination Act (Gov.UK, 1995) for equal access to education. The 2010 Equality Act (GOV.UK, 2015) further supported these efforts. Today, dyslexia is viewed as a neurodevelopmental condition affecting reading, writing, and spelling, emphasizing early intervention and tailored strategies (Reid et al., 2021). Ongoing research aims to uncover its causes and enhance interventions for those with dyslexia (Rasinski, 2016; Seidenberg, 2017). </w:t>
      </w:r>
    </w:p>
    <w:p w14:paraId="5974AED4" w14:textId="77777777" w:rsidR="0054223A" w:rsidRDefault="0054223A" w:rsidP="0054223A"/>
    <w:p w14:paraId="6C63D201" w14:textId="77777777" w:rsidR="0054223A" w:rsidRDefault="0054223A" w:rsidP="0054223A">
      <w:r>
        <w:t>Dyslexia is one of the most reported additional learning needs in Wales. One in five people have dyslexia, and government data for 2023/24 indicates that approximately 3.5% of pupils receive support for dyslexia. Among these, 85 pupils receive statemented SEN provision by the Local Authority under Part IV of the Education Act 1996. Meanwhile, teachers identify 1,555 pupils (3.2%) under School Action, and they access additional interventions. Meanwhile, the teacher and SEN-Co identified 740 pupils (1.5%) under School Action Plus, where support was given from outside specialists for specific interventions (</w:t>
      </w:r>
      <w:proofErr w:type="spellStart"/>
      <w:r>
        <w:t>Gov.Wales</w:t>
      </w:r>
      <w:proofErr w:type="spellEnd"/>
      <w:r>
        <w:t xml:space="preserve">, 2019). Reports also reveal that an estimated 80% of school children remain undiagnosed. The Welsh Government has researched dyslexia provision, examining literacy support, assessment processes, intervention strategies, and funding arrangements. However, much of the literature on dyslexia in Wales from the Welsh Government is now outdated, with no significant updates since 2012. </w:t>
      </w:r>
    </w:p>
    <w:p w14:paraId="4C7C6C25" w14:textId="77777777" w:rsidR="0054223A" w:rsidRDefault="0054223A" w:rsidP="0054223A"/>
    <w:p w14:paraId="5C4DA3FA" w14:textId="77777777" w:rsidR="0054223A" w:rsidRDefault="0054223A" w:rsidP="0054223A">
      <w:r>
        <w:t xml:space="preserve">Children and adolescents have various learning issues and additional educational demands during their academic experiences, and these obstacles may evolve as they mature (Swansea, 2023). However, these areas of need frequently intertwine, influencing a child's overall learning experience in intricate and sometimes unexpected ways (Smith &amp; Jones, 2017). Sometimes, a particular subject, such as social skills, </w:t>
      </w:r>
      <w:r>
        <w:lastRenderedPageBreak/>
        <w:t xml:space="preserve">reading, or maths, can link a child's difficulties (Brown, 2020). Each child and young person are a distinct individual with unique strengths and challenges; thus, what defines an additional learning need for one may differ significantly for another (Taylor et al., 2021), highlighting the necessity of personalised strategies to facilitate their specific educational journeys, underscoring the importance of tailored approaches to support their distinct educational paths (Anderson &amp; White, 2023). </w:t>
      </w:r>
    </w:p>
    <w:p w14:paraId="2998942D" w14:textId="77777777" w:rsidR="0054223A" w:rsidRDefault="0054223A" w:rsidP="0054223A"/>
    <w:p w14:paraId="5D793A78" w14:textId="77777777" w:rsidR="0054223A" w:rsidRDefault="0054223A" w:rsidP="0054223A">
      <w:r>
        <w:t xml:space="preserve">Children and young people with dyslexia often have difficulty retaining information presented visually or auditorily, complicating their educational experience (Gabay et al., 2019). Unfortunately, these issues persist even with effective teaching methods and interventions (Rose, 2019; </w:t>
      </w:r>
      <w:proofErr w:type="spellStart"/>
      <w:r>
        <w:t>Vellutino</w:t>
      </w:r>
      <w:proofErr w:type="spellEnd"/>
      <w:r>
        <w:t xml:space="preserve"> et al., 2019). Additionally, their challenges extend beyond literacy to poor organisational skills, which hinder task management and focus </w:t>
      </w:r>
      <w:proofErr w:type="gramStart"/>
      <w:r>
        <w:t>in</w:t>
      </w:r>
      <w:proofErr w:type="gramEnd"/>
      <w:r>
        <w:t xml:space="preserve"> academic settings (Wong &amp; O'Connor, 2018). This could be due to co-occurrence, where a variety of SpLDs, such as dyspraxia, autism, and developmental language disorder, appear alongside dyslexia, emphasising the need for IDPs for each child (Association, n.d.). In Wales, Individual Development Plans (IDPs) are set up to offer customised assistance for children with unique learning requirements, including dyslexia (Snap Cymru, 2024). </w:t>
      </w:r>
    </w:p>
    <w:p w14:paraId="0EC4E94F" w14:textId="77777777" w:rsidR="0054223A" w:rsidRDefault="0054223A" w:rsidP="0054223A"/>
    <w:p w14:paraId="33373BC4" w14:textId="77777777" w:rsidR="0054223A" w:rsidRDefault="0054223A" w:rsidP="0054223A">
      <w:r>
        <w:t xml:space="preserve"> </w:t>
      </w:r>
    </w:p>
    <w:p w14:paraId="68FC8D4A" w14:textId="77777777" w:rsidR="0054223A" w:rsidRDefault="0054223A" w:rsidP="0054223A"/>
    <w:p w14:paraId="3BC54DD6" w14:textId="77777777" w:rsidR="0054223A" w:rsidRDefault="0054223A" w:rsidP="0054223A">
      <w:r>
        <w:t xml:space="preserve"> </w:t>
      </w:r>
    </w:p>
    <w:p w14:paraId="1B47F18C" w14:textId="77777777" w:rsidR="0054223A" w:rsidRDefault="0054223A" w:rsidP="0054223A"/>
    <w:p w14:paraId="320A436E" w14:textId="77777777" w:rsidR="0054223A" w:rsidRDefault="0054223A" w:rsidP="0054223A">
      <w:r>
        <w:t xml:space="preserve">Identification and Diagnoses. </w:t>
      </w:r>
    </w:p>
    <w:p w14:paraId="4EC995F2" w14:textId="77777777" w:rsidR="0054223A" w:rsidRDefault="0054223A" w:rsidP="0054223A"/>
    <w:p w14:paraId="268A4D97" w14:textId="77777777" w:rsidR="0054223A" w:rsidRDefault="0054223A" w:rsidP="0054223A">
      <w:r>
        <w:t xml:space="preserve">Dyslexia is a specific learning difficulty that impacts the development of reading and writing skills, posing distinct challenges for identification and diagnosis, especially in children (The Dyslexia Association, 2016). According to research, dyslexia affects various intellectual abilities (BDA, 2023). However, some assessors of dyslexia continue to diagnose the condition based on discrepancies in IQ. (Al Dahhan et al., 2021; Sadusky et al., 2022). In Wales, initiatives focus on enhancing early detection and support for children with dyslexia. Before participating in a diagnostic evaluation, Vaughn et al. (2024) believe screening for response to instruction is essential because poor response to instruction and intervention will strengthen the identification evidence. Despite these efforts, inconsistencies in identification practices and </w:t>
      </w:r>
      <w:r>
        <w:lastRenderedPageBreak/>
        <w:t xml:space="preserve">diagnostic methods remain, emphasising the necessity for more rigorous and uniform methodologies. </w:t>
      </w:r>
    </w:p>
    <w:p w14:paraId="22CF6A2E" w14:textId="77777777" w:rsidR="0054223A" w:rsidRDefault="0054223A" w:rsidP="0054223A"/>
    <w:p w14:paraId="0A2935C4" w14:textId="77777777" w:rsidR="0054223A" w:rsidRDefault="0054223A" w:rsidP="0054223A">
      <w:r>
        <w:t>Standardised tests, including the Dyslexia Screening Test, provide crucial data, but educators and parents should provide qualitative information to fully comprehend the child's literacy difficulties (</w:t>
      </w:r>
      <w:proofErr w:type="spellStart"/>
      <w:r>
        <w:t>Snowling</w:t>
      </w:r>
      <w:proofErr w:type="spellEnd"/>
      <w:r>
        <w:t xml:space="preserve"> et al., 2019). For reliable dyslexia diagnosis, the British Psychological Society (BPS, 2018) recommends extensive cognitive and educational evaluations. These guidelines include assessing phonological processing, spelling, and working memory to personalise interventions. </w:t>
      </w:r>
    </w:p>
    <w:p w14:paraId="6A004584" w14:textId="77777777" w:rsidR="0054223A" w:rsidRDefault="0054223A" w:rsidP="0054223A"/>
    <w:p w14:paraId="2777C454" w14:textId="77777777" w:rsidR="0054223A" w:rsidRDefault="0054223A" w:rsidP="0054223A">
      <w:r>
        <w:t xml:space="preserve">Access to psychological assessments is limited in rural areas of Wales, where services are under-resourced (Harris et al., 2020). Delays in assessments and referrals can postpone dyslexia interventions. Many studies demonstrate that early dyslexia identification boosts academic achievement and self-esteem (Pennington, 2019). Without early identification and support, children may struggle with literacy skills, causing emotional and psychological trauma. </w:t>
      </w:r>
    </w:p>
    <w:p w14:paraId="38B38928" w14:textId="77777777" w:rsidR="0054223A" w:rsidRDefault="0054223A" w:rsidP="0054223A"/>
    <w:p w14:paraId="5AA197AD" w14:textId="77777777" w:rsidR="0054223A" w:rsidRDefault="0054223A" w:rsidP="0054223A">
      <w:r>
        <w:t xml:space="preserve">Leathem et al. (2021) discovered that children who received early interventions had significantly improved reading skills. Despite advances in dyslexia detection and diagnosis in Wales, challenges remain. A multi-disciplinary strategy can improve identification accuracy. Future policies must emphasise collaboration among educators, parents, and healthcare providers to guarantee that dyslexic children receive timely support, enhancing their educational progress and well-being. Additionally, these policies should allocate time and resources for educators to pursue higher-level professional development necessary for conducting diagnostic assessments. </w:t>
      </w:r>
    </w:p>
    <w:p w14:paraId="0444A104" w14:textId="77777777" w:rsidR="0054223A" w:rsidRDefault="0054223A" w:rsidP="0054223A"/>
    <w:p w14:paraId="57E1CFC6" w14:textId="77777777" w:rsidR="0054223A" w:rsidRDefault="0054223A" w:rsidP="0054223A">
      <w:r>
        <w:t xml:space="preserve">Barriers and Challenges. </w:t>
      </w:r>
    </w:p>
    <w:p w14:paraId="0CECB70C" w14:textId="77777777" w:rsidR="0054223A" w:rsidRDefault="0054223A" w:rsidP="0054223A"/>
    <w:p w14:paraId="70371236" w14:textId="77777777" w:rsidR="0054223A" w:rsidRDefault="0054223A" w:rsidP="0054223A">
      <w:r>
        <w:t xml:space="preserve">One of the most pressing challenges is the lack of specialised training for educators in identifying and supporting dyslexic students, which can hinder timely intervention. However, Knight (2018) and Ross (2019) suggest that teachers can support the identification of learners at risk of dyslexia, but they are not able to formally identify the learners' needs. Many teachers receive minimal instruction on dyslexia during their </w:t>
      </w:r>
      <w:proofErr w:type="gramStart"/>
      <w:r>
        <w:t>The</w:t>
      </w:r>
      <w:proofErr w:type="gramEnd"/>
      <w:r>
        <w:t xml:space="preserve"> initial training leaves educators ill-equipped to recognise early signs of dyslexia or implement effective intervention strategies, which results in missed opportunities for providing early support (Harding et al., 2023). training, leaving them ill-equipped to </w:t>
      </w:r>
      <w:r>
        <w:lastRenderedPageBreak/>
        <w:t xml:space="preserve">recognise early signs or implement effective strategies, leading to missed opportunities for early support (Harding et al., 2023). Budget constraints further exacerbate this issue, as schools often struggle to allocate resources for professional development in dyslexia awareness and intervention. Without adequate training, teachers may unintentionally overlook dyslexic students' needs, leading to inconsistent support and lower academic achievement. </w:t>
      </w:r>
    </w:p>
    <w:p w14:paraId="0BC28D11" w14:textId="77777777" w:rsidR="0054223A" w:rsidRDefault="0054223A" w:rsidP="0054223A"/>
    <w:p w14:paraId="41AA8AEF" w14:textId="77777777" w:rsidR="0054223A" w:rsidRDefault="0054223A" w:rsidP="0054223A">
      <w:r>
        <w:t xml:space="preserve">Research suggests that a more inclusive teacher training program can significantly improve outcomes for dyslexic students. Welton (2023) highlights the importance of fostering a community of practice within schools, where educators collaborate to share strategies and enhance their understanding of dyslexia. However, systemic changes are required to ensure that all teachers receive adequate training, rather than relying on individual initiatives. </w:t>
      </w:r>
    </w:p>
    <w:p w14:paraId="46A0D0C9" w14:textId="77777777" w:rsidR="0054223A" w:rsidRDefault="0054223A" w:rsidP="0054223A"/>
    <w:p w14:paraId="22768052" w14:textId="77777777" w:rsidR="0054223A" w:rsidRDefault="0054223A" w:rsidP="0054223A">
      <w:r>
        <w:t xml:space="preserve">Access to specialist interventions remains a significant challenge, particularly due to the reliance on categorical diagnoses for resource allocation. While inclusive education frameworks promote universal teaching practices, many schools still depend on formal diagnoses. In contrast, appropriate support should be in place for all children at risk of ALN whilst awaiting further assessment (Association, </w:t>
      </w:r>
      <w:proofErr w:type="spellStart"/>
      <w:r>
        <w:t>n.d</w:t>
      </w:r>
      <w:proofErr w:type="spellEnd"/>
      <w:r>
        <w:t xml:space="preserve">). According to NHS Choices (2019), dyslexia is frequently diagnosed later in primary school, by which time children may have already developed negative associations with learning due to repeated struggles. Additionally, essential interventions such as phonics-based programs and assistive technologies are not always readily available in mainstream classrooms, exacerbating learning difficulties. </w:t>
      </w:r>
    </w:p>
    <w:p w14:paraId="37258056" w14:textId="77777777" w:rsidR="0054223A" w:rsidRDefault="0054223A" w:rsidP="0054223A"/>
    <w:p w14:paraId="34B94613" w14:textId="77777777" w:rsidR="0054223A" w:rsidRDefault="0054223A" w:rsidP="0054223A">
      <w:r>
        <w:t xml:space="preserve">This issue is further compounded by the postcode lottery in dyslexia support, where access to resources varies significantly by location. Hutchingson (2021) highlights disparities between well-funded dyslexia programs in some regions and inadequate support in others, leaving many children without necessary support.  </w:t>
      </w:r>
    </w:p>
    <w:p w14:paraId="42C210C8" w14:textId="77777777" w:rsidR="0054223A" w:rsidRDefault="0054223A" w:rsidP="0054223A"/>
    <w:p w14:paraId="2A0AA63E" w14:textId="77777777" w:rsidR="0054223A" w:rsidRDefault="0054223A" w:rsidP="0054223A">
      <w:r>
        <w:t xml:space="preserve">To address these barriers, schools must prioritize early screening and intervention, ensuring timely support for dyslexic students regardless of location. Additionally, universal high-quality teaching practices should be prioritized to ensure all learners receive adequate support without undue reliance on diagnostic labels. The impact on academic identity is varied. Some students find empowerment in their diagnosis, while others experience lowered expectations from teachers and parents (Franz et al., 2021). The broader shift toward inclusive education raises questions about whether targeted </w:t>
      </w:r>
      <w:r>
        <w:lastRenderedPageBreak/>
        <w:t xml:space="preserve">dyslexia interventions should be replaced with universal high-quality teaching practices. </w:t>
      </w:r>
    </w:p>
    <w:p w14:paraId="75986D57" w14:textId="77777777" w:rsidR="0054223A" w:rsidRDefault="0054223A" w:rsidP="0054223A"/>
    <w:p w14:paraId="73A7941E" w14:textId="77777777" w:rsidR="0054223A" w:rsidRDefault="0054223A" w:rsidP="0054223A">
      <w:r>
        <w:t xml:space="preserve">Support and Strategies. </w:t>
      </w:r>
    </w:p>
    <w:p w14:paraId="7EEA4A4A" w14:textId="77777777" w:rsidR="0054223A" w:rsidRDefault="0054223A" w:rsidP="0054223A"/>
    <w:p w14:paraId="7D3101C6" w14:textId="77777777" w:rsidR="0054223A" w:rsidRDefault="0054223A" w:rsidP="0054223A">
      <w:r>
        <w:t xml:space="preserve">Primary schools need a comprehensive strategy integrating structured literacy programs, assistive technologies, and inclusive teaching methods to support dyslexic students. To support dyslexic learners, structured literacy programs like the Orton-Gillingham method emphasise explicit multi-sensory instruction in reading, spelling, and phonics (Garretson, 2024). </w:t>
      </w:r>
      <w:proofErr w:type="spellStart"/>
      <w:r>
        <w:t>ReadWrite</w:t>
      </w:r>
      <w:proofErr w:type="spellEnd"/>
      <w:r>
        <w:t xml:space="preserve"> Inc. online phonics assessments evaluate each child's needs, guaranteeing inclusion. Personalised education follows the main program's gradual phases while adapting to each student, whether in small groups or individually. The SEN Code of Practice directs the 'graduated approach - assess, plan, do and review - for SEND children. Repetition and practice strengthen links to new information, improving memory and retention (Miskin, 2025).  </w:t>
      </w:r>
    </w:p>
    <w:p w14:paraId="5C1E03BC" w14:textId="77777777" w:rsidR="0054223A" w:rsidRDefault="0054223A" w:rsidP="0054223A"/>
    <w:p w14:paraId="0682386A" w14:textId="77777777" w:rsidR="0054223A" w:rsidRDefault="0054223A" w:rsidP="0054223A">
      <w:r>
        <w:t xml:space="preserve">It has been demonstrated that differentiated instruction improves student engagement and comprehension by utilising visual aids, auditory repetition, and tactile engagement to ensure that lessons accommodate individual learning styles (Johnes, 2023). Text-to-speech software, audiobooks, and speech recognition software are examples of assistive technology that help break down literacy barriers and provide students with various methods to access and process information, bridging knowledge gaps and improving overall literacy.   </w:t>
      </w:r>
    </w:p>
    <w:p w14:paraId="4CBAEA50" w14:textId="77777777" w:rsidR="0054223A" w:rsidRDefault="0054223A" w:rsidP="0054223A"/>
    <w:p w14:paraId="39BBD48E" w14:textId="77777777" w:rsidR="0054223A" w:rsidRDefault="0054223A" w:rsidP="0054223A">
      <w:r>
        <w:t xml:space="preserve">For students with dyslexia, classroom support structure and resources such as printed mnemonics like 'Big Elephants Can Always Understand Small Elephants' to spell 'because' can help children retain information along with posters, notes, extra time for assignments, and oral response options can lower stress and enhance learning outcomes (Williams, 2024). The dyslexia screening test for juniors and other screening tools </w:t>
      </w:r>
      <w:proofErr w:type="gramStart"/>
      <w:r>
        <w:t>enable</w:t>
      </w:r>
      <w:proofErr w:type="gramEnd"/>
      <w:r>
        <w:t xml:space="preserve"> early intervention, which prevents long-term academic difficulties by enabling prompt identification and support (Pearsonclinical.co.uk, 2025).  </w:t>
      </w:r>
    </w:p>
    <w:p w14:paraId="75D62F16" w14:textId="77777777" w:rsidR="0054223A" w:rsidRDefault="0054223A" w:rsidP="0054223A"/>
    <w:p w14:paraId="34D96796" w14:textId="77777777" w:rsidR="0054223A" w:rsidRDefault="0054223A" w:rsidP="0054223A">
      <w:r>
        <w:t xml:space="preserve">Furthermore, professional development workshops provide teachers with specialised strategies to support the success of dyslexic students, guaranteeing that teaching strategies are practical and supported by evidence (CPD Online College, 2024).  </w:t>
      </w:r>
    </w:p>
    <w:p w14:paraId="1367C46E" w14:textId="77777777" w:rsidR="0054223A" w:rsidRDefault="0054223A" w:rsidP="0054223A"/>
    <w:p w14:paraId="371F1967" w14:textId="0EE768C3" w:rsidR="0054223A" w:rsidRDefault="0054223A" w:rsidP="0054223A">
      <w:r>
        <w:lastRenderedPageBreak/>
        <w:t>In conclusion, schools should focus on universal teaching methods and reduce their use of diagnostic labels to create a truly inclusive learning environment. Regardless of socioeconomic background, all students must have fair access to dyslexia support. Additionally, fostering a culture of understanding and flexibility in the classroom requires giving teachers preparation time and further education availability, ensuring children’s education comes first. Educational systems need to recognise and address these diverse needs to foster growth and success. By implementing tailored support strategies and resources, we can create an inclusive learning environment that empowers dyslexic individuals to thrive, boosting reading development and overall educational growth and confidence (Thompson &amp; Garcia, 2023).</w:t>
      </w:r>
    </w:p>
    <w:sectPr w:rsidR="005422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23A"/>
    <w:rsid w:val="0054223A"/>
    <w:rsid w:val="00A94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5A94D"/>
  <w15:chartTrackingRefBased/>
  <w15:docId w15:val="{DDFC74CD-AAF0-4740-856A-69BE4A192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22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22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22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22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22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22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22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22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22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2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22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22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22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22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22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22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22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223A"/>
    <w:rPr>
      <w:rFonts w:eastAsiaTheme="majorEastAsia" w:cstheme="majorBidi"/>
      <w:color w:val="272727" w:themeColor="text1" w:themeTint="D8"/>
    </w:rPr>
  </w:style>
  <w:style w:type="paragraph" w:styleId="Title">
    <w:name w:val="Title"/>
    <w:basedOn w:val="Normal"/>
    <w:next w:val="Normal"/>
    <w:link w:val="TitleChar"/>
    <w:uiPriority w:val="10"/>
    <w:qFormat/>
    <w:rsid w:val="005422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22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22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22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223A"/>
    <w:pPr>
      <w:spacing w:before="160"/>
      <w:jc w:val="center"/>
    </w:pPr>
    <w:rPr>
      <w:i/>
      <w:iCs/>
      <w:color w:val="404040" w:themeColor="text1" w:themeTint="BF"/>
    </w:rPr>
  </w:style>
  <w:style w:type="character" w:customStyle="1" w:styleId="QuoteChar">
    <w:name w:val="Quote Char"/>
    <w:basedOn w:val="DefaultParagraphFont"/>
    <w:link w:val="Quote"/>
    <w:uiPriority w:val="29"/>
    <w:rsid w:val="0054223A"/>
    <w:rPr>
      <w:i/>
      <w:iCs/>
      <w:color w:val="404040" w:themeColor="text1" w:themeTint="BF"/>
    </w:rPr>
  </w:style>
  <w:style w:type="paragraph" w:styleId="ListParagraph">
    <w:name w:val="List Paragraph"/>
    <w:basedOn w:val="Normal"/>
    <w:uiPriority w:val="34"/>
    <w:qFormat/>
    <w:rsid w:val="0054223A"/>
    <w:pPr>
      <w:ind w:left="720"/>
      <w:contextualSpacing/>
    </w:pPr>
  </w:style>
  <w:style w:type="character" w:styleId="IntenseEmphasis">
    <w:name w:val="Intense Emphasis"/>
    <w:basedOn w:val="DefaultParagraphFont"/>
    <w:uiPriority w:val="21"/>
    <w:qFormat/>
    <w:rsid w:val="0054223A"/>
    <w:rPr>
      <w:i/>
      <w:iCs/>
      <w:color w:val="0F4761" w:themeColor="accent1" w:themeShade="BF"/>
    </w:rPr>
  </w:style>
  <w:style w:type="paragraph" w:styleId="IntenseQuote">
    <w:name w:val="Intense Quote"/>
    <w:basedOn w:val="Normal"/>
    <w:next w:val="Normal"/>
    <w:link w:val="IntenseQuoteChar"/>
    <w:uiPriority w:val="30"/>
    <w:qFormat/>
    <w:rsid w:val="005422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223A"/>
    <w:rPr>
      <w:i/>
      <w:iCs/>
      <w:color w:val="0F4761" w:themeColor="accent1" w:themeShade="BF"/>
    </w:rPr>
  </w:style>
  <w:style w:type="character" w:styleId="IntenseReference">
    <w:name w:val="Intense Reference"/>
    <w:basedOn w:val="DefaultParagraphFont"/>
    <w:uiPriority w:val="32"/>
    <w:qFormat/>
    <w:rsid w:val="0054223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1995</Words>
  <Characters>11378</Characters>
  <Application>Microsoft Office Word</Application>
  <DocSecurity>0</DocSecurity>
  <Lines>94</Lines>
  <Paragraphs>26</Paragraphs>
  <ScaleCrop>false</ScaleCrop>
  <Company/>
  <LinksUpToDate>false</LinksUpToDate>
  <CharactersWithSpaces>13347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Howells</dc:creator>
  <cp:keywords/>
  <dc:description/>
  <cp:lastModifiedBy>Lucy Howells</cp:lastModifiedBy>
  <cp:revision>1</cp:revision>
  <dcterms:created xsi:type="dcterms:W3CDTF">2025-05-18T15:29:00Z</dcterms:created>
  <dcterms:modified xsi:type="dcterms:W3CDTF">2025-05-18T15:30:00Z</dcterms:modified>
</cp:coreProperties>
</file>