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5D011D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94935">
              <w:rPr>
                <w:rFonts w:ascii="Times New Roman" w:hAnsi="Times New Roman" w:cs="Times New Roman"/>
                <w:b/>
                <w:color w:val="auto"/>
                <w:sz w:val="48"/>
              </w:rPr>
              <w:t>Carol Pryce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436BE7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94935">
              <w:rPr>
                <w:rFonts w:ascii="Times New Roman" w:hAnsi="Times New Roman" w:cs="Times New Roman"/>
                <w:b/>
                <w:color w:val="auto"/>
                <w:sz w:val="48"/>
              </w:rPr>
              <w:t xml:space="preserve"> pryce1976@gmail.com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BB05452" w14:textId="610DBF75" w:rsidR="00B94935" w:rsidRPr="005D3F07" w:rsidRDefault="00825C0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2419616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1B3AD6F7" w14:textId="77777777" w:rsidR="00C111BD" w:rsidRDefault="00C111BD" w:rsidP="00FF7EBB">
            <w:pPr>
              <w:jc w:val="both"/>
              <w:rPr>
                <w:i/>
                <w:sz w:val="24"/>
                <w:szCs w:val="24"/>
              </w:rPr>
            </w:pPr>
          </w:p>
          <w:p w14:paraId="2C53AC59" w14:textId="77777777" w:rsidR="00C111BD" w:rsidRDefault="00C111BD" w:rsidP="00C111BD">
            <w:pPr>
              <w:rPr>
                <w:sz w:val="24"/>
                <w:szCs w:val="24"/>
              </w:rPr>
            </w:pPr>
            <w:r w:rsidRPr="00C111BD">
              <w:rPr>
                <w:sz w:val="24"/>
                <w:szCs w:val="24"/>
              </w:rPr>
              <w:t>In this following written work, I will aim to critically reflect on a case study based on an assessment that I have undertaken with others in my own area of work. The female was referred into the team following a concern of a safeguard around a vulnerable adult at risk. The adult who in her 70’s lived alone with 2 pets. She was divorced and estranged from her family.  The female was English speaking. The home environment was very cluttered and there was a significant issue around hoarding especially around dated and used food waste and refuge. Her home had no electric or gas and she had no access to food, with very little out of date tins in cupboards. She appeared to be living only in her front room; there was cables lying across the floor with smoke alarms hanging down from ceilings and cables exposed. The property was a Local Authority housing association, the gardens were overgrown, and access was difficult. I will refer throughout this discussion to the female as ‘1’ to allow anonymity.</w:t>
            </w:r>
          </w:p>
          <w:p w14:paraId="6F853B17" w14:textId="77777777" w:rsidR="00E570E9" w:rsidRPr="00C111BD" w:rsidRDefault="00E570E9" w:rsidP="00C111BD">
            <w:pPr>
              <w:rPr>
                <w:sz w:val="24"/>
                <w:szCs w:val="24"/>
              </w:rPr>
            </w:pPr>
          </w:p>
          <w:p w14:paraId="21079A31" w14:textId="77777777" w:rsidR="00C111BD" w:rsidRDefault="00C111BD" w:rsidP="00C111BD">
            <w:pPr>
              <w:rPr>
                <w:sz w:val="24"/>
                <w:szCs w:val="24"/>
              </w:rPr>
            </w:pPr>
            <w:r w:rsidRPr="00C111BD">
              <w:rPr>
                <w:sz w:val="24"/>
                <w:szCs w:val="24"/>
              </w:rPr>
              <w:t xml:space="preserve">A concern was raised to the GP from the pharmacy that ‘1’ had not collected medication for over 6 months. The GP surgery could not get hold of ‘1’ and so an unannounced GP home visit was arranged. Following the visit the GP raised a Multi-Agency Referral Form (MARF) due to concerns about ‘1’s’ safety and wellbeing. The GP recognised that ‘1’ had care and support needs and her duty as per legislation, The Social and Services Wellbeing (Wales) Act 2014, (SSWBA, (2014) Part 7, section 128. The duty to report if someone has a reasonable cause to suspect an adult at risk. This legislation came into force in Wales following the devolution of The Senedd, Welsh Parliament in 2020. SSWBA, (2014) is the main unified legal framework for Wales. It emphasises on prevention and early intervention, </w:t>
            </w:r>
            <w:r w:rsidRPr="00C111BD">
              <w:rPr>
                <w:sz w:val="24"/>
                <w:szCs w:val="24"/>
              </w:rPr>
              <w:lastRenderedPageBreak/>
              <w:t xml:space="preserve">collaborative and integration with health and other services, person centred and strength-based approaches and statutory adult and child protection.  SSWBA, (2014) has similarities to The Care Act 2014 (CA,2014) in England, but the Welsh act has a broader scope on both adults and children on co-production and wellbeing, unlike the CA, (2014) which focus is on adults. The case was discussed at a strategic safeguarding meeting within the local authority which concluded a need for investigation with an allocation to a social worker. </w:t>
            </w:r>
          </w:p>
          <w:p w14:paraId="739B2F0B" w14:textId="77777777" w:rsidR="008A43F7" w:rsidRPr="00C111BD" w:rsidRDefault="008A43F7" w:rsidP="00C111BD">
            <w:pPr>
              <w:rPr>
                <w:sz w:val="24"/>
                <w:szCs w:val="24"/>
              </w:rPr>
            </w:pPr>
          </w:p>
          <w:p w14:paraId="3BB304B2" w14:textId="77777777" w:rsidR="00C111BD" w:rsidRDefault="00C111BD" w:rsidP="00C111BD">
            <w:pPr>
              <w:rPr>
                <w:sz w:val="24"/>
                <w:szCs w:val="24"/>
              </w:rPr>
            </w:pPr>
            <w:r w:rsidRPr="00C111BD">
              <w:rPr>
                <w:sz w:val="24"/>
                <w:szCs w:val="24"/>
              </w:rPr>
              <w:t xml:space="preserve">My role as a professional began. It was important to read all the information held on our systems to be prepared and understand the individual and the concerns noted. I had already recognised that this person was difficult to contact and that the GP has stated that ‘1’ did not have capacity. However, I noted that there was no formal diagnosis and or capacity assessment on the system.  The Mental Capacity Act, 2005, (MCA, 2005) is a key piece of legislation in England and Wales, it supports and protects individuals who may lack capacity to make certain decisions for themselves and applies to anyone over the age of 16. There are 5 principles within this act and principle 1 is the assumption of capacity unless it is proven otherwise. At this point I was unsure if the adults voice had been heard. The GP has stated it was unsafe for ‘1’ to remain at home and should be moved urgently into a 24-hour care setting. The information on the Multi Agency Referral Form from the GP stated that ‘1’ was not meeting her basic care and support needs and that she was at significant risk due to her current home environment and its condition. On reflection to this I recognised that the GP appeared to be acting in a reactive way to what appeared to be a crisis, I have particularly noticed a similar response with other health colleagues when there is a lack of collaborative working. They do not fully understand the way is which social work investigates and supports holistic assessments that upholds relevant legislations and legal rights for individuals. </w:t>
            </w:r>
          </w:p>
          <w:p w14:paraId="2CE302EE" w14:textId="77777777" w:rsidR="00D51BB3" w:rsidRPr="00C111BD" w:rsidRDefault="00D51BB3" w:rsidP="00C111BD">
            <w:pPr>
              <w:rPr>
                <w:sz w:val="24"/>
                <w:szCs w:val="24"/>
              </w:rPr>
            </w:pPr>
          </w:p>
          <w:p w14:paraId="5DC7F1A9" w14:textId="77777777" w:rsidR="00C111BD" w:rsidRDefault="00C111BD" w:rsidP="00C111BD">
            <w:pPr>
              <w:rPr>
                <w:sz w:val="24"/>
                <w:szCs w:val="24"/>
              </w:rPr>
            </w:pPr>
            <w:r w:rsidRPr="00C111BD">
              <w:rPr>
                <w:sz w:val="24"/>
                <w:szCs w:val="24"/>
              </w:rPr>
              <w:t>Reasonable cause to suspect acts as a safeguard and therefore it guided me to act promptly with a timely intervention being mindful that I upheld the principles of proportionality, accountability and fairness in my professional judgment. On the day I visited I was immediately met with resistance. ‘1’ presented well but did not recognise that she did indeed have complex care and support needs which required immediate intervention to safeguard her as an individual as per information on the Wales Safeguarding procedures and The Working Together to Safeguard People. It was my accountability to recognise this. With this case those procedures helped me to identify and apply the relevant legislation. By giving me practical advice, guidance and procedures on my responsibility to safeguard ‘1’ from risk of non-intentional self-neglect and the possible risk of harm and or death. The Working together to Safeguard People underpinned the SSWBA (2014) and therefore gave me confidence to consolidate what I was accountable to do within my role and furthermore ensure that I protected ‘1’ within her own legal rights.</w:t>
            </w:r>
          </w:p>
          <w:p w14:paraId="49658B79" w14:textId="77777777" w:rsidR="00D5161C" w:rsidRPr="00C111BD" w:rsidRDefault="00D5161C" w:rsidP="00C111BD">
            <w:pPr>
              <w:rPr>
                <w:sz w:val="24"/>
                <w:szCs w:val="24"/>
              </w:rPr>
            </w:pPr>
          </w:p>
          <w:p w14:paraId="64F894FD" w14:textId="77777777" w:rsidR="00AC158F" w:rsidRDefault="00C111BD" w:rsidP="00C111BD">
            <w:pPr>
              <w:rPr>
                <w:sz w:val="24"/>
                <w:szCs w:val="24"/>
              </w:rPr>
            </w:pPr>
            <w:r w:rsidRPr="00C111BD">
              <w:rPr>
                <w:sz w:val="24"/>
                <w:szCs w:val="24"/>
              </w:rPr>
              <w:t>Initially, I felt overwhelmed by the complexity of the case and the challenge of managing it within the required timeframe. Additionally, the power imbalance created by the GP’s opinion added pressure to pursue an immediate residential placement. My initial thought when I saw the home environment was to agree with the GP, due to home environment conditions. However, my gut feeling and professional curiosity resorted myself to question the GP decision, and I drew upon my Codes of Professional Practice. (</w:t>
            </w:r>
            <w:proofErr w:type="spellStart"/>
            <w:r w:rsidRPr="00C111BD">
              <w:rPr>
                <w:sz w:val="24"/>
                <w:szCs w:val="24"/>
              </w:rPr>
              <w:t>CoPP</w:t>
            </w:r>
            <w:proofErr w:type="spellEnd"/>
            <w:r w:rsidRPr="00C111BD">
              <w:rPr>
                <w:sz w:val="24"/>
                <w:szCs w:val="24"/>
              </w:rPr>
              <w:t xml:space="preserve">), Social Care </w:t>
            </w:r>
            <w:r w:rsidRPr="00C111BD">
              <w:rPr>
                <w:sz w:val="24"/>
                <w:szCs w:val="24"/>
              </w:rPr>
              <w:lastRenderedPageBreak/>
              <w:t xml:space="preserve">Wales.  This policy requirement is based on legislation and is set out in the Regulation and Inspection of Social Care Wales, Act 2016, under section 112. Its aim is for workers to follow principles to provide safe and effective practice which social care workers must adhere to. I recognised that I required to uphold the </w:t>
            </w:r>
            <w:proofErr w:type="spellStart"/>
            <w:r w:rsidRPr="00C111BD">
              <w:rPr>
                <w:sz w:val="24"/>
                <w:szCs w:val="24"/>
              </w:rPr>
              <w:t>CoPP’s</w:t>
            </w:r>
            <w:proofErr w:type="spellEnd"/>
            <w:r w:rsidRPr="00C111BD">
              <w:rPr>
                <w:sz w:val="24"/>
                <w:szCs w:val="24"/>
              </w:rPr>
              <w:t xml:space="preserve"> whilst incorporating the 6 core principles of safeguarding, Empowerment, Prevention, Proportionality, Protection, Partnership.</w:t>
            </w:r>
          </w:p>
          <w:p w14:paraId="5A8EC7CB" w14:textId="1F928B4E" w:rsidR="00C111BD" w:rsidRDefault="00C111BD" w:rsidP="00C111BD">
            <w:pPr>
              <w:rPr>
                <w:sz w:val="24"/>
                <w:szCs w:val="24"/>
              </w:rPr>
            </w:pPr>
            <w:r w:rsidRPr="00C111BD">
              <w:rPr>
                <w:sz w:val="24"/>
                <w:szCs w:val="24"/>
              </w:rPr>
              <w:t xml:space="preserve">Anti-oppressive practice (AOP) is a key concept in social work, especially when working with vulnerable individuals. By applying this to ‘1s’ circumstances It allowed me to recognize and challenge the systemic inequalities and power imbalances that were affecting to challenge the GP’s recommendation. </w:t>
            </w:r>
          </w:p>
          <w:p w14:paraId="13D0CE71" w14:textId="77777777" w:rsidR="00AC158F" w:rsidRPr="00C111BD" w:rsidRDefault="00AC158F" w:rsidP="00C111BD">
            <w:pPr>
              <w:rPr>
                <w:sz w:val="24"/>
                <w:szCs w:val="24"/>
              </w:rPr>
            </w:pPr>
          </w:p>
          <w:p w14:paraId="3293AA10" w14:textId="77777777" w:rsidR="00C111BD" w:rsidRDefault="00C111BD" w:rsidP="00C111BD">
            <w:pPr>
              <w:rPr>
                <w:sz w:val="24"/>
                <w:szCs w:val="24"/>
              </w:rPr>
            </w:pPr>
            <w:r w:rsidRPr="00C111BD">
              <w:rPr>
                <w:sz w:val="24"/>
                <w:szCs w:val="24"/>
              </w:rPr>
              <w:t xml:space="preserve">Applying analysis in my assessment required me to interpretate, evaluate and make sense of the situation. The risks were significant harm and even death if left alone with no intervention, whereas the risks of removing ‘1’ were high against her personal wishes and the most restrictive and invasive option. Due to ‘1’ not meeting the threshold under The Mental health Act 1983 (MHA) which governs assessment and treatment of individuals with mental health disorders to be detained without consent, it was likely that I would need to apply for a CoP9 to the Court of Protection for a conveyancing order to escort ‘1’ to the home setting.  Reflecting on this at the time I advocated that this would be a traumatic experience for ‘1’. Not only would it remove ‘1’ from her home and pets of which was important to her but likely cause a detrimental breakdown of the trust I had built. It may cause resistance and non-compliance with any further professional intervention and more importantly did not reflect her wishes and rights. </w:t>
            </w:r>
          </w:p>
          <w:p w14:paraId="2CB9848D" w14:textId="77777777" w:rsidR="000E6610" w:rsidRPr="00C111BD" w:rsidRDefault="000E6610" w:rsidP="00C111BD">
            <w:pPr>
              <w:rPr>
                <w:sz w:val="24"/>
                <w:szCs w:val="24"/>
              </w:rPr>
            </w:pPr>
          </w:p>
          <w:p w14:paraId="65EFF031" w14:textId="77777777" w:rsidR="00C111BD" w:rsidRDefault="00C111BD" w:rsidP="00C111BD">
            <w:pPr>
              <w:rPr>
                <w:sz w:val="24"/>
                <w:szCs w:val="24"/>
              </w:rPr>
            </w:pPr>
            <w:r w:rsidRPr="00C111BD">
              <w:rPr>
                <w:sz w:val="24"/>
                <w:szCs w:val="24"/>
              </w:rPr>
              <w:t xml:space="preserve">If I had agreed with the GP and placed ‘1’ into a care home setting against her will without investigating the least restrictive options, it would have been unethical and seen as a breech within her human rights, The Human Rights Act, (1998). Resulting in the care home requiring immediate action to apply for a Deprivation of Liberty Safeguard (Dols) which is a legal framework as part of the MCA to protect adults who lack capacity in continuous supervision within a lock door setting. Therefore, the consequences of such decision’s should be taken with consideration around legislative guidance that should always source the least restrictive option. I anticipated that ‘1’ would object to the care setting. Therefore, I was already mindful that ‘1’ could be represented by a Paid Relevant Person’s Representative (RPR) who’s role is to support the rights of individual’s subject to a Deprivation of Liberty Safeguards, </w:t>
            </w:r>
            <w:proofErr w:type="spellStart"/>
            <w:r w:rsidRPr="00C111BD">
              <w:rPr>
                <w:sz w:val="24"/>
                <w:szCs w:val="24"/>
              </w:rPr>
              <w:t>DoLS</w:t>
            </w:r>
            <w:proofErr w:type="spellEnd"/>
            <w:r w:rsidRPr="00C111BD">
              <w:rPr>
                <w:sz w:val="24"/>
                <w:szCs w:val="24"/>
              </w:rPr>
              <w:t>. The RPR would represent and supporting ‘1’ to raise objections to the care placement. The RPR could apply to the Court of Protection for a Section 21a to challenge the lawfulness of the deprivation under Article 5(4) of the Human Rights Act 1998. (HRA). However, this is not a quick process and although could be applied it would be distressing for ‘1’.</w:t>
            </w:r>
          </w:p>
          <w:p w14:paraId="505DE891" w14:textId="77777777" w:rsidR="001309DC" w:rsidRPr="00C111BD" w:rsidRDefault="001309DC" w:rsidP="00C111BD">
            <w:pPr>
              <w:rPr>
                <w:sz w:val="24"/>
                <w:szCs w:val="24"/>
              </w:rPr>
            </w:pPr>
          </w:p>
          <w:p w14:paraId="40DE7379" w14:textId="02561F52" w:rsidR="00C111BD" w:rsidRDefault="00C111BD" w:rsidP="00C111BD">
            <w:pPr>
              <w:rPr>
                <w:sz w:val="24"/>
                <w:szCs w:val="24"/>
              </w:rPr>
            </w:pPr>
            <w:r w:rsidRPr="00C111BD">
              <w:rPr>
                <w:sz w:val="24"/>
                <w:szCs w:val="24"/>
              </w:rPr>
              <w:t xml:space="preserve">The use of Lady Hale’s statement, stated in the landmark </w:t>
            </w:r>
            <w:r w:rsidRPr="00C111BD">
              <w:rPr>
                <w:i/>
                <w:iCs/>
                <w:sz w:val="24"/>
                <w:szCs w:val="24"/>
              </w:rPr>
              <w:t>Cheshire West</w:t>
            </w:r>
            <w:r w:rsidRPr="00C111BD">
              <w:rPr>
                <w:sz w:val="24"/>
                <w:szCs w:val="24"/>
              </w:rPr>
              <w:t xml:space="preserve"> judgment, </w:t>
            </w:r>
            <w:r w:rsidRPr="00C111BD">
              <w:rPr>
                <w:i/>
                <w:iCs/>
                <w:sz w:val="24"/>
                <w:szCs w:val="24"/>
              </w:rPr>
              <w:t>“a gilded cage is still a cage”</w:t>
            </w:r>
            <w:r w:rsidRPr="00C111BD">
              <w:rPr>
                <w:sz w:val="24"/>
                <w:szCs w:val="24"/>
              </w:rPr>
              <w:t xml:space="preserve"> (UK Supreme Court, 2014), made me reflect deeply on the restriction that would have impacted on ‘1’ if I had followed the recommendation and request of the GP. If ‘1’ was in a care setting she would have been in a safe place with her care and support needs being met, or would she?  It would be likely that although some of her care and support needs may be met such as her environment being warm and tidy, would she had been truly free or safe from harm. Being in a secured setting may result in harm in </w:t>
            </w:r>
            <w:r w:rsidRPr="00C111BD">
              <w:rPr>
                <w:sz w:val="24"/>
                <w:szCs w:val="24"/>
              </w:rPr>
              <w:lastRenderedPageBreak/>
              <w:t xml:space="preserve">another from such as refusing to eat and non-compliance due to </w:t>
            </w:r>
            <w:r w:rsidR="00970707">
              <w:rPr>
                <w:sz w:val="24"/>
                <w:szCs w:val="24"/>
              </w:rPr>
              <w:t>her</w:t>
            </w:r>
            <w:r w:rsidRPr="00C111BD">
              <w:rPr>
                <w:sz w:val="24"/>
                <w:szCs w:val="24"/>
              </w:rPr>
              <w:t xml:space="preserve"> setting and an infringement of her human rights. ‘1’ recognised her own home, her pets, and was happy living within her home environment. How would she have felt not being able to open the door, to be aware from her pets, to be living in an institutionalised setting. She was always used to living alone and having to share communal areas with others may significantly impact on her general health and wellbeing. Could I rationalize’1’ being safe, against balancing ‘1’ being deprived of her liberty. The Cheshire West case gave me an insight to reflect on how I would feel if I was removed from </w:t>
            </w:r>
            <w:r w:rsidR="00901C12" w:rsidRPr="00C111BD">
              <w:rPr>
                <w:sz w:val="24"/>
                <w:szCs w:val="24"/>
              </w:rPr>
              <w:t>my home</w:t>
            </w:r>
            <w:r w:rsidRPr="00C111BD">
              <w:rPr>
                <w:sz w:val="24"/>
                <w:szCs w:val="24"/>
              </w:rPr>
              <w:t>, personal space and belongings into a closed door and monitored setting. I recognised from the caselaw that a more holistic assessment and collaborative working with others to explore the least restrictive option was required to support and protect and evidence ‘1s’ autonomy and furthermore safeguard ‘1’ and my decisions as a professional. Could we explore and achieve better outcomes for the individual with support being placed at home that could mitigate the risks. The dilemma was what was in her best interest, risk verses safe practice, Significant harm or death verses emotional trauma and loss of autonomy.</w:t>
            </w:r>
          </w:p>
          <w:p w14:paraId="359EB258" w14:textId="77777777" w:rsidR="006333DF" w:rsidRPr="00C111BD" w:rsidRDefault="006333DF" w:rsidP="00C111BD">
            <w:pPr>
              <w:rPr>
                <w:sz w:val="24"/>
                <w:szCs w:val="24"/>
              </w:rPr>
            </w:pPr>
          </w:p>
          <w:p w14:paraId="3100C379" w14:textId="77777777" w:rsidR="00C111BD" w:rsidRPr="00C111BD" w:rsidRDefault="00C111BD" w:rsidP="00C111BD">
            <w:pPr>
              <w:rPr>
                <w:sz w:val="24"/>
                <w:szCs w:val="24"/>
              </w:rPr>
            </w:pPr>
            <w:r w:rsidRPr="00C111BD">
              <w:rPr>
                <w:sz w:val="24"/>
                <w:szCs w:val="24"/>
              </w:rPr>
              <w:t>Person Centred Practice in social care emphasis on the individual concerned to be at the centre and heart of all intervention and assessment process whilst respecting the individual’s values, preferences and their rights. A positive I noted in using this theory with this case, it helped me to uphold ‘1’ to make choices even when considered unwise. By using this approach, I felt it helped ‘1’ to trust in myself, engage and therefore I was able to draw out what really mattered to her and recognise that she was indeed a unique individual with extreme circumstances.  Incorporating the strength-based approach enabled me to focus on ‘1s’ individuals' abilities, her resources, and her potential rather than her deficits or problems. This is often overlooked and had been evidenced by the GP initial assessment. With support ‘1’ worked with professionals to build on her strengths, slowly allowing support in, however I reflected it was important to allow this but was also mindful of the risks posed to insufficient support and further risks if challenges are not fully acknowledged or recognised.</w:t>
            </w:r>
          </w:p>
          <w:p w14:paraId="0557BC9F" w14:textId="77777777" w:rsidR="00C111BD" w:rsidRDefault="00C111BD" w:rsidP="00C111BD">
            <w:pPr>
              <w:rPr>
                <w:sz w:val="24"/>
                <w:szCs w:val="24"/>
              </w:rPr>
            </w:pPr>
            <w:r w:rsidRPr="00C111BD">
              <w:rPr>
                <w:sz w:val="24"/>
                <w:szCs w:val="24"/>
              </w:rPr>
              <w:t xml:space="preserve">By using the various theories to help me reflect understands and to make sense of ‘1’s’ current situation, it supported and upheld </w:t>
            </w:r>
            <w:proofErr w:type="spellStart"/>
            <w:r w:rsidRPr="00C111BD">
              <w:rPr>
                <w:sz w:val="24"/>
                <w:szCs w:val="24"/>
              </w:rPr>
              <w:t>CoPP</w:t>
            </w:r>
            <w:proofErr w:type="spellEnd"/>
            <w:r w:rsidRPr="00C111BD">
              <w:rPr>
                <w:sz w:val="24"/>
                <w:szCs w:val="24"/>
              </w:rPr>
              <w:t xml:space="preserve"> 1-6 and the emphasise of the SSWBA. By using the person-centred approach, it allowed me to recognise and hear ‘1s’ voice.  This had not been previously achieved. I thought hard about what effective communication would be and how this could be gained. Realising that ‘1’ liked to feel in control I therefore emphasised on showing ‘1’ that I gave her value and respect as being the expert in her own life. Although ‘1s’ life was in crisis I ensured that I listened effectively and paraphrased what she had said to me. I felt that as ‘1’ was quite well respected in the forces this echoed in her stance. I decided to uphold this ensuring that I did not over speak or undermine what she was saying to me and therefore was careful how I propositioned my tone, questions and solutions. By working in this way, I felt it allowed ‘1’ to intrust in me and accept support.  It was identified that ‘1s’ home and pets were important, ‘1’ also had led a very eccentric lifestyle, she had a specific diet. She was and still a proud lady who had served in the forces representing her country. To reflect on this, I therefore understood her determination of being self-efficient, refusal of help and support and her determination and self-drive of trying to stay in control. </w:t>
            </w:r>
          </w:p>
          <w:p w14:paraId="33E83FD1" w14:textId="77777777" w:rsidR="00164F1B" w:rsidRPr="00C111BD" w:rsidRDefault="00164F1B" w:rsidP="00C111BD">
            <w:pPr>
              <w:rPr>
                <w:sz w:val="24"/>
                <w:szCs w:val="24"/>
              </w:rPr>
            </w:pPr>
          </w:p>
          <w:p w14:paraId="11EBD411" w14:textId="77777777" w:rsidR="00C111BD" w:rsidRPr="00C111BD" w:rsidRDefault="00C111BD" w:rsidP="00C111BD">
            <w:pPr>
              <w:rPr>
                <w:sz w:val="24"/>
                <w:szCs w:val="24"/>
              </w:rPr>
            </w:pPr>
            <w:r w:rsidRPr="00C111BD">
              <w:rPr>
                <w:sz w:val="24"/>
                <w:szCs w:val="24"/>
              </w:rPr>
              <w:lastRenderedPageBreak/>
              <w:t>I felt an overall feeling of admiration for ‘1’ which helped me focus on always placing ‘1’s’ views at the centre of my practice. This theory also corresponded with a strength mapping method, within a Strength Based approach which helped me focus on what ‘1’ could do, what help she required and who were her support networks within her community setting. It identified and supported my knowledge that although ‘1’ could mention her community links such as neighbours and friends but due to an undiagnosed cognitive impairment she was unable to recognise that they had moved or had passed away. Therefore, she could not readily rely on that support or understand that it was no longer available.  ‘1’ has simply slipped out of context of the community around her and had no reason to be seen in the eye of professional support until now. Yu et al. (2020) researched and explore the risk factors associated with self-neglect in older adults, which concluded that ‘Self neglect is a common and under-recognized phenomenon among community-dwelling older adults.’ It recognised in its findings that often the cause to self-neglect includes sociodemographic characteristics, health-related characteristics and social context characteristics. Reading this research enlightened me to recognise that ‘1’ had several of the characteristics.  Age, divorced, estranged from family, cognitive impairment, lower level of physical function along with living alone, and no social support networks. This consolidated to me that this contributed to her nonintentional self-neglect which placed her at risk.</w:t>
            </w:r>
          </w:p>
          <w:p w14:paraId="1F333B69" w14:textId="77777777" w:rsidR="00C111BD" w:rsidRDefault="00C111BD" w:rsidP="00C111BD">
            <w:pPr>
              <w:rPr>
                <w:sz w:val="24"/>
                <w:szCs w:val="24"/>
              </w:rPr>
            </w:pPr>
            <w:r w:rsidRPr="00C111BD">
              <w:rPr>
                <w:sz w:val="24"/>
                <w:szCs w:val="24"/>
              </w:rPr>
              <w:t>The use of the legislation research and theories helped me to draw on and analysis how I could support and safeguard ‘1’ to remain at home and therefore evidenced my decision to investigate the least restrictive options which would uphold the Articles 2,5,7 and 8 of ‘1s’ rights under the HR (1998). The European</w:t>
            </w:r>
            <w:r w:rsidRPr="00C111BD">
              <w:rPr>
                <w:b/>
                <w:bCs/>
                <w:sz w:val="24"/>
                <w:szCs w:val="24"/>
              </w:rPr>
              <w:t xml:space="preserve"> </w:t>
            </w:r>
            <w:r w:rsidRPr="00C111BD">
              <w:rPr>
                <w:sz w:val="24"/>
                <w:szCs w:val="24"/>
              </w:rPr>
              <w:t>Convention on Human Rights (ECHR) is an international treaty that promotes human rights and treaty across Europe and was developed from World War 2. SSWBA, (2014) is aligned with the act in promoting rights and fair treatment and is the legislation in Wales.</w:t>
            </w:r>
          </w:p>
          <w:p w14:paraId="4F783E56" w14:textId="77777777" w:rsidR="00164F1B" w:rsidRPr="00C111BD" w:rsidRDefault="00164F1B" w:rsidP="00C111BD">
            <w:pPr>
              <w:rPr>
                <w:sz w:val="24"/>
                <w:szCs w:val="24"/>
              </w:rPr>
            </w:pPr>
          </w:p>
          <w:p w14:paraId="0B7AFD92" w14:textId="77777777" w:rsidR="00C111BD" w:rsidRDefault="00C111BD" w:rsidP="00C111BD">
            <w:pPr>
              <w:rPr>
                <w:sz w:val="24"/>
                <w:szCs w:val="24"/>
              </w:rPr>
            </w:pPr>
            <w:r w:rsidRPr="00C111BD">
              <w:rPr>
                <w:sz w:val="24"/>
                <w:szCs w:val="24"/>
              </w:rPr>
              <w:t xml:space="preserve">I considered the risks of acting on assumptions such as the GP stating that ‘1’ lacked capacity and reflected how this can undermine the adult’s rights and voice. By completing a formal capacity assessment around ‘1s’ care and support needs and financial matters, within both it highlighted ‘1s’ voice and choices. Therefore, I reflected it was my place to advocate on behalf of ‘1’. Through supervision I was informed around the importance of referring for an Independent Mental Capacity Advocate (IMCA). The IMCA would be able to support ‘1’ to ensure that her rights and best interests were protected and all protective measures were made considering the least restrictive options. The IMCA would ensure that professionals like me have acted accordingly and that ‘1’ participated in the decision-making process as much as possible. Leading me to think about the importance of working collaboratively with other professionals. This enabled and strengthened my holistic assessment by having information from multiple professionals and or third parties. Multi agency coordination aids better and clearer communications with shared responsibility. It is a legal and ethical obligation under SSWBA which states that there is a duty to cooperate in safeguarding of adults. I already built up my relationship with the Community Mental Health Team (CMHT) therefore felt comfortable asking for help and support with this case. Having more accurate assessments make better informed decisions whilst promoting accountability and transparency.  It supported the burden on myself as an individual professional, and it did improve the outcome for ‘1’ by having a joint up approach of working. Having the coordination from the CMHT ensured that ‘1’ was getting a formal diagnosis and correct help </w:t>
            </w:r>
            <w:r w:rsidRPr="00C111BD">
              <w:rPr>
                <w:sz w:val="24"/>
                <w:szCs w:val="24"/>
              </w:rPr>
              <w:lastRenderedPageBreak/>
              <w:t xml:space="preserve">with her cognitive impairment and therefore supported with the specialist knowledge from both health and social care. Having this report, I felt should have facilitated a quicker access to their service. Unfortunately, there was a delay due to a difference team level of threshold for intervention. It was particularly hard to find third sector support in the rural area ‘1’ lived in. There was very little services available that met the need we required the support with. This is a recognised geographical issue within Wales due to its sparse population and large distances between communities which also recognises poor transport links and difficulties in recruiting and retention of staff. </w:t>
            </w:r>
          </w:p>
          <w:p w14:paraId="6501182A" w14:textId="77777777" w:rsidR="00164F1B" w:rsidRPr="00C111BD" w:rsidRDefault="00164F1B" w:rsidP="00C111BD">
            <w:pPr>
              <w:rPr>
                <w:sz w:val="24"/>
                <w:szCs w:val="24"/>
              </w:rPr>
            </w:pPr>
          </w:p>
          <w:p w14:paraId="085E7607" w14:textId="77777777" w:rsidR="00C111BD" w:rsidRDefault="00C111BD" w:rsidP="00C111BD">
            <w:pPr>
              <w:rPr>
                <w:sz w:val="24"/>
                <w:szCs w:val="24"/>
              </w:rPr>
            </w:pPr>
            <w:r w:rsidRPr="00C111BD">
              <w:rPr>
                <w:sz w:val="24"/>
                <w:szCs w:val="24"/>
              </w:rPr>
              <w:t xml:space="preserve">I reflected that initially the GP appeared to have a sense of power and through her lack of knowledge and understanding of a holistic assessment and least restrictive intervention there was a challenging dilemma of which caused tension. However, this was broken down via the use of effective legislation, polices and a multi-agency approach within the best interest decision. Furthermore, this case sourced me valuable experience and I have gained a quality and effective relationship between my role as the social worker and the role of the GP.  Throughout this essay I have shown examples of my professional judgement within working the complexity of this case. I have noted that it requires a balance of ethical reasoning and legal knowledge along with the use of theories to help me understand the individual’s situation, risk and the consequences what may happen if we didn’t mitigate risk. To always work within a least restrictive manner for individuals to maintain their autonomy. In this case, the concerns included self-neglect, poor personal hygiene, malnutrition, unsafe living conditions, and unmet basic needs such as electricity and warmth. Initially, the individual also refused care and support. This showed me that there was a significant risk to ‘1’. </w:t>
            </w:r>
          </w:p>
          <w:p w14:paraId="5EB1DA7A" w14:textId="77777777" w:rsidR="00164F1B" w:rsidRPr="00C111BD" w:rsidRDefault="00164F1B" w:rsidP="00C111BD">
            <w:pPr>
              <w:rPr>
                <w:sz w:val="24"/>
                <w:szCs w:val="24"/>
              </w:rPr>
            </w:pPr>
          </w:p>
          <w:p w14:paraId="2AE28F8F" w14:textId="77777777" w:rsidR="00C111BD" w:rsidRDefault="00C111BD" w:rsidP="00C111BD">
            <w:pPr>
              <w:rPr>
                <w:sz w:val="24"/>
                <w:szCs w:val="24"/>
              </w:rPr>
            </w:pPr>
            <w:r w:rsidRPr="00C111BD">
              <w:rPr>
                <w:sz w:val="24"/>
                <w:szCs w:val="24"/>
              </w:rPr>
              <w:t xml:space="preserve">Following the legislation in Wales SSWBA I was required to promote the well-being of ‘1’, adhering to the threshold of the Adult Safeguarding Procedures leading to the MCA for a formal capacity assessment and best interest. By collaborative working I ensured that information was shared on a basis to protect significant risk under General Data Protection Regulations,2018 (GDPR,2018) which enabled an effective joint up and collaborative approach with other professionals and ‘1’ herself. This included structured risk management from all which involved such as health, housing, fire and third parties such as community support groups as the foodbank. The ethical decision to disclose to the energy suppliers regarding the reinstatement of ‘1’s’ energy supply was extremely upsetting for me but knowing that I had also completed and identified an Application to the Court of Protection for an appointed deputyship order was the right cause of action was rewarding to balance the autonomy and protection for ‘1’ to remain at home. Using your professional judgement can be morally challenging especially when individuals are involved. It is important to explore the individual affected and consider cultural, psychological and social factors whilst being mindful that my own values do not influence my judgement. At the beginning of this case, the GP did influence my initial judgement. Also, by visiting the home and its environment, I immediately agreed that ‘1’ could not remain at home. This was due recognising that I could not live in that home, nor would want anyone else to live in those conditions. However, reflecting on my intervention and conversation with ‘1’ who described passionately how her home and pets were everything to her, I used my professional judgement to supress my own feelings to support ‘1’s autonomy and what mattered. This enabled me to see a </w:t>
            </w:r>
            <w:r w:rsidRPr="00C111BD">
              <w:rPr>
                <w:sz w:val="24"/>
                <w:szCs w:val="24"/>
              </w:rPr>
              <w:lastRenderedPageBreak/>
              <w:t>different approach on what required to be done. Having the supervision and adhering to the legal framework and policies I knew helped to consolidate my practice within this case along with the importance of accountability of evidence led decisions. Knowing that ‘1’ has remained at home and through collaborative working we have effectively mitigated the risks for now.  ‘1’has access to energy, food and medication and the success of this case has given me a sense of recognition on how we must get things right for individuals, along with the importance of using up to date legislation to guide practise, knowledge and expertise of other individuals and professionals. Looking back, I was fearful of this case, but it has given me strength by seeing the effectiveness of the outcome achieved to challenge others and work within risk.</w:t>
            </w:r>
          </w:p>
          <w:p w14:paraId="16ACEF44" w14:textId="77777777" w:rsidR="003E7C68" w:rsidRPr="00C111BD" w:rsidRDefault="003E7C68" w:rsidP="00C111BD">
            <w:pPr>
              <w:rPr>
                <w:sz w:val="24"/>
                <w:szCs w:val="24"/>
              </w:rPr>
            </w:pPr>
          </w:p>
          <w:p w14:paraId="50AA3073" w14:textId="77777777" w:rsidR="00C111BD" w:rsidRPr="00C111BD" w:rsidRDefault="00C111BD" w:rsidP="00C111BD">
            <w:pPr>
              <w:rPr>
                <w:sz w:val="24"/>
                <w:szCs w:val="24"/>
              </w:rPr>
            </w:pPr>
            <w:r w:rsidRPr="00C111BD">
              <w:rPr>
                <w:sz w:val="24"/>
                <w:szCs w:val="24"/>
              </w:rPr>
              <w:t>Since the devolution of the Welsh Parliament in 2016, the legislative landscape in Wales has shifted, with the SSWBA, (2014) promoting a rights-based, co-productive approach distinct from the CA in England. It aligns with the ECHR and underpins safeguarding in Wales. Practitioners must now work explicitly within the Welsh context, including the Active Offer, which ensures Welsh language services are proactively provided. During my assessment of ‘1’, who identified as Welsh but English as her first language, I recognised the importance of not assuming language preference. In line with this policy, I addressed this in the assessment analysis. Offering the service in Welsh may have enhanced her understanding and engagement. The ‘More than Just Words’ strategy evidence that Welsh language defines dignity, belonging, and improved communication, especially in sensitive contexts such as safeguarding or those individuals’ experiencing dementia.</w:t>
            </w:r>
          </w:p>
          <w:p w14:paraId="2C117AE7" w14:textId="77777777" w:rsidR="00C111BD" w:rsidRDefault="00C111BD" w:rsidP="00C111BD">
            <w:pPr>
              <w:rPr>
                <w:sz w:val="24"/>
                <w:szCs w:val="24"/>
              </w:rPr>
            </w:pPr>
            <w:r w:rsidRPr="00C111BD">
              <w:rPr>
                <w:sz w:val="24"/>
                <w:szCs w:val="24"/>
              </w:rPr>
              <w:t>Given the GP’s concerns about ‘1’s capacity, it was crucial to explore her language needs to ensure a fair assessment. In small Welsh communities, safeguarding can be both supported and hindered by close-knit dynamics. Whilst neighbours may look out for each other, stigma and fear can also deter reporting. I’ve observed that older adults often avoid seeking help, shaped by past norms of privacy and family self-reliance. I have noted with younger generations moving away, older individuals like ‘1’ may face isolation, especially when they live in rural areas with limited travel links. ‘1’ was unaware of the change in her community around her and still saw the neighbourhood as from years gone by.  On reflection I believe this loss of community connection contributed significantly to her self-neglect, compounded by reduced insight due to the unfamiliarity with those around her. Furthermore, the rurality of the property caused complications on sourcing suitable third sector support, another dilemma I have recognised by those living in certain areas of Wales.</w:t>
            </w:r>
          </w:p>
          <w:p w14:paraId="67148FF2" w14:textId="77777777" w:rsidR="003E7C68" w:rsidRPr="00C111BD" w:rsidRDefault="003E7C68" w:rsidP="00C111BD">
            <w:pPr>
              <w:rPr>
                <w:sz w:val="24"/>
                <w:szCs w:val="24"/>
              </w:rPr>
            </w:pPr>
          </w:p>
          <w:p w14:paraId="35A4C291" w14:textId="77777777" w:rsidR="00C111BD" w:rsidRPr="00C111BD" w:rsidRDefault="00C111BD" w:rsidP="00C111BD">
            <w:pPr>
              <w:rPr>
                <w:sz w:val="24"/>
                <w:szCs w:val="24"/>
              </w:rPr>
            </w:pPr>
            <w:r w:rsidRPr="00C111BD">
              <w:rPr>
                <w:sz w:val="24"/>
                <w:szCs w:val="24"/>
              </w:rPr>
              <w:t xml:space="preserve">To conclude, in safeguarding practice, the principle of least restrictive intervention remains poignant of ethical and lawful decision-making emphasised in both the SSWBA, (2014) and the MCA, (2005). Therefore, urgent moves to 24-hour care, while sometimes necessary, must always be approached with caution, justified and evidenced based through a holistic assessment of information, including the individual's capacity, wishes, and the risks involved. This case study has helped me to recognise and highlight the complexity and importance of safeguarding practice within the Welsh context, particularly when working with older adults whose cultural and linguistic needs always must be central to assessment and intervention process. The case has allowed me to demonstrate how I understood and used statutory duties, current legislation, policies, theories and </w:t>
            </w:r>
            <w:proofErr w:type="spellStart"/>
            <w:r w:rsidRPr="00C111BD">
              <w:rPr>
                <w:sz w:val="24"/>
                <w:szCs w:val="24"/>
              </w:rPr>
              <w:t>CoPP’s</w:t>
            </w:r>
            <w:proofErr w:type="spellEnd"/>
            <w:r w:rsidRPr="00C111BD">
              <w:rPr>
                <w:sz w:val="24"/>
                <w:szCs w:val="24"/>
              </w:rPr>
              <w:t xml:space="preserve"> to understand and guide my ethical and evidence-based approach whilst incorporating the use of the MCA, (2005) </w:t>
            </w:r>
            <w:r w:rsidRPr="00C111BD">
              <w:rPr>
                <w:sz w:val="24"/>
                <w:szCs w:val="24"/>
              </w:rPr>
              <w:lastRenderedPageBreak/>
              <w:t xml:space="preserve">and HRA (1989). Furthermore, it has enabled me to draw on ‘1’ rights, autonomy and wellbeing to be central to the assessment, safeguarding process and her personal outcomes always.  The case also deepened my understanding and knowledge of adult safeguarding in Wales and helped me recognise the importance of upholding human rights and individual’s autonomy even when faced with complex challenges and professional dilemmas. </w:t>
            </w:r>
          </w:p>
          <w:p w14:paraId="0CC8F591" w14:textId="77777777" w:rsidR="00C111BD" w:rsidRDefault="00C111BD" w:rsidP="00C111BD">
            <w:pPr>
              <w:rPr>
                <w:sz w:val="24"/>
                <w:szCs w:val="24"/>
              </w:rPr>
            </w:pPr>
            <w:r w:rsidRPr="00C111BD">
              <w:rPr>
                <w:sz w:val="24"/>
                <w:szCs w:val="24"/>
              </w:rPr>
              <w:t>By working the case in a multi-agency approach it ensured that the voice of the individual was heard which helped me to draw on my role and duties as the social worker. It consolidated to me that my interventions were proportionate, person centred and that I always adhered to the SSWBA, (2014) and MCA, (2005) principles whilst delivering compassionate care. This essay has also emphasised to me the significance of supervision, cultural competence, and language sensitivity in accountable and responsive social work practice. The uses of social work theories helped me further to make sense and or understand the reasoning for the situation and or behaviour along with looking closely into the logistics of the rurality and cultural beliefs of living In Wales, the Active Offer and More than Words.   The review of the case consolidated that the outcome of ‘1’ remaining home was successful and therefore my decisions made were ethical and right. This case has supported me with my personal development and given me confidence in managing complex safeguarding cases whilst learning from other disciplines. Going forward in practice I recognise that ultimately, safeguarding must balance protection with empowerment, ensuring that even in urgent situations, the least restrictive and most appropriate path is pursued.</w:t>
            </w:r>
          </w:p>
          <w:p w14:paraId="0B050506" w14:textId="77777777" w:rsidR="00B94935" w:rsidRDefault="00B94935" w:rsidP="00C111BD">
            <w:pPr>
              <w:rPr>
                <w:sz w:val="24"/>
                <w:szCs w:val="24"/>
              </w:rPr>
            </w:pPr>
          </w:p>
          <w:p w14:paraId="2EDBACC2" w14:textId="006CD7CE" w:rsidR="00B94935" w:rsidRPr="00C111BD" w:rsidRDefault="00B94935" w:rsidP="00C111BD">
            <w:pPr>
              <w:rPr>
                <w:sz w:val="24"/>
                <w:szCs w:val="24"/>
              </w:rPr>
            </w:pPr>
            <w:r>
              <w:rPr>
                <w:sz w:val="24"/>
                <w:szCs w:val="24"/>
              </w:rPr>
              <w:t>4263</w:t>
            </w:r>
          </w:p>
          <w:p w14:paraId="584D6620" w14:textId="77777777" w:rsidR="00C111BD" w:rsidRPr="00C111BD" w:rsidRDefault="00C111BD" w:rsidP="00FF7EBB">
            <w:pPr>
              <w:jc w:val="both"/>
              <w:rPr>
                <w:i/>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54C90C" w14:textId="77777777" w:rsidR="00943676" w:rsidRDefault="00943676">
      <w:r>
        <w:separator/>
      </w:r>
    </w:p>
  </w:endnote>
  <w:endnote w:type="continuationSeparator" w:id="0">
    <w:p w14:paraId="7AF06CFA" w14:textId="77777777" w:rsidR="00943676" w:rsidRDefault="009436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61959B" w14:textId="77777777" w:rsidR="00943676" w:rsidRDefault="00943676">
      <w:r>
        <w:separator/>
      </w:r>
    </w:p>
  </w:footnote>
  <w:footnote w:type="continuationSeparator" w:id="0">
    <w:p w14:paraId="496D57C9" w14:textId="77777777" w:rsidR="00943676" w:rsidRDefault="009436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9BC"/>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6610"/>
    <w:rsid w:val="000F1599"/>
    <w:rsid w:val="000F1769"/>
    <w:rsid w:val="000F1A97"/>
    <w:rsid w:val="000F42AE"/>
    <w:rsid w:val="000F6196"/>
    <w:rsid w:val="000F6BC3"/>
    <w:rsid w:val="0010312C"/>
    <w:rsid w:val="00105026"/>
    <w:rsid w:val="0010662B"/>
    <w:rsid w:val="00106DC7"/>
    <w:rsid w:val="00112391"/>
    <w:rsid w:val="00114F52"/>
    <w:rsid w:val="00123A04"/>
    <w:rsid w:val="00130119"/>
    <w:rsid w:val="001309DC"/>
    <w:rsid w:val="00132812"/>
    <w:rsid w:val="001347F8"/>
    <w:rsid w:val="001359EE"/>
    <w:rsid w:val="00137BB5"/>
    <w:rsid w:val="00137E05"/>
    <w:rsid w:val="001447F6"/>
    <w:rsid w:val="00147DE3"/>
    <w:rsid w:val="00150794"/>
    <w:rsid w:val="00151DA6"/>
    <w:rsid w:val="001608C4"/>
    <w:rsid w:val="00164832"/>
    <w:rsid w:val="00164F1B"/>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7D25"/>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7C68"/>
    <w:rsid w:val="003F1233"/>
    <w:rsid w:val="003F67A4"/>
    <w:rsid w:val="00400786"/>
    <w:rsid w:val="00401FDA"/>
    <w:rsid w:val="004046F0"/>
    <w:rsid w:val="0040668F"/>
    <w:rsid w:val="00411EF7"/>
    <w:rsid w:val="00412677"/>
    <w:rsid w:val="00425160"/>
    <w:rsid w:val="0042595C"/>
    <w:rsid w:val="00430DE3"/>
    <w:rsid w:val="004316C1"/>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33DF"/>
    <w:rsid w:val="00635016"/>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9E3"/>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5C03"/>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43F7"/>
    <w:rsid w:val="008A60D3"/>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1C12"/>
    <w:rsid w:val="00902A65"/>
    <w:rsid w:val="00903932"/>
    <w:rsid w:val="009079BD"/>
    <w:rsid w:val="00912BD9"/>
    <w:rsid w:val="00916FB2"/>
    <w:rsid w:val="00920E5B"/>
    <w:rsid w:val="00926436"/>
    <w:rsid w:val="00926C53"/>
    <w:rsid w:val="0093018C"/>
    <w:rsid w:val="00943676"/>
    <w:rsid w:val="0094495F"/>
    <w:rsid w:val="009544C0"/>
    <w:rsid w:val="00954FA4"/>
    <w:rsid w:val="00956AE9"/>
    <w:rsid w:val="00964CC6"/>
    <w:rsid w:val="00967BFA"/>
    <w:rsid w:val="00970707"/>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158F"/>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4935"/>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11BD"/>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0F5"/>
    <w:rsid w:val="00D22C8F"/>
    <w:rsid w:val="00D3203C"/>
    <w:rsid w:val="00D33491"/>
    <w:rsid w:val="00D3442D"/>
    <w:rsid w:val="00D36F00"/>
    <w:rsid w:val="00D44B67"/>
    <w:rsid w:val="00D44F8E"/>
    <w:rsid w:val="00D5161C"/>
    <w:rsid w:val="00D51BB3"/>
    <w:rsid w:val="00D51FD5"/>
    <w:rsid w:val="00D55DE0"/>
    <w:rsid w:val="00D607EF"/>
    <w:rsid w:val="00D60F88"/>
    <w:rsid w:val="00D646BD"/>
    <w:rsid w:val="00D65558"/>
    <w:rsid w:val="00D71201"/>
    <w:rsid w:val="00D720C7"/>
    <w:rsid w:val="00D84841"/>
    <w:rsid w:val="00D876E6"/>
    <w:rsid w:val="00D90958"/>
    <w:rsid w:val="00D9396B"/>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2F35"/>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70E9"/>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4463</Words>
  <Characters>23249</Characters>
  <Application>Microsoft Office Word</Application>
  <DocSecurity>0</DocSecurity>
  <Lines>383</Lines>
  <Paragraphs>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Carol Pryce</cp:lastModifiedBy>
  <cp:revision>19</cp:revision>
  <cp:lastPrinted>2025-10-06T08:15:00Z</cp:lastPrinted>
  <dcterms:created xsi:type="dcterms:W3CDTF">2025-09-29T10:57:00Z</dcterms:created>
  <dcterms:modified xsi:type="dcterms:W3CDTF">2025-10-06T10:16:00Z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