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15BDB" w14:textId="77777777" w:rsidR="00B420DD" w:rsidRPr="00B62A2C" w:rsidRDefault="00B420DD" w:rsidP="00611BA9">
      <w:pPr>
        <w:pStyle w:val="Heading1"/>
        <w:spacing w:line="360" w:lineRule="auto"/>
        <w:jc w:val="both"/>
        <w:rPr>
          <w:rFonts w:ascii="Arial" w:hAnsi="Arial" w:cs="Arial"/>
          <w:b/>
          <w:bCs/>
          <w:color w:val="000000" w:themeColor="text1"/>
          <w:sz w:val="22"/>
          <w:szCs w:val="22"/>
        </w:rPr>
      </w:pPr>
    </w:p>
    <w:p w14:paraId="1B5D8868" w14:textId="77777777" w:rsidR="00B420DD" w:rsidRDefault="00B420DD" w:rsidP="00611BA9">
      <w:pPr>
        <w:pStyle w:val="Heading1"/>
        <w:spacing w:line="360" w:lineRule="auto"/>
        <w:jc w:val="both"/>
        <w:rPr>
          <w:rFonts w:ascii="Arial" w:hAnsi="Arial" w:cs="Arial"/>
          <w:b/>
          <w:bCs/>
          <w:color w:val="000000" w:themeColor="text1"/>
          <w:sz w:val="24"/>
          <w:szCs w:val="24"/>
        </w:rPr>
      </w:pPr>
    </w:p>
    <w:p w14:paraId="28E88434" w14:textId="77777777" w:rsidR="00B420DD" w:rsidRDefault="00B420DD" w:rsidP="00611BA9">
      <w:pPr>
        <w:pStyle w:val="Heading1"/>
        <w:spacing w:line="360" w:lineRule="auto"/>
        <w:jc w:val="both"/>
        <w:rPr>
          <w:rFonts w:ascii="Arial" w:hAnsi="Arial" w:cs="Arial"/>
          <w:b/>
          <w:bCs/>
          <w:color w:val="000000" w:themeColor="text1"/>
          <w:sz w:val="24"/>
          <w:szCs w:val="24"/>
        </w:rPr>
      </w:pPr>
    </w:p>
    <w:p w14:paraId="41E23F33" w14:textId="77777777" w:rsidR="00B420DD" w:rsidRDefault="00B420DD" w:rsidP="00611BA9">
      <w:pPr>
        <w:pStyle w:val="Heading1"/>
        <w:spacing w:line="360" w:lineRule="auto"/>
        <w:jc w:val="both"/>
        <w:rPr>
          <w:rFonts w:ascii="Arial" w:hAnsi="Arial" w:cs="Arial"/>
          <w:b/>
          <w:bCs/>
          <w:color w:val="000000" w:themeColor="text1"/>
          <w:sz w:val="24"/>
          <w:szCs w:val="24"/>
        </w:rPr>
      </w:pPr>
    </w:p>
    <w:p w14:paraId="753E79B1" w14:textId="0EB0B705" w:rsidR="00B420DD" w:rsidRPr="00A12640" w:rsidRDefault="00B420DD" w:rsidP="00B420DD">
      <w:pPr>
        <w:jc w:val="center"/>
        <w:rPr>
          <w:rFonts w:ascii="Arial" w:hAnsi="Arial" w:cs="Arial"/>
          <w:sz w:val="22"/>
          <w:szCs w:val="22"/>
        </w:rPr>
      </w:pPr>
      <w:r w:rsidRPr="00A12640">
        <w:rPr>
          <w:rFonts w:ascii="Arial" w:hAnsi="Arial" w:cs="Arial"/>
          <w:sz w:val="22"/>
          <w:szCs w:val="22"/>
        </w:rPr>
        <w:t>Module: Professional Development within Health and Social Care</w:t>
      </w:r>
    </w:p>
    <w:p w14:paraId="3DA9C460" w14:textId="7A6B3C70" w:rsidR="00B420DD" w:rsidRPr="00A12640" w:rsidRDefault="00B420DD" w:rsidP="00B420DD">
      <w:pPr>
        <w:jc w:val="center"/>
        <w:rPr>
          <w:rFonts w:ascii="Arial" w:hAnsi="Arial" w:cs="Arial"/>
          <w:sz w:val="22"/>
          <w:szCs w:val="22"/>
        </w:rPr>
      </w:pPr>
      <w:r w:rsidRPr="00A12640">
        <w:rPr>
          <w:rFonts w:ascii="Arial" w:hAnsi="Arial" w:cs="Arial"/>
          <w:sz w:val="22"/>
          <w:szCs w:val="22"/>
        </w:rPr>
        <w:t>Module code: LCHS4009</w:t>
      </w:r>
    </w:p>
    <w:p w14:paraId="1FEEC497" w14:textId="19DB6FBB" w:rsidR="00CE0219" w:rsidRPr="00A12640" w:rsidRDefault="00854191" w:rsidP="00B420DD">
      <w:pPr>
        <w:jc w:val="center"/>
        <w:rPr>
          <w:rFonts w:ascii="Arial" w:hAnsi="Arial" w:cs="Arial"/>
          <w:sz w:val="22"/>
          <w:szCs w:val="22"/>
        </w:rPr>
      </w:pPr>
      <w:r w:rsidRPr="00A12640">
        <w:rPr>
          <w:rFonts w:ascii="Arial" w:hAnsi="Arial" w:cs="Arial"/>
          <w:sz w:val="22"/>
          <w:szCs w:val="22"/>
        </w:rPr>
        <w:t>Student: Alizangila</w:t>
      </w:r>
      <w:r w:rsidR="00B353E1" w:rsidRPr="00A12640">
        <w:rPr>
          <w:rFonts w:ascii="Arial" w:hAnsi="Arial" w:cs="Arial"/>
          <w:sz w:val="22"/>
          <w:szCs w:val="22"/>
        </w:rPr>
        <w:t xml:space="preserve"> Lima Gaspar</w:t>
      </w:r>
      <w:r w:rsidRPr="00A12640">
        <w:rPr>
          <w:rFonts w:ascii="Arial" w:hAnsi="Arial" w:cs="Arial"/>
          <w:sz w:val="22"/>
          <w:szCs w:val="22"/>
        </w:rPr>
        <w:t>/2426038</w:t>
      </w:r>
    </w:p>
    <w:p w14:paraId="75DB899E" w14:textId="3BAE6674" w:rsidR="009D170E" w:rsidRPr="00A12640" w:rsidRDefault="009D170E" w:rsidP="009D170E">
      <w:pPr>
        <w:rPr>
          <w:rFonts w:ascii="Arial" w:hAnsi="Arial" w:cs="Arial"/>
          <w:sz w:val="22"/>
          <w:szCs w:val="22"/>
        </w:rPr>
      </w:pPr>
    </w:p>
    <w:p w14:paraId="38DD1DDD" w14:textId="54BED89D" w:rsidR="009D170E" w:rsidRPr="00A12640" w:rsidRDefault="009D170E" w:rsidP="009D170E">
      <w:pPr>
        <w:rPr>
          <w:rFonts w:ascii="Arial" w:hAnsi="Arial" w:cs="Arial"/>
          <w:sz w:val="22"/>
          <w:szCs w:val="22"/>
        </w:rPr>
      </w:pPr>
    </w:p>
    <w:p w14:paraId="22BE6F43" w14:textId="77777777" w:rsidR="00B94CB8" w:rsidRPr="00A12640" w:rsidRDefault="00B94CB8" w:rsidP="00B420DD">
      <w:pPr>
        <w:jc w:val="center"/>
        <w:rPr>
          <w:rFonts w:ascii="Arial" w:hAnsi="Arial" w:cs="Arial"/>
          <w:sz w:val="22"/>
          <w:szCs w:val="22"/>
        </w:rPr>
      </w:pPr>
    </w:p>
    <w:p w14:paraId="0578D6A2" w14:textId="77777777" w:rsidR="00B94CB8" w:rsidRPr="00A12640" w:rsidRDefault="00B94CB8" w:rsidP="00B420DD">
      <w:pPr>
        <w:jc w:val="center"/>
        <w:rPr>
          <w:rFonts w:ascii="Arial" w:hAnsi="Arial" w:cs="Arial"/>
          <w:sz w:val="22"/>
          <w:szCs w:val="22"/>
        </w:rPr>
      </w:pPr>
    </w:p>
    <w:p w14:paraId="201AC4D8" w14:textId="77777777" w:rsidR="00B94CB8" w:rsidRPr="00A12640" w:rsidRDefault="00B94CB8" w:rsidP="00B420DD">
      <w:pPr>
        <w:jc w:val="center"/>
        <w:rPr>
          <w:rFonts w:ascii="Arial" w:hAnsi="Arial" w:cs="Arial"/>
          <w:sz w:val="22"/>
          <w:szCs w:val="22"/>
        </w:rPr>
      </w:pPr>
    </w:p>
    <w:p w14:paraId="63B92DF0" w14:textId="77777777" w:rsidR="00B94CB8" w:rsidRPr="00A12640" w:rsidRDefault="00B94CB8" w:rsidP="00B420DD">
      <w:pPr>
        <w:jc w:val="center"/>
        <w:rPr>
          <w:rFonts w:ascii="Arial" w:hAnsi="Arial" w:cs="Arial"/>
          <w:sz w:val="22"/>
          <w:szCs w:val="22"/>
        </w:rPr>
      </w:pPr>
    </w:p>
    <w:p w14:paraId="55D0E223" w14:textId="1ABC992D" w:rsidR="00B94CB8" w:rsidRPr="00A12640" w:rsidRDefault="00B94CB8" w:rsidP="00B420DD">
      <w:pPr>
        <w:jc w:val="center"/>
        <w:rPr>
          <w:rFonts w:ascii="Arial" w:hAnsi="Arial" w:cs="Arial"/>
          <w:sz w:val="22"/>
          <w:szCs w:val="22"/>
        </w:rPr>
      </w:pPr>
    </w:p>
    <w:p w14:paraId="4BF1A6C6" w14:textId="77777777" w:rsidR="00CE0219" w:rsidRPr="00A12640" w:rsidRDefault="00CE0219" w:rsidP="00B420DD">
      <w:pPr>
        <w:jc w:val="center"/>
        <w:rPr>
          <w:rFonts w:ascii="Arial" w:hAnsi="Arial" w:cs="Arial"/>
          <w:sz w:val="22"/>
          <w:szCs w:val="22"/>
        </w:rPr>
      </w:pPr>
    </w:p>
    <w:p w14:paraId="2AF78600" w14:textId="77777777" w:rsidR="00CE0219" w:rsidRPr="00A12640" w:rsidRDefault="00CE0219" w:rsidP="00B420DD">
      <w:pPr>
        <w:jc w:val="center"/>
        <w:rPr>
          <w:rFonts w:ascii="Arial" w:hAnsi="Arial" w:cs="Arial"/>
          <w:sz w:val="22"/>
          <w:szCs w:val="22"/>
        </w:rPr>
      </w:pPr>
    </w:p>
    <w:p w14:paraId="48127A48" w14:textId="77777777" w:rsidR="00CE0219" w:rsidRPr="00A12640" w:rsidRDefault="00CE0219" w:rsidP="00B420DD">
      <w:pPr>
        <w:jc w:val="center"/>
        <w:rPr>
          <w:rFonts w:ascii="Arial" w:hAnsi="Arial" w:cs="Arial"/>
          <w:sz w:val="22"/>
          <w:szCs w:val="22"/>
        </w:rPr>
      </w:pPr>
    </w:p>
    <w:p w14:paraId="365DFFFF" w14:textId="77777777" w:rsidR="00CE0219" w:rsidRPr="00A12640" w:rsidRDefault="00CE0219" w:rsidP="00B420DD">
      <w:pPr>
        <w:jc w:val="center"/>
        <w:rPr>
          <w:rFonts w:ascii="Arial" w:hAnsi="Arial" w:cs="Arial"/>
          <w:sz w:val="22"/>
          <w:szCs w:val="22"/>
        </w:rPr>
      </w:pPr>
    </w:p>
    <w:p w14:paraId="6891D02D" w14:textId="77777777" w:rsidR="00CE0219" w:rsidRPr="00A12640" w:rsidRDefault="00CE0219" w:rsidP="00B420DD">
      <w:pPr>
        <w:jc w:val="center"/>
        <w:rPr>
          <w:rFonts w:ascii="Arial" w:hAnsi="Arial" w:cs="Arial"/>
          <w:sz w:val="22"/>
          <w:szCs w:val="22"/>
        </w:rPr>
      </w:pPr>
    </w:p>
    <w:p w14:paraId="50B0C758" w14:textId="77777777" w:rsidR="00CE0219" w:rsidRPr="00A12640" w:rsidRDefault="00CE0219" w:rsidP="00B420DD">
      <w:pPr>
        <w:jc w:val="center"/>
        <w:rPr>
          <w:rFonts w:ascii="Arial" w:hAnsi="Arial" w:cs="Arial"/>
          <w:sz w:val="22"/>
          <w:szCs w:val="22"/>
        </w:rPr>
      </w:pPr>
    </w:p>
    <w:p w14:paraId="25F3AECA" w14:textId="77777777" w:rsidR="00CE0219" w:rsidRPr="00A12640" w:rsidRDefault="00CE0219" w:rsidP="00B420DD">
      <w:pPr>
        <w:jc w:val="center"/>
        <w:rPr>
          <w:rFonts w:ascii="Arial" w:hAnsi="Arial" w:cs="Arial"/>
          <w:sz w:val="22"/>
          <w:szCs w:val="22"/>
        </w:rPr>
      </w:pPr>
    </w:p>
    <w:p w14:paraId="63715C6A" w14:textId="77777777" w:rsidR="00CE0219" w:rsidRPr="00A12640" w:rsidRDefault="00CE0219" w:rsidP="00B420DD">
      <w:pPr>
        <w:jc w:val="center"/>
        <w:rPr>
          <w:rFonts w:ascii="Arial" w:hAnsi="Arial" w:cs="Arial"/>
          <w:sz w:val="22"/>
          <w:szCs w:val="22"/>
        </w:rPr>
      </w:pPr>
    </w:p>
    <w:p w14:paraId="25CC3D0D" w14:textId="77777777" w:rsidR="00CE0219" w:rsidRPr="00A12640" w:rsidRDefault="00CE0219" w:rsidP="00B420DD">
      <w:pPr>
        <w:jc w:val="center"/>
        <w:rPr>
          <w:rFonts w:ascii="Arial" w:hAnsi="Arial" w:cs="Arial"/>
          <w:sz w:val="22"/>
          <w:szCs w:val="22"/>
        </w:rPr>
      </w:pPr>
    </w:p>
    <w:p w14:paraId="1940FD3B" w14:textId="77777777" w:rsidR="00CE0219" w:rsidRPr="00A12640" w:rsidRDefault="00CE0219" w:rsidP="00B420DD">
      <w:pPr>
        <w:jc w:val="center"/>
        <w:rPr>
          <w:rFonts w:ascii="Arial" w:hAnsi="Arial" w:cs="Arial"/>
          <w:sz w:val="22"/>
          <w:szCs w:val="22"/>
        </w:rPr>
      </w:pPr>
    </w:p>
    <w:p w14:paraId="38FAA48A" w14:textId="77777777" w:rsidR="00CE0219" w:rsidRPr="00A12640" w:rsidRDefault="00CE0219" w:rsidP="00B420DD">
      <w:pPr>
        <w:jc w:val="center"/>
        <w:rPr>
          <w:rFonts w:ascii="Arial" w:hAnsi="Arial" w:cs="Arial"/>
          <w:sz w:val="22"/>
          <w:szCs w:val="22"/>
        </w:rPr>
      </w:pPr>
    </w:p>
    <w:p w14:paraId="10F6176A" w14:textId="77777777" w:rsidR="00CE0219" w:rsidRPr="00A12640" w:rsidRDefault="00CE0219" w:rsidP="00B420DD">
      <w:pPr>
        <w:jc w:val="center"/>
        <w:rPr>
          <w:rFonts w:ascii="Arial" w:hAnsi="Arial" w:cs="Arial"/>
          <w:sz w:val="22"/>
          <w:szCs w:val="22"/>
        </w:rPr>
      </w:pPr>
    </w:p>
    <w:p w14:paraId="5AA9AA72" w14:textId="77777777" w:rsidR="00CE0219" w:rsidRPr="00A12640" w:rsidRDefault="00CE0219" w:rsidP="00B420DD">
      <w:pPr>
        <w:jc w:val="center"/>
        <w:rPr>
          <w:rFonts w:ascii="Arial" w:hAnsi="Arial" w:cs="Arial"/>
          <w:sz w:val="22"/>
          <w:szCs w:val="22"/>
        </w:rPr>
      </w:pPr>
    </w:p>
    <w:p w14:paraId="316D56A7" w14:textId="77777777" w:rsidR="00CE0219" w:rsidRPr="00A12640" w:rsidRDefault="00CE0219" w:rsidP="00B420DD">
      <w:pPr>
        <w:jc w:val="center"/>
        <w:rPr>
          <w:rFonts w:ascii="Arial" w:hAnsi="Arial" w:cs="Arial"/>
          <w:sz w:val="22"/>
          <w:szCs w:val="22"/>
        </w:rPr>
      </w:pPr>
    </w:p>
    <w:p w14:paraId="46E9A4E0" w14:textId="77777777" w:rsidR="00CE0219" w:rsidRPr="00A12640" w:rsidRDefault="00CE0219" w:rsidP="00B420DD">
      <w:pPr>
        <w:jc w:val="center"/>
        <w:rPr>
          <w:rFonts w:ascii="Arial" w:hAnsi="Arial" w:cs="Arial"/>
          <w:sz w:val="22"/>
          <w:szCs w:val="22"/>
        </w:rPr>
      </w:pPr>
    </w:p>
    <w:p w14:paraId="65E3D7F4" w14:textId="77777777" w:rsidR="00CE0219" w:rsidRPr="00A12640" w:rsidRDefault="00CE0219" w:rsidP="00B420DD">
      <w:pPr>
        <w:jc w:val="center"/>
        <w:rPr>
          <w:rFonts w:ascii="Arial" w:hAnsi="Arial" w:cs="Arial"/>
          <w:sz w:val="22"/>
          <w:szCs w:val="22"/>
        </w:rPr>
      </w:pPr>
    </w:p>
    <w:p w14:paraId="72AF575C" w14:textId="77777777" w:rsidR="00CE0219" w:rsidRPr="00A12640" w:rsidRDefault="00CE0219" w:rsidP="00B420DD">
      <w:pPr>
        <w:jc w:val="center"/>
        <w:rPr>
          <w:rFonts w:ascii="Arial" w:hAnsi="Arial" w:cs="Arial"/>
          <w:sz w:val="22"/>
          <w:szCs w:val="22"/>
        </w:rPr>
      </w:pPr>
    </w:p>
    <w:sdt>
      <w:sdtPr>
        <w:rPr>
          <w:rFonts w:ascii="Arial" w:eastAsiaTheme="minorHAnsi" w:hAnsi="Arial" w:cs="Arial"/>
          <w:color w:val="auto"/>
          <w:kern w:val="2"/>
          <w:sz w:val="22"/>
          <w:szCs w:val="22"/>
          <w14:ligatures w14:val="standardContextual"/>
        </w:rPr>
        <w:id w:val="644247527"/>
        <w:docPartObj>
          <w:docPartGallery w:val="Table of Contents"/>
          <w:docPartUnique/>
        </w:docPartObj>
      </w:sdtPr>
      <w:sdtEndPr>
        <w:rPr>
          <w:b/>
          <w:bCs/>
          <w:noProof/>
        </w:rPr>
      </w:sdtEndPr>
      <w:sdtContent>
        <w:p w14:paraId="52A7FF11" w14:textId="2EA1E0A2" w:rsidR="00CE0219" w:rsidRPr="00A12640" w:rsidRDefault="00CE0219">
          <w:pPr>
            <w:pStyle w:val="TOCHeading"/>
            <w:rPr>
              <w:rFonts w:ascii="Arial" w:hAnsi="Arial" w:cs="Arial"/>
              <w:color w:val="000000" w:themeColor="text1"/>
              <w:sz w:val="22"/>
              <w:szCs w:val="22"/>
            </w:rPr>
          </w:pPr>
          <w:r w:rsidRPr="00A12640">
            <w:rPr>
              <w:rFonts w:ascii="Arial" w:hAnsi="Arial" w:cs="Arial"/>
              <w:color w:val="000000" w:themeColor="text1"/>
              <w:sz w:val="22"/>
              <w:szCs w:val="22"/>
            </w:rPr>
            <w:t>Contents</w:t>
          </w:r>
        </w:p>
        <w:p w14:paraId="3459D14E" w14:textId="67E293CC" w:rsidR="004C1705" w:rsidRPr="00A12640" w:rsidRDefault="00CE0219">
          <w:pPr>
            <w:pStyle w:val="TOC1"/>
            <w:tabs>
              <w:tab w:val="right" w:leader="dot" w:pos="9350"/>
            </w:tabs>
            <w:rPr>
              <w:rFonts w:ascii="Arial" w:eastAsiaTheme="minorEastAsia" w:hAnsi="Arial" w:cs="Arial"/>
              <w:noProof/>
              <w:sz w:val="22"/>
              <w:szCs w:val="22"/>
            </w:rPr>
          </w:pPr>
          <w:r w:rsidRPr="00A12640">
            <w:rPr>
              <w:rFonts w:ascii="Arial" w:hAnsi="Arial" w:cs="Arial"/>
              <w:color w:val="000000" w:themeColor="text1"/>
              <w:sz w:val="22"/>
              <w:szCs w:val="22"/>
            </w:rPr>
            <w:fldChar w:fldCharType="begin"/>
          </w:r>
          <w:r w:rsidRPr="00A12640">
            <w:rPr>
              <w:rFonts w:ascii="Arial" w:hAnsi="Arial" w:cs="Arial"/>
              <w:color w:val="000000" w:themeColor="text1"/>
              <w:sz w:val="22"/>
              <w:szCs w:val="22"/>
            </w:rPr>
            <w:instrText xml:space="preserve"> TOC \o "1-3" \h \z \u </w:instrText>
          </w:r>
          <w:r w:rsidRPr="00A12640">
            <w:rPr>
              <w:rFonts w:ascii="Arial" w:hAnsi="Arial" w:cs="Arial"/>
              <w:color w:val="000000" w:themeColor="text1"/>
              <w:sz w:val="22"/>
              <w:szCs w:val="22"/>
            </w:rPr>
            <w:fldChar w:fldCharType="separate"/>
          </w:r>
          <w:hyperlink w:anchor="_Toc213965955" w:history="1">
            <w:r w:rsidR="004C1705" w:rsidRPr="00A12640">
              <w:rPr>
                <w:rStyle w:val="Hyperlink"/>
                <w:rFonts w:ascii="Arial" w:hAnsi="Arial" w:cs="Arial"/>
                <w:noProof/>
                <w:sz w:val="22"/>
                <w:szCs w:val="22"/>
              </w:rPr>
              <w:t>Task 1: Personal Action Plan for Applying as a Healthcare Support Worker</w:t>
            </w:r>
            <w:r w:rsidR="004C1705" w:rsidRPr="00A12640">
              <w:rPr>
                <w:rFonts w:ascii="Arial" w:hAnsi="Arial" w:cs="Arial"/>
                <w:noProof/>
                <w:webHidden/>
                <w:sz w:val="22"/>
                <w:szCs w:val="22"/>
              </w:rPr>
              <w:tab/>
            </w:r>
            <w:r w:rsidR="004C1705" w:rsidRPr="00A12640">
              <w:rPr>
                <w:rFonts w:ascii="Arial" w:hAnsi="Arial" w:cs="Arial"/>
                <w:noProof/>
                <w:webHidden/>
                <w:sz w:val="22"/>
                <w:szCs w:val="22"/>
              </w:rPr>
              <w:fldChar w:fldCharType="begin"/>
            </w:r>
            <w:r w:rsidR="004C1705" w:rsidRPr="00A12640">
              <w:rPr>
                <w:rFonts w:ascii="Arial" w:hAnsi="Arial" w:cs="Arial"/>
                <w:noProof/>
                <w:webHidden/>
                <w:sz w:val="22"/>
                <w:szCs w:val="22"/>
              </w:rPr>
              <w:instrText xml:space="preserve"> PAGEREF _Toc213965955 \h </w:instrText>
            </w:r>
            <w:r w:rsidR="004C1705" w:rsidRPr="00A12640">
              <w:rPr>
                <w:rFonts w:ascii="Arial" w:hAnsi="Arial" w:cs="Arial"/>
                <w:noProof/>
                <w:webHidden/>
                <w:sz w:val="22"/>
                <w:szCs w:val="22"/>
              </w:rPr>
            </w:r>
            <w:r w:rsidR="004C1705" w:rsidRPr="00A12640">
              <w:rPr>
                <w:rFonts w:ascii="Arial" w:hAnsi="Arial" w:cs="Arial"/>
                <w:noProof/>
                <w:webHidden/>
                <w:sz w:val="22"/>
                <w:szCs w:val="22"/>
              </w:rPr>
              <w:fldChar w:fldCharType="separate"/>
            </w:r>
            <w:r w:rsidR="004C1705" w:rsidRPr="00A12640">
              <w:rPr>
                <w:rFonts w:ascii="Arial" w:hAnsi="Arial" w:cs="Arial"/>
                <w:noProof/>
                <w:webHidden/>
                <w:sz w:val="22"/>
                <w:szCs w:val="22"/>
              </w:rPr>
              <w:t>3</w:t>
            </w:r>
            <w:r w:rsidR="004C1705" w:rsidRPr="00A12640">
              <w:rPr>
                <w:rFonts w:ascii="Arial" w:hAnsi="Arial" w:cs="Arial"/>
                <w:noProof/>
                <w:webHidden/>
                <w:sz w:val="22"/>
                <w:szCs w:val="22"/>
              </w:rPr>
              <w:fldChar w:fldCharType="end"/>
            </w:r>
          </w:hyperlink>
        </w:p>
        <w:p w14:paraId="74BF6EC8" w14:textId="742AF912" w:rsidR="004C1705" w:rsidRPr="00A12640" w:rsidRDefault="004C1705">
          <w:pPr>
            <w:pStyle w:val="TOC1"/>
            <w:tabs>
              <w:tab w:val="right" w:leader="dot" w:pos="9350"/>
            </w:tabs>
            <w:rPr>
              <w:rFonts w:ascii="Arial" w:eastAsiaTheme="minorEastAsia" w:hAnsi="Arial" w:cs="Arial"/>
              <w:noProof/>
              <w:sz w:val="22"/>
              <w:szCs w:val="22"/>
            </w:rPr>
          </w:pPr>
          <w:hyperlink w:anchor="_Toc213965956" w:history="1">
            <w:r w:rsidRPr="00A12640">
              <w:rPr>
                <w:rStyle w:val="Hyperlink"/>
                <w:rFonts w:ascii="Arial" w:hAnsi="Arial" w:cs="Arial"/>
                <w:noProof/>
                <w:sz w:val="22"/>
                <w:szCs w:val="22"/>
              </w:rPr>
              <w:t>Task 2: Academic Report on Communication Skills in Health and Social Care</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_Toc213965956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5</w:t>
            </w:r>
            <w:r w:rsidRPr="00A12640">
              <w:rPr>
                <w:rFonts w:ascii="Arial" w:hAnsi="Arial" w:cs="Arial"/>
                <w:noProof/>
                <w:webHidden/>
                <w:sz w:val="22"/>
                <w:szCs w:val="22"/>
              </w:rPr>
              <w:fldChar w:fldCharType="end"/>
            </w:r>
          </w:hyperlink>
        </w:p>
        <w:p w14:paraId="6F09D980" w14:textId="7937C8A6" w:rsidR="004C1705" w:rsidRPr="00A12640" w:rsidRDefault="004C1705">
          <w:pPr>
            <w:pStyle w:val="TOC2"/>
            <w:tabs>
              <w:tab w:val="right" w:leader="dot" w:pos="9350"/>
            </w:tabs>
            <w:rPr>
              <w:rFonts w:ascii="Arial" w:eastAsiaTheme="minorEastAsia" w:hAnsi="Arial" w:cs="Arial"/>
              <w:noProof/>
              <w:sz w:val="22"/>
              <w:szCs w:val="22"/>
            </w:rPr>
          </w:pPr>
          <w:hyperlink w:anchor="_Toc213965957" w:history="1">
            <w:r w:rsidRPr="00A12640">
              <w:rPr>
                <w:rStyle w:val="Hyperlink"/>
                <w:rFonts w:ascii="Arial" w:hAnsi="Arial" w:cs="Arial"/>
                <w:noProof/>
                <w:sz w:val="22"/>
                <w:szCs w:val="22"/>
              </w:rPr>
              <w:t>Introduction</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_Toc213965957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5</w:t>
            </w:r>
            <w:r w:rsidRPr="00A12640">
              <w:rPr>
                <w:rFonts w:ascii="Arial" w:hAnsi="Arial" w:cs="Arial"/>
                <w:noProof/>
                <w:webHidden/>
                <w:sz w:val="22"/>
                <w:szCs w:val="22"/>
              </w:rPr>
              <w:fldChar w:fldCharType="end"/>
            </w:r>
          </w:hyperlink>
        </w:p>
        <w:p w14:paraId="67EA0499" w14:textId="29BF1E99" w:rsidR="004C1705" w:rsidRPr="00A12640" w:rsidRDefault="004C1705">
          <w:pPr>
            <w:pStyle w:val="TOC2"/>
            <w:tabs>
              <w:tab w:val="right" w:leader="dot" w:pos="9350"/>
            </w:tabs>
            <w:rPr>
              <w:rFonts w:ascii="Arial" w:eastAsiaTheme="minorEastAsia" w:hAnsi="Arial" w:cs="Arial"/>
              <w:noProof/>
              <w:sz w:val="22"/>
              <w:szCs w:val="22"/>
            </w:rPr>
          </w:pPr>
          <w:hyperlink w:anchor="_Toc213965958" w:history="1">
            <w:r w:rsidRPr="00A12640">
              <w:rPr>
                <w:rStyle w:val="Hyperlink"/>
                <w:rFonts w:ascii="Arial" w:hAnsi="Arial" w:cs="Arial"/>
                <w:noProof/>
                <w:sz w:val="22"/>
                <w:szCs w:val="22"/>
              </w:rPr>
              <w:t>Understanding Communication</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_Toc213965958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5</w:t>
            </w:r>
            <w:r w:rsidRPr="00A12640">
              <w:rPr>
                <w:rFonts w:ascii="Arial" w:hAnsi="Arial" w:cs="Arial"/>
                <w:noProof/>
                <w:webHidden/>
                <w:sz w:val="22"/>
                <w:szCs w:val="22"/>
              </w:rPr>
              <w:fldChar w:fldCharType="end"/>
            </w:r>
          </w:hyperlink>
        </w:p>
        <w:p w14:paraId="17BF6097" w14:textId="091FD6CE" w:rsidR="004C1705" w:rsidRPr="00A12640" w:rsidRDefault="004C1705">
          <w:pPr>
            <w:pStyle w:val="TOC2"/>
            <w:tabs>
              <w:tab w:val="right" w:leader="dot" w:pos="9350"/>
            </w:tabs>
            <w:rPr>
              <w:rFonts w:ascii="Arial" w:eastAsiaTheme="minorEastAsia" w:hAnsi="Arial" w:cs="Arial"/>
              <w:noProof/>
              <w:sz w:val="22"/>
              <w:szCs w:val="22"/>
            </w:rPr>
          </w:pPr>
          <w:hyperlink w:anchor="_Toc213965959" w:history="1">
            <w:r w:rsidRPr="00A12640">
              <w:rPr>
                <w:rStyle w:val="Hyperlink"/>
                <w:rFonts w:ascii="Arial" w:hAnsi="Arial" w:cs="Arial"/>
                <w:noProof/>
                <w:sz w:val="22"/>
                <w:szCs w:val="22"/>
              </w:rPr>
              <w:t>Key Communication Skills</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_Toc213965959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6</w:t>
            </w:r>
            <w:r w:rsidRPr="00A12640">
              <w:rPr>
                <w:rFonts w:ascii="Arial" w:hAnsi="Arial" w:cs="Arial"/>
                <w:noProof/>
                <w:webHidden/>
                <w:sz w:val="22"/>
                <w:szCs w:val="22"/>
              </w:rPr>
              <w:fldChar w:fldCharType="end"/>
            </w:r>
          </w:hyperlink>
        </w:p>
        <w:p w14:paraId="23E92FC3" w14:textId="48F18393" w:rsidR="004C1705" w:rsidRPr="00A12640" w:rsidRDefault="004C1705">
          <w:pPr>
            <w:pStyle w:val="TOC2"/>
            <w:tabs>
              <w:tab w:val="right" w:leader="dot" w:pos="9350"/>
            </w:tabs>
            <w:rPr>
              <w:rFonts w:ascii="Arial" w:eastAsiaTheme="minorEastAsia" w:hAnsi="Arial" w:cs="Arial"/>
              <w:noProof/>
              <w:sz w:val="22"/>
              <w:szCs w:val="22"/>
            </w:rPr>
          </w:pPr>
          <w:hyperlink w:anchor="_Toc213965960" w:history="1">
            <w:r w:rsidRPr="00A12640">
              <w:rPr>
                <w:rStyle w:val="Hyperlink"/>
                <w:rFonts w:ascii="Arial" w:hAnsi="Arial" w:cs="Arial"/>
                <w:noProof/>
                <w:sz w:val="22"/>
                <w:szCs w:val="22"/>
              </w:rPr>
              <w:t>Communication Styles</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_Toc213965960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6</w:t>
            </w:r>
            <w:r w:rsidRPr="00A12640">
              <w:rPr>
                <w:rFonts w:ascii="Arial" w:hAnsi="Arial" w:cs="Arial"/>
                <w:noProof/>
                <w:webHidden/>
                <w:sz w:val="22"/>
                <w:szCs w:val="22"/>
              </w:rPr>
              <w:fldChar w:fldCharType="end"/>
            </w:r>
          </w:hyperlink>
        </w:p>
        <w:p w14:paraId="43DA1A71" w14:textId="76F717BE" w:rsidR="004C1705" w:rsidRPr="00A12640" w:rsidRDefault="004C1705">
          <w:pPr>
            <w:pStyle w:val="TOC2"/>
            <w:tabs>
              <w:tab w:val="right" w:leader="dot" w:pos="9350"/>
            </w:tabs>
            <w:rPr>
              <w:rFonts w:ascii="Arial" w:eastAsiaTheme="minorEastAsia" w:hAnsi="Arial" w:cs="Arial"/>
              <w:noProof/>
              <w:sz w:val="22"/>
              <w:szCs w:val="22"/>
            </w:rPr>
          </w:pPr>
          <w:hyperlink w:anchor="_Toc213965961" w:history="1">
            <w:r w:rsidRPr="00A12640">
              <w:rPr>
                <w:rStyle w:val="Hyperlink"/>
                <w:rFonts w:ascii="Arial" w:hAnsi="Arial" w:cs="Arial"/>
                <w:noProof/>
                <w:sz w:val="22"/>
                <w:szCs w:val="22"/>
              </w:rPr>
              <w:t>Barriers and Strategies</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_Toc213965961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6</w:t>
            </w:r>
            <w:r w:rsidRPr="00A12640">
              <w:rPr>
                <w:rFonts w:ascii="Arial" w:hAnsi="Arial" w:cs="Arial"/>
                <w:noProof/>
                <w:webHidden/>
                <w:sz w:val="22"/>
                <w:szCs w:val="22"/>
              </w:rPr>
              <w:fldChar w:fldCharType="end"/>
            </w:r>
          </w:hyperlink>
        </w:p>
        <w:p w14:paraId="21352949" w14:textId="1A69B13D" w:rsidR="004C1705" w:rsidRPr="00A12640" w:rsidRDefault="004C1705">
          <w:pPr>
            <w:pStyle w:val="TOC2"/>
            <w:tabs>
              <w:tab w:val="right" w:leader="dot" w:pos="9350"/>
            </w:tabs>
            <w:rPr>
              <w:rFonts w:ascii="Arial" w:eastAsiaTheme="minorEastAsia" w:hAnsi="Arial" w:cs="Arial"/>
              <w:noProof/>
              <w:sz w:val="22"/>
              <w:szCs w:val="22"/>
            </w:rPr>
          </w:pPr>
          <w:hyperlink w:anchor="_Toc213965962" w:history="1">
            <w:r w:rsidRPr="00A12640">
              <w:rPr>
                <w:rStyle w:val="Hyperlink"/>
                <w:rFonts w:ascii="Arial" w:hAnsi="Arial" w:cs="Arial"/>
                <w:noProof/>
                <w:sz w:val="22"/>
                <w:szCs w:val="22"/>
              </w:rPr>
              <w:t>Conclusion</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_Toc213965962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7</w:t>
            </w:r>
            <w:r w:rsidRPr="00A12640">
              <w:rPr>
                <w:rFonts w:ascii="Arial" w:hAnsi="Arial" w:cs="Arial"/>
                <w:noProof/>
                <w:webHidden/>
                <w:sz w:val="22"/>
                <w:szCs w:val="22"/>
              </w:rPr>
              <w:fldChar w:fldCharType="end"/>
            </w:r>
          </w:hyperlink>
        </w:p>
        <w:p w14:paraId="0F7D8CE5" w14:textId="05FA667D" w:rsidR="004C1705" w:rsidRPr="00A12640" w:rsidRDefault="004C1705">
          <w:pPr>
            <w:pStyle w:val="TOC1"/>
            <w:tabs>
              <w:tab w:val="right" w:leader="dot" w:pos="9350"/>
            </w:tabs>
            <w:rPr>
              <w:rFonts w:ascii="Arial" w:eastAsiaTheme="minorEastAsia" w:hAnsi="Arial" w:cs="Arial"/>
              <w:noProof/>
              <w:sz w:val="22"/>
              <w:szCs w:val="22"/>
            </w:rPr>
          </w:pPr>
          <w:hyperlink w:anchor="_Toc213965963" w:history="1">
            <w:r w:rsidRPr="00A12640">
              <w:rPr>
                <w:rStyle w:val="Hyperlink"/>
                <w:rFonts w:ascii="Arial" w:hAnsi="Arial" w:cs="Arial"/>
                <w:noProof/>
                <w:sz w:val="22"/>
                <w:szCs w:val="22"/>
              </w:rPr>
              <w:t>Task 3: Critical Reflection on Personal Development Plan Presentation Using the ERA Model</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_Toc213965963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7</w:t>
            </w:r>
            <w:r w:rsidRPr="00A12640">
              <w:rPr>
                <w:rFonts w:ascii="Arial" w:hAnsi="Arial" w:cs="Arial"/>
                <w:noProof/>
                <w:webHidden/>
                <w:sz w:val="22"/>
                <w:szCs w:val="22"/>
              </w:rPr>
              <w:fldChar w:fldCharType="end"/>
            </w:r>
          </w:hyperlink>
        </w:p>
        <w:p w14:paraId="5E92E995" w14:textId="47DEAD42" w:rsidR="004C1705" w:rsidRPr="00A12640" w:rsidRDefault="004C1705">
          <w:pPr>
            <w:pStyle w:val="TOC2"/>
            <w:tabs>
              <w:tab w:val="right" w:leader="dot" w:pos="9350"/>
            </w:tabs>
            <w:rPr>
              <w:rFonts w:ascii="Arial" w:eastAsiaTheme="minorEastAsia" w:hAnsi="Arial" w:cs="Arial"/>
              <w:noProof/>
              <w:sz w:val="22"/>
              <w:szCs w:val="22"/>
            </w:rPr>
          </w:pPr>
          <w:hyperlink w:anchor="_Toc213965964" w:history="1">
            <w:r w:rsidRPr="00A12640">
              <w:rPr>
                <w:rStyle w:val="Hyperlink"/>
                <w:rFonts w:ascii="Arial" w:hAnsi="Arial" w:cs="Arial"/>
                <w:noProof/>
                <w:sz w:val="22"/>
                <w:szCs w:val="22"/>
              </w:rPr>
              <w:t>Experience</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_Toc213965964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7</w:t>
            </w:r>
            <w:r w:rsidRPr="00A12640">
              <w:rPr>
                <w:rFonts w:ascii="Arial" w:hAnsi="Arial" w:cs="Arial"/>
                <w:noProof/>
                <w:webHidden/>
                <w:sz w:val="22"/>
                <w:szCs w:val="22"/>
              </w:rPr>
              <w:fldChar w:fldCharType="end"/>
            </w:r>
          </w:hyperlink>
        </w:p>
        <w:p w14:paraId="4517E267" w14:textId="3A591299" w:rsidR="004C1705" w:rsidRPr="00A12640" w:rsidRDefault="004C1705">
          <w:pPr>
            <w:pStyle w:val="TOC2"/>
            <w:tabs>
              <w:tab w:val="right" w:leader="dot" w:pos="9350"/>
            </w:tabs>
            <w:rPr>
              <w:rFonts w:ascii="Arial" w:eastAsiaTheme="minorEastAsia" w:hAnsi="Arial" w:cs="Arial"/>
              <w:noProof/>
              <w:sz w:val="22"/>
              <w:szCs w:val="22"/>
            </w:rPr>
          </w:pPr>
          <w:hyperlink w:anchor="_Toc213965965" w:history="1">
            <w:r w:rsidRPr="00A12640">
              <w:rPr>
                <w:rStyle w:val="Hyperlink"/>
                <w:rFonts w:ascii="Arial" w:hAnsi="Arial" w:cs="Arial"/>
                <w:noProof/>
                <w:sz w:val="22"/>
                <w:szCs w:val="22"/>
              </w:rPr>
              <w:t>Reflection</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_Toc213965965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8</w:t>
            </w:r>
            <w:r w:rsidRPr="00A12640">
              <w:rPr>
                <w:rFonts w:ascii="Arial" w:hAnsi="Arial" w:cs="Arial"/>
                <w:noProof/>
                <w:webHidden/>
                <w:sz w:val="22"/>
                <w:szCs w:val="22"/>
              </w:rPr>
              <w:fldChar w:fldCharType="end"/>
            </w:r>
          </w:hyperlink>
        </w:p>
        <w:p w14:paraId="40556B20" w14:textId="4427CD34" w:rsidR="004C1705" w:rsidRPr="00A12640" w:rsidRDefault="004C1705">
          <w:pPr>
            <w:pStyle w:val="TOC2"/>
            <w:tabs>
              <w:tab w:val="right" w:leader="dot" w:pos="9350"/>
            </w:tabs>
            <w:rPr>
              <w:rFonts w:ascii="Arial" w:eastAsiaTheme="minorEastAsia" w:hAnsi="Arial" w:cs="Arial"/>
              <w:noProof/>
              <w:sz w:val="22"/>
              <w:szCs w:val="22"/>
            </w:rPr>
          </w:pPr>
          <w:hyperlink w:anchor="_Toc213965966" w:history="1">
            <w:r w:rsidRPr="00A12640">
              <w:rPr>
                <w:rStyle w:val="Hyperlink"/>
                <w:rFonts w:ascii="Arial" w:hAnsi="Arial" w:cs="Arial"/>
                <w:noProof/>
                <w:sz w:val="22"/>
                <w:szCs w:val="22"/>
              </w:rPr>
              <w:t>Action</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_Toc213965966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8</w:t>
            </w:r>
            <w:r w:rsidRPr="00A12640">
              <w:rPr>
                <w:rFonts w:ascii="Arial" w:hAnsi="Arial" w:cs="Arial"/>
                <w:noProof/>
                <w:webHidden/>
                <w:sz w:val="22"/>
                <w:szCs w:val="22"/>
              </w:rPr>
              <w:fldChar w:fldCharType="end"/>
            </w:r>
          </w:hyperlink>
        </w:p>
        <w:p w14:paraId="27FB7F12" w14:textId="5A8261A4" w:rsidR="004C1705" w:rsidRPr="00A12640" w:rsidRDefault="004C1705">
          <w:pPr>
            <w:pStyle w:val="TOC1"/>
            <w:tabs>
              <w:tab w:val="right" w:leader="dot" w:pos="9350"/>
            </w:tabs>
            <w:rPr>
              <w:rFonts w:ascii="Arial" w:eastAsiaTheme="minorEastAsia" w:hAnsi="Arial" w:cs="Arial"/>
              <w:noProof/>
              <w:sz w:val="22"/>
              <w:szCs w:val="22"/>
            </w:rPr>
          </w:pPr>
          <w:hyperlink w:anchor="_Toc213965967" w:history="1">
            <w:r w:rsidRPr="00A12640">
              <w:rPr>
                <w:rStyle w:val="Hyperlink"/>
                <w:rFonts w:ascii="Arial" w:hAnsi="Arial" w:cs="Arial"/>
                <w:noProof/>
                <w:sz w:val="22"/>
                <w:szCs w:val="22"/>
              </w:rPr>
              <w:t>References</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_Toc213965967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9</w:t>
            </w:r>
            <w:r w:rsidRPr="00A12640">
              <w:rPr>
                <w:rFonts w:ascii="Arial" w:hAnsi="Arial" w:cs="Arial"/>
                <w:noProof/>
                <w:webHidden/>
                <w:sz w:val="22"/>
                <w:szCs w:val="22"/>
              </w:rPr>
              <w:fldChar w:fldCharType="end"/>
            </w:r>
          </w:hyperlink>
        </w:p>
        <w:p w14:paraId="7646A436" w14:textId="35FE66A2" w:rsidR="004C1705" w:rsidRPr="00A12640" w:rsidRDefault="004C1705">
          <w:pPr>
            <w:pStyle w:val="TOC1"/>
            <w:tabs>
              <w:tab w:val="right" w:leader="dot" w:pos="9350"/>
            </w:tabs>
            <w:rPr>
              <w:rFonts w:ascii="Arial" w:eastAsiaTheme="minorEastAsia" w:hAnsi="Arial" w:cs="Arial"/>
              <w:noProof/>
              <w:sz w:val="22"/>
              <w:szCs w:val="22"/>
            </w:rPr>
          </w:pPr>
          <w:hyperlink w:anchor="_Toc213965968" w:history="1">
            <w:r w:rsidRPr="00A12640">
              <w:rPr>
                <w:rStyle w:val="Hyperlink"/>
                <w:rFonts w:ascii="Arial" w:hAnsi="Arial" w:cs="Arial"/>
                <w:noProof/>
                <w:sz w:val="22"/>
                <w:szCs w:val="22"/>
              </w:rPr>
              <w:t>Appendices</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_Toc213965968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11</w:t>
            </w:r>
            <w:r w:rsidRPr="00A12640">
              <w:rPr>
                <w:rFonts w:ascii="Arial" w:hAnsi="Arial" w:cs="Arial"/>
                <w:noProof/>
                <w:webHidden/>
                <w:sz w:val="22"/>
                <w:szCs w:val="22"/>
              </w:rPr>
              <w:fldChar w:fldCharType="end"/>
            </w:r>
          </w:hyperlink>
        </w:p>
        <w:p w14:paraId="0F16A12F" w14:textId="46CCB7E0" w:rsidR="004C1705" w:rsidRPr="00A12640" w:rsidRDefault="004C1705">
          <w:pPr>
            <w:pStyle w:val="TOC2"/>
            <w:tabs>
              <w:tab w:val="right" w:leader="dot" w:pos="9350"/>
            </w:tabs>
            <w:rPr>
              <w:rFonts w:ascii="Arial" w:eastAsiaTheme="minorEastAsia" w:hAnsi="Arial" w:cs="Arial"/>
              <w:noProof/>
              <w:sz w:val="22"/>
              <w:szCs w:val="22"/>
            </w:rPr>
          </w:pPr>
          <w:hyperlink w:anchor="_Toc213965969" w:history="1">
            <w:r w:rsidRPr="00A12640">
              <w:rPr>
                <w:rStyle w:val="Hyperlink"/>
                <w:rFonts w:ascii="Arial" w:hAnsi="Arial" w:cs="Arial"/>
                <w:noProof/>
                <w:sz w:val="22"/>
                <w:szCs w:val="22"/>
              </w:rPr>
              <w:t>Appendix 1: Job Posting for Healthcare workers</w:t>
            </w:r>
            <w:r w:rsidRPr="00A12640">
              <w:rPr>
                <w:rFonts w:ascii="Arial" w:hAnsi="Arial" w:cs="Arial"/>
                <w:noProof/>
                <w:webHidden/>
                <w:sz w:val="22"/>
                <w:szCs w:val="22"/>
              </w:rPr>
              <w:tab/>
            </w:r>
            <w:r w:rsidRPr="00A12640">
              <w:rPr>
                <w:rFonts w:ascii="Arial" w:hAnsi="Arial" w:cs="Arial"/>
                <w:noProof/>
                <w:webHidden/>
                <w:sz w:val="22"/>
                <w:szCs w:val="22"/>
              </w:rPr>
              <w:fldChar w:fldCharType="begin"/>
            </w:r>
            <w:r w:rsidRPr="00A12640">
              <w:rPr>
                <w:rFonts w:ascii="Arial" w:hAnsi="Arial" w:cs="Arial"/>
                <w:noProof/>
                <w:webHidden/>
                <w:sz w:val="22"/>
                <w:szCs w:val="22"/>
              </w:rPr>
              <w:instrText xml:space="preserve"> PAGEREF _Toc213965969 \h </w:instrText>
            </w:r>
            <w:r w:rsidRPr="00A12640">
              <w:rPr>
                <w:rFonts w:ascii="Arial" w:hAnsi="Arial" w:cs="Arial"/>
                <w:noProof/>
                <w:webHidden/>
                <w:sz w:val="22"/>
                <w:szCs w:val="22"/>
              </w:rPr>
            </w:r>
            <w:r w:rsidRPr="00A12640">
              <w:rPr>
                <w:rFonts w:ascii="Arial" w:hAnsi="Arial" w:cs="Arial"/>
                <w:noProof/>
                <w:webHidden/>
                <w:sz w:val="22"/>
                <w:szCs w:val="22"/>
              </w:rPr>
              <w:fldChar w:fldCharType="separate"/>
            </w:r>
            <w:r w:rsidRPr="00A12640">
              <w:rPr>
                <w:rFonts w:ascii="Arial" w:hAnsi="Arial" w:cs="Arial"/>
                <w:noProof/>
                <w:webHidden/>
                <w:sz w:val="22"/>
                <w:szCs w:val="22"/>
              </w:rPr>
              <w:t>11</w:t>
            </w:r>
            <w:r w:rsidRPr="00A12640">
              <w:rPr>
                <w:rFonts w:ascii="Arial" w:hAnsi="Arial" w:cs="Arial"/>
                <w:noProof/>
                <w:webHidden/>
                <w:sz w:val="22"/>
                <w:szCs w:val="22"/>
              </w:rPr>
              <w:fldChar w:fldCharType="end"/>
            </w:r>
          </w:hyperlink>
        </w:p>
        <w:p w14:paraId="11F0FFE0" w14:textId="72323B66" w:rsidR="00CE0219" w:rsidRPr="00A12640" w:rsidRDefault="00CE0219">
          <w:pPr>
            <w:rPr>
              <w:rFonts w:ascii="Arial" w:hAnsi="Arial" w:cs="Arial"/>
              <w:sz w:val="22"/>
              <w:szCs w:val="22"/>
            </w:rPr>
          </w:pPr>
          <w:r w:rsidRPr="00A12640">
            <w:rPr>
              <w:rFonts w:ascii="Arial" w:hAnsi="Arial" w:cs="Arial"/>
              <w:noProof/>
              <w:color w:val="000000" w:themeColor="text1"/>
              <w:sz w:val="22"/>
              <w:szCs w:val="22"/>
            </w:rPr>
            <w:fldChar w:fldCharType="end"/>
          </w:r>
        </w:p>
      </w:sdtContent>
    </w:sdt>
    <w:p w14:paraId="7C1920F5" w14:textId="77777777" w:rsidR="00B420DD" w:rsidRPr="00A12640" w:rsidRDefault="00B420DD" w:rsidP="00611BA9">
      <w:pPr>
        <w:pStyle w:val="Heading1"/>
        <w:spacing w:line="360" w:lineRule="auto"/>
        <w:jc w:val="both"/>
        <w:rPr>
          <w:rFonts w:ascii="Arial" w:hAnsi="Arial" w:cs="Arial"/>
          <w:b/>
          <w:bCs/>
          <w:color w:val="000000" w:themeColor="text1"/>
          <w:sz w:val="22"/>
          <w:szCs w:val="22"/>
        </w:rPr>
      </w:pPr>
    </w:p>
    <w:p w14:paraId="39D65BEF" w14:textId="77777777" w:rsidR="00B420DD" w:rsidRPr="00A12640" w:rsidRDefault="00B420DD" w:rsidP="00611BA9">
      <w:pPr>
        <w:pStyle w:val="Heading1"/>
        <w:spacing w:line="360" w:lineRule="auto"/>
        <w:jc w:val="both"/>
        <w:rPr>
          <w:rFonts w:ascii="Arial" w:hAnsi="Arial" w:cs="Arial"/>
          <w:b/>
          <w:bCs/>
          <w:color w:val="000000" w:themeColor="text1"/>
          <w:sz w:val="22"/>
          <w:szCs w:val="22"/>
        </w:rPr>
      </w:pPr>
    </w:p>
    <w:p w14:paraId="4167A4A4" w14:textId="77777777" w:rsidR="00B420DD" w:rsidRPr="00A12640" w:rsidRDefault="00B420DD" w:rsidP="00611BA9">
      <w:pPr>
        <w:pStyle w:val="Heading1"/>
        <w:spacing w:line="360" w:lineRule="auto"/>
        <w:jc w:val="both"/>
        <w:rPr>
          <w:rFonts w:ascii="Arial" w:hAnsi="Arial" w:cs="Arial"/>
          <w:b/>
          <w:bCs/>
          <w:color w:val="000000" w:themeColor="text1"/>
          <w:sz w:val="22"/>
          <w:szCs w:val="22"/>
        </w:rPr>
      </w:pPr>
    </w:p>
    <w:p w14:paraId="7F144E9E" w14:textId="77777777" w:rsidR="00B420DD" w:rsidRPr="00A12640" w:rsidRDefault="00B420DD" w:rsidP="00611BA9">
      <w:pPr>
        <w:pStyle w:val="Heading1"/>
        <w:spacing w:line="360" w:lineRule="auto"/>
        <w:jc w:val="both"/>
        <w:rPr>
          <w:rFonts w:ascii="Arial" w:hAnsi="Arial" w:cs="Arial"/>
          <w:b/>
          <w:bCs/>
          <w:color w:val="000000" w:themeColor="text1"/>
          <w:sz w:val="22"/>
          <w:szCs w:val="22"/>
        </w:rPr>
      </w:pPr>
    </w:p>
    <w:p w14:paraId="02A74669" w14:textId="77777777" w:rsidR="00CE0219" w:rsidRPr="00A12640" w:rsidRDefault="00CE0219" w:rsidP="00CE0219">
      <w:pPr>
        <w:rPr>
          <w:rFonts w:ascii="Arial" w:hAnsi="Arial" w:cs="Arial"/>
          <w:sz w:val="22"/>
          <w:szCs w:val="22"/>
        </w:rPr>
      </w:pPr>
    </w:p>
    <w:p w14:paraId="7D557325" w14:textId="77777777" w:rsidR="00CE0219" w:rsidRPr="00A12640" w:rsidRDefault="00CE0219" w:rsidP="00CE0219">
      <w:pPr>
        <w:rPr>
          <w:rFonts w:ascii="Arial" w:hAnsi="Arial" w:cs="Arial"/>
          <w:sz w:val="22"/>
          <w:szCs w:val="22"/>
        </w:rPr>
      </w:pPr>
    </w:p>
    <w:p w14:paraId="43029A1D" w14:textId="77777777" w:rsidR="00CE0219" w:rsidRPr="00A12640" w:rsidRDefault="00CE0219" w:rsidP="00CE0219">
      <w:pPr>
        <w:rPr>
          <w:rFonts w:ascii="Arial" w:hAnsi="Arial" w:cs="Arial"/>
          <w:sz w:val="22"/>
          <w:szCs w:val="22"/>
        </w:rPr>
      </w:pPr>
    </w:p>
    <w:p w14:paraId="67ABB595" w14:textId="77777777" w:rsidR="00CE0219" w:rsidRPr="00A12640" w:rsidRDefault="00CE0219" w:rsidP="00CE0219">
      <w:pPr>
        <w:rPr>
          <w:rFonts w:ascii="Arial" w:hAnsi="Arial" w:cs="Arial"/>
          <w:sz w:val="22"/>
          <w:szCs w:val="22"/>
        </w:rPr>
      </w:pPr>
    </w:p>
    <w:p w14:paraId="13CF6D7A" w14:textId="7C9BC653" w:rsidR="00611BA9" w:rsidRPr="00A12640" w:rsidRDefault="00611BA9" w:rsidP="00611BA9">
      <w:pPr>
        <w:pStyle w:val="Heading1"/>
        <w:spacing w:line="360" w:lineRule="auto"/>
        <w:jc w:val="both"/>
        <w:rPr>
          <w:rFonts w:ascii="Arial" w:hAnsi="Arial" w:cs="Arial"/>
          <w:b/>
          <w:bCs/>
          <w:color w:val="000000" w:themeColor="text1"/>
          <w:sz w:val="22"/>
          <w:szCs w:val="22"/>
        </w:rPr>
      </w:pPr>
      <w:bookmarkStart w:id="0" w:name="_Toc213965955"/>
      <w:r w:rsidRPr="00A12640">
        <w:rPr>
          <w:rFonts w:ascii="Arial" w:hAnsi="Arial" w:cs="Arial"/>
          <w:b/>
          <w:bCs/>
          <w:color w:val="000000" w:themeColor="text1"/>
          <w:sz w:val="22"/>
          <w:szCs w:val="22"/>
        </w:rPr>
        <w:t>Task 1: Personal Action Plan for Applying as a Healthcare Support Worker</w:t>
      </w:r>
      <w:bookmarkEnd w:id="0"/>
    </w:p>
    <w:p w14:paraId="4C03B82F" w14:textId="1A337FC6"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Healthcare support workers operate in diverse environments, including children's services and mental health. The choice is yours. Being a healthcare support worker, you will collaborate with a medical professional and assist them in their duties and provide patients with assistance to get them back to their optimum health state (NHS, 2020). </w:t>
      </w:r>
      <w:r w:rsidR="004C1705" w:rsidRPr="00A12640">
        <w:rPr>
          <w:rFonts w:ascii="Arial" w:hAnsi="Arial" w:cs="Arial"/>
          <w:color w:val="000000" w:themeColor="text1"/>
          <w:sz w:val="22"/>
          <w:szCs w:val="22"/>
        </w:rPr>
        <w:t xml:space="preserve">The appendix shows some of the recent job postings for the position. </w:t>
      </w:r>
      <w:r w:rsidRPr="00A12640">
        <w:rPr>
          <w:rFonts w:ascii="Arial" w:hAnsi="Arial" w:cs="Arial"/>
          <w:color w:val="000000" w:themeColor="text1"/>
          <w:sz w:val="22"/>
          <w:szCs w:val="22"/>
        </w:rPr>
        <w:t>Being a Healthcare Support Worker (HCSW) in the NHS means a set of possessions, which consists of practical abilities, interpersonal skills, and emotional intelligence, and all of them are used to assist the patients under the supervision of the healthcare professionals. Communication, interpersonal skills, compassion, flexibility, organisational skills, problem-solving, first-aid, emotional maturity, and teamwork skills are the main skills required in this position (Indeed, 2023). No predetermined entry requirements to the role of a healthcare support worker exist, though good literacy and numeracy skills are anticipated, and in a few institutions GCSE (or equivalent) in English and maths are also demanded. A healthcare qualification, including a BTEC or NVQ, may also be required for some positions (Pure Care Services, 2017).</w:t>
      </w:r>
    </w:p>
    <w:p w14:paraId="1E6667C1" w14:textId="3655851F"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In certain positions, certain experience in healthcare or care work can be useful, and this can be paid or volunteered work or experience that you may be bringing with you to the position (NHS, 2020). I fulfil most of these requirements, as I had the previous voluntary practice in community care and had to work with people with different health requirements. I have mastered my active listening and empathetic communication, and I have learned to be patient in difficult circumstances. Furthermore, my systematic working skills ensure that the administrative duties, including the work on patient records and care plans, are properly followed, and it corresponds to the NHS accountability and accuracy standards.</w:t>
      </w:r>
    </w:p>
    <w:p w14:paraId="7C110933" w14:textId="6DDE3C2E"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Although I have some strengths, I have determined the areas of skills I need to enhance in order to be the best HCSW. To begin with, I am more or less familiar with the fundamental knowledge of first-aid, but I would like to standardise and develop my knowledge by participating in some certified courses like Basic Life Support (BLS) and first-aid training. Second, I do not have any knowledge of medical procedures such as measuring vital signs, giving basic tests, or learning about care protocols and am planning to broaden my background either through training modules </w:t>
      </w:r>
      <w:r w:rsidRPr="00A12640">
        <w:rPr>
          <w:rFonts w:ascii="Arial" w:hAnsi="Arial" w:cs="Arial"/>
          <w:color w:val="000000" w:themeColor="text1"/>
          <w:sz w:val="22"/>
          <w:szCs w:val="22"/>
        </w:rPr>
        <w:lastRenderedPageBreak/>
        <w:t>approved by the NHS or work shadowing. Lastly, I want to become more acquainted with electronic health record systems to be more efficient in recording information about the patient.</w:t>
      </w:r>
    </w:p>
    <w:p w14:paraId="36085C7A" w14:textId="31BEF0A1" w:rsidR="00611BA9" w:rsidRPr="00A12640" w:rsidRDefault="00611BA9" w:rsidP="00611BA9">
      <w:pPr>
        <w:spacing w:line="360" w:lineRule="auto"/>
        <w:jc w:val="both"/>
        <w:rPr>
          <w:rFonts w:ascii="Arial" w:hAnsi="Arial" w:cs="Arial"/>
          <w:color w:val="000000" w:themeColor="text1"/>
          <w:sz w:val="22"/>
          <w:szCs w:val="22"/>
        </w:rPr>
      </w:pPr>
      <w:proofErr w:type="gramStart"/>
      <w:r w:rsidRPr="00A12640">
        <w:rPr>
          <w:rFonts w:ascii="Arial" w:hAnsi="Arial" w:cs="Arial"/>
          <w:color w:val="000000" w:themeColor="text1"/>
          <w:sz w:val="22"/>
          <w:szCs w:val="22"/>
        </w:rPr>
        <w:t>In order to</w:t>
      </w:r>
      <w:proofErr w:type="gramEnd"/>
      <w:r w:rsidRPr="00A12640">
        <w:rPr>
          <w:rFonts w:ascii="Arial" w:hAnsi="Arial" w:cs="Arial"/>
          <w:color w:val="000000" w:themeColor="text1"/>
          <w:sz w:val="22"/>
          <w:szCs w:val="22"/>
        </w:rPr>
        <w:t xml:space="preserve"> fill these gaps, I have created a Personal Development Plan (PDP) that has definite and measurable actions</w:t>
      </w:r>
      <w:r w:rsidR="00B420DD" w:rsidRPr="00A12640">
        <w:rPr>
          <w:rFonts w:ascii="Arial" w:hAnsi="Arial" w:cs="Arial"/>
          <w:color w:val="000000" w:themeColor="text1"/>
          <w:sz w:val="22"/>
          <w:szCs w:val="22"/>
        </w:rPr>
        <w:t xml:space="preserve"> in</w:t>
      </w:r>
      <w:r w:rsidRPr="00A12640">
        <w:rPr>
          <w:rFonts w:ascii="Arial" w:hAnsi="Arial" w:cs="Arial"/>
          <w:color w:val="000000" w:themeColor="text1"/>
          <w:sz w:val="22"/>
          <w:szCs w:val="22"/>
        </w:rPr>
        <w:t xml:space="preserve"> the coming three months</w:t>
      </w:r>
      <w:r w:rsidR="00B420DD" w:rsidRPr="00A12640">
        <w:rPr>
          <w:rFonts w:ascii="Arial" w:hAnsi="Arial" w:cs="Arial"/>
          <w:color w:val="000000" w:themeColor="text1"/>
          <w:sz w:val="22"/>
          <w:szCs w:val="22"/>
        </w:rPr>
        <w:t>.</w:t>
      </w:r>
      <w:r w:rsidRPr="00A12640">
        <w:rPr>
          <w:rFonts w:ascii="Arial" w:hAnsi="Arial" w:cs="Arial"/>
          <w:color w:val="000000" w:themeColor="text1"/>
          <w:sz w:val="22"/>
          <w:szCs w:val="22"/>
        </w:rPr>
        <w:t xml:space="preserve"> </w:t>
      </w:r>
    </w:p>
    <w:p w14:paraId="4CFAB369" w14:textId="1A4A1CBA" w:rsidR="00FF28C9" w:rsidRPr="00A12640" w:rsidRDefault="00FF28C9" w:rsidP="00FF28C9">
      <w:pPr>
        <w:pStyle w:val="Caption"/>
        <w:keepNext/>
        <w:rPr>
          <w:rFonts w:ascii="Arial" w:hAnsi="Arial" w:cs="Arial"/>
          <w:i w:val="0"/>
          <w:iCs w:val="0"/>
          <w:sz w:val="22"/>
          <w:szCs w:val="22"/>
        </w:rPr>
      </w:pPr>
      <w:r w:rsidRPr="00A12640">
        <w:rPr>
          <w:rFonts w:ascii="Arial" w:hAnsi="Arial" w:cs="Arial"/>
          <w:i w:val="0"/>
          <w:iCs w:val="0"/>
          <w:sz w:val="22"/>
          <w:szCs w:val="22"/>
        </w:rPr>
        <w:t xml:space="preserve">Table </w:t>
      </w:r>
      <w:r w:rsidRPr="00A12640">
        <w:rPr>
          <w:rFonts w:ascii="Arial" w:hAnsi="Arial" w:cs="Arial"/>
          <w:i w:val="0"/>
          <w:iCs w:val="0"/>
          <w:sz w:val="22"/>
          <w:szCs w:val="22"/>
        </w:rPr>
        <w:fldChar w:fldCharType="begin"/>
      </w:r>
      <w:r w:rsidRPr="00A12640">
        <w:rPr>
          <w:rFonts w:ascii="Arial" w:hAnsi="Arial" w:cs="Arial"/>
          <w:i w:val="0"/>
          <w:iCs w:val="0"/>
          <w:sz w:val="22"/>
          <w:szCs w:val="22"/>
        </w:rPr>
        <w:instrText xml:space="preserve"> SEQ Table \* ARABIC </w:instrText>
      </w:r>
      <w:r w:rsidRPr="00A12640">
        <w:rPr>
          <w:rFonts w:ascii="Arial" w:hAnsi="Arial" w:cs="Arial"/>
          <w:i w:val="0"/>
          <w:iCs w:val="0"/>
          <w:sz w:val="22"/>
          <w:szCs w:val="22"/>
        </w:rPr>
        <w:fldChar w:fldCharType="separate"/>
      </w:r>
      <w:r w:rsidRPr="00A12640">
        <w:rPr>
          <w:rFonts w:ascii="Arial" w:hAnsi="Arial" w:cs="Arial"/>
          <w:i w:val="0"/>
          <w:iCs w:val="0"/>
          <w:noProof/>
          <w:sz w:val="22"/>
          <w:szCs w:val="22"/>
        </w:rPr>
        <w:t>1</w:t>
      </w:r>
      <w:r w:rsidRPr="00A12640">
        <w:rPr>
          <w:rFonts w:ascii="Arial" w:hAnsi="Arial" w:cs="Arial"/>
          <w:i w:val="0"/>
          <w:iCs w:val="0"/>
          <w:sz w:val="22"/>
          <w:szCs w:val="22"/>
        </w:rPr>
        <w:fldChar w:fldCharType="end"/>
      </w:r>
      <w:r w:rsidRPr="00A12640">
        <w:rPr>
          <w:rFonts w:ascii="Arial" w:hAnsi="Arial" w:cs="Arial"/>
          <w:i w:val="0"/>
          <w:iCs w:val="0"/>
          <w:sz w:val="22"/>
          <w:szCs w:val="22"/>
        </w:rPr>
        <w:t xml:space="preserve"> Professional Development Plan</w:t>
      </w:r>
    </w:p>
    <w:tbl>
      <w:tblPr>
        <w:tblStyle w:val="TableGrid"/>
        <w:tblW w:w="0" w:type="auto"/>
        <w:tblLook w:val="04A0" w:firstRow="1" w:lastRow="0" w:firstColumn="1" w:lastColumn="0" w:noHBand="0" w:noVBand="1"/>
      </w:tblPr>
      <w:tblGrid>
        <w:gridCol w:w="1939"/>
        <w:gridCol w:w="3005"/>
        <w:gridCol w:w="1979"/>
        <w:gridCol w:w="2427"/>
      </w:tblGrid>
      <w:tr w:rsidR="00B420DD" w:rsidRPr="00A12640" w14:paraId="7C74A74A" w14:textId="77777777" w:rsidTr="00B420DD">
        <w:tc>
          <w:tcPr>
            <w:tcW w:w="0" w:type="auto"/>
            <w:hideMark/>
          </w:tcPr>
          <w:p w14:paraId="20D0B86B" w14:textId="77777777" w:rsidR="00B420DD" w:rsidRPr="00A12640" w:rsidRDefault="00B420DD" w:rsidP="00B420DD">
            <w:pPr>
              <w:spacing w:after="160"/>
              <w:jc w:val="both"/>
              <w:rPr>
                <w:rFonts w:ascii="Arial" w:hAnsi="Arial" w:cs="Arial"/>
                <w:b/>
                <w:bCs/>
                <w:color w:val="000000" w:themeColor="text1"/>
                <w:sz w:val="22"/>
                <w:szCs w:val="22"/>
              </w:rPr>
            </w:pPr>
            <w:r w:rsidRPr="00A12640">
              <w:rPr>
                <w:rFonts w:ascii="Arial" w:hAnsi="Arial" w:cs="Arial"/>
                <w:b/>
                <w:bCs/>
                <w:color w:val="000000" w:themeColor="text1"/>
                <w:sz w:val="22"/>
                <w:szCs w:val="22"/>
              </w:rPr>
              <w:t>Skill/Area</w:t>
            </w:r>
          </w:p>
        </w:tc>
        <w:tc>
          <w:tcPr>
            <w:tcW w:w="0" w:type="auto"/>
            <w:hideMark/>
          </w:tcPr>
          <w:p w14:paraId="023FA8A8" w14:textId="77777777" w:rsidR="00B420DD" w:rsidRPr="00A12640" w:rsidRDefault="00B420DD" w:rsidP="00B420DD">
            <w:pPr>
              <w:spacing w:after="160"/>
              <w:jc w:val="both"/>
              <w:rPr>
                <w:rFonts w:ascii="Arial" w:hAnsi="Arial" w:cs="Arial"/>
                <w:b/>
                <w:bCs/>
                <w:color w:val="000000" w:themeColor="text1"/>
                <w:sz w:val="22"/>
                <w:szCs w:val="22"/>
              </w:rPr>
            </w:pPr>
            <w:r w:rsidRPr="00A12640">
              <w:rPr>
                <w:rFonts w:ascii="Arial" w:hAnsi="Arial" w:cs="Arial"/>
                <w:b/>
                <w:bCs/>
                <w:color w:val="000000" w:themeColor="text1"/>
                <w:sz w:val="22"/>
                <w:szCs w:val="22"/>
              </w:rPr>
              <w:t>Action/Activity</w:t>
            </w:r>
          </w:p>
        </w:tc>
        <w:tc>
          <w:tcPr>
            <w:tcW w:w="0" w:type="auto"/>
            <w:hideMark/>
          </w:tcPr>
          <w:p w14:paraId="5F35E8F4" w14:textId="77777777" w:rsidR="00B420DD" w:rsidRPr="00A12640" w:rsidRDefault="00B420DD" w:rsidP="00B420DD">
            <w:pPr>
              <w:spacing w:after="160"/>
              <w:jc w:val="both"/>
              <w:rPr>
                <w:rFonts w:ascii="Arial" w:hAnsi="Arial" w:cs="Arial"/>
                <w:b/>
                <w:bCs/>
                <w:color w:val="000000" w:themeColor="text1"/>
                <w:sz w:val="22"/>
                <w:szCs w:val="22"/>
              </w:rPr>
            </w:pPr>
            <w:r w:rsidRPr="00A12640">
              <w:rPr>
                <w:rFonts w:ascii="Arial" w:hAnsi="Arial" w:cs="Arial"/>
                <w:b/>
                <w:bCs/>
                <w:color w:val="000000" w:themeColor="text1"/>
                <w:sz w:val="22"/>
                <w:szCs w:val="22"/>
              </w:rPr>
              <w:t>Timeline</w:t>
            </w:r>
          </w:p>
        </w:tc>
        <w:tc>
          <w:tcPr>
            <w:tcW w:w="0" w:type="auto"/>
            <w:hideMark/>
          </w:tcPr>
          <w:p w14:paraId="3236D420" w14:textId="77777777" w:rsidR="00B420DD" w:rsidRPr="00A12640" w:rsidRDefault="00B420DD" w:rsidP="00B420DD">
            <w:pPr>
              <w:spacing w:after="160"/>
              <w:jc w:val="both"/>
              <w:rPr>
                <w:rFonts w:ascii="Arial" w:hAnsi="Arial" w:cs="Arial"/>
                <w:b/>
                <w:bCs/>
                <w:color w:val="000000" w:themeColor="text1"/>
                <w:sz w:val="22"/>
                <w:szCs w:val="22"/>
              </w:rPr>
            </w:pPr>
            <w:r w:rsidRPr="00A12640">
              <w:rPr>
                <w:rFonts w:ascii="Arial" w:hAnsi="Arial" w:cs="Arial"/>
                <w:b/>
                <w:bCs/>
                <w:color w:val="000000" w:themeColor="text1"/>
                <w:sz w:val="22"/>
                <w:szCs w:val="22"/>
              </w:rPr>
              <w:t>Outcome/Goal</w:t>
            </w:r>
          </w:p>
        </w:tc>
      </w:tr>
      <w:tr w:rsidR="00B420DD" w:rsidRPr="00A12640" w14:paraId="7768F816" w14:textId="77777777" w:rsidTr="00B420DD">
        <w:tc>
          <w:tcPr>
            <w:tcW w:w="0" w:type="auto"/>
            <w:hideMark/>
          </w:tcPr>
          <w:p w14:paraId="2242AFA8"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Emergency response</w:t>
            </w:r>
          </w:p>
        </w:tc>
        <w:tc>
          <w:tcPr>
            <w:tcW w:w="0" w:type="auto"/>
            <w:hideMark/>
          </w:tcPr>
          <w:p w14:paraId="7359778D" w14:textId="7F90DD21"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Take a certified First Aid and BLS course</w:t>
            </w:r>
          </w:p>
        </w:tc>
        <w:tc>
          <w:tcPr>
            <w:tcW w:w="0" w:type="auto"/>
            <w:hideMark/>
          </w:tcPr>
          <w:p w14:paraId="4A4C4CEA"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Next 3 months</w:t>
            </w:r>
          </w:p>
        </w:tc>
        <w:tc>
          <w:tcPr>
            <w:tcW w:w="0" w:type="auto"/>
            <w:hideMark/>
          </w:tcPr>
          <w:p w14:paraId="6C2F8E0A"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Competence in handling emergencies</w:t>
            </w:r>
          </w:p>
        </w:tc>
      </w:tr>
      <w:tr w:rsidR="00B420DD" w:rsidRPr="00A12640" w14:paraId="0D1A9136" w14:textId="77777777" w:rsidTr="00B420DD">
        <w:tc>
          <w:tcPr>
            <w:tcW w:w="0" w:type="auto"/>
            <w:hideMark/>
          </w:tcPr>
          <w:p w14:paraId="110257E9"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Clinical procedures &amp; safety</w:t>
            </w:r>
          </w:p>
        </w:tc>
        <w:tc>
          <w:tcPr>
            <w:tcW w:w="0" w:type="auto"/>
            <w:hideMark/>
          </w:tcPr>
          <w:p w14:paraId="21F3391F" w14:textId="1CD29075" w:rsidR="00B420DD" w:rsidRPr="00A12640" w:rsidRDefault="00463FA3"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Enroll</w:t>
            </w:r>
            <w:r w:rsidR="00B420DD" w:rsidRPr="00A12640">
              <w:rPr>
                <w:rFonts w:ascii="Arial" w:hAnsi="Arial" w:cs="Arial"/>
                <w:color w:val="000000" w:themeColor="text1"/>
                <w:sz w:val="22"/>
                <w:szCs w:val="22"/>
              </w:rPr>
              <w:t xml:space="preserve"> in online NHS training on clinical procedures, patient safety, and infection control</w:t>
            </w:r>
          </w:p>
        </w:tc>
        <w:tc>
          <w:tcPr>
            <w:tcW w:w="0" w:type="auto"/>
            <w:hideMark/>
          </w:tcPr>
          <w:p w14:paraId="0AE32BF0" w14:textId="12A84072"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3 months, two modules/month</w:t>
            </w:r>
          </w:p>
        </w:tc>
        <w:tc>
          <w:tcPr>
            <w:tcW w:w="0" w:type="auto"/>
            <w:hideMark/>
          </w:tcPr>
          <w:p w14:paraId="48194937"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Understanding of clinical protocols and patient safety</w:t>
            </w:r>
          </w:p>
        </w:tc>
      </w:tr>
      <w:tr w:rsidR="00B420DD" w:rsidRPr="00A12640" w14:paraId="1CFAD8EC" w14:textId="77777777" w:rsidTr="00B420DD">
        <w:tc>
          <w:tcPr>
            <w:tcW w:w="0" w:type="auto"/>
            <w:hideMark/>
          </w:tcPr>
          <w:p w14:paraId="4F416A01"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Organisational &amp; technical skills</w:t>
            </w:r>
          </w:p>
        </w:tc>
        <w:tc>
          <w:tcPr>
            <w:tcW w:w="0" w:type="auto"/>
            <w:hideMark/>
          </w:tcPr>
          <w:p w14:paraId="1B8C9AB5"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Access digital health record tutorials and seek mentoring from experienced HCSWs</w:t>
            </w:r>
          </w:p>
        </w:tc>
        <w:tc>
          <w:tcPr>
            <w:tcW w:w="0" w:type="auto"/>
            <w:hideMark/>
          </w:tcPr>
          <w:p w14:paraId="7C17CC45"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First shifts and ongoing</w:t>
            </w:r>
          </w:p>
        </w:tc>
        <w:tc>
          <w:tcPr>
            <w:tcW w:w="0" w:type="auto"/>
            <w:hideMark/>
          </w:tcPr>
          <w:p w14:paraId="38046DF3"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Practical experience and improved organisational skills</w:t>
            </w:r>
          </w:p>
        </w:tc>
      </w:tr>
      <w:tr w:rsidR="00B420DD" w:rsidRPr="00A12640" w14:paraId="7E020F04" w14:textId="77777777" w:rsidTr="00B420DD">
        <w:tc>
          <w:tcPr>
            <w:tcW w:w="0" w:type="auto"/>
            <w:hideMark/>
          </w:tcPr>
          <w:p w14:paraId="5E60A0D0"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Reflection &amp; self-awareness</w:t>
            </w:r>
          </w:p>
        </w:tc>
        <w:tc>
          <w:tcPr>
            <w:tcW w:w="0" w:type="auto"/>
            <w:hideMark/>
          </w:tcPr>
          <w:p w14:paraId="3C06258D" w14:textId="5398D5DB"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Maintain a learning journal documenting outcomes, challenges, and progress.</w:t>
            </w:r>
          </w:p>
        </w:tc>
        <w:tc>
          <w:tcPr>
            <w:tcW w:w="0" w:type="auto"/>
            <w:hideMark/>
          </w:tcPr>
          <w:p w14:paraId="52DB71D5"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Continuous, over 3 months</w:t>
            </w:r>
          </w:p>
        </w:tc>
        <w:tc>
          <w:tcPr>
            <w:tcW w:w="0" w:type="auto"/>
            <w:hideMark/>
          </w:tcPr>
          <w:p w14:paraId="47AAC987" w14:textId="77777777" w:rsidR="00B420DD" w:rsidRPr="00A12640" w:rsidRDefault="00B420DD" w:rsidP="00B420DD">
            <w:pPr>
              <w:spacing w:after="160"/>
              <w:jc w:val="both"/>
              <w:rPr>
                <w:rFonts w:ascii="Arial" w:hAnsi="Arial" w:cs="Arial"/>
                <w:color w:val="000000" w:themeColor="text1"/>
                <w:sz w:val="22"/>
                <w:szCs w:val="22"/>
              </w:rPr>
            </w:pPr>
            <w:r w:rsidRPr="00A12640">
              <w:rPr>
                <w:rFonts w:ascii="Arial" w:hAnsi="Arial" w:cs="Arial"/>
                <w:color w:val="000000" w:themeColor="text1"/>
                <w:sz w:val="22"/>
                <w:szCs w:val="22"/>
              </w:rPr>
              <w:t>Enhanced self-awareness and continuous improvement</w:t>
            </w:r>
          </w:p>
        </w:tc>
      </w:tr>
    </w:tbl>
    <w:p w14:paraId="7132EC43" w14:textId="77777777" w:rsidR="00B420DD" w:rsidRPr="00A12640" w:rsidRDefault="00B420DD" w:rsidP="00611BA9">
      <w:pPr>
        <w:spacing w:line="360" w:lineRule="auto"/>
        <w:jc w:val="both"/>
        <w:rPr>
          <w:rFonts w:ascii="Arial" w:hAnsi="Arial" w:cs="Arial"/>
          <w:color w:val="000000" w:themeColor="text1"/>
          <w:sz w:val="22"/>
          <w:szCs w:val="22"/>
        </w:rPr>
      </w:pPr>
    </w:p>
    <w:p w14:paraId="503B3474" w14:textId="64057675"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In the case of preparing for an interview, I will expect questions pertaining to the practical and interpersonal requirements of the role. To begin with, how would you deal with an anxious or distressed patient? I would focus on such principles as empathy, active listening, and reassurance, and describe how I would obtain calm communication with the patient, a recognition of their emotions, and adherence to care plans to ensure that they could receive the necessary assistance. Second, how is it possible to define a moment when you were becoming an effective member of the team? I would share my voluntary experience, focusing on </w:t>
      </w:r>
      <w:r w:rsidR="00EA28D1" w:rsidRPr="00A12640">
        <w:rPr>
          <w:rFonts w:ascii="Arial" w:hAnsi="Arial" w:cs="Arial"/>
          <w:color w:val="000000" w:themeColor="text1"/>
          <w:sz w:val="22"/>
          <w:szCs w:val="22"/>
        </w:rPr>
        <w:t>cooperation</w:t>
      </w:r>
      <w:r w:rsidRPr="00A12640">
        <w:rPr>
          <w:rFonts w:ascii="Arial" w:hAnsi="Arial" w:cs="Arial"/>
          <w:color w:val="000000" w:themeColor="text1"/>
          <w:sz w:val="22"/>
          <w:szCs w:val="22"/>
        </w:rPr>
        <w:t xml:space="preserve"> with colleagues to address the needs of the clients and fix the issues, showing flexibility and ability to work in a team. Third, how do you cope with conflicting priorities at a busy healthcare facility? My approach would be explained in a methodical way: as the first thing, I would </w:t>
      </w:r>
      <w:r w:rsidR="00EA28D1" w:rsidRPr="00A12640">
        <w:rPr>
          <w:rFonts w:ascii="Arial" w:hAnsi="Arial" w:cs="Arial"/>
          <w:color w:val="000000" w:themeColor="text1"/>
          <w:sz w:val="22"/>
          <w:szCs w:val="22"/>
        </w:rPr>
        <w:t>prioritize</w:t>
      </w:r>
      <w:r w:rsidRPr="00A12640">
        <w:rPr>
          <w:rFonts w:ascii="Arial" w:hAnsi="Arial" w:cs="Arial"/>
          <w:color w:val="000000" w:themeColor="text1"/>
          <w:sz w:val="22"/>
          <w:szCs w:val="22"/>
        </w:rPr>
        <w:t xml:space="preserve"> medical tasks </w:t>
      </w:r>
      <w:proofErr w:type="gramStart"/>
      <w:r w:rsidRPr="00A12640">
        <w:rPr>
          <w:rFonts w:ascii="Arial" w:hAnsi="Arial" w:cs="Arial"/>
          <w:color w:val="000000" w:themeColor="text1"/>
          <w:sz w:val="22"/>
          <w:szCs w:val="22"/>
        </w:rPr>
        <w:t>in regard to</w:t>
      </w:r>
      <w:proofErr w:type="gramEnd"/>
      <w:r w:rsidRPr="00A12640">
        <w:rPr>
          <w:rFonts w:ascii="Arial" w:hAnsi="Arial" w:cs="Arial"/>
          <w:color w:val="000000" w:themeColor="text1"/>
          <w:sz w:val="22"/>
          <w:szCs w:val="22"/>
        </w:rPr>
        <w:t xml:space="preserve"> urgency and the need of the </w:t>
      </w:r>
      <w:proofErr w:type="gramStart"/>
      <w:r w:rsidRPr="00A12640">
        <w:rPr>
          <w:rFonts w:ascii="Arial" w:hAnsi="Arial" w:cs="Arial"/>
          <w:color w:val="000000" w:themeColor="text1"/>
          <w:sz w:val="22"/>
          <w:szCs w:val="22"/>
        </w:rPr>
        <w:t>patient, and</w:t>
      </w:r>
      <w:proofErr w:type="gramEnd"/>
      <w:r w:rsidRPr="00A12640">
        <w:rPr>
          <w:rFonts w:ascii="Arial" w:hAnsi="Arial" w:cs="Arial"/>
          <w:color w:val="000000" w:themeColor="text1"/>
          <w:sz w:val="22"/>
          <w:szCs w:val="22"/>
        </w:rPr>
        <w:t xml:space="preserve"> make sure that I record them accordingly and consult senior staff when I need to do so to prevent patient safety and care quality.</w:t>
      </w:r>
    </w:p>
    <w:p w14:paraId="345339D0" w14:textId="5FED9B3F"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The action plan will guarantee that I am well-equipped to accomplish the roles of a Healthcare Support Worker and proactively work on my areas of weakness. My competencies, confidence in </w:t>
      </w:r>
      <w:r w:rsidRPr="00A12640">
        <w:rPr>
          <w:rFonts w:ascii="Arial" w:hAnsi="Arial" w:cs="Arial"/>
          <w:color w:val="000000" w:themeColor="text1"/>
          <w:sz w:val="22"/>
          <w:szCs w:val="22"/>
        </w:rPr>
        <w:lastRenderedPageBreak/>
        <w:t>patient care, and willingness to contribute positively to the NHS team will be improved by means of combining the targeted training, practical experience, and reflective practice.</w:t>
      </w:r>
    </w:p>
    <w:p w14:paraId="0E811094" w14:textId="026F7F23" w:rsidR="00611BA9" w:rsidRPr="00A12640" w:rsidRDefault="00611BA9" w:rsidP="00611BA9">
      <w:pPr>
        <w:pStyle w:val="Heading1"/>
        <w:spacing w:line="360" w:lineRule="auto"/>
        <w:jc w:val="both"/>
        <w:rPr>
          <w:rFonts w:ascii="Arial" w:hAnsi="Arial" w:cs="Arial"/>
          <w:b/>
          <w:bCs/>
          <w:color w:val="000000" w:themeColor="text1"/>
          <w:sz w:val="22"/>
          <w:szCs w:val="22"/>
        </w:rPr>
      </w:pPr>
      <w:bookmarkStart w:id="1" w:name="_Toc213965956"/>
      <w:r w:rsidRPr="00A12640">
        <w:rPr>
          <w:rFonts w:ascii="Arial" w:hAnsi="Arial" w:cs="Arial"/>
          <w:b/>
          <w:bCs/>
          <w:color w:val="000000" w:themeColor="text1"/>
          <w:sz w:val="22"/>
          <w:szCs w:val="22"/>
        </w:rPr>
        <w:t>Task 2: Academic Report on Communication Skills in Health and Social Care</w:t>
      </w:r>
      <w:bookmarkEnd w:id="1"/>
      <w:r w:rsidRPr="00A12640">
        <w:rPr>
          <w:rFonts w:ascii="Arial" w:hAnsi="Arial" w:cs="Arial"/>
          <w:b/>
          <w:bCs/>
          <w:color w:val="000000" w:themeColor="text1"/>
          <w:sz w:val="22"/>
          <w:szCs w:val="22"/>
        </w:rPr>
        <w:t xml:space="preserve"> </w:t>
      </w:r>
    </w:p>
    <w:p w14:paraId="456244FE" w14:textId="1B93EC09" w:rsidR="00611BA9" w:rsidRPr="00A12640" w:rsidRDefault="00611BA9" w:rsidP="00611BA9">
      <w:pPr>
        <w:pStyle w:val="Heading2"/>
        <w:spacing w:line="360" w:lineRule="auto"/>
        <w:jc w:val="both"/>
        <w:rPr>
          <w:rFonts w:ascii="Arial" w:hAnsi="Arial" w:cs="Arial"/>
          <w:b/>
          <w:bCs/>
          <w:color w:val="000000" w:themeColor="text1"/>
          <w:sz w:val="22"/>
          <w:szCs w:val="22"/>
        </w:rPr>
      </w:pPr>
      <w:bookmarkStart w:id="2" w:name="_Toc213965957"/>
      <w:r w:rsidRPr="00A12640">
        <w:rPr>
          <w:rFonts w:ascii="Arial" w:hAnsi="Arial" w:cs="Arial"/>
          <w:b/>
          <w:bCs/>
          <w:color w:val="000000" w:themeColor="text1"/>
          <w:sz w:val="22"/>
          <w:szCs w:val="22"/>
        </w:rPr>
        <w:t>Introduction</w:t>
      </w:r>
      <w:bookmarkEnd w:id="2"/>
    </w:p>
    <w:p w14:paraId="65FDA66D" w14:textId="61E3CA77"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Communication is the key to providing quality and person-based care within the context of health and social care. It allows the professionals to establish trust with the patients, work smoothly with their peers, and make sure that the service users get proper support (Sharkiya, 2023). In the context of communication, medical errors, decreased patient satisfaction, and even psychological distress arising as a result of poor communication, effective, empathetic, and professional communication is an essential factor.</w:t>
      </w:r>
    </w:p>
    <w:p w14:paraId="1E11D667" w14:textId="77777777" w:rsidR="00611BA9" w:rsidRPr="00A12640" w:rsidRDefault="00611BA9" w:rsidP="00611BA9">
      <w:pPr>
        <w:pStyle w:val="Heading2"/>
        <w:spacing w:line="360" w:lineRule="auto"/>
        <w:jc w:val="both"/>
        <w:rPr>
          <w:rFonts w:ascii="Arial" w:hAnsi="Arial" w:cs="Arial"/>
          <w:b/>
          <w:bCs/>
          <w:color w:val="000000" w:themeColor="text1"/>
          <w:sz w:val="22"/>
          <w:szCs w:val="22"/>
        </w:rPr>
      </w:pPr>
      <w:bookmarkStart w:id="3" w:name="_Toc213965958"/>
      <w:r w:rsidRPr="00A12640">
        <w:rPr>
          <w:rFonts w:ascii="Arial" w:hAnsi="Arial" w:cs="Arial"/>
          <w:b/>
          <w:bCs/>
          <w:color w:val="000000" w:themeColor="text1"/>
          <w:sz w:val="22"/>
          <w:szCs w:val="22"/>
        </w:rPr>
        <w:t>Understanding Communication</w:t>
      </w:r>
      <w:bookmarkEnd w:id="3"/>
    </w:p>
    <w:p w14:paraId="13A5C0AD" w14:textId="1B4D9B34"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Communication entails the sharing of information using verbal, non-verbal, written and visual means of communication. Face-to-face conversations, telephone calls, and video consultations are all part of verbal communication and can be used to directly discuss the care plans and medical information. Empathy and reassurance are the other expressions through non-verbal communication, including body language, gestures, facial expressions, and eye contact, which come in especially handy when communicating with anxious and distressed patients (Noor et al., 2024). Written communication involves care plans, reports, emails, and documentation, making sure that the records are kept properly and that there is continuity of care. Patient education can be supported using visual communication such as charts, diagrams, and pictures. Effective communication should also take into consideration the use of sign language, Braille or Makaton to accommodate people with hearing or sight problems.</w:t>
      </w:r>
    </w:p>
    <w:p w14:paraId="4251AFF8" w14:textId="1CF4469B" w:rsidR="00611BA9" w:rsidRPr="00A12640" w:rsidRDefault="00611BA9" w:rsidP="00611BA9">
      <w:pPr>
        <w:pStyle w:val="Heading2"/>
        <w:spacing w:line="360" w:lineRule="auto"/>
        <w:jc w:val="both"/>
        <w:rPr>
          <w:rFonts w:ascii="Arial" w:hAnsi="Arial" w:cs="Arial"/>
          <w:b/>
          <w:bCs/>
          <w:color w:val="000000" w:themeColor="text1"/>
          <w:sz w:val="22"/>
          <w:szCs w:val="22"/>
        </w:rPr>
      </w:pPr>
      <w:bookmarkStart w:id="4" w:name="_Toc213965959"/>
      <w:r w:rsidRPr="00A12640">
        <w:rPr>
          <w:rFonts w:ascii="Arial" w:hAnsi="Arial" w:cs="Arial"/>
          <w:b/>
          <w:bCs/>
          <w:color w:val="000000" w:themeColor="text1"/>
          <w:sz w:val="22"/>
          <w:szCs w:val="22"/>
        </w:rPr>
        <w:t>Key Communication Skills</w:t>
      </w:r>
      <w:bookmarkEnd w:id="4"/>
    </w:p>
    <w:p w14:paraId="52D89668" w14:textId="509C26A0"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Communication in health and social care is a skill that requires a combination of skills. Active listening will make patients and service users feel listened to and appreciated, which will encourage them to be involved in their care. The emotional and psychological needs of patients can be revealed and sensitively attended to by the professionals through empathy and compassion (Tennant, Butler and Long, 2023). Effective communication lowers miscommunication and promotes effective, safe care delivery. Cultural competence ensures that interactions are done with respect to the background, beliefs, and values of the patients, which </w:t>
      </w:r>
      <w:r w:rsidRPr="00A12640">
        <w:rPr>
          <w:rFonts w:ascii="Arial" w:hAnsi="Arial" w:cs="Arial"/>
          <w:color w:val="000000" w:themeColor="text1"/>
          <w:sz w:val="22"/>
          <w:szCs w:val="22"/>
        </w:rPr>
        <w:lastRenderedPageBreak/>
        <w:t>enhances engagement and trust. It will require emotional intelligence and maturity, which will enable the staff to stay calm in difficult circumstances.</w:t>
      </w:r>
    </w:p>
    <w:p w14:paraId="5964BE7F" w14:textId="77777777" w:rsidR="00611BA9" w:rsidRPr="00A12640" w:rsidRDefault="00611BA9" w:rsidP="00611BA9">
      <w:pPr>
        <w:pStyle w:val="Heading2"/>
        <w:spacing w:line="360" w:lineRule="auto"/>
        <w:jc w:val="both"/>
        <w:rPr>
          <w:rFonts w:ascii="Arial" w:hAnsi="Arial" w:cs="Arial"/>
          <w:b/>
          <w:bCs/>
          <w:color w:val="000000" w:themeColor="text1"/>
          <w:sz w:val="22"/>
          <w:szCs w:val="22"/>
        </w:rPr>
      </w:pPr>
      <w:bookmarkStart w:id="5" w:name="_Toc213965960"/>
      <w:r w:rsidRPr="00A12640">
        <w:rPr>
          <w:rFonts w:ascii="Arial" w:hAnsi="Arial" w:cs="Arial"/>
          <w:b/>
          <w:bCs/>
          <w:color w:val="000000" w:themeColor="text1"/>
          <w:sz w:val="22"/>
          <w:szCs w:val="22"/>
        </w:rPr>
        <w:t>Communication Styles</w:t>
      </w:r>
      <w:bookmarkEnd w:id="5"/>
    </w:p>
    <w:p w14:paraId="2E39B4DA" w14:textId="18C1D420"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The best style of communication is the assertive, which is </w:t>
      </w:r>
      <w:r w:rsidR="0000303D" w:rsidRPr="00A12640">
        <w:rPr>
          <w:rFonts w:ascii="Arial" w:hAnsi="Arial" w:cs="Arial"/>
          <w:color w:val="000000" w:themeColor="text1"/>
          <w:sz w:val="22"/>
          <w:szCs w:val="22"/>
        </w:rPr>
        <w:t>well known</w:t>
      </w:r>
      <w:r w:rsidRPr="00A12640">
        <w:rPr>
          <w:rFonts w:ascii="Arial" w:hAnsi="Arial" w:cs="Arial"/>
          <w:color w:val="000000" w:themeColor="text1"/>
          <w:sz w:val="22"/>
          <w:szCs w:val="22"/>
        </w:rPr>
        <w:t xml:space="preserve"> in a healthcare environment. In contrast to passive or aggressive communication, assertive communication does not violate the rights of the partner </w:t>
      </w:r>
      <w:r w:rsidR="0000303D" w:rsidRPr="00A12640">
        <w:rPr>
          <w:rFonts w:ascii="Arial" w:hAnsi="Arial" w:cs="Arial"/>
          <w:color w:val="000000" w:themeColor="text1"/>
          <w:sz w:val="22"/>
          <w:szCs w:val="22"/>
        </w:rPr>
        <w:t>either but</w:t>
      </w:r>
      <w:r w:rsidRPr="00A12640">
        <w:rPr>
          <w:rFonts w:ascii="Arial" w:hAnsi="Arial" w:cs="Arial"/>
          <w:color w:val="000000" w:themeColor="text1"/>
          <w:sz w:val="22"/>
          <w:szCs w:val="22"/>
        </w:rPr>
        <w:t xml:space="preserve"> helps to solve a problem through constructive conversation (Sharkiya, 2023). For example, “I” in statements </w:t>
      </w:r>
      <w:r w:rsidR="00B420DD" w:rsidRPr="00A12640">
        <w:rPr>
          <w:rFonts w:ascii="Arial" w:hAnsi="Arial" w:cs="Arial"/>
          <w:color w:val="000000" w:themeColor="text1"/>
          <w:sz w:val="22"/>
          <w:szCs w:val="22"/>
        </w:rPr>
        <w:t>helps</w:t>
      </w:r>
      <w:r w:rsidRPr="00A12640">
        <w:rPr>
          <w:rFonts w:ascii="Arial" w:hAnsi="Arial" w:cs="Arial"/>
          <w:color w:val="000000" w:themeColor="text1"/>
          <w:sz w:val="22"/>
          <w:szCs w:val="22"/>
        </w:rPr>
        <w:t xml:space="preserve"> staff present their concerns without accusing others, </w:t>
      </w:r>
      <w:r w:rsidR="00B420DD" w:rsidRPr="00A12640">
        <w:rPr>
          <w:rFonts w:ascii="Arial" w:hAnsi="Arial" w:cs="Arial"/>
          <w:color w:val="000000" w:themeColor="text1"/>
          <w:sz w:val="22"/>
          <w:szCs w:val="22"/>
        </w:rPr>
        <w:t>promotes cooperation, and eliminates</w:t>
      </w:r>
      <w:r w:rsidRPr="00A12640">
        <w:rPr>
          <w:rFonts w:ascii="Arial" w:hAnsi="Arial" w:cs="Arial"/>
          <w:color w:val="000000" w:themeColor="text1"/>
          <w:sz w:val="22"/>
          <w:szCs w:val="22"/>
        </w:rPr>
        <w:t xml:space="preserve"> tension at work. Professional communication should also involve modification of the message based on the cognitive capabilities, the developmental levels and personal preferences of the patients. As an example, providing less complicated options to mentally impaired patients will guarantee their understanding and help them maintain independence.</w:t>
      </w:r>
    </w:p>
    <w:p w14:paraId="695D5FEB" w14:textId="68E5A712" w:rsidR="00611BA9" w:rsidRPr="00A12640" w:rsidRDefault="00611BA9" w:rsidP="00611BA9">
      <w:pPr>
        <w:pStyle w:val="Heading2"/>
        <w:spacing w:line="360" w:lineRule="auto"/>
        <w:jc w:val="both"/>
        <w:rPr>
          <w:rFonts w:ascii="Arial" w:hAnsi="Arial" w:cs="Arial"/>
          <w:b/>
          <w:bCs/>
          <w:color w:val="000000" w:themeColor="text1"/>
          <w:sz w:val="22"/>
          <w:szCs w:val="22"/>
        </w:rPr>
      </w:pPr>
      <w:bookmarkStart w:id="6" w:name="_Toc213965961"/>
      <w:r w:rsidRPr="00A12640">
        <w:rPr>
          <w:rFonts w:ascii="Arial" w:hAnsi="Arial" w:cs="Arial"/>
          <w:b/>
          <w:bCs/>
          <w:color w:val="000000" w:themeColor="text1"/>
          <w:sz w:val="22"/>
          <w:szCs w:val="22"/>
        </w:rPr>
        <w:t>Barriers and Strategies</w:t>
      </w:r>
      <w:bookmarkEnd w:id="6"/>
    </w:p>
    <w:p w14:paraId="35DCB9E3" w14:textId="05855D9B" w:rsidR="00611BA9" w:rsidRPr="00A12640" w:rsidRDefault="00611BA9" w:rsidP="00611BA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There are barriers that may influence communication in health care facilities. The common hindrances are medical terminologies, environmental disturbances, inattention, poor lighting and hearing or speech disorders. These obstacles can bend messages and decrease patient interaction. Some of the strategies that can be used to get past these obstacles are simplifying the language, using visual tools, environmental distraction reduction, assistive devices, and constant feedback to identify proper comprehension (Sohail, 2025). The staff, in turn, is supposed to use the pre-procedural steps to make the patient feel special and given full attention.</w:t>
      </w:r>
    </w:p>
    <w:p w14:paraId="756E7A09" w14:textId="0B00B998" w:rsidR="00611BA9" w:rsidRPr="00A12640" w:rsidRDefault="00611BA9" w:rsidP="00611BA9">
      <w:pPr>
        <w:pStyle w:val="Heading2"/>
        <w:spacing w:line="360" w:lineRule="auto"/>
        <w:jc w:val="both"/>
        <w:rPr>
          <w:rFonts w:ascii="Arial" w:hAnsi="Arial" w:cs="Arial"/>
          <w:b/>
          <w:bCs/>
          <w:color w:val="000000" w:themeColor="text1"/>
          <w:sz w:val="22"/>
          <w:szCs w:val="22"/>
        </w:rPr>
      </w:pPr>
      <w:bookmarkStart w:id="7" w:name="_Toc213965962"/>
      <w:r w:rsidRPr="00A12640">
        <w:rPr>
          <w:rFonts w:ascii="Arial" w:hAnsi="Arial" w:cs="Arial"/>
          <w:b/>
          <w:bCs/>
          <w:color w:val="000000" w:themeColor="text1"/>
          <w:sz w:val="22"/>
          <w:szCs w:val="22"/>
        </w:rPr>
        <w:t>Conclusion</w:t>
      </w:r>
      <w:bookmarkEnd w:id="7"/>
    </w:p>
    <w:p w14:paraId="34CB3BCA" w14:textId="3DE9F073" w:rsidR="00611BA9" w:rsidRPr="00A12640" w:rsidRDefault="00611BA9"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Communication is essential to safe, effective, and caring health and social care environments. There should be a combination of verbal, non-verbal, written, and visual communication skills by professionals in their work with empathy, assertiveness, cultural competence, and emotional intelligence. Adaptation, feedback, and assistive tools are the key to overcoming barriers that ensure the needs of patients are satisfied and improve collaboration and the quality of provided services. Communication skills need to be continuously developed to enhance health outcomes and patient satisfaction.</w:t>
      </w:r>
    </w:p>
    <w:p w14:paraId="0B49B061" w14:textId="5FF5A9A6" w:rsidR="00B420DD" w:rsidRPr="00A12640" w:rsidRDefault="00B420DD" w:rsidP="00B420DD">
      <w:pPr>
        <w:pStyle w:val="Heading1"/>
        <w:spacing w:line="360" w:lineRule="auto"/>
        <w:jc w:val="both"/>
        <w:rPr>
          <w:rFonts w:ascii="Arial" w:hAnsi="Arial" w:cs="Arial"/>
          <w:b/>
          <w:bCs/>
          <w:color w:val="000000" w:themeColor="text1"/>
          <w:sz w:val="22"/>
          <w:szCs w:val="22"/>
        </w:rPr>
      </w:pPr>
      <w:bookmarkStart w:id="8" w:name="_Toc213965963"/>
      <w:r w:rsidRPr="00A12640">
        <w:rPr>
          <w:rFonts w:ascii="Arial" w:hAnsi="Arial" w:cs="Arial"/>
          <w:b/>
          <w:bCs/>
          <w:color w:val="000000" w:themeColor="text1"/>
          <w:sz w:val="22"/>
          <w:szCs w:val="22"/>
        </w:rPr>
        <w:lastRenderedPageBreak/>
        <w:t>Task 3: Critical Reflection on Personal Development Plan Presentation Using the ERA Model</w:t>
      </w:r>
      <w:bookmarkEnd w:id="8"/>
    </w:p>
    <w:p w14:paraId="5CBCA786" w14:textId="027DCEA3" w:rsidR="00B420DD" w:rsidRPr="00A12640" w:rsidRDefault="00B420DD" w:rsidP="00B420DD">
      <w:pPr>
        <w:spacing w:line="360" w:lineRule="auto"/>
        <w:jc w:val="both"/>
        <w:rPr>
          <w:rFonts w:ascii="Arial" w:hAnsi="Arial" w:cs="Arial"/>
          <w:sz w:val="22"/>
          <w:szCs w:val="22"/>
        </w:rPr>
      </w:pPr>
      <w:r w:rsidRPr="00A12640">
        <w:rPr>
          <w:rFonts w:ascii="Arial" w:hAnsi="Arial" w:cs="Arial"/>
          <w:sz w:val="22"/>
          <w:szCs w:val="22"/>
        </w:rPr>
        <w:t>The ERA model is a simple reflective practice tool that breaks down an experience into three stages: Experience, Reflection, and Action</w:t>
      </w:r>
      <w:r w:rsidR="00CE0219" w:rsidRPr="00A12640">
        <w:rPr>
          <w:rFonts w:ascii="Arial" w:hAnsi="Arial" w:cs="Arial"/>
          <w:sz w:val="22"/>
          <w:szCs w:val="22"/>
        </w:rPr>
        <w:t xml:space="preserve"> (University of Cambridge, 2025)</w:t>
      </w:r>
      <w:r w:rsidRPr="00A12640">
        <w:rPr>
          <w:rFonts w:ascii="Arial" w:hAnsi="Arial" w:cs="Arial"/>
          <w:sz w:val="22"/>
          <w:szCs w:val="22"/>
        </w:rPr>
        <w:t>. The model has been used for my reflection.</w:t>
      </w:r>
    </w:p>
    <w:p w14:paraId="35277744" w14:textId="77777777" w:rsidR="00B420DD" w:rsidRPr="00A12640" w:rsidRDefault="00B420DD" w:rsidP="00B420DD">
      <w:pPr>
        <w:pStyle w:val="Heading2"/>
        <w:spacing w:line="360" w:lineRule="auto"/>
        <w:jc w:val="both"/>
        <w:rPr>
          <w:rFonts w:ascii="Arial" w:hAnsi="Arial" w:cs="Arial"/>
          <w:b/>
          <w:bCs/>
          <w:color w:val="000000" w:themeColor="text1"/>
          <w:sz w:val="22"/>
          <w:szCs w:val="22"/>
        </w:rPr>
      </w:pPr>
      <w:bookmarkStart w:id="9" w:name="_Toc213965964"/>
      <w:r w:rsidRPr="00A12640">
        <w:rPr>
          <w:rFonts w:ascii="Arial" w:hAnsi="Arial" w:cs="Arial"/>
          <w:b/>
          <w:bCs/>
          <w:color w:val="000000" w:themeColor="text1"/>
          <w:sz w:val="22"/>
          <w:szCs w:val="22"/>
        </w:rPr>
        <w:t>Experience</w:t>
      </w:r>
      <w:bookmarkEnd w:id="9"/>
    </w:p>
    <w:p w14:paraId="055DEADC" w14:textId="7028AAA9"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In the process of preparing and delivering my six-minute presentation of my Personal Development Plan (PDP) as a healthcare support worker, I was keen on showing my clear career goals, strategies, and steps to be taken. Three areas were in the presentation, namely certifying first-aid and BLS training, registering on NHS online courses that covered clinical procedures and patient safety, and enhancing organisational and technical capabilities via digital health record tutorials and mentorship. The slides were arranged in a way that measured the results and schedules to demonstrate actual performance. During my presentation, I would have communicated the PDP using words clearly, with minimal use of slides. Meneses-La-Riva et al. (2025) explain that structured communication is essential when working in the healthcare environment because it is necessary to guarantee that the information is correctly received and interpreted.</w:t>
      </w:r>
    </w:p>
    <w:p w14:paraId="7F07B7A9" w14:textId="77777777" w:rsidR="00B420DD" w:rsidRPr="00A12640" w:rsidRDefault="00B420DD" w:rsidP="00B420DD">
      <w:pPr>
        <w:pStyle w:val="Heading2"/>
        <w:spacing w:line="360" w:lineRule="auto"/>
        <w:jc w:val="both"/>
        <w:rPr>
          <w:rFonts w:ascii="Arial" w:hAnsi="Arial" w:cs="Arial"/>
          <w:b/>
          <w:bCs/>
          <w:color w:val="000000" w:themeColor="text1"/>
          <w:sz w:val="22"/>
          <w:szCs w:val="22"/>
        </w:rPr>
      </w:pPr>
      <w:bookmarkStart w:id="10" w:name="_Toc213965965"/>
      <w:r w:rsidRPr="00A12640">
        <w:rPr>
          <w:rFonts w:ascii="Arial" w:hAnsi="Arial" w:cs="Arial"/>
          <w:b/>
          <w:bCs/>
          <w:color w:val="000000" w:themeColor="text1"/>
          <w:sz w:val="22"/>
          <w:szCs w:val="22"/>
        </w:rPr>
        <w:t>Reflection</w:t>
      </w:r>
      <w:bookmarkEnd w:id="10"/>
    </w:p>
    <w:p w14:paraId="1EA8AB0F" w14:textId="7DB88AAC"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Looking back at the presentation, I recognised a number of strengths and weaknesses. The strength that I had was the ability to structure the goals logically, enabling the audience to follow my career development plan. I used proactive learning by giving practical examples, including mentoring through the first shifts and so on, which necessitate keeping a reflective journal. Nevertheless, I observed that time made me hurry on some of the slides and some of the actions were not expounded as much. The comments provided by my lecturer indicated the necessity of matching the pace and the clarity, indicating that such crucial information as measurable outcomes and timelines may have been brought out more clearly. Moreover, I used slides extensively, which could have lowered the level of interest of the audience, as I still maintained partial eye contact. My tone and pacing were a bit influenced by my emotional reactions, which was confirmed by Meargni et al. (2025), who found that the anxiety of giving a presentation may have a negative impact on the effectiveness of communication during healthcare education.</w:t>
      </w:r>
    </w:p>
    <w:p w14:paraId="47B71A3E" w14:textId="77777777" w:rsidR="00B420DD" w:rsidRPr="00A12640" w:rsidRDefault="00B420DD" w:rsidP="00B420DD">
      <w:pPr>
        <w:pStyle w:val="Heading2"/>
        <w:spacing w:line="360" w:lineRule="auto"/>
        <w:jc w:val="both"/>
        <w:rPr>
          <w:rFonts w:ascii="Arial" w:hAnsi="Arial" w:cs="Arial"/>
          <w:b/>
          <w:bCs/>
          <w:color w:val="000000" w:themeColor="text1"/>
          <w:sz w:val="22"/>
          <w:szCs w:val="22"/>
        </w:rPr>
      </w:pPr>
      <w:bookmarkStart w:id="11" w:name="_Toc213965966"/>
      <w:r w:rsidRPr="00A12640">
        <w:rPr>
          <w:rFonts w:ascii="Arial" w:hAnsi="Arial" w:cs="Arial"/>
          <w:b/>
          <w:bCs/>
          <w:color w:val="000000" w:themeColor="text1"/>
          <w:sz w:val="22"/>
          <w:szCs w:val="22"/>
        </w:rPr>
        <w:lastRenderedPageBreak/>
        <w:t>Action</w:t>
      </w:r>
      <w:bookmarkEnd w:id="11"/>
    </w:p>
    <w:p w14:paraId="75E27CFB" w14:textId="45A6743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To overcome these issues, I will make a number of improvements to further presentations and continuous professional growth. To begin with, I will practice with a timer in order to control the speed and make sure that all slides are covered. Second, I will </w:t>
      </w:r>
      <w:r w:rsidR="0000303D" w:rsidRPr="00A12640">
        <w:rPr>
          <w:rFonts w:ascii="Arial" w:hAnsi="Arial" w:cs="Arial"/>
          <w:color w:val="000000" w:themeColor="text1"/>
          <w:sz w:val="22"/>
          <w:szCs w:val="22"/>
        </w:rPr>
        <w:t>minimize</w:t>
      </w:r>
      <w:r w:rsidRPr="00A12640">
        <w:rPr>
          <w:rFonts w:ascii="Arial" w:hAnsi="Arial" w:cs="Arial"/>
          <w:color w:val="000000" w:themeColor="text1"/>
          <w:sz w:val="22"/>
          <w:szCs w:val="22"/>
        </w:rPr>
        <w:t xml:space="preserve"> the use of slides by creating cue cards and rehearsing the use of assertive verbal explanations, which is in line with the suggestion that clear and professional communication should be maintained by Pipas (2010). My progression plan will be based on the PDP, where I will complete first-aid and BLS training within the first 3 months of my time in these units, complete at least 2 training modules at the NHS, and receive some technical skills guidance from a mentor. Moreover, keeping a reflective journal will help them to be constantly self-assessed and improve their skills. Critical feedback and involvement of peers and mentors will also contribute to more effective communication, time management, and presentation confidence, contributing to better academic results and preparation to work in healthcare support. It is a reflective approach that makes sure that the learning within the ERA model is actively </w:t>
      </w:r>
      <w:r w:rsidR="0000303D" w:rsidRPr="00A12640">
        <w:rPr>
          <w:rFonts w:ascii="Arial" w:hAnsi="Arial" w:cs="Arial"/>
          <w:color w:val="000000" w:themeColor="text1"/>
          <w:sz w:val="22"/>
          <w:szCs w:val="22"/>
        </w:rPr>
        <w:t>practiced</w:t>
      </w:r>
      <w:r w:rsidRPr="00A12640">
        <w:rPr>
          <w:rFonts w:ascii="Arial" w:hAnsi="Arial" w:cs="Arial"/>
          <w:color w:val="000000" w:themeColor="text1"/>
          <w:sz w:val="22"/>
          <w:szCs w:val="22"/>
        </w:rPr>
        <w:t xml:space="preserve"> as a professional action. </w:t>
      </w:r>
    </w:p>
    <w:p w14:paraId="4596EA75" w14:textId="77777777" w:rsidR="00B420DD" w:rsidRPr="00A12640" w:rsidRDefault="00B420DD" w:rsidP="00B420DD">
      <w:pPr>
        <w:spacing w:line="360" w:lineRule="auto"/>
        <w:jc w:val="both"/>
        <w:rPr>
          <w:rFonts w:ascii="Arial" w:hAnsi="Arial" w:cs="Arial"/>
          <w:color w:val="000000" w:themeColor="text1"/>
          <w:sz w:val="22"/>
          <w:szCs w:val="22"/>
        </w:rPr>
      </w:pPr>
    </w:p>
    <w:p w14:paraId="53174078" w14:textId="6471D730" w:rsidR="00B420DD" w:rsidRPr="00A12640" w:rsidRDefault="00B420DD" w:rsidP="00B420DD">
      <w:pPr>
        <w:pStyle w:val="Heading1"/>
        <w:spacing w:line="360" w:lineRule="auto"/>
        <w:jc w:val="both"/>
        <w:rPr>
          <w:rFonts w:ascii="Arial" w:hAnsi="Arial" w:cs="Arial"/>
          <w:b/>
          <w:bCs/>
          <w:color w:val="000000" w:themeColor="text1"/>
          <w:sz w:val="22"/>
          <w:szCs w:val="22"/>
        </w:rPr>
      </w:pPr>
      <w:bookmarkStart w:id="12" w:name="_Toc213965967"/>
      <w:r w:rsidRPr="00A12640">
        <w:rPr>
          <w:rFonts w:ascii="Arial" w:hAnsi="Arial" w:cs="Arial"/>
          <w:b/>
          <w:bCs/>
          <w:color w:val="000000" w:themeColor="text1"/>
          <w:sz w:val="22"/>
          <w:szCs w:val="22"/>
        </w:rPr>
        <w:t>References</w:t>
      </w:r>
      <w:bookmarkEnd w:id="12"/>
    </w:p>
    <w:p w14:paraId="3E111835" w14:textId="790C76FD"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Indeed (2023). </w:t>
      </w:r>
      <w:r w:rsidRPr="00A12640">
        <w:rPr>
          <w:rFonts w:ascii="Arial" w:hAnsi="Arial" w:cs="Arial"/>
          <w:i/>
          <w:color w:val="000000" w:themeColor="text1"/>
          <w:sz w:val="22"/>
          <w:szCs w:val="22"/>
        </w:rPr>
        <w:t>Top support worker skills</w:t>
      </w:r>
      <w:r w:rsidRPr="00A12640">
        <w:rPr>
          <w:rFonts w:ascii="Arial" w:hAnsi="Arial" w:cs="Arial"/>
          <w:color w:val="000000" w:themeColor="text1"/>
          <w:sz w:val="22"/>
          <w:szCs w:val="22"/>
        </w:rPr>
        <w:t xml:space="preserve">. [online] Indeed Career Guide. Available at: </w:t>
      </w:r>
      <w:hyperlink r:id="rId7" w:history="1">
        <w:r w:rsidRPr="00A12640">
          <w:rPr>
            <w:rStyle w:val="Hyperlink"/>
            <w:rFonts w:ascii="Arial" w:hAnsi="Arial" w:cs="Arial"/>
            <w:sz w:val="22"/>
            <w:szCs w:val="22"/>
          </w:rPr>
          <w:t>https://uk.indeed.com/career-advice/career-development/support-worker-skills</w:t>
        </w:r>
      </w:hyperlink>
      <w:r w:rsidRPr="00A12640">
        <w:rPr>
          <w:rFonts w:ascii="Arial" w:hAnsi="Arial" w:cs="Arial"/>
          <w:color w:val="000000" w:themeColor="text1"/>
          <w:sz w:val="22"/>
          <w:szCs w:val="22"/>
        </w:rPr>
        <w:t>.</w:t>
      </w:r>
      <w:r w:rsidR="00CE0219" w:rsidRPr="00A12640">
        <w:rPr>
          <w:rFonts w:ascii="Arial" w:hAnsi="Arial" w:cs="Arial"/>
          <w:color w:val="000000" w:themeColor="text1"/>
          <w:sz w:val="22"/>
          <w:szCs w:val="22"/>
        </w:rPr>
        <w:t xml:space="preserve"> [Accessed 12 Nov. 2025].</w:t>
      </w:r>
    </w:p>
    <w:p w14:paraId="30DA7036" w14:textId="7777777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Meargni, M., Abdalmotalib, M.M., Mohammed, Yassin, M., Salih, H.S., Ahmed and Sharifa salahEldeen Abdullateef (2025). Public speaking anxiety and self-efficacy among Sudanese medical students: a cross-sectional study. </w:t>
      </w:r>
      <w:r w:rsidRPr="00A12640">
        <w:rPr>
          <w:rFonts w:ascii="Arial" w:hAnsi="Arial" w:cs="Arial"/>
          <w:i/>
          <w:color w:val="000000" w:themeColor="text1"/>
          <w:sz w:val="22"/>
          <w:szCs w:val="22"/>
        </w:rPr>
        <w:t>BMC Psychology</w:t>
      </w:r>
      <w:r w:rsidRPr="00A12640">
        <w:rPr>
          <w:rFonts w:ascii="Arial" w:hAnsi="Arial" w:cs="Arial"/>
          <w:color w:val="000000" w:themeColor="text1"/>
          <w:sz w:val="22"/>
          <w:szCs w:val="22"/>
        </w:rPr>
        <w:t>, 13(1). doi:</w:t>
      </w:r>
      <w:hyperlink r:id="rId8" w:history="1">
        <w:r w:rsidRPr="00A12640">
          <w:rPr>
            <w:rStyle w:val="Hyperlink"/>
            <w:rFonts w:ascii="Arial" w:hAnsi="Arial" w:cs="Arial"/>
            <w:sz w:val="22"/>
            <w:szCs w:val="22"/>
          </w:rPr>
          <w:t>https://doi.org/10.1186/s40359-025-02958-9</w:t>
        </w:r>
      </w:hyperlink>
      <w:r w:rsidRPr="00A12640">
        <w:rPr>
          <w:rFonts w:ascii="Arial" w:hAnsi="Arial" w:cs="Arial"/>
          <w:color w:val="000000" w:themeColor="text1"/>
          <w:sz w:val="22"/>
          <w:szCs w:val="22"/>
        </w:rPr>
        <w:t>.</w:t>
      </w:r>
    </w:p>
    <w:p w14:paraId="470FA1FB" w14:textId="7777777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Meneses-La-Riva, M.E., Fernández-Bedoya, V.H., Suyo-Vega, J.A., Ocupa-Cabrera, H.G., Grijalva-Salazar, R.V. and Ocupa-Meneses, G. di D. (2025). Enhancing Healthcare Efficiency: The Relationship Between Effective Communication and Teamwork Among Nurses in Peru. </w:t>
      </w:r>
      <w:r w:rsidRPr="00A12640">
        <w:rPr>
          <w:rFonts w:ascii="Arial" w:hAnsi="Arial" w:cs="Arial"/>
          <w:i/>
          <w:color w:val="000000" w:themeColor="text1"/>
          <w:sz w:val="22"/>
          <w:szCs w:val="22"/>
        </w:rPr>
        <w:t>Nursing Reports</w:t>
      </w:r>
      <w:r w:rsidRPr="00A12640">
        <w:rPr>
          <w:rFonts w:ascii="Arial" w:hAnsi="Arial" w:cs="Arial"/>
          <w:color w:val="000000" w:themeColor="text1"/>
          <w:sz w:val="22"/>
          <w:szCs w:val="22"/>
        </w:rPr>
        <w:t>, [online] 15(2), pp.1–13. doi:</w:t>
      </w:r>
      <w:hyperlink r:id="rId9" w:history="1">
        <w:r w:rsidRPr="00A12640">
          <w:rPr>
            <w:rStyle w:val="Hyperlink"/>
            <w:rFonts w:ascii="Arial" w:hAnsi="Arial" w:cs="Arial"/>
            <w:sz w:val="22"/>
            <w:szCs w:val="22"/>
          </w:rPr>
          <w:t>https://doi.org/10.3390/nursrep15020059</w:t>
        </w:r>
      </w:hyperlink>
      <w:r w:rsidRPr="00A12640">
        <w:rPr>
          <w:rFonts w:ascii="Arial" w:hAnsi="Arial" w:cs="Arial"/>
          <w:color w:val="000000" w:themeColor="text1"/>
          <w:sz w:val="22"/>
          <w:szCs w:val="22"/>
        </w:rPr>
        <w:t>.</w:t>
      </w:r>
    </w:p>
    <w:p w14:paraId="3DC5F645" w14:textId="75076EBA"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NHS (2020). </w:t>
      </w:r>
      <w:r w:rsidRPr="00A12640">
        <w:rPr>
          <w:rFonts w:ascii="Arial" w:hAnsi="Arial" w:cs="Arial"/>
          <w:i/>
          <w:color w:val="000000" w:themeColor="text1"/>
          <w:sz w:val="22"/>
          <w:szCs w:val="22"/>
        </w:rPr>
        <w:t>Healthcare support worker</w:t>
      </w:r>
      <w:r w:rsidRPr="00A12640">
        <w:rPr>
          <w:rFonts w:ascii="Arial" w:hAnsi="Arial" w:cs="Arial"/>
          <w:color w:val="000000" w:themeColor="text1"/>
          <w:sz w:val="22"/>
          <w:szCs w:val="22"/>
        </w:rPr>
        <w:t xml:space="preserve">. [online] Health Careers. Available at: </w:t>
      </w:r>
      <w:hyperlink r:id="rId10" w:history="1">
        <w:r w:rsidRPr="00A12640">
          <w:rPr>
            <w:rStyle w:val="Hyperlink"/>
            <w:rFonts w:ascii="Arial" w:hAnsi="Arial" w:cs="Arial"/>
            <w:sz w:val="22"/>
            <w:szCs w:val="22"/>
          </w:rPr>
          <w:t>https://www.healthcareers.nhs.uk/explore-roles/healthcare-support-worker/roles-healthcare-support-worker/healthcare-support-worker</w:t>
        </w:r>
      </w:hyperlink>
      <w:r w:rsidRPr="00A12640">
        <w:rPr>
          <w:rFonts w:ascii="Arial" w:hAnsi="Arial" w:cs="Arial"/>
          <w:color w:val="000000" w:themeColor="text1"/>
          <w:sz w:val="22"/>
          <w:szCs w:val="22"/>
        </w:rPr>
        <w:t>.</w:t>
      </w:r>
      <w:r w:rsidR="00CE0219" w:rsidRPr="00A12640">
        <w:rPr>
          <w:rFonts w:ascii="Arial" w:hAnsi="Arial" w:cs="Arial"/>
          <w:color w:val="000000" w:themeColor="text1"/>
          <w:sz w:val="22"/>
          <w:szCs w:val="22"/>
        </w:rPr>
        <w:t xml:space="preserve"> [Accessed 12 Nov. 2025].</w:t>
      </w:r>
    </w:p>
    <w:p w14:paraId="6E8597F8" w14:textId="7777777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lastRenderedPageBreak/>
        <w:t xml:space="preserve">Noor, A.S.I., Mageswaran, N., Bujang, S.M. and Mohd, N.A.B. (2024). Beyond words: analyzing non-verbal communication techniques in a medical communication skills course via synchronous online platform. </w:t>
      </w:r>
      <w:r w:rsidRPr="00A12640">
        <w:rPr>
          <w:rFonts w:ascii="Arial" w:hAnsi="Arial" w:cs="Arial"/>
          <w:i/>
          <w:color w:val="000000" w:themeColor="text1"/>
          <w:sz w:val="22"/>
          <w:szCs w:val="22"/>
        </w:rPr>
        <w:t>Frontiers in medicine</w:t>
      </w:r>
      <w:r w:rsidRPr="00A12640">
        <w:rPr>
          <w:rFonts w:ascii="Arial" w:hAnsi="Arial" w:cs="Arial"/>
          <w:color w:val="000000" w:themeColor="text1"/>
          <w:sz w:val="22"/>
          <w:szCs w:val="22"/>
        </w:rPr>
        <w:t>, 11.</w:t>
      </w:r>
    </w:p>
    <w:p w14:paraId="1623FC4F" w14:textId="7777777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Pipas, M. (2010). </w:t>
      </w:r>
      <w:r w:rsidRPr="00A12640">
        <w:rPr>
          <w:rFonts w:ascii="Arial" w:hAnsi="Arial" w:cs="Arial"/>
          <w:i/>
          <w:color w:val="000000" w:themeColor="text1"/>
          <w:sz w:val="22"/>
          <w:szCs w:val="22"/>
        </w:rPr>
        <w:t>Assertive Communication Skills</w:t>
      </w:r>
      <w:r w:rsidRPr="00A12640">
        <w:rPr>
          <w:rFonts w:ascii="Arial" w:hAnsi="Arial" w:cs="Arial"/>
          <w:color w:val="000000" w:themeColor="text1"/>
          <w:sz w:val="22"/>
          <w:szCs w:val="22"/>
        </w:rPr>
        <w:t xml:space="preserve">. [online] ResearchGate. Available at: </w:t>
      </w:r>
      <w:hyperlink r:id="rId11" w:history="1">
        <w:r w:rsidRPr="00A12640">
          <w:rPr>
            <w:rStyle w:val="Hyperlink"/>
            <w:rFonts w:ascii="Arial" w:hAnsi="Arial" w:cs="Arial"/>
            <w:sz w:val="22"/>
            <w:szCs w:val="22"/>
          </w:rPr>
          <w:t>https://www.researchgate.net/publication/227367804_Assertive_Communication_Skills</w:t>
        </w:r>
      </w:hyperlink>
      <w:r w:rsidRPr="00A12640">
        <w:rPr>
          <w:rFonts w:ascii="Arial" w:hAnsi="Arial" w:cs="Arial"/>
          <w:color w:val="000000" w:themeColor="text1"/>
          <w:sz w:val="22"/>
          <w:szCs w:val="22"/>
        </w:rPr>
        <w:t>.</w:t>
      </w:r>
    </w:p>
    <w:p w14:paraId="7D9315DF" w14:textId="7777777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Pure Care Services. (2017). </w:t>
      </w:r>
      <w:r w:rsidRPr="00A12640">
        <w:rPr>
          <w:rFonts w:ascii="Arial" w:hAnsi="Arial" w:cs="Arial"/>
          <w:i/>
          <w:color w:val="000000" w:themeColor="text1"/>
          <w:sz w:val="22"/>
          <w:szCs w:val="22"/>
        </w:rPr>
        <w:t>How to become a Healthcare Support Worker</w:t>
      </w:r>
      <w:r w:rsidRPr="00A12640">
        <w:rPr>
          <w:rFonts w:ascii="Arial" w:hAnsi="Arial" w:cs="Arial"/>
          <w:color w:val="000000" w:themeColor="text1"/>
          <w:sz w:val="22"/>
          <w:szCs w:val="22"/>
        </w:rPr>
        <w:t xml:space="preserve">. [online] Available at: </w:t>
      </w:r>
      <w:hyperlink r:id="rId12" w:history="1">
        <w:r w:rsidRPr="00A12640">
          <w:rPr>
            <w:rStyle w:val="Hyperlink"/>
            <w:rFonts w:ascii="Arial" w:hAnsi="Arial" w:cs="Arial"/>
            <w:sz w:val="22"/>
            <w:szCs w:val="22"/>
          </w:rPr>
          <w:t>https://purecareservices.co.uk/how-to-become-a-healthcare-support-worker/</w:t>
        </w:r>
      </w:hyperlink>
      <w:r w:rsidRPr="00A12640">
        <w:rPr>
          <w:rFonts w:ascii="Arial" w:hAnsi="Arial" w:cs="Arial"/>
          <w:color w:val="000000" w:themeColor="text1"/>
          <w:sz w:val="22"/>
          <w:szCs w:val="22"/>
        </w:rPr>
        <w:t xml:space="preserve"> [Accessed 12 Nov. 2025].</w:t>
      </w:r>
    </w:p>
    <w:p w14:paraId="0EBB0E8A" w14:textId="47E07088"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Sharkiya, S.H. (2023). Quality communication can improve patient-</w:t>
      </w:r>
      <w:r w:rsidR="0000303D" w:rsidRPr="00A12640">
        <w:rPr>
          <w:rFonts w:ascii="Arial" w:hAnsi="Arial" w:cs="Arial"/>
          <w:color w:val="000000" w:themeColor="text1"/>
          <w:sz w:val="22"/>
          <w:szCs w:val="22"/>
        </w:rPr>
        <w:t>centered</w:t>
      </w:r>
      <w:r w:rsidRPr="00A12640">
        <w:rPr>
          <w:rFonts w:ascii="Arial" w:hAnsi="Arial" w:cs="Arial"/>
          <w:color w:val="000000" w:themeColor="text1"/>
          <w:sz w:val="22"/>
          <w:szCs w:val="22"/>
        </w:rPr>
        <w:t xml:space="preserve"> health outcomes among older patients: A rapid review. </w:t>
      </w:r>
      <w:r w:rsidRPr="00A12640">
        <w:rPr>
          <w:rFonts w:ascii="Arial" w:hAnsi="Arial" w:cs="Arial"/>
          <w:i/>
          <w:color w:val="000000" w:themeColor="text1"/>
          <w:sz w:val="22"/>
          <w:szCs w:val="22"/>
        </w:rPr>
        <w:t>BMC Health Services Research</w:t>
      </w:r>
      <w:r w:rsidRPr="00A12640">
        <w:rPr>
          <w:rFonts w:ascii="Arial" w:hAnsi="Arial" w:cs="Arial"/>
          <w:color w:val="000000" w:themeColor="text1"/>
          <w:sz w:val="22"/>
          <w:szCs w:val="22"/>
        </w:rPr>
        <w:t>, [online] 23(1), pp.1–14. doi:</w:t>
      </w:r>
      <w:hyperlink r:id="rId13" w:history="1">
        <w:r w:rsidRPr="00A12640">
          <w:rPr>
            <w:rStyle w:val="Hyperlink"/>
            <w:rFonts w:ascii="Arial" w:hAnsi="Arial" w:cs="Arial"/>
            <w:sz w:val="22"/>
            <w:szCs w:val="22"/>
          </w:rPr>
          <w:t>https://doi.org/10.1186/s12913-023-09869-8</w:t>
        </w:r>
      </w:hyperlink>
      <w:r w:rsidRPr="00A12640">
        <w:rPr>
          <w:rFonts w:ascii="Arial" w:hAnsi="Arial" w:cs="Arial"/>
          <w:color w:val="000000" w:themeColor="text1"/>
          <w:sz w:val="22"/>
          <w:szCs w:val="22"/>
        </w:rPr>
        <w:t>.</w:t>
      </w:r>
    </w:p>
    <w:p w14:paraId="392987CB" w14:textId="7777777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Sohail (2025). BARRIERS TO EFFECTIVE COMMUNICATION TO ENHANCE PATIENT  SAFETY. </w:t>
      </w:r>
      <w:r w:rsidRPr="00A12640">
        <w:rPr>
          <w:rFonts w:ascii="Arial" w:hAnsi="Arial" w:cs="Arial"/>
          <w:i/>
          <w:color w:val="000000" w:themeColor="text1"/>
          <w:sz w:val="22"/>
          <w:szCs w:val="22"/>
        </w:rPr>
        <w:t>Zenodo</w:t>
      </w:r>
      <w:r w:rsidRPr="00A12640">
        <w:rPr>
          <w:rFonts w:ascii="Arial" w:hAnsi="Arial" w:cs="Arial"/>
          <w:color w:val="000000" w:themeColor="text1"/>
          <w:sz w:val="22"/>
          <w:szCs w:val="22"/>
        </w:rPr>
        <w:t>. [online] doi:</w:t>
      </w:r>
      <w:hyperlink r:id="rId14" w:history="1">
        <w:r w:rsidRPr="00A12640">
          <w:rPr>
            <w:rStyle w:val="Hyperlink"/>
            <w:rFonts w:ascii="Arial" w:hAnsi="Arial" w:cs="Arial"/>
            <w:sz w:val="22"/>
            <w:szCs w:val="22"/>
          </w:rPr>
          <w:t>https://doi.org/10.5281/zenodo.15322131</w:t>
        </w:r>
      </w:hyperlink>
      <w:r w:rsidRPr="00A12640">
        <w:rPr>
          <w:rFonts w:ascii="Arial" w:hAnsi="Arial" w:cs="Arial"/>
          <w:color w:val="000000" w:themeColor="text1"/>
          <w:sz w:val="22"/>
          <w:szCs w:val="22"/>
        </w:rPr>
        <w:t>.</w:t>
      </w:r>
    </w:p>
    <w:p w14:paraId="094B516A" w14:textId="77777777" w:rsidR="00B420DD" w:rsidRPr="00A12640" w:rsidRDefault="00B420DD" w:rsidP="00B420DD">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Tennant, K., Butler, T.J.T. and Long, A. (2023). </w:t>
      </w:r>
      <w:r w:rsidRPr="00A12640">
        <w:rPr>
          <w:rFonts w:ascii="Arial" w:hAnsi="Arial" w:cs="Arial"/>
          <w:i/>
          <w:color w:val="000000" w:themeColor="text1"/>
          <w:sz w:val="22"/>
          <w:szCs w:val="22"/>
        </w:rPr>
        <w:t>Active listening</w:t>
      </w:r>
      <w:r w:rsidRPr="00A12640">
        <w:rPr>
          <w:rFonts w:ascii="Arial" w:hAnsi="Arial" w:cs="Arial"/>
          <w:color w:val="000000" w:themeColor="text1"/>
          <w:sz w:val="22"/>
          <w:szCs w:val="22"/>
        </w:rPr>
        <w:t xml:space="preserve">. [online] National Library of Medicine. Available at: </w:t>
      </w:r>
      <w:hyperlink r:id="rId15" w:history="1">
        <w:r w:rsidRPr="00A12640">
          <w:rPr>
            <w:rStyle w:val="Hyperlink"/>
            <w:rFonts w:ascii="Arial" w:hAnsi="Arial" w:cs="Arial"/>
            <w:sz w:val="22"/>
            <w:szCs w:val="22"/>
          </w:rPr>
          <w:t>https://www.ncbi.nlm.nih.gov/books/NBK442015/</w:t>
        </w:r>
      </w:hyperlink>
      <w:r w:rsidRPr="00A12640">
        <w:rPr>
          <w:rFonts w:ascii="Arial" w:hAnsi="Arial" w:cs="Arial"/>
          <w:color w:val="000000" w:themeColor="text1"/>
          <w:sz w:val="22"/>
          <w:szCs w:val="22"/>
        </w:rPr>
        <w:t>.</w:t>
      </w:r>
    </w:p>
    <w:p w14:paraId="63537CB0" w14:textId="1E5C03F8" w:rsidR="00CE0219" w:rsidRPr="00A12640" w:rsidRDefault="00CE0219" w:rsidP="00CE021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 xml:space="preserve">University of Cambridge (2025). </w:t>
      </w:r>
      <w:r w:rsidRPr="00A12640">
        <w:rPr>
          <w:rFonts w:ascii="Arial" w:hAnsi="Arial" w:cs="Arial"/>
          <w:i/>
          <w:iCs/>
          <w:color w:val="000000" w:themeColor="text1"/>
          <w:sz w:val="22"/>
          <w:szCs w:val="22"/>
        </w:rPr>
        <w:t>Reflective Practice toolkit: Models of Reflection</w:t>
      </w:r>
      <w:r w:rsidRPr="00A12640">
        <w:rPr>
          <w:rFonts w:ascii="Arial" w:hAnsi="Arial" w:cs="Arial"/>
          <w:color w:val="000000" w:themeColor="text1"/>
          <w:sz w:val="22"/>
          <w:szCs w:val="22"/>
        </w:rPr>
        <w:t xml:space="preserve">. [online] University of Cambridge. Available at: </w:t>
      </w:r>
      <w:hyperlink r:id="rId16" w:history="1">
        <w:r w:rsidRPr="00A12640">
          <w:rPr>
            <w:rStyle w:val="Hyperlink"/>
            <w:rFonts w:ascii="Arial" w:hAnsi="Arial" w:cs="Arial"/>
            <w:sz w:val="22"/>
            <w:szCs w:val="22"/>
          </w:rPr>
          <w:t>https://libguides.cam.ac.uk/reflectivepracticetoolkit/models</w:t>
        </w:r>
      </w:hyperlink>
      <w:r w:rsidRPr="00A12640">
        <w:rPr>
          <w:rFonts w:ascii="Arial" w:hAnsi="Arial" w:cs="Arial"/>
          <w:color w:val="000000" w:themeColor="text1"/>
          <w:sz w:val="22"/>
          <w:szCs w:val="22"/>
        </w:rPr>
        <w:t>. [Accessed 12 Nov. 2025].</w:t>
      </w:r>
      <w:r w:rsidR="004C1705" w:rsidRPr="00A12640">
        <w:rPr>
          <w:rFonts w:ascii="Arial" w:hAnsi="Arial" w:cs="Arial"/>
          <w:color w:val="000000" w:themeColor="text1"/>
          <w:sz w:val="22"/>
          <w:szCs w:val="22"/>
        </w:rPr>
        <w:br/>
      </w:r>
    </w:p>
    <w:p w14:paraId="675D75DC" w14:textId="77777777" w:rsidR="004C1705" w:rsidRPr="00A12640" w:rsidRDefault="004C1705" w:rsidP="00CE0219">
      <w:pPr>
        <w:spacing w:line="360" w:lineRule="auto"/>
        <w:jc w:val="both"/>
        <w:rPr>
          <w:rFonts w:ascii="Arial" w:hAnsi="Arial" w:cs="Arial"/>
          <w:color w:val="000000" w:themeColor="text1"/>
          <w:sz w:val="22"/>
          <w:szCs w:val="22"/>
        </w:rPr>
      </w:pPr>
    </w:p>
    <w:p w14:paraId="3EA1A5F4" w14:textId="77777777" w:rsidR="004C1705" w:rsidRPr="00A12640" w:rsidRDefault="004C1705" w:rsidP="00CE0219">
      <w:pPr>
        <w:spacing w:line="360" w:lineRule="auto"/>
        <w:jc w:val="both"/>
        <w:rPr>
          <w:rFonts w:ascii="Arial" w:hAnsi="Arial" w:cs="Arial"/>
          <w:color w:val="000000" w:themeColor="text1"/>
          <w:sz w:val="22"/>
          <w:szCs w:val="22"/>
        </w:rPr>
      </w:pPr>
    </w:p>
    <w:p w14:paraId="725BFA67" w14:textId="77777777" w:rsidR="004C1705" w:rsidRPr="00A12640" w:rsidRDefault="004C1705" w:rsidP="00CE0219">
      <w:pPr>
        <w:spacing w:line="360" w:lineRule="auto"/>
        <w:jc w:val="both"/>
        <w:rPr>
          <w:rFonts w:ascii="Arial" w:hAnsi="Arial" w:cs="Arial"/>
          <w:color w:val="000000" w:themeColor="text1"/>
          <w:sz w:val="22"/>
          <w:szCs w:val="22"/>
        </w:rPr>
      </w:pPr>
    </w:p>
    <w:p w14:paraId="625ADDEC" w14:textId="77777777" w:rsidR="004C1705" w:rsidRPr="00A12640" w:rsidRDefault="004C1705" w:rsidP="00CE0219">
      <w:pPr>
        <w:spacing w:line="360" w:lineRule="auto"/>
        <w:jc w:val="both"/>
        <w:rPr>
          <w:rFonts w:ascii="Arial" w:hAnsi="Arial" w:cs="Arial"/>
          <w:color w:val="000000" w:themeColor="text1"/>
          <w:sz w:val="22"/>
          <w:szCs w:val="22"/>
        </w:rPr>
      </w:pPr>
    </w:p>
    <w:p w14:paraId="5ABDBA9C" w14:textId="77777777" w:rsidR="004C1705" w:rsidRPr="00A12640" w:rsidRDefault="004C1705" w:rsidP="00CE0219">
      <w:pPr>
        <w:spacing w:line="360" w:lineRule="auto"/>
        <w:jc w:val="both"/>
        <w:rPr>
          <w:rFonts w:ascii="Arial" w:hAnsi="Arial" w:cs="Arial"/>
          <w:color w:val="000000" w:themeColor="text1"/>
          <w:sz w:val="22"/>
          <w:szCs w:val="22"/>
        </w:rPr>
      </w:pPr>
    </w:p>
    <w:p w14:paraId="6FC6E868" w14:textId="77777777" w:rsidR="004C1705" w:rsidRPr="00A12640" w:rsidRDefault="004C1705" w:rsidP="00CE0219">
      <w:pPr>
        <w:spacing w:line="360" w:lineRule="auto"/>
        <w:jc w:val="both"/>
        <w:rPr>
          <w:rFonts w:ascii="Arial" w:hAnsi="Arial" w:cs="Arial"/>
          <w:color w:val="000000" w:themeColor="text1"/>
          <w:sz w:val="22"/>
          <w:szCs w:val="22"/>
        </w:rPr>
      </w:pPr>
    </w:p>
    <w:p w14:paraId="63192D0E" w14:textId="77777777" w:rsidR="004C1705" w:rsidRPr="00A12640" w:rsidRDefault="004C1705" w:rsidP="00CE0219">
      <w:pPr>
        <w:spacing w:line="360" w:lineRule="auto"/>
        <w:jc w:val="both"/>
        <w:rPr>
          <w:rFonts w:ascii="Arial" w:hAnsi="Arial" w:cs="Arial"/>
          <w:color w:val="000000" w:themeColor="text1"/>
          <w:sz w:val="22"/>
          <w:szCs w:val="22"/>
        </w:rPr>
      </w:pPr>
    </w:p>
    <w:p w14:paraId="20482C1B" w14:textId="77777777" w:rsidR="004C1705" w:rsidRPr="00A12640" w:rsidRDefault="004C1705" w:rsidP="00CE0219">
      <w:pPr>
        <w:spacing w:line="360" w:lineRule="auto"/>
        <w:jc w:val="both"/>
        <w:rPr>
          <w:rFonts w:ascii="Arial" w:hAnsi="Arial" w:cs="Arial"/>
          <w:color w:val="000000" w:themeColor="text1"/>
          <w:sz w:val="22"/>
          <w:szCs w:val="22"/>
        </w:rPr>
      </w:pPr>
    </w:p>
    <w:p w14:paraId="6639DCD0" w14:textId="77777777" w:rsidR="004C1705" w:rsidRPr="00A12640" w:rsidRDefault="004C1705" w:rsidP="00CE0219">
      <w:pPr>
        <w:spacing w:line="360" w:lineRule="auto"/>
        <w:jc w:val="both"/>
        <w:rPr>
          <w:rFonts w:ascii="Arial" w:hAnsi="Arial" w:cs="Arial"/>
          <w:color w:val="000000" w:themeColor="text1"/>
          <w:sz w:val="22"/>
          <w:szCs w:val="22"/>
        </w:rPr>
      </w:pPr>
    </w:p>
    <w:p w14:paraId="2477CE26" w14:textId="77777777" w:rsidR="004C1705" w:rsidRPr="00A12640" w:rsidRDefault="004C1705" w:rsidP="00CE0219">
      <w:pPr>
        <w:spacing w:line="360" w:lineRule="auto"/>
        <w:jc w:val="both"/>
        <w:rPr>
          <w:rFonts w:ascii="Arial" w:hAnsi="Arial" w:cs="Arial"/>
          <w:color w:val="000000" w:themeColor="text1"/>
          <w:sz w:val="22"/>
          <w:szCs w:val="22"/>
        </w:rPr>
      </w:pPr>
    </w:p>
    <w:p w14:paraId="7588CCB1" w14:textId="77777777" w:rsidR="004C1705" w:rsidRPr="00A12640" w:rsidRDefault="004C1705" w:rsidP="00CE0219">
      <w:pPr>
        <w:spacing w:line="360" w:lineRule="auto"/>
        <w:jc w:val="both"/>
        <w:rPr>
          <w:rFonts w:ascii="Arial" w:hAnsi="Arial" w:cs="Arial"/>
          <w:color w:val="000000" w:themeColor="text1"/>
          <w:sz w:val="22"/>
          <w:szCs w:val="22"/>
        </w:rPr>
      </w:pPr>
    </w:p>
    <w:p w14:paraId="5127A366" w14:textId="77777777" w:rsidR="004C1705" w:rsidRPr="00A12640" w:rsidRDefault="004C1705" w:rsidP="00CE0219">
      <w:pPr>
        <w:spacing w:line="360" w:lineRule="auto"/>
        <w:jc w:val="both"/>
        <w:rPr>
          <w:rFonts w:ascii="Arial" w:hAnsi="Arial" w:cs="Arial"/>
          <w:color w:val="000000" w:themeColor="text1"/>
          <w:sz w:val="22"/>
          <w:szCs w:val="22"/>
        </w:rPr>
      </w:pPr>
    </w:p>
    <w:p w14:paraId="3D676FA5" w14:textId="77777777" w:rsidR="004C1705" w:rsidRPr="00A12640" w:rsidRDefault="004C1705" w:rsidP="00CE0219">
      <w:pPr>
        <w:spacing w:line="360" w:lineRule="auto"/>
        <w:jc w:val="both"/>
        <w:rPr>
          <w:rFonts w:ascii="Arial" w:hAnsi="Arial" w:cs="Arial"/>
          <w:color w:val="000000" w:themeColor="text1"/>
          <w:sz w:val="22"/>
          <w:szCs w:val="22"/>
        </w:rPr>
      </w:pPr>
    </w:p>
    <w:p w14:paraId="6D653400" w14:textId="77777777" w:rsidR="004C1705" w:rsidRPr="00A12640" w:rsidRDefault="004C1705" w:rsidP="00CE0219">
      <w:pPr>
        <w:spacing w:line="360" w:lineRule="auto"/>
        <w:jc w:val="both"/>
        <w:rPr>
          <w:rFonts w:ascii="Arial" w:hAnsi="Arial" w:cs="Arial"/>
          <w:color w:val="000000" w:themeColor="text1"/>
          <w:sz w:val="22"/>
          <w:szCs w:val="22"/>
        </w:rPr>
      </w:pPr>
    </w:p>
    <w:p w14:paraId="4484F230" w14:textId="77777777" w:rsidR="004C1705" w:rsidRPr="00A12640" w:rsidRDefault="004C1705" w:rsidP="00CE0219">
      <w:pPr>
        <w:spacing w:line="360" w:lineRule="auto"/>
        <w:jc w:val="both"/>
        <w:rPr>
          <w:rFonts w:ascii="Arial" w:hAnsi="Arial" w:cs="Arial"/>
          <w:color w:val="000000" w:themeColor="text1"/>
          <w:sz w:val="22"/>
          <w:szCs w:val="22"/>
        </w:rPr>
      </w:pPr>
    </w:p>
    <w:p w14:paraId="5ADB1DA3" w14:textId="77777777" w:rsidR="004C1705" w:rsidRPr="00A12640" w:rsidRDefault="004C1705" w:rsidP="00CE0219">
      <w:pPr>
        <w:spacing w:line="360" w:lineRule="auto"/>
        <w:jc w:val="both"/>
        <w:rPr>
          <w:rFonts w:ascii="Arial" w:hAnsi="Arial" w:cs="Arial"/>
          <w:color w:val="000000" w:themeColor="text1"/>
          <w:sz w:val="22"/>
          <w:szCs w:val="22"/>
        </w:rPr>
      </w:pPr>
    </w:p>
    <w:p w14:paraId="3DEF96C0" w14:textId="3355A836" w:rsidR="004C1705" w:rsidRPr="00A12640" w:rsidRDefault="004C1705" w:rsidP="004C1705">
      <w:pPr>
        <w:pStyle w:val="Heading1"/>
        <w:spacing w:line="360" w:lineRule="auto"/>
        <w:jc w:val="both"/>
        <w:rPr>
          <w:rFonts w:ascii="Arial" w:hAnsi="Arial" w:cs="Arial"/>
          <w:b/>
          <w:bCs/>
          <w:color w:val="000000" w:themeColor="text1"/>
          <w:sz w:val="22"/>
          <w:szCs w:val="22"/>
        </w:rPr>
      </w:pPr>
      <w:bookmarkStart w:id="13" w:name="_Toc213965968"/>
      <w:r w:rsidRPr="00A12640">
        <w:rPr>
          <w:rFonts w:ascii="Arial" w:hAnsi="Arial" w:cs="Arial"/>
          <w:b/>
          <w:bCs/>
          <w:color w:val="000000" w:themeColor="text1"/>
          <w:sz w:val="22"/>
          <w:szCs w:val="22"/>
        </w:rPr>
        <w:t>Appendices</w:t>
      </w:r>
      <w:bookmarkEnd w:id="13"/>
    </w:p>
    <w:p w14:paraId="6E9288A7" w14:textId="52DF1A79" w:rsidR="004C1705" w:rsidRPr="00A12640" w:rsidRDefault="004C1705" w:rsidP="004C1705">
      <w:pPr>
        <w:pStyle w:val="Heading2"/>
        <w:spacing w:line="360" w:lineRule="auto"/>
        <w:jc w:val="both"/>
        <w:rPr>
          <w:rFonts w:ascii="Arial" w:hAnsi="Arial" w:cs="Arial"/>
          <w:b/>
          <w:bCs/>
          <w:color w:val="000000" w:themeColor="text1"/>
          <w:sz w:val="22"/>
          <w:szCs w:val="22"/>
        </w:rPr>
      </w:pPr>
      <w:bookmarkStart w:id="14" w:name="_Toc213965969"/>
      <w:r w:rsidRPr="00A12640">
        <w:rPr>
          <w:rFonts w:ascii="Arial" w:hAnsi="Arial" w:cs="Arial"/>
          <w:b/>
          <w:bCs/>
          <w:color w:val="000000" w:themeColor="text1"/>
          <w:sz w:val="22"/>
          <w:szCs w:val="22"/>
        </w:rPr>
        <w:t>Appendix 1: Job Posting for Healthcare workers</w:t>
      </w:r>
      <w:bookmarkEnd w:id="14"/>
    </w:p>
    <w:p w14:paraId="3E9E3F2A" w14:textId="2F51FA28" w:rsidR="004C1705" w:rsidRPr="00A12640" w:rsidRDefault="004C1705" w:rsidP="00CE0219">
      <w:pPr>
        <w:spacing w:line="360" w:lineRule="auto"/>
        <w:jc w:val="both"/>
        <w:rPr>
          <w:rFonts w:ascii="Arial" w:hAnsi="Arial" w:cs="Arial"/>
          <w:color w:val="000000" w:themeColor="text1"/>
          <w:sz w:val="22"/>
          <w:szCs w:val="22"/>
        </w:rPr>
      </w:pPr>
      <w:r w:rsidRPr="00A12640">
        <w:rPr>
          <w:rFonts w:ascii="Arial" w:hAnsi="Arial" w:cs="Arial"/>
          <w:noProof/>
          <w:color w:val="000000" w:themeColor="text1"/>
          <w:sz w:val="22"/>
          <w:szCs w:val="22"/>
        </w:rPr>
        <w:drawing>
          <wp:inline distT="0" distB="0" distL="0" distR="0" wp14:anchorId="76F695E9" wp14:editId="4CECD397">
            <wp:extent cx="5943600" cy="4469130"/>
            <wp:effectExtent l="0" t="0" r="0" b="7620"/>
            <wp:docPr id="1345195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95630" name=""/>
                    <pic:cNvPicPr/>
                  </pic:nvPicPr>
                  <pic:blipFill>
                    <a:blip r:embed="rId17"/>
                    <a:stretch>
                      <a:fillRect/>
                    </a:stretch>
                  </pic:blipFill>
                  <pic:spPr>
                    <a:xfrm>
                      <a:off x="0" y="0"/>
                      <a:ext cx="5943600" cy="4469130"/>
                    </a:xfrm>
                    <a:prstGeom prst="rect">
                      <a:avLst/>
                    </a:prstGeom>
                  </pic:spPr>
                </pic:pic>
              </a:graphicData>
            </a:graphic>
          </wp:inline>
        </w:drawing>
      </w:r>
    </w:p>
    <w:p w14:paraId="65FE366A" w14:textId="77777777" w:rsidR="004C1705" w:rsidRPr="00A12640" w:rsidRDefault="004C1705" w:rsidP="00CE0219">
      <w:pPr>
        <w:spacing w:line="360" w:lineRule="auto"/>
        <w:jc w:val="both"/>
        <w:rPr>
          <w:rFonts w:ascii="Arial" w:hAnsi="Arial" w:cs="Arial"/>
          <w:color w:val="000000" w:themeColor="text1"/>
          <w:sz w:val="22"/>
          <w:szCs w:val="22"/>
        </w:rPr>
      </w:pPr>
    </w:p>
    <w:p w14:paraId="648F2A77" w14:textId="4EFA5850" w:rsidR="004C1705" w:rsidRPr="00A12640" w:rsidRDefault="004C1705" w:rsidP="00CE021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lastRenderedPageBreak/>
        <w:t xml:space="preserve">Source: </w:t>
      </w:r>
      <w:hyperlink r:id="rId18" w:history="1">
        <w:r w:rsidRPr="00A12640">
          <w:rPr>
            <w:rStyle w:val="Hyperlink"/>
            <w:rFonts w:ascii="Arial" w:hAnsi="Arial" w:cs="Arial"/>
            <w:sz w:val="22"/>
            <w:szCs w:val="22"/>
          </w:rPr>
          <w:t>https://www.carehome.co.uk/jobs/index.cfm/agent_id/65432244947</w:t>
        </w:r>
      </w:hyperlink>
      <w:r w:rsidRPr="00A12640">
        <w:rPr>
          <w:rFonts w:ascii="Arial" w:hAnsi="Arial" w:cs="Arial"/>
          <w:color w:val="000000" w:themeColor="text1"/>
          <w:sz w:val="22"/>
          <w:szCs w:val="22"/>
        </w:rPr>
        <w:t xml:space="preserve"> </w:t>
      </w:r>
    </w:p>
    <w:p w14:paraId="7B1A8035" w14:textId="3FB7E001" w:rsidR="004C1705" w:rsidRPr="00A12640" w:rsidRDefault="004C1705" w:rsidP="00CE0219">
      <w:pPr>
        <w:spacing w:line="360" w:lineRule="auto"/>
        <w:jc w:val="both"/>
        <w:rPr>
          <w:rFonts w:ascii="Arial" w:hAnsi="Arial" w:cs="Arial"/>
          <w:color w:val="000000" w:themeColor="text1"/>
          <w:sz w:val="22"/>
          <w:szCs w:val="22"/>
        </w:rPr>
      </w:pPr>
      <w:r w:rsidRPr="00A12640">
        <w:rPr>
          <w:rFonts w:ascii="Arial" w:hAnsi="Arial" w:cs="Arial"/>
          <w:noProof/>
          <w:color w:val="000000" w:themeColor="text1"/>
          <w:sz w:val="22"/>
          <w:szCs w:val="22"/>
        </w:rPr>
        <w:drawing>
          <wp:inline distT="0" distB="0" distL="0" distR="0" wp14:anchorId="0C196454" wp14:editId="58D09500">
            <wp:extent cx="5943600" cy="6447155"/>
            <wp:effectExtent l="0" t="0" r="0" b="0"/>
            <wp:docPr id="964341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341653" name=""/>
                    <pic:cNvPicPr/>
                  </pic:nvPicPr>
                  <pic:blipFill>
                    <a:blip r:embed="rId19"/>
                    <a:stretch>
                      <a:fillRect/>
                    </a:stretch>
                  </pic:blipFill>
                  <pic:spPr>
                    <a:xfrm>
                      <a:off x="0" y="0"/>
                      <a:ext cx="5943600" cy="6447155"/>
                    </a:xfrm>
                    <a:prstGeom prst="rect">
                      <a:avLst/>
                    </a:prstGeom>
                  </pic:spPr>
                </pic:pic>
              </a:graphicData>
            </a:graphic>
          </wp:inline>
        </w:drawing>
      </w:r>
    </w:p>
    <w:p w14:paraId="6D1ED750" w14:textId="77777777" w:rsidR="004C1705" w:rsidRPr="00A12640" w:rsidRDefault="004C1705" w:rsidP="00CE0219">
      <w:pPr>
        <w:spacing w:line="360" w:lineRule="auto"/>
        <w:jc w:val="both"/>
        <w:rPr>
          <w:rFonts w:ascii="Arial" w:hAnsi="Arial" w:cs="Arial"/>
          <w:color w:val="000000" w:themeColor="text1"/>
          <w:sz w:val="22"/>
          <w:szCs w:val="22"/>
        </w:rPr>
      </w:pPr>
    </w:p>
    <w:p w14:paraId="1B0B6F30" w14:textId="0BF7DC92" w:rsidR="004C1705" w:rsidRPr="00A12640" w:rsidRDefault="004C1705" w:rsidP="00CE0219">
      <w:pPr>
        <w:spacing w:line="360" w:lineRule="auto"/>
        <w:jc w:val="both"/>
        <w:rPr>
          <w:rFonts w:ascii="Arial" w:hAnsi="Arial" w:cs="Arial"/>
          <w:color w:val="000000" w:themeColor="text1"/>
          <w:sz w:val="22"/>
          <w:szCs w:val="22"/>
        </w:rPr>
      </w:pPr>
      <w:r w:rsidRPr="00A12640">
        <w:rPr>
          <w:rFonts w:ascii="Arial" w:hAnsi="Arial" w:cs="Arial"/>
          <w:color w:val="000000" w:themeColor="text1"/>
          <w:sz w:val="22"/>
          <w:szCs w:val="22"/>
        </w:rPr>
        <w:t>Source:</w:t>
      </w:r>
      <w:hyperlink r:id="rId20" w:history="1">
        <w:r w:rsidRPr="00A12640">
          <w:rPr>
            <w:rStyle w:val="Hyperlink"/>
            <w:rFonts w:ascii="Arial" w:hAnsi="Arial" w:cs="Arial"/>
            <w:sz w:val="22"/>
            <w:szCs w:val="22"/>
          </w:rPr>
          <w:t>https://www.linkedin.com/jobs/healthcare-worker-jobs/?currentJobId=4321950398&amp;originalSubdomain=uk</w:t>
        </w:r>
      </w:hyperlink>
      <w:r w:rsidRPr="00A12640">
        <w:rPr>
          <w:rFonts w:ascii="Arial" w:hAnsi="Arial" w:cs="Arial"/>
          <w:color w:val="000000" w:themeColor="text1"/>
          <w:sz w:val="22"/>
          <w:szCs w:val="22"/>
        </w:rPr>
        <w:t xml:space="preserve"> </w:t>
      </w:r>
    </w:p>
    <w:p w14:paraId="0DB5D209" w14:textId="77777777" w:rsidR="00CE0219" w:rsidRPr="00A12640" w:rsidRDefault="00CE0219" w:rsidP="00B420DD">
      <w:pPr>
        <w:spacing w:line="360" w:lineRule="auto"/>
        <w:jc w:val="both"/>
        <w:rPr>
          <w:rFonts w:ascii="Arial" w:hAnsi="Arial" w:cs="Arial"/>
          <w:color w:val="000000" w:themeColor="text1"/>
          <w:sz w:val="22"/>
          <w:szCs w:val="22"/>
        </w:rPr>
      </w:pPr>
    </w:p>
    <w:p w14:paraId="41B5348B" w14:textId="77777777" w:rsidR="00B420DD" w:rsidRPr="00A12640" w:rsidRDefault="00B420DD" w:rsidP="00B420DD">
      <w:pPr>
        <w:spacing w:line="360" w:lineRule="auto"/>
        <w:jc w:val="both"/>
        <w:rPr>
          <w:rFonts w:ascii="Arial" w:hAnsi="Arial" w:cs="Arial"/>
          <w:color w:val="000000" w:themeColor="text1"/>
          <w:sz w:val="22"/>
          <w:szCs w:val="22"/>
        </w:rPr>
      </w:pPr>
    </w:p>
    <w:sectPr w:rsidR="00B420DD" w:rsidRPr="00A1264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32700" w14:textId="77777777" w:rsidR="004721BB" w:rsidRDefault="004721BB" w:rsidP="00CE0219">
      <w:pPr>
        <w:spacing w:after="0" w:line="240" w:lineRule="auto"/>
      </w:pPr>
      <w:r>
        <w:separator/>
      </w:r>
    </w:p>
  </w:endnote>
  <w:endnote w:type="continuationSeparator" w:id="0">
    <w:p w14:paraId="012BEAA4" w14:textId="77777777" w:rsidR="004721BB" w:rsidRDefault="004721BB" w:rsidP="00CE0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338378"/>
      <w:docPartObj>
        <w:docPartGallery w:val="Page Numbers (Bottom of Page)"/>
        <w:docPartUnique/>
      </w:docPartObj>
    </w:sdtPr>
    <w:sdtEndPr>
      <w:rPr>
        <w:noProof/>
      </w:rPr>
    </w:sdtEndPr>
    <w:sdtContent>
      <w:p w14:paraId="30B7585E" w14:textId="35F776E1" w:rsidR="00CE0219" w:rsidRDefault="00CE02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52EC4E" w14:textId="77777777" w:rsidR="00CE0219" w:rsidRDefault="00CE0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668BA" w14:textId="77777777" w:rsidR="004721BB" w:rsidRDefault="004721BB" w:rsidP="00CE0219">
      <w:pPr>
        <w:spacing w:after="0" w:line="240" w:lineRule="auto"/>
      </w:pPr>
      <w:r>
        <w:separator/>
      </w:r>
    </w:p>
  </w:footnote>
  <w:footnote w:type="continuationSeparator" w:id="0">
    <w:p w14:paraId="3C99AD25" w14:textId="77777777" w:rsidR="004721BB" w:rsidRDefault="004721BB" w:rsidP="00CE02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BA9"/>
    <w:rsid w:val="0000303D"/>
    <w:rsid w:val="00200178"/>
    <w:rsid w:val="002B50D5"/>
    <w:rsid w:val="003136FB"/>
    <w:rsid w:val="003F6D52"/>
    <w:rsid w:val="00463FA3"/>
    <w:rsid w:val="004721BB"/>
    <w:rsid w:val="004C1705"/>
    <w:rsid w:val="00503267"/>
    <w:rsid w:val="00611BA9"/>
    <w:rsid w:val="006367A2"/>
    <w:rsid w:val="007F4BF7"/>
    <w:rsid w:val="00854191"/>
    <w:rsid w:val="008942B9"/>
    <w:rsid w:val="00991CEB"/>
    <w:rsid w:val="009D170E"/>
    <w:rsid w:val="00A12640"/>
    <w:rsid w:val="00B353E1"/>
    <w:rsid w:val="00B420DD"/>
    <w:rsid w:val="00B62A2C"/>
    <w:rsid w:val="00B94CB8"/>
    <w:rsid w:val="00BC785E"/>
    <w:rsid w:val="00CE0219"/>
    <w:rsid w:val="00D6500C"/>
    <w:rsid w:val="00E94B85"/>
    <w:rsid w:val="00EA28D1"/>
    <w:rsid w:val="00F14FBD"/>
    <w:rsid w:val="00FE27CA"/>
    <w:rsid w:val="00FF28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56390A"/>
  <w15:chartTrackingRefBased/>
  <w15:docId w15:val="{F465DF2D-35F7-43C3-B5FE-9116B9C0F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B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11B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1B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1B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1B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1B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B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B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B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B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11B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1B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1B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1B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1B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B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B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BA9"/>
    <w:rPr>
      <w:rFonts w:eastAsiaTheme="majorEastAsia" w:cstheme="majorBidi"/>
      <w:color w:val="272727" w:themeColor="text1" w:themeTint="D8"/>
    </w:rPr>
  </w:style>
  <w:style w:type="paragraph" w:styleId="Title">
    <w:name w:val="Title"/>
    <w:basedOn w:val="Normal"/>
    <w:next w:val="Normal"/>
    <w:link w:val="TitleChar"/>
    <w:uiPriority w:val="10"/>
    <w:qFormat/>
    <w:rsid w:val="00611B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B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B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B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BA9"/>
    <w:pPr>
      <w:spacing w:before="160"/>
      <w:jc w:val="center"/>
    </w:pPr>
    <w:rPr>
      <w:i/>
      <w:iCs/>
      <w:color w:val="404040" w:themeColor="text1" w:themeTint="BF"/>
    </w:rPr>
  </w:style>
  <w:style w:type="character" w:customStyle="1" w:styleId="QuoteChar">
    <w:name w:val="Quote Char"/>
    <w:basedOn w:val="DefaultParagraphFont"/>
    <w:link w:val="Quote"/>
    <w:uiPriority w:val="29"/>
    <w:rsid w:val="00611BA9"/>
    <w:rPr>
      <w:i/>
      <w:iCs/>
      <w:color w:val="404040" w:themeColor="text1" w:themeTint="BF"/>
    </w:rPr>
  </w:style>
  <w:style w:type="paragraph" w:styleId="ListParagraph">
    <w:name w:val="List Paragraph"/>
    <w:basedOn w:val="Normal"/>
    <w:uiPriority w:val="34"/>
    <w:qFormat/>
    <w:rsid w:val="00611BA9"/>
    <w:pPr>
      <w:ind w:left="720"/>
      <w:contextualSpacing/>
    </w:pPr>
  </w:style>
  <w:style w:type="character" w:styleId="IntenseEmphasis">
    <w:name w:val="Intense Emphasis"/>
    <w:basedOn w:val="DefaultParagraphFont"/>
    <w:uiPriority w:val="21"/>
    <w:qFormat/>
    <w:rsid w:val="00611BA9"/>
    <w:rPr>
      <w:i/>
      <w:iCs/>
      <w:color w:val="2F5496" w:themeColor="accent1" w:themeShade="BF"/>
    </w:rPr>
  </w:style>
  <w:style w:type="paragraph" w:styleId="IntenseQuote">
    <w:name w:val="Intense Quote"/>
    <w:basedOn w:val="Normal"/>
    <w:next w:val="Normal"/>
    <w:link w:val="IntenseQuoteChar"/>
    <w:uiPriority w:val="30"/>
    <w:qFormat/>
    <w:rsid w:val="00611B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1BA9"/>
    <w:rPr>
      <w:i/>
      <w:iCs/>
      <w:color w:val="2F5496" w:themeColor="accent1" w:themeShade="BF"/>
    </w:rPr>
  </w:style>
  <w:style w:type="character" w:styleId="IntenseReference">
    <w:name w:val="Intense Reference"/>
    <w:basedOn w:val="DefaultParagraphFont"/>
    <w:uiPriority w:val="32"/>
    <w:qFormat/>
    <w:rsid w:val="00611BA9"/>
    <w:rPr>
      <w:b/>
      <w:bCs/>
      <w:smallCaps/>
      <w:color w:val="2F5496" w:themeColor="accent1" w:themeShade="BF"/>
      <w:spacing w:val="5"/>
    </w:rPr>
  </w:style>
  <w:style w:type="table" w:styleId="TableGrid">
    <w:name w:val="Table Grid"/>
    <w:basedOn w:val="TableNormal"/>
    <w:uiPriority w:val="39"/>
    <w:rsid w:val="00B42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20DD"/>
    <w:rPr>
      <w:color w:val="0563C1" w:themeColor="hyperlink"/>
      <w:u w:val="single"/>
    </w:rPr>
  </w:style>
  <w:style w:type="character" w:styleId="UnresolvedMention">
    <w:name w:val="Unresolved Mention"/>
    <w:basedOn w:val="DefaultParagraphFont"/>
    <w:uiPriority w:val="99"/>
    <w:semiHidden/>
    <w:unhideWhenUsed/>
    <w:rsid w:val="00B420DD"/>
    <w:rPr>
      <w:color w:val="605E5C"/>
      <w:shd w:val="clear" w:color="auto" w:fill="E1DFDD"/>
    </w:rPr>
  </w:style>
  <w:style w:type="paragraph" w:styleId="Header">
    <w:name w:val="header"/>
    <w:basedOn w:val="Normal"/>
    <w:link w:val="HeaderChar"/>
    <w:uiPriority w:val="99"/>
    <w:unhideWhenUsed/>
    <w:rsid w:val="00CE02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219"/>
  </w:style>
  <w:style w:type="paragraph" w:styleId="Footer">
    <w:name w:val="footer"/>
    <w:basedOn w:val="Normal"/>
    <w:link w:val="FooterChar"/>
    <w:uiPriority w:val="99"/>
    <w:unhideWhenUsed/>
    <w:rsid w:val="00CE02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219"/>
  </w:style>
  <w:style w:type="paragraph" w:styleId="TOCHeading">
    <w:name w:val="TOC Heading"/>
    <w:basedOn w:val="Heading1"/>
    <w:next w:val="Normal"/>
    <w:uiPriority w:val="39"/>
    <w:unhideWhenUsed/>
    <w:qFormat/>
    <w:rsid w:val="00CE021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E0219"/>
    <w:pPr>
      <w:spacing w:after="100"/>
    </w:pPr>
  </w:style>
  <w:style w:type="paragraph" w:styleId="TOC2">
    <w:name w:val="toc 2"/>
    <w:basedOn w:val="Normal"/>
    <w:next w:val="Normal"/>
    <w:autoRedefine/>
    <w:uiPriority w:val="39"/>
    <w:unhideWhenUsed/>
    <w:rsid w:val="00CE0219"/>
    <w:pPr>
      <w:spacing w:after="100"/>
      <w:ind w:left="240"/>
    </w:pPr>
  </w:style>
  <w:style w:type="paragraph" w:styleId="Caption">
    <w:name w:val="caption"/>
    <w:basedOn w:val="Normal"/>
    <w:next w:val="Normal"/>
    <w:uiPriority w:val="35"/>
    <w:unhideWhenUsed/>
    <w:qFormat/>
    <w:rsid w:val="00FF28C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359-025-02958-9" TargetMode="External"/><Relationship Id="rId13" Type="http://schemas.openxmlformats.org/officeDocument/2006/relationships/hyperlink" Target="https://doi.org/10.1186/s12913-023-09869-8" TargetMode="External"/><Relationship Id="rId18" Type="http://schemas.openxmlformats.org/officeDocument/2006/relationships/hyperlink" Target="https://www.carehome.co.uk/jobs/index.cfm/agent_id/65432244947"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uk.indeed.com/career-advice/career-development/support-worker-skills" TargetMode="External"/><Relationship Id="rId12" Type="http://schemas.openxmlformats.org/officeDocument/2006/relationships/hyperlink" Target="https://purecareservices.co.uk/how-to-become-a-healthcare-support-worker/"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bguides.cam.ac.uk/reflectivepracticetoolkit/models" TargetMode="External"/><Relationship Id="rId20" Type="http://schemas.openxmlformats.org/officeDocument/2006/relationships/hyperlink" Target="https://www.linkedin.com/jobs/healthcare-worker-jobs/?currentJobId=4321950398&amp;originalSubdomain=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227367804_Assertive_Communication_Skills" TargetMode="External"/><Relationship Id="rId5" Type="http://schemas.openxmlformats.org/officeDocument/2006/relationships/footnotes" Target="footnotes.xml"/><Relationship Id="rId15" Type="http://schemas.openxmlformats.org/officeDocument/2006/relationships/hyperlink" Target="https://www.ncbi.nlm.nih.gov/books/NBK442015/" TargetMode="External"/><Relationship Id="rId23" Type="http://schemas.openxmlformats.org/officeDocument/2006/relationships/theme" Target="theme/theme1.xml"/><Relationship Id="rId10" Type="http://schemas.openxmlformats.org/officeDocument/2006/relationships/hyperlink" Target="https://www.healthcareers.nhs.uk/explore-roles/healthcare-support-worker/roles-healthcare-support-worker/healthcare-support-worker"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3390/nursrep15020059" TargetMode="External"/><Relationship Id="rId14" Type="http://schemas.openxmlformats.org/officeDocument/2006/relationships/hyperlink" Target="https://doi.org/10.5281/zenodo.1532213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D4A54-D58C-4016-9098-E98957AF7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2787</Words>
  <Characters>15888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Alizangila botelho</cp:lastModifiedBy>
  <cp:revision>13</cp:revision>
  <dcterms:created xsi:type="dcterms:W3CDTF">2025-11-15T08:36:00Z</dcterms:created>
  <dcterms:modified xsi:type="dcterms:W3CDTF">2025-11-17T10:31:00Z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d56a9b6d-4595-425b-bb8d-32c2c9afaa7b</vt:lpwstr>
  </property>
</Properties>
</file>