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711488913"/>
        <w:docPartObj>
          <w:docPartGallery w:val="Cover Pages"/>
          <w:docPartUnique/>
        </w:docPartObj>
      </w:sdtPr>
      <w:sdtEndPr>
        <w:rPr>
          <w:rStyle w:val="Strong"/>
          <w:b/>
          <w:bCs/>
        </w:rPr>
      </w:sdtEndPr>
      <w:sdtContent>
        <w:p w14:paraId="1A4E6CF4" w14:textId="77777777" w:rsidR="00E3677D" w:rsidRPr="0034235E" w:rsidRDefault="00B372CC" w:rsidP="0034235E">
          <w:pPr>
            <w:spacing w:line="360" w:lineRule="auto"/>
            <w:rPr>
              <w:rFonts w:ascii="Arial" w:hAnsi="Arial" w:cs="Arial"/>
            </w:rPr>
          </w:pPr>
          <w:r w:rsidRPr="0034235E">
            <w:rPr>
              <w:rFonts w:ascii="Arial" w:hAnsi="Arial" w:cs="Arial"/>
              <w:noProof/>
            </w:rPr>
            <mc:AlternateContent>
              <mc:Choice Requires="wpg">
                <w:drawing>
                  <wp:anchor distT="0" distB="0" distL="114300" distR="114300" simplePos="0" relativeHeight="251658240" behindDoc="0" locked="0" layoutInCell="1" allowOverlap="1" wp14:anchorId="2D403885" wp14:editId="13C5146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95F155" id="Group 149"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57D51969" w14:textId="22CD8C32" w:rsidR="444CC5CD" w:rsidRPr="0034235E" w:rsidRDefault="444CC5CD" w:rsidP="0034235E">
          <w:pPr>
            <w:spacing w:line="360" w:lineRule="auto"/>
            <w:rPr>
              <w:rFonts w:ascii="Arial" w:hAnsi="Arial" w:cs="Arial"/>
            </w:rPr>
          </w:pPr>
        </w:p>
        <w:p w14:paraId="7917A1F7" w14:textId="77777777" w:rsidR="00C567F9" w:rsidRPr="0034235E" w:rsidRDefault="00C567F9" w:rsidP="0034235E">
          <w:pPr>
            <w:spacing w:line="360" w:lineRule="auto"/>
            <w:rPr>
              <w:rFonts w:ascii="Arial" w:hAnsi="Arial" w:cs="Arial"/>
            </w:rPr>
          </w:pPr>
        </w:p>
        <w:p w14:paraId="0CE7A632" w14:textId="77777777" w:rsidR="00C567F9" w:rsidRPr="0034235E" w:rsidRDefault="00C567F9" w:rsidP="0034235E">
          <w:pPr>
            <w:spacing w:line="360" w:lineRule="auto"/>
            <w:rPr>
              <w:rFonts w:ascii="Arial" w:eastAsiaTheme="minorEastAsia" w:hAnsi="Arial" w:cs="Arial"/>
              <w:u w:val="single"/>
              <w:lang w:eastAsia="en-GB"/>
            </w:rPr>
          </w:pPr>
        </w:p>
        <w:p w14:paraId="0D0BA9B0" w14:textId="16B6A6DC" w:rsidR="00097E39" w:rsidRPr="0034235E" w:rsidRDefault="007307D1" w:rsidP="0034235E">
          <w:pPr>
            <w:spacing w:line="360" w:lineRule="auto"/>
            <w:rPr>
              <w:rFonts w:ascii="Arial" w:eastAsiaTheme="minorEastAsia" w:hAnsi="Arial" w:cs="Arial"/>
              <w:lang w:eastAsia="en-GB"/>
            </w:rPr>
          </w:pPr>
          <w:bookmarkStart w:id="0" w:name="_Hlk108815574"/>
          <w:r w:rsidRPr="0034235E">
            <w:rPr>
              <w:rFonts w:ascii="Arial" w:eastAsiaTheme="minorEastAsia" w:hAnsi="Arial" w:cs="Arial"/>
              <w:noProof/>
              <w:lang w:eastAsia="en-GB"/>
            </w:rPr>
            <w:drawing>
              <wp:inline distT="0" distB="0" distL="0" distR="0" wp14:anchorId="5C977797" wp14:editId="7AC12262">
                <wp:extent cx="2178996" cy="45393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04045" cy="459152"/>
                        </a:xfrm>
                        <a:prstGeom prst="rect">
                          <a:avLst/>
                        </a:prstGeom>
                        <a:noFill/>
                      </pic:spPr>
                    </pic:pic>
                  </a:graphicData>
                </a:graphic>
              </wp:inline>
            </w:drawing>
          </w:r>
          <w:bookmarkEnd w:id="0"/>
        </w:p>
        <w:p w14:paraId="137987B4" w14:textId="77777777" w:rsidR="002200C6" w:rsidRPr="0034235E" w:rsidRDefault="002200C6" w:rsidP="0034235E">
          <w:pPr>
            <w:spacing w:line="360" w:lineRule="auto"/>
            <w:rPr>
              <w:rStyle w:val="Strong"/>
              <w:rFonts w:ascii="Arial" w:hAnsi="Arial" w:cs="Arial"/>
            </w:rPr>
          </w:pPr>
        </w:p>
        <w:p w14:paraId="174CBBCC" w14:textId="77777777" w:rsidR="002200C6" w:rsidRPr="0034235E" w:rsidRDefault="002200C6" w:rsidP="0034235E">
          <w:pPr>
            <w:spacing w:line="360" w:lineRule="auto"/>
            <w:rPr>
              <w:rStyle w:val="Strong"/>
              <w:rFonts w:ascii="Arial" w:hAnsi="Arial" w:cs="Arial"/>
            </w:rPr>
          </w:pPr>
        </w:p>
        <w:p w14:paraId="7EC28DDB" w14:textId="7B9B6415" w:rsidR="00D7121C" w:rsidRPr="0034235E" w:rsidRDefault="00D7121C" w:rsidP="0034235E">
          <w:pPr>
            <w:spacing w:line="360" w:lineRule="auto"/>
            <w:jc w:val="center"/>
            <w:rPr>
              <w:rFonts w:ascii="Arial" w:hAnsi="Arial" w:cs="Arial"/>
              <w:sz w:val="24"/>
              <w:szCs w:val="24"/>
            </w:rPr>
          </w:pPr>
          <w:r w:rsidRPr="0034235E">
            <w:rPr>
              <w:rFonts w:ascii="Arial" w:hAnsi="Arial" w:cs="Arial"/>
              <w:sz w:val="24"/>
              <w:szCs w:val="24"/>
            </w:rPr>
            <w:t>BA Leadership and Management Skills for the Workplace</w:t>
          </w:r>
        </w:p>
        <w:p w14:paraId="08C90EBC" w14:textId="437F097A" w:rsidR="00D7121C" w:rsidRPr="0034235E" w:rsidRDefault="00D7121C" w:rsidP="0034235E">
          <w:pPr>
            <w:spacing w:line="360" w:lineRule="auto"/>
            <w:jc w:val="center"/>
            <w:rPr>
              <w:rFonts w:ascii="Arial" w:hAnsi="Arial" w:cs="Arial"/>
              <w:sz w:val="24"/>
              <w:szCs w:val="24"/>
            </w:rPr>
          </w:pPr>
          <w:r w:rsidRPr="0034235E">
            <w:rPr>
              <w:rFonts w:ascii="Arial" w:hAnsi="Arial" w:cs="Arial"/>
              <w:sz w:val="24"/>
              <w:szCs w:val="24"/>
            </w:rPr>
            <w:t>Strategic Management for SMEs</w:t>
          </w:r>
        </w:p>
        <w:p w14:paraId="6023E9FA" w14:textId="56CE4D79" w:rsidR="002200C6" w:rsidRPr="0034235E" w:rsidRDefault="00D7121C" w:rsidP="0034235E">
          <w:pPr>
            <w:spacing w:line="360" w:lineRule="auto"/>
            <w:jc w:val="center"/>
            <w:rPr>
              <w:rStyle w:val="Strong"/>
              <w:rFonts w:ascii="Arial" w:hAnsi="Arial" w:cs="Arial"/>
              <w:sz w:val="24"/>
              <w:szCs w:val="24"/>
            </w:rPr>
          </w:pPr>
          <w:r w:rsidRPr="0034235E">
            <w:rPr>
              <w:rFonts w:ascii="Arial" w:hAnsi="Arial" w:cs="Arial"/>
              <w:sz w:val="24"/>
              <w:szCs w:val="24"/>
            </w:rPr>
            <w:t>BMSW6104</w:t>
          </w:r>
        </w:p>
        <w:p w14:paraId="5CD3FA4E" w14:textId="77777777" w:rsidR="002200C6" w:rsidRPr="0034235E" w:rsidRDefault="002200C6" w:rsidP="0034235E">
          <w:pPr>
            <w:spacing w:line="360" w:lineRule="auto"/>
            <w:jc w:val="right"/>
            <w:rPr>
              <w:rStyle w:val="Strong"/>
              <w:rFonts w:ascii="Arial" w:hAnsi="Arial" w:cs="Arial"/>
            </w:rPr>
          </w:pPr>
        </w:p>
        <w:p w14:paraId="3951DBA0" w14:textId="77777777" w:rsidR="00D7121C" w:rsidRPr="0034235E" w:rsidRDefault="00D7121C" w:rsidP="0034235E">
          <w:pPr>
            <w:spacing w:line="360" w:lineRule="auto"/>
            <w:jc w:val="right"/>
            <w:rPr>
              <w:rStyle w:val="Strong"/>
              <w:rFonts w:ascii="Arial" w:hAnsi="Arial" w:cs="Arial"/>
            </w:rPr>
          </w:pPr>
        </w:p>
        <w:p w14:paraId="7A05B4FD" w14:textId="35116AF9" w:rsidR="00517646" w:rsidRPr="0034235E" w:rsidRDefault="00517646" w:rsidP="0034235E">
          <w:pPr>
            <w:spacing w:line="360" w:lineRule="auto"/>
            <w:jc w:val="center"/>
            <w:rPr>
              <w:rFonts w:ascii="Arial" w:hAnsi="Arial" w:cs="Arial"/>
              <w:sz w:val="32"/>
              <w:szCs w:val="32"/>
              <w:lang w:val="en-IN"/>
            </w:rPr>
          </w:pPr>
          <w:r w:rsidRPr="0034235E">
            <w:rPr>
              <w:rFonts w:ascii="Arial" w:hAnsi="Arial" w:cs="Arial"/>
              <w:sz w:val="32"/>
              <w:szCs w:val="32"/>
              <w:lang w:val="en-IN"/>
            </w:rPr>
            <w:t>Strategic Management for SME</w:t>
          </w:r>
        </w:p>
        <w:p w14:paraId="0928808C" w14:textId="28EC1B5B" w:rsidR="00C76199" w:rsidRPr="0034235E" w:rsidRDefault="00C76199" w:rsidP="0034235E">
          <w:pPr>
            <w:spacing w:line="360" w:lineRule="auto"/>
            <w:jc w:val="center"/>
            <w:rPr>
              <w:rFonts w:ascii="Arial" w:hAnsi="Arial" w:cs="Arial"/>
              <w:b/>
              <w:bCs/>
              <w:sz w:val="32"/>
              <w:szCs w:val="32"/>
              <w:u w:val="single"/>
              <w:lang w:val="en-IN"/>
            </w:rPr>
          </w:pPr>
          <w:r w:rsidRPr="0034235E">
            <w:rPr>
              <w:rFonts w:ascii="Arial" w:hAnsi="Arial" w:cs="Arial"/>
              <w:b/>
              <w:bCs/>
              <w:sz w:val="32"/>
              <w:szCs w:val="32"/>
              <w:u w:val="single"/>
            </w:rPr>
            <w:t>Milton Sandford Wines Ltd</w:t>
          </w:r>
          <w:r w:rsidR="00FA7469" w:rsidRPr="0034235E">
            <w:rPr>
              <w:rFonts w:ascii="Arial" w:hAnsi="Arial" w:cs="Arial"/>
              <w:b/>
              <w:bCs/>
              <w:sz w:val="32"/>
              <w:szCs w:val="32"/>
              <w:u w:val="single"/>
            </w:rPr>
            <w:t>.</w:t>
          </w:r>
        </w:p>
        <w:p w14:paraId="71037C78" w14:textId="77777777" w:rsidR="002200C6" w:rsidRPr="0034235E" w:rsidRDefault="002200C6" w:rsidP="0034235E">
          <w:pPr>
            <w:spacing w:line="360" w:lineRule="auto"/>
            <w:jc w:val="center"/>
            <w:rPr>
              <w:rFonts w:ascii="Arial" w:hAnsi="Arial" w:cs="Arial"/>
              <w:b/>
              <w:u w:val="single"/>
              <w:lang w:val="en-IN"/>
            </w:rPr>
          </w:pPr>
        </w:p>
        <w:p w14:paraId="2DCB05B3" w14:textId="77777777" w:rsidR="002200C6" w:rsidRPr="0034235E" w:rsidRDefault="002200C6" w:rsidP="0034235E">
          <w:pPr>
            <w:spacing w:line="360" w:lineRule="auto"/>
            <w:jc w:val="center"/>
            <w:rPr>
              <w:rFonts w:ascii="Arial" w:hAnsi="Arial" w:cs="Arial"/>
              <w:b/>
              <w:u w:val="single"/>
            </w:rPr>
          </w:pPr>
        </w:p>
        <w:p w14:paraId="60A6727A" w14:textId="77777777" w:rsidR="002200C6" w:rsidRPr="0034235E" w:rsidRDefault="002200C6" w:rsidP="0034235E">
          <w:pPr>
            <w:spacing w:line="360" w:lineRule="auto"/>
            <w:jc w:val="center"/>
            <w:rPr>
              <w:rStyle w:val="Strong"/>
              <w:rFonts w:ascii="Arial" w:hAnsi="Arial" w:cs="Arial"/>
            </w:rPr>
          </w:pPr>
        </w:p>
        <w:p w14:paraId="6C8292FA" w14:textId="77777777" w:rsidR="00097E39" w:rsidRPr="0034235E" w:rsidRDefault="00097E39" w:rsidP="0034235E">
          <w:pPr>
            <w:spacing w:line="360" w:lineRule="auto"/>
            <w:rPr>
              <w:rStyle w:val="Strong"/>
              <w:rFonts w:ascii="Arial" w:hAnsi="Arial" w:cs="Arial"/>
            </w:rPr>
          </w:pPr>
        </w:p>
        <w:p w14:paraId="40D8F1EF" w14:textId="77777777" w:rsidR="00D7121C" w:rsidRPr="0034235E" w:rsidRDefault="000A7759" w:rsidP="0034235E">
          <w:pPr>
            <w:spacing w:line="360" w:lineRule="auto"/>
            <w:rPr>
              <w:rFonts w:ascii="Arial" w:eastAsiaTheme="minorEastAsia" w:hAnsi="Arial" w:cs="Arial"/>
              <w:lang w:eastAsia="en-GB"/>
            </w:rPr>
          </w:pPr>
          <w:r w:rsidRPr="0034235E">
            <w:rPr>
              <w:rFonts w:ascii="Arial" w:eastAsiaTheme="minorEastAsia" w:hAnsi="Arial" w:cs="Arial"/>
              <w:u w:val="single"/>
              <w:lang w:eastAsia="en-GB"/>
            </w:rPr>
            <w:t>Lecturer Name:</w:t>
          </w:r>
          <w:r w:rsidRPr="0034235E">
            <w:rPr>
              <w:rFonts w:ascii="Arial" w:eastAsiaTheme="minorEastAsia" w:hAnsi="Arial" w:cs="Arial"/>
              <w:lang w:eastAsia="en-GB"/>
            </w:rPr>
            <w:t xml:space="preserve">                                                                                          </w:t>
          </w:r>
          <w:r w:rsidRPr="0034235E">
            <w:rPr>
              <w:rFonts w:ascii="Arial" w:eastAsiaTheme="minorEastAsia" w:hAnsi="Arial" w:cs="Arial"/>
              <w:u w:val="single"/>
              <w:lang w:eastAsia="en-GB"/>
            </w:rPr>
            <w:t>Students Name and ID:</w:t>
          </w:r>
          <w:r w:rsidR="008C58F0" w:rsidRPr="0034235E">
            <w:rPr>
              <w:rFonts w:ascii="Arial" w:eastAsiaTheme="minorEastAsia" w:hAnsi="Arial" w:cs="Arial"/>
              <w:lang w:eastAsia="en-GB"/>
            </w:rPr>
            <w:t xml:space="preserve"> </w:t>
          </w:r>
        </w:p>
        <w:p w14:paraId="7C6D8230" w14:textId="499EF920" w:rsidR="000A7759" w:rsidRPr="0034235E" w:rsidRDefault="00E53646" w:rsidP="0034235E">
          <w:pPr>
            <w:spacing w:line="360" w:lineRule="auto"/>
            <w:rPr>
              <w:rFonts w:ascii="Arial" w:eastAsiaTheme="minorEastAsia" w:hAnsi="Arial" w:cs="Arial"/>
              <w:u w:val="single"/>
              <w:lang w:eastAsia="en-GB"/>
            </w:rPr>
          </w:pPr>
          <w:r w:rsidRPr="0034235E">
            <w:rPr>
              <w:rFonts w:ascii="Arial" w:hAnsi="Arial" w:cs="Arial"/>
              <w:color w:val="1D2125"/>
              <w:shd w:val="clear" w:color="auto" w:fill="FFFFFF"/>
            </w:rPr>
            <w:t>Dr Oluwaseun Adegbite</w:t>
          </w:r>
          <w:r w:rsidR="008C58F0" w:rsidRPr="0034235E">
            <w:rPr>
              <w:rFonts w:ascii="Arial" w:eastAsiaTheme="minorEastAsia" w:hAnsi="Arial" w:cs="Arial"/>
              <w:lang w:eastAsia="en-GB"/>
            </w:rPr>
            <w:t xml:space="preserve">                                                                            </w:t>
          </w:r>
          <w:r w:rsidR="000A7759" w:rsidRPr="0034235E">
            <w:rPr>
              <w:rFonts w:ascii="Arial" w:eastAsiaTheme="minorEastAsia" w:hAnsi="Arial" w:cs="Arial"/>
              <w:lang w:eastAsia="en-GB"/>
            </w:rPr>
            <w:t>Natalia Rupet (2109475)</w:t>
          </w:r>
        </w:p>
        <w:p w14:paraId="786033A3" w14:textId="77777777" w:rsidR="000A7759" w:rsidRPr="0034235E" w:rsidRDefault="000A7759" w:rsidP="0034235E">
          <w:pPr>
            <w:spacing w:line="360" w:lineRule="auto"/>
            <w:rPr>
              <w:rFonts w:ascii="Arial" w:hAnsi="Arial" w:cs="Arial"/>
            </w:rPr>
          </w:pPr>
        </w:p>
        <w:p w14:paraId="1DA9EBA7" w14:textId="77777777" w:rsidR="000A7759" w:rsidRPr="0034235E" w:rsidRDefault="000A7759" w:rsidP="0034235E">
          <w:pPr>
            <w:spacing w:line="360" w:lineRule="auto"/>
            <w:jc w:val="center"/>
            <w:rPr>
              <w:rFonts w:ascii="Arial" w:hAnsi="Arial" w:cs="Arial"/>
            </w:rPr>
          </w:pPr>
        </w:p>
        <w:p w14:paraId="79C37819" w14:textId="77777777" w:rsidR="00C567F9" w:rsidRPr="0034235E" w:rsidRDefault="00C567F9" w:rsidP="0034235E">
          <w:pPr>
            <w:spacing w:line="360" w:lineRule="auto"/>
            <w:jc w:val="center"/>
            <w:rPr>
              <w:rFonts w:ascii="Arial" w:hAnsi="Arial" w:cs="Arial"/>
            </w:rPr>
          </w:pPr>
        </w:p>
        <w:p w14:paraId="1AC22DD4" w14:textId="77777777" w:rsidR="000A7759" w:rsidRPr="0034235E" w:rsidRDefault="000A7759" w:rsidP="0034235E">
          <w:pPr>
            <w:spacing w:line="360" w:lineRule="auto"/>
            <w:jc w:val="center"/>
            <w:rPr>
              <w:rFonts w:ascii="Arial" w:hAnsi="Arial" w:cs="Arial"/>
            </w:rPr>
          </w:pPr>
        </w:p>
        <w:p w14:paraId="0B49ED6B" w14:textId="37B832CA" w:rsidR="444CC5CD" w:rsidRPr="0034235E" w:rsidRDefault="444CC5CD" w:rsidP="0034235E">
          <w:pPr>
            <w:spacing w:line="360" w:lineRule="auto"/>
            <w:jc w:val="center"/>
            <w:rPr>
              <w:rFonts w:ascii="Arial" w:hAnsi="Arial" w:cs="Arial"/>
            </w:rPr>
          </w:pPr>
        </w:p>
        <w:p w14:paraId="2664CE6C" w14:textId="1702B9A8" w:rsidR="00BF33D7" w:rsidRPr="0034235E" w:rsidRDefault="00D5411D" w:rsidP="0034235E">
          <w:pPr>
            <w:spacing w:line="360" w:lineRule="auto"/>
            <w:jc w:val="center"/>
            <w:rPr>
              <w:rFonts w:ascii="Arial" w:hAnsi="Arial" w:cs="Arial"/>
            </w:rPr>
          </w:pPr>
          <w:r w:rsidRPr="0034235E">
            <w:rPr>
              <w:rFonts w:ascii="Arial" w:hAnsi="Arial" w:cs="Arial"/>
            </w:rPr>
            <w:t>08</w:t>
          </w:r>
          <w:r w:rsidR="000A7759" w:rsidRPr="0034235E">
            <w:rPr>
              <w:rFonts w:ascii="Arial" w:hAnsi="Arial" w:cs="Arial"/>
            </w:rPr>
            <w:t>.</w:t>
          </w:r>
          <w:r w:rsidRPr="0034235E">
            <w:rPr>
              <w:rFonts w:ascii="Arial" w:hAnsi="Arial" w:cs="Arial"/>
            </w:rPr>
            <w:t>03</w:t>
          </w:r>
          <w:r w:rsidR="000A7759" w:rsidRPr="0034235E">
            <w:rPr>
              <w:rFonts w:ascii="Arial" w:hAnsi="Arial" w:cs="Arial"/>
            </w:rPr>
            <w:t>.202</w:t>
          </w:r>
          <w:r w:rsidRPr="0034235E">
            <w:rPr>
              <w:rFonts w:ascii="Arial" w:hAnsi="Arial" w:cs="Arial"/>
            </w:rPr>
            <w:t>4</w:t>
          </w:r>
        </w:p>
        <w:p w14:paraId="518FCEDA" w14:textId="2114A0C6" w:rsidR="444CC5CD" w:rsidRPr="0034235E" w:rsidRDefault="444CC5CD" w:rsidP="0034235E">
          <w:pPr>
            <w:spacing w:line="360" w:lineRule="auto"/>
            <w:jc w:val="center"/>
            <w:rPr>
              <w:rFonts w:ascii="Arial" w:hAnsi="Arial" w:cs="Arial"/>
            </w:rPr>
          </w:pPr>
        </w:p>
        <w:sdt>
          <w:sdtPr>
            <w:rPr>
              <w:rFonts w:ascii="Arial" w:eastAsiaTheme="minorEastAsia" w:hAnsi="Arial" w:cs="Arial"/>
              <w:color w:val="auto"/>
              <w:sz w:val="22"/>
              <w:szCs w:val="22"/>
              <w:lang w:val="en-GB"/>
            </w:rPr>
            <w:id w:val="-1156920052"/>
            <w:docPartObj>
              <w:docPartGallery w:val="Table of Contents"/>
              <w:docPartUnique/>
            </w:docPartObj>
          </w:sdtPr>
          <w:sdtEndPr>
            <w:rPr>
              <w:b/>
            </w:rPr>
          </w:sdtEndPr>
          <w:sdtContent>
            <w:sdt>
              <w:sdtPr>
                <w:rPr>
                  <w:rFonts w:ascii="Arial" w:eastAsiaTheme="minorEastAsia" w:hAnsi="Arial" w:cs="Arial"/>
                  <w:b/>
                  <w:color w:val="auto"/>
                  <w:sz w:val="22"/>
                  <w:szCs w:val="22"/>
                  <w:lang w:val="en-IN"/>
                </w:rPr>
                <w:id w:val="2085483153"/>
                <w:docPartObj>
                  <w:docPartGallery w:val="Table of Contents"/>
                  <w:docPartUnique/>
                </w:docPartObj>
              </w:sdtPr>
              <w:sdtEndPr>
                <w:rPr>
                  <w:lang w:val="en-GB"/>
                </w:rPr>
              </w:sdtEndPr>
              <w:sdtContent>
                <w:p w14:paraId="68D48F9A" w14:textId="77777777" w:rsidR="00CC1032" w:rsidRPr="0034235E" w:rsidRDefault="00CC1032" w:rsidP="0034235E">
                  <w:pPr>
                    <w:pStyle w:val="TOCHeading"/>
                    <w:spacing w:line="360" w:lineRule="auto"/>
                    <w:jc w:val="center"/>
                    <w:rPr>
                      <w:rFonts w:ascii="Arial" w:hAnsi="Arial" w:cs="Arial"/>
                      <w:b/>
                      <w:color w:val="auto"/>
                      <w:sz w:val="22"/>
                      <w:szCs w:val="22"/>
                    </w:rPr>
                  </w:pPr>
                  <w:r w:rsidRPr="0034235E">
                    <w:rPr>
                      <w:rFonts w:ascii="Arial" w:hAnsi="Arial" w:cs="Arial"/>
                      <w:b/>
                      <w:color w:val="auto"/>
                      <w:sz w:val="22"/>
                      <w:szCs w:val="22"/>
                    </w:rPr>
                    <w:t>Table of Contents</w:t>
                  </w:r>
                </w:p>
                <w:p w14:paraId="1D21EEF9" w14:textId="28DEB3C2" w:rsidR="0054627E" w:rsidRDefault="00CC1032">
                  <w:pPr>
                    <w:pStyle w:val="TOC3"/>
                    <w:tabs>
                      <w:tab w:val="right" w:leader="dot" w:pos="10520"/>
                    </w:tabs>
                    <w:rPr>
                      <w:rFonts w:eastAsiaTheme="minorEastAsia"/>
                      <w:noProof/>
                      <w:lang w:eastAsia="en-GB"/>
                    </w:rPr>
                  </w:pPr>
                  <w:r w:rsidRPr="0034235E">
                    <w:rPr>
                      <w:rFonts w:ascii="Arial" w:hAnsi="Arial" w:cs="Arial"/>
                      <w:b/>
                    </w:rPr>
                    <w:fldChar w:fldCharType="begin"/>
                  </w:r>
                  <w:r w:rsidRPr="0034235E">
                    <w:rPr>
                      <w:rFonts w:ascii="Arial" w:hAnsi="Arial" w:cs="Arial"/>
                      <w:b/>
                    </w:rPr>
                    <w:instrText xml:space="preserve"> TOC \o "1-3" \h \z \u </w:instrText>
                  </w:r>
                  <w:r w:rsidRPr="0034235E">
                    <w:rPr>
                      <w:rFonts w:ascii="Arial" w:hAnsi="Arial" w:cs="Arial"/>
                      <w:b/>
                    </w:rPr>
                    <w:fldChar w:fldCharType="separate"/>
                  </w:r>
                  <w:hyperlink w:anchor="_Toc160750381" w:history="1">
                    <w:r w:rsidR="0054627E" w:rsidRPr="002C1587">
                      <w:rPr>
                        <w:rStyle w:val="Hyperlink"/>
                        <w:rFonts w:ascii="Arial" w:hAnsi="Arial" w:cs="Arial"/>
                        <w:b/>
                        <w:bCs/>
                        <w:noProof/>
                      </w:rPr>
                      <w:t>1.Introduction</w:t>
                    </w:r>
                    <w:r w:rsidR="0054627E">
                      <w:rPr>
                        <w:noProof/>
                        <w:webHidden/>
                      </w:rPr>
                      <w:tab/>
                    </w:r>
                    <w:r w:rsidR="0054627E">
                      <w:rPr>
                        <w:noProof/>
                        <w:webHidden/>
                      </w:rPr>
                      <w:fldChar w:fldCharType="begin"/>
                    </w:r>
                    <w:r w:rsidR="0054627E">
                      <w:rPr>
                        <w:noProof/>
                        <w:webHidden/>
                      </w:rPr>
                      <w:instrText xml:space="preserve"> PAGEREF _Toc160750381 \h </w:instrText>
                    </w:r>
                    <w:r w:rsidR="0054627E">
                      <w:rPr>
                        <w:noProof/>
                        <w:webHidden/>
                      </w:rPr>
                    </w:r>
                    <w:r w:rsidR="0054627E">
                      <w:rPr>
                        <w:noProof/>
                        <w:webHidden/>
                      </w:rPr>
                      <w:fldChar w:fldCharType="separate"/>
                    </w:r>
                    <w:r w:rsidR="0054627E">
                      <w:rPr>
                        <w:noProof/>
                        <w:webHidden/>
                      </w:rPr>
                      <w:t>2</w:t>
                    </w:r>
                    <w:r w:rsidR="0054627E">
                      <w:rPr>
                        <w:noProof/>
                        <w:webHidden/>
                      </w:rPr>
                      <w:fldChar w:fldCharType="end"/>
                    </w:r>
                  </w:hyperlink>
                </w:p>
                <w:p w14:paraId="39D97BA8" w14:textId="4DE47E11" w:rsidR="0054627E" w:rsidRDefault="0054627E">
                  <w:pPr>
                    <w:pStyle w:val="TOC3"/>
                    <w:tabs>
                      <w:tab w:val="right" w:leader="dot" w:pos="10520"/>
                    </w:tabs>
                    <w:rPr>
                      <w:rFonts w:eastAsiaTheme="minorEastAsia"/>
                      <w:noProof/>
                      <w:lang w:eastAsia="en-GB"/>
                    </w:rPr>
                  </w:pPr>
                  <w:hyperlink w:anchor="_Toc160750382" w:history="1">
                    <w:r w:rsidRPr="002C1587">
                      <w:rPr>
                        <w:rStyle w:val="Hyperlink"/>
                        <w:rFonts w:ascii="Arial" w:hAnsi="Arial" w:cs="Arial"/>
                        <w:b/>
                        <w:bCs/>
                        <w:noProof/>
                      </w:rPr>
                      <w:t>2.Critically Appraise The Organization’s Current Strategic Direction</w:t>
                    </w:r>
                    <w:r>
                      <w:rPr>
                        <w:noProof/>
                        <w:webHidden/>
                      </w:rPr>
                      <w:tab/>
                    </w:r>
                    <w:r>
                      <w:rPr>
                        <w:noProof/>
                        <w:webHidden/>
                      </w:rPr>
                      <w:fldChar w:fldCharType="begin"/>
                    </w:r>
                    <w:r>
                      <w:rPr>
                        <w:noProof/>
                        <w:webHidden/>
                      </w:rPr>
                      <w:instrText xml:space="preserve"> PAGEREF _Toc160750382 \h </w:instrText>
                    </w:r>
                    <w:r>
                      <w:rPr>
                        <w:noProof/>
                        <w:webHidden/>
                      </w:rPr>
                    </w:r>
                    <w:r>
                      <w:rPr>
                        <w:noProof/>
                        <w:webHidden/>
                      </w:rPr>
                      <w:fldChar w:fldCharType="separate"/>
                    </w:r>
                    <w:r>
                      <w:rPr>
                        <w:noProof/>
                        <w:webHidden/>
                      </w:rPr>
                      <w:t>2</w:t>
                    </w:r>
                    <w:r>
                      <w:rPr>
                        <w:noProof/>
                        <w:webHidden/>
                      </w:rPr>
                      <w:fldChar w:fldCharType="end"/>
                    </w:r>
                  </w:hyperlink>
                </w:p>
                <w:p w14:paraId="6769B485" w14:textId="622F6F5E" w:rsidR="0054627E" w:rsidRDefault="0054627E">
                  <w:pPr>
                    <w:pStyle w:val="TOC3"/>
                    <w:tabs>
                      <w:tab w:val="right" w:leader="dot" w:pos="10520"/>
                    </w:tabs>
                    <w:rPr>
                      <w:rFonts w:eastAsiaTheme="minorEastAsia"/>
                      <w:noProof/>
                      <w:lang w:eastAsia="en-GB"/>
                    </w:rPr>
                  </w:pPr>
                  <w:hyperlink w:anchor="_Toc160750383" w:history="1">
                    <w:r w:rsidRPr="002C1587">
                      <w:rPr>
                        <w:rStyle w:val="Hyperlink"/>
                        <w:rFonts w:ascii="Arial" w:hAnsi="Arial" w:cs="Arial"/>
                        <w:b/>
                        <w:bCs/>
                        <w:noProof/>
                      </w:rPr>
                      <w:t>3.Analysis of the organizations external and internal environment</w:t>
                    </w:r>
                    <w:r>
                      <w:rPr>
                        <w:noProof/>
                        <w:webHidden/>
                      </w:rPr>
                      <w:tab/>
                    </w:r>
                    <w:r>
                      <w:rPr>
                        <w:noProof/>
                        <w:webHidden/>
                      </w:rPr>
                      <w:fldChar w:fldCharType="begin"/>
                    </w:r>
                    <w:r>
                      <w:rPr>
                        <w:noProof/>
                        <w:webHidden/>
                      </w:rPr>
                      <w:instrText xml:space="preserve"> PAGEREF _Toc160750383 \h </w:instrText>
                    </w:r>
                    <w:r>
                      <w:rPr>
                        <w:noProof/>
                        <w:webHidden/>
                      </w:rPr>
                    </w:r>
                    <w:r>
                      <w:rPr>
                        <w:noProof/>
                        <w:webHidden/>
                      </w:rPr>
                      <w:fldChar w:fldCharType="separate"/>
                    </w:r>
                    <w:r>
                      <w:rPr>
                        <w:noProof/>
                        <w:webHidden/>
                      </w:rPr>
                      <w:t>3</w:t>
                    </w:r>
                    <w:r>
                      <w:rPr>
                        <w:noProof/>
                        <w:webHidden/>
                      </w:rPr>
                      <w:fldChar w:fldCharType="end"/>
                    </w:r>
                  </w:hyperlink>
                </w:p>
                <w:p w14:paraId="5D3F4003" w14:textId="64991E31" w:rsidR="0054627E" w:rsidRDefault="0054627E">
                  <w:pPr>
                    <w:pStyle w:val="TOC2"/>
                    <w:rPr>
                      <w:rFonts w:eastAsiaTheme="minorEastAsia"/>
                      <w:noProof/>
                      <w:lang w:eastAsia="en-GB"/>
                    </w:rPr>
                  </w:pPr>
                  <w:hyperlink w:anchor="_Toc160750384" w:history="1">
                    <w:r w:rsidRPr="002C1587">
                      <w:rPr>
                        <w:rStyle w:val="Hyperlink"/>
                        <w:rFonts w:ascii="Arial" w:hAnsi="Arial" w:cs="Arial"/>
                        <w:b/>
                        <w:bCs/>
                        <w:noProof/>
                        <w:lang w:val="en-US" w:eastAsia="en-IN"/>
                      </w:rPr>
                      <w:t>PESTLE Analysis</w:t>
                    </w:r>
                    <w:r>
                      <w:rPr>
                        <w:noProof/>
                        <w:webHidden/>
                      </w:rPr>
                      <w:tab/>
                    </w:r>
                    <w:r>
                      <w:rPr>
                        <w:noProof/>
                        <w:webHidden/>
                      </w:rPr>
                      <w:fldChar w:fldCharType="begin"/>
                    </w:r>
                    <w:r>
                      <w:rPr>
                        <w:noProof/>
                        <w:webHidden/>
                      </w:rPr>
                      <w:instrText xml:space="preserve"> PAGEREF _Toc160750384 \h </w:instrText>
                    </w:r>
                    <w:r>
                      <w:rPr>
                        <w:noProof/>
                        <w:webHidden/>
                      </w:rPr>
                    </w:r>
                    <w:r>
                      <w:rPr>
                        <w:noProof/>
                        <w:webHidden/>
                      </w:rPr>
                      <w:fldChar w:fldCharType="separate"/>
                    </w:r>
                    <w:r>
                      <w:rPr>
                        <w:noProof/>
                        <w:webHidden/>
                      </w:rPr>
                      <w:t>3</w:t>
                    </w:r>
                    <w:r>
                      <w:rPr>
                        <w:noProof/>
                        <w:webHidden/>
                      </w:rPr>
                      <w:fldChar w:fldCharType="end"/>
                    </w:r>
                  </w:hyperlink>
                </w:p>
                <w:p w14:paraId="5E8789EE" w14:textId="70A601F8" w:rsidR="0054627E" w:rsidRDefault="0054627E">
                  <w:pPr>
                    <w:pStyle w:val="TOC3"/>
                    <w:tabs>
                      <w:tab w:val="right" w:leader="dot" w:pos="10520"/>
                    </w:tabs>
                    <w:rPr>
                      <w:rFonts w:eastAsiaTheme="minorEastAsia"/>
                      <w:noProof/>
                      <w:lang w:eastAsia="en-GB"/>
                    </w:rPr>
                  </w:pPr>
                  <w:hyperlink w:anchor="_Toc160750385" w:history="1">
                    <w:r w:rsidRPr="002C1587">
                      <w:rPr>
                        <w:rStyle w:val="Hyperlink"/>
                        <w:rFonts w:ascii="Arial" w:hAnsi="Arial" w:cs="Arial"/>
                        <w:b/>
                        <w:bCs/>
                        <w:noProof/>
                        <w:lang w:val="en-US"/>
                      </w:rPr>
                      <w:t>Table 1: PESTLE analysis</w:t>
                    </w:r>
                    <w:r>
                      <w:rPr>
                        <w:noProof/>
                        <w:webHidden/>
                      </w:rPr>
                      <w:tab/>
                    </w:r>
                    <w:r>
                      <w:rPr>
                        <w:noProof/>
                        <w:webHidden/>
                      </w:rPr>
                      <w:fldChar w:fldCharType="begin"/>
                    </w:r>
                    <w:r>
                      <w:rPr>
                        <w:noProof/>
                        <w:webHidden/>
                      </w:rPr>
                      <w:instrText xml:space="preserve"> PAGEREF _Toc160750385 \h </w:instrText>
                    </w:r>
                    <w:r>
                      <w:rPr>
                        <w:noProof/>
                        <w:webHidden/>
                      </w:rPr>
                    </w:r>
                    <w:r>
                      <w:rPr>
                        <w:noProof/>
                        <w:webHidden/>
                      </w:rPr>
                      <w:fldChar w:fldCharType="separate"/>
                    </w:r>
                    <w:r>
                      <w:rPr>
                        <w:noProof/>
                        <w:webHidden/>
                      </w:rPr>
                      <w:t>4</w:t>
                    </w:r>
                    <w:r>
                      <w:rPr>
                        <w:noProof/>
                        <w:webHidden/>
                      </w:rPr>
                      <w:fldChar w:fldCharType="end"/>
                    </w:r>
                  </w:hyperlink>
                </w:p>
                <w:p w14:paraId="10C35D4F" w14:textId="5E08F50D" w:rsidR="0054627E" w:rsidRDefault="0054627E">
                  <w:pPr>
                    <w:pStyle w:val="TOC3"/>
                    <w:tabs>
                      <w:tab w:val="right" w:leader="dot" w:pos="10520"/>
                    </w:tabs>
                    <w:rPr>
                      <w:rFonts w:eastAsiaTheme="minorEastAsia"/>
                      <w:noProof/>
                      <w:lang w:eastAsia="en-GB"/>
                    </w:rPr>
                  </w:pPr>
                  <w:hyperlink w:anchor="_Toc160750386" w:history="1">
                    <w:r w:rsidRPr="002C1587">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_Toc160750386 \h </w:instrText>
                    </w:r>
                    <w:r>
                      <w:rPr>
                        <w:noProof/>
                        <w:webHidden/>
                      </w:rPr>
                    </w:r>
                    <w:r>
                      <w:rPr>
                        <w:noProof/>
                        <w:webHidden/>
                      </w:rPr>
                      <w:fldChar w:fldCharType="separate"/>
                    </w:r>
                    <w:r>
                      <w:rPr>
                        <w:noProof/>
                        <w:webHidden/>
                      </w:rPr>
                      <w:t>5</w:t>
                    </w:r>
                    <w:r>
                      <w:rPr>
                        <w:noProof/>
                        <w:webHidden/>
                      </w:rPr>
                      <w:fldChar w:fldCharType="end"/>
                    </w:r>
                  </w:hyperlink>
                </w:p>
                <w:p w14:paraId="31DF5E1E" w14:textId="05A8D57C" w:rsidR="0054627E" w:rsidRDefault="0054627E">
                  <w:pPr>
                    <w:pStyle w:val="TOC3"/>
                    <w:tabs>
                      <w:tab w:val="right" w:leader="dot" w:pos="10520"/>
                    </w:tabs>
                    <w:rPr>
                      <w:rFonts w:eastAsiaTheme="minorEastAsia"/>
                      <w:noProof/>
                      <w:lang w:eastAsia="en-GB"/>
                    </w:rPr>
                  </w:pPr>
                  <w:hyperlink w:anchor="_Toc160750387" w:history="1">
                    <w:r w:rsidRPr="002C1587">
                      <w:rPr>
                        <w:rStyle w:val="Hyperlink"/>
                        <w:rFonts w:ascii="Arial" w:hAnsi="Arial" w:cs="Arial"/>
                        <w:b/>
                        <w:bCs/>
                        <w:noProof/>
                        <w:lang w:val="en-US"/>
                      </w:rPr>
                      <w:t>Table 2: SWOT analysis</w:t>
                    </w:r>
                    <w:r>
                      <w:rPr>
                        <w:noProof/>
                        <w:webHidden/>
                      </w:rPr>
                      <w:tab/>
                    </w:r>
                    <w:r>
                      <w:rPr>
                        <w:noProof/>
                        <w:webHidden/>
                      </w:rPr>
                      <w:fldChar w:fldCharType="begin"/>
                    </w:r>
                    <w:r>
                      <w:rPr>
                        <w:noProof/>
                        <w:webHidden/>
                      </w:rPr>
                      <w:instrText xml:space="preserve"> PAGEREF _Toc160750387 \h </w:instrText>
                    </w:r>
                    <w:r>
                      <w:rPr>
                        <w:noProof/>
                        <w:webHidden/>
                      </w:rPr>
                    </w:r>
                    <w:r>
                      <w:rPr>
                        <w:noProof/>
                        <w:webHidden/>
                      </w:rPr>
                      <w:fldChar w:fldCharType="separate"/>
                    </w:r>
                    <w:r>
                      <w:rPr>
                        <w:noProof/>
                        <w:webHidden/>
                      </w:rPr>
                      <w:t>5</w:t>
                    </w:r>
                    <w:r>
                      <w:rPr>
                        <w:noProof/>
                        <w:webHidden/>
                      </w:rPr>
                      <w:fldChar w:fldCharType="end"/>
                    </w:r>
                  </w:hyperlink>
                </w:p>
                <w:p w14:paraId="612A6423" w14:textId="2B54FCB1" w:rsidR="0054627E" w:rsidRDefault="0054627E">
                  <w:pPr>
                    <w:pStyle w:val="TOC3"/>
                    <w:tabs>
                      <w:tab w:val="right" w:leader="dot" w:pos="10520"/>
                    </w:tabs>
                    <w:rPr>
                      <w:rFonts w:eastAsiaTheme="minorEastAsia"/>
                      <w:noProof/>
                      <w:lang w:eastAsia="en-GB"/>
                    </w:rPr>
                  </w:pPr>
                  <w:hyperlink w:anchor="_Toc160750388" w:history="1">
                    <w:r w:rsidRPr="002C1587">
                      <w:rPr>
                        <w:rStyle w:val="Hyperlink"/>
                        <w:rFonts w:ascii="Arial" w:hAnsi="Arial" w:cs="Arial"/>
                        <w:b/>
                        <w:bCs/>
                        <w:noProof/>
                      </w:rPr>
                      <w:t>4. Stakeholder analysis</w:t>
                    </w:r>
                    <w:r>
                      <w:rPr>
                        <w:noProof/>
                        <w:webHidden/>
                      </w:rPr>
                      <w:tab/>
                    </w:r>
                    <w:r>
                      <w:rPr>
                        <w:noProof/>
                        <w:webHidden/>
                      </w:rPr>
                      <w:fldChar w:fldCharType="begin"/>
                    </w:r>
                    <w:r>
                      <w:rPr>
                        <w:noProof/>
                        <w:webHidden/>
                      </w:rPr>
                      <w:instrText xml:space="preserve"> PAGEREF _Toc160750388 \h </w:instrText>
                    </w:r>
                    <w:r>
                      <w:rPr>
                        <w:noProof/>
                        <w:webHidden/>
                      </w:rPr>
                    </w:r>
                    <w:r>
                      <w:rPr>
                        <w:noProof/>
                        <w:webHidden/>
                      </w:rPr>
                      <w:fldChar w:fldCharType="separate"/>
                    </w:r>
                    <w:r>
                      <w:rPr>
                        <w:noProof/>
                        <w:webHidden/>
                      </w:rPr>
                      <w:t>6</w:t>
                    </w:r>
                    <w:r>
                      <w:rPr>
                        <w:noProof/>
                        <w:webHidden/>
                      </w:rPr>
                      <w:fldChar w:fldCharType="end"/>
                    </w:r>
                  </w:hyperlink>
                </w:p>
                <w:p w14:paraId="3250783E" w14:textId="1EE53A46" w:rsidR="0054627E" w:rsidRDefault="0054627E">
                  <w:pPr>
                    <w:pStyle w:val="TOC3"/>
                    <w:tabs>
                      <w:tab w:val="right" w:leader="dot" w:pos="10520"/>
                    </w:tabs>
                    <w:rPr>
                      <w:rFonts w:eastAsiaTheme="minorEastAsia"/>
                      <w:noProof/>
                      <w:lang w:eastAsia="en-GB"/>
                    </w:rPr>
                  </w:pPr>
                  <w:hyperlink w:anchor="_Toc160750389" w:history="1">
                    <w:r w:rsidRPr="002C1587">
                      <w:rPr>
                        <w:rStyle w:val="Hyperlink"/>
                        <w:rFonts w:ascii="Arial" w:hAnsi="Arial" w:cs="Arial"/>
                        <w:b/>
                        <w:bCs/>
                        <w:noProof/>
                        <w:lang w:val="en-US"/>
                      </w:rPr>
                      <w:t>Table 3:</w:t>
                    </w:r>
                    <w:r w:rsidRPr="002C1587">
                      <w:rPr>
                        <w:rStyle w:val="Hyperlink"/>
                        <w:rFonts w:ascii="Arial" w:hAnsi="Arial" w:cs="Arial"/>
                        <w:b/>
                        <w:bCs/>
                        <w:noProof/>
                      </w:rPr>
                      <w:t xml:space="preserve"> </w:t>
                    </w:r>
                    <w:r w:rsidRPr="002C1587">
                      <w:rPr>
                        <w:rStyle w:val="Hyperlink"/>
                        <w:rFonts w:ascii="Arial" w:hAnsi="Arial" w:cs="Arial"/>
                        <w:b/>
                        <w:bCs/>
                        <w:noProof/>
                        <w:lang w:val="en-US"/>
                      </w:rPr>
                      <w:t>Stakeholder analysis</w:t>
                    </w:r>
                    <w:r>
                      <w:rPr>
                        <w:noProof/>
                        <w:webHidden/>
                      </w:rPr>
                      <w:tab/>
                    </w:r>
                    <w:r>
                      <w:rPr>
                        <w:noProof/>
                        <w:webHidden/>
                      </w:rPr>
                      <w:fldChar w:fldCharType="begin"/>
                    </w:r>
                    <w:r>
                      <w:rPr>
                        <w:noProof/>
                        <w:webHidden/>
                      </w:rPr>
                      <w:instrText xml:space="preserve"> PAGEREF _Toc160750389 \h </w:instrText>
                    </w:r>
                    <w:r>
                      <w:rPr>
                        <w:noProof/>
                        <w:webHidden/>
                      </w:rPr>
                    </w:r>
                    <w:r>
                      <w:rPr>
                        <w:noProof/>
                        <w:webHidden/>
                      </w:rPr>
                      <w:fldChar w:fldCharType="separate"/>
                    </w:r>
                    <w:r>
                      <w:rPr>
                        <w:noProof/>
                        <w:webHidden/>
                      </w:rPr>
                      <w:t>7</w:t>
                    </w:r>
                    <w:r>
                      <w:rPr>
                        <w:noProof/>
                        <w:webHidden/>
                      </w:rPr>
                      <w:fldChar w:fldCharType="end"/>
                    </w:r>
                  </w:hyperlink>
                </w:p>
                <w:p w14:paraId="5421C115" w14:textId="6F928CA6" w:rsidR="0054627E" w:rsidRDefault="0054627E">
                  <w:pPr>
                    <w:pStyle w:val="TOC3"/>
                    <w:tabs>
                      <w:tab w:val="right" w:leader="dot" w:pos="10520"/>
                    </w:tabs>
                    <w:rPr>
                      <w:rFonts w:eastAsiaTheme="minorEastAsia"/>
                      <w:noProof/>
                      <w:lang w:eastAsia="en-GB"/>
                    </w:rPr>
                  </w:pPr>
                  <w:hyperlink w:anchor="_Toc160750390" w:history="1">
                    <w:r w:rsidRPr="002C1587">
                      <w:rPr>
                        <w:rStyle w:val="Hyperlink"/>
                        <w:rFonts w:ascii="Arial" w:hAnsi="Arial" w:cs="Arial"/>
                        <w:b/>
                        <w:bCs/>
                        <w:noProof/>
                        <w:lang w:val="en-US"/>
                      </w:rPr>
                      <w:t>Mendelow Matrix</w:t>
                    </w:r>
                    <w:r>
                      <w:rPr>
                        <w:noProof/>
                        <w:webHidden/>
                      </w:rPr>
                      <w:tab/>
                    </w:r>
                    <w:r>
                      <w:rPr>
                        <w:noProof/>
                        <w:webHidden/>
                      </w:rPr>
                      <w:fldChar w:fldCharType="begin"/>
                    </w:r>
                    <w:r>
                      <w:rPr>
                        <w:noProof/>
                        <w:webHidden/>
                      </w:rPr>
                      <w:instrText xml:space="preserve"> PAGEREF _Toc160750390 \h </w:instrText>
                    </w:r>
                    <w:r>
                      <w:rPr>
                        <w:noProof/>
                        <w:webHidden/>
                      </w:rPr>
                    </w:r>
                    <w:r>
                      <w:rPr>
                        <w:noProof/>
                        <w:webHidden/>
                      </w:rPr>
                      <w:fldChar w:fldCharType="separate"/>
                    </w:r>
                    <w:r>
                      <w:rPr>
                        <w:noProof/>
                        <w:webHidden/>
                      </w:rPr>
                      <w:t>9</w:t>
                    </w:r>
                    <w:r>
                      <w:rPr>
                        <w:noProof/>
                        <w:webHidden/>
                      </w:rPr>
                      <w:fldChar w:fldCharType="end"/>
                    </w:r>
                  </w:hyperlink>
                </w:p>
                <w:p w14:paraId="2DF92550" w14:textId="4929E1D1" w:rsidR="0054627E" w:rsidRDefault="0054627E">
                  <w:pPr>
                    <w:pStyle w:val="TOC3"/>
                    <w:tabs>
                      <w:tab w:val="right" w:leader="dot" w:pos="10520"/>
                    </w:tabs>
                    <w:rPr>
                      <w:rFonts w:eastAsiaTheme="minorEastAsia"/>
                      <w:noProof/>
                      <w:lang w:eastAsia="en-GB"/>
                    </w:rPr>
                  </w:pPr>
                  <w:hyperlink w:anchor="_Toc160750391" w:history="1">
                    <w:r w:rsidRPr="002C1587">
                      <w:rPr>
                        <w:rStyle w:val="Hyperlink"/>
                        <w:rFonts w:ascii="Arial" w:hAnsi="Arial" w:cs="Arial"/>
                        <w:b/>
                        <w:bCs/>
                        <w:noProof/>
                      </w:rPr>
                      <w:t>Table4: Mendelow Matrix</w:t>
                    </w:r>
                    <w:r>
                      <w:rPr>
                        <w:noProof/>
                        <w:webHidden/>
                      </w:rPr>
                      <w:tab/>
                    </w:r>
                    <w:r>
                      <w:rPr>
                        <w:noProof/>
                        <w:webHidden/>
                      </w:rPr>
                      <w:fldChar w:fldCharType="begin"/>
                    </w:r>
                    <w:r>
                      <w:rPr>
                        <w:noProof/>
                        <w:webHidden/>
                      </w:rPr>
                      <w:instrText xml:space="preserve"> PAGEREF _Toc160750391 \h </w:instrText>
                    </w:r>
                    <w:r>
                      <w:rPr>
                        <w:noProof/>
                        <w:webHidden/>
                      </w:rPr>
                    </w:r>
                    <w:r>
                      <w:rPr>
                        <w:noProof/>
                        <w:webHidden/>
                      </w:rPr>
                      <w:fldChar w:fldCharType="separate"/>
                    </w:r>
                    <w:r>
                      <w:rPr>
                        <w:noProof/>
                        <w:webHidden/>
                      </w:rPr>
                      <w:t>9</w:t>
                    </w:r>
                    <w:r>
                      <w:rPr>
                        <w:noProof/>
                        <w:webHidden/>
                      </w:rPr>
                      <w:fldChar w:fldCharType="end"/>
                    </w:r>
                  </w:hyperlink>
                </w:p>
                <w:p w14:paraId="4A192A01" w14:textId="3DE982BD" w:rsidR="0054627E" w:rsidRDefault="0054627E">
                  <w:pPr>
                    <w:pStyle w:val="TOC3"/>
                    <w:tabs>
                      <w:tab w:val="right" w:leader="dot" w:pos="10520"/>
                    </w:tabs>
                    <w:rPr>
                      <w:rFonts w:eastAsiaTheme="minorEastAsia"/>
                      <w:noProof/>
                      <w:lang w:eastAsia="en-GB"/>
                    </w:rPr>
                  </w:pPr>
                  <w:hyperlink w:anchor="_Toc160750392" w:history="1">
                    <w:r w:rsidRPr="002C1587">
                      <w:rPr>
                        <w:rStyle w:val="Hyperlink"/>
                        <w:rFonts w:ascii="Arial" w:hAnsi="Arial" w:cs="Arial"/>
                        <w:b/>
                        <w:bCs/>
                        <w:noProof/>
                        <w:lang w:eastAsia="en-IN"/>
                      </w:rPr>
                      <w:t>Porter's Value chain of Milton Sandford Wines Ltd</w:t>
                    </w:r>
                    <w:r>
                      <w:rPr>
                        <w:noProof/>
                        <w:webHidden/>
                      </w:rPr>
                      <w:tab/>
                    </w:r>
                    <w:r>
                      <w:rPr>
                        <w:noProof/>
                        <w:webHidden/>
                      </w:rPr>
                      <w:fldChar w:fldCharType="begin"/>
                    </w:r>
                    <w:r>
                      <w:rPr>
                        <w:noProof/>
                        <w:webHidden/>
                      </w:rPr>
                      <w:instrText xml:space="preserve"> PAGEREF _Toc160750392 \h </w:instrText>
                    </w:r>
                    <w:r>
                      <w:rPr>
                        <w:noProof/>
                        <w:webHidden/>
                      </w:rPr>
                    </w:r>
                    <w:r>
                      <w:rPr>
                        <w:noProof/>
                        <w:webHidden/>
                      </w:rPr>
                      <w:fldChar w:fldCharType="separate"/>
                    </w:r>
                    <w:r>
                      <w:rPr>
                        <w:noProof/>
                        <w:webHidden/>
                      </w:rPr>
                      <w:t>9</w:t>
                    </w:r>
                    <w:r>
                      <w:rPr>
                        <w:noProof/>
                        <w:webHidden/>
                      </w:rPr>
                      <w:fldChar w:fldCharType="end"/>
                    </w:r>
                  </w:hyperlink>
                </w:p>
                <w:p w14:paraId="426D4E31" w14:textId="2574222B" w:rsidR="0054627E" w:rsidRDefault="0054627E">
                  <w:pPr>
                    <w:pStyle w:val="TOC3"/>
                    <w:tabs>
                      <w:tab w:val="right" w:leader="dot" w:pos="10520"/>
                    </w:tabs>
                    <w:rPr>
                      <w:rFonts w:eastAsiaTheme="minorEastAsia"/>
                      <w:noProof/>
                      <w:lang w:eastAsia="en-GB"/>
                    </w:rPr>
                  </w:pPr>
                  <w:hyperlink w:anchor="_Toc160750393" w:history="1">
                    <w:r w:rsidRPr="002C1587">
                      <w:rPr>
                        <w:rStyle w:val="Hyperlink"/>
                        <w:rFonts w:ascii="Arial" w:hAnsi="Arial" w:cs="Arial"/>
                        <w:b/>
                        <w:bCs/>
                        <w:noProof/>
                      </w:rPr>
                      <w:t>5. Discuss Available Strategic Growth Choices for SMEs in Markets and Propose a New Strategy</w:t>
                    </w:r>
                    <w:r>
                      <w:rPr>
                        <w:noProof/>
                        <w:webHidden/>
                      </w:rPr>
                      <w:tab/>
                    </w:r>
                    <w:r>
                      <w:rPr>
                        <w:noProof/>
                        <w:webHidden/>
                      </w:rPr>
                      <w:fldChar w:fldCharType="begin"/>
                    </w:r>
                    <w:r>
                      <w:rPr>
                        <w:noProof/>
                        <w:webHidden/>
                      </w:rPr>
                      <w:instrText xml:space="preserve"> PAGEREF _Toc160750393 \h </w:instrText>
                    </w:r>
                    <w:r>
                      <w:rPr>
                        <w:noProof/>
                        <w:webHidden/>
                      </w:rPr>
                    </w:r>
                    <w:r>
                      <w:rPr>
                        <w:noProof/>
                        <w:webHidden/>
                      </w:rPr>
                      <w:fldChar w:fldCharType="separate"/>
                    </w:r>
                    <w:r>
                      <w:rPr>
                        <w:noProof/>
                        <w:webHidden/>
                      </w:rPr>
                      <w:t>11</w:t>
                    </w:r>
                    <w:r>
                      <w:rPr>
                        <w:noProof/>
                        <w:webHidden/>
                      </w:rPr>
                      <w:fldChar w:fldCharType="end"/>
                    </w:r>
                  </w:hyperlink>
                </w:p>
                <w:p w14:paraId="765D81DE" w14:textId="36D9459A" w:rsidR="0054627E" w:rsidRDefault="0054627E">
                  <w:pPr>
                    <w:pStyle w:val="TOC3"/>
                    <w:tabs>
                      <w:tab w:val="right" w:leader="dot" w:pos="10520"/>
                    </w:tabs>
                    <w:rPr>
                      <w:rFonts w:eastAsiaTheme="minorEastAsia"/>
                      <w:noProof/>
                      <w:lang w:eastAsia="en-GB"/>
                    </w:rPr>
                  </w:pPr>
                  <w:hyperlink w:anchor="_Toc160750394" w:history="1">
                    <w:r w:rsidRPr="002C1587">
                      <w:rPr>
                        <w:rStyle w:val="Hyperlink"/>
                        <w:rFonts w:ascii="Arial" w:hAnsi="Arial" w:cs="Arial"/>
                        <w:b/>
                        <w:bCs/>
                        <w:noProof/>
                      </w:rPr>
                      <w:t>6. Strategic Recommendations for Future Developments and Implementation at Milton Sandford Wines Ltd</w:t>
                    </w:r>
                    <w:r>
                      <w:rPr>
                        <w:noProof/>
                        <w:webHidden/>
                      </w:rPr>
                      <w:tab/>
                    </w:r>
                    <w:r>
                      <w:rPr>
                        <w:noProof/>
                        <w:webHidden/>
                      </w:rPr>
                      <w:fldChar w:fldCharType="begin"/>
                    </w:r>
                    <w:r>
                      <w:rPr>
                        <w:noProof/>
                        <w:webHidden/>
                      </w:rPr>
                      <w:instrText xml:space="preserve"> PAGEREF _Toc160750394 \h </w:instrText>
                    </w:r>
                    <w:r>
                      <w:rPr>
                        <w:noProof/>
                        <w:webHidden/>
                      </w:rPr>
                    </w:r>
                    <w:r>
                      <w:rPr>
                        <w:noProof/>
                        <w:webHidden/>
                      </w:rPr>
                      <w:fldChar w:fldCharType="separate"/>
                    </w:r>
                    <w:r>
                      <w:rPr>
                        <w:noProof/>
                        <w:webHidden/>
                      </w:rPr>
                      <w:t>13</w:t>
                    </w:r>
                    <w:r>
                      <w:rPr>
                        <w:noProof/>
                        <w:webHidden/>
                      </w:rPr>
                      <w:fldChar w:fldCharType="end"/>
                    </w:r>
                  </w:hyperlink>
                </w:p>
                <w:p w14:paraId="7C4C1A34" w14:textId="1353D4FD" w:rsidR="0054627E" w:rsidRDefault="0054627E">
                  <w:pPr>
                    <w:pStyle w:val="TOC3"/>
                    <w:tabs>
                      <w:tab w:val="right" w:leader="dot" w:pos="10520"/>
                    </w:tabs>
                    <w:rPr>
                      <w:rFonts w:eastAsiaTheme="minorEastAsia"/>
                      <w:noProof/>
                      <w:lang w:eastAsia="en-GB"/>
                    </w:rPr>
                  </w:pPr>
                  <w:hyperlink w:anchor="_Toc160750395" w:history="1">
                    <w:r w:rsidRPr="002C1587">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_Toc160750395 \h </w:instrText>
                    </w:r>
                    <w:r>
                      <w:rPr>
                        <w:noProof/>
                        <w:webHidden/>
                      </w:rPr>
                    </w:r>
                    <w:r>
                      <w:rPr>
                        <w:noProof/>
                        <w:webHidden/>
                      </w:rPr>
                      <w:fldChar w:fldCharType="separate"/>
                    </w:r>
                    <w:r>
                      <w:rPr>
                        <w:noProof/>
                        <w:webHidden/>
                      </w:rPr>
                      <w:t>15</w:t>
                    </w:r>
                    <w:r>
                      <w:rPr>
                        <w:noProof/>
                        <w:webHidden/>
                      </w:rPr>
                      <w:fldChar w:fldCharType="end"/>
                    </w:r>
                  </w:hyperlink>
                </w:p>
                <w:p w14:paraId="0E964723" w14:textId="3A303A0A" w:rsidR="0054627E" w:rsidRDefault="0054627E">
                  <w:pPr>
                    <w:pStyle w:val="TOC3"/>
                    <w:tabs>
                      <w:tab w:val="right" w:leader="dot" w:pos="10520"/>
                    </w:tabs>
                    <w:rPr>
                      <w:rFonts w:eastAsiaTheme="minorEastAsia"/>
                      <w:noProof/>
                      <w:lang w:eastAsia="en-GB"/>
                    </w:rPr>
                  </w:pPr>
                  <w:hyperlink w:anchor="_Toc160750396" w:history="1">
                    <w:r w:rsidRPr="002C1587">
                      <w:rPr>
                        <w:rStyle w:val="Hyperlink"/>
                        <w:rFonts w:ascii="Arial" w:hAnsi="Arial" w:cs="Arial"/>
                        <w:b/>
                        <w:bCs/>
                        <w:noProof/>
                        <w:lang w:val="en-IN" w:eastAsia="en-GB"/>
                      </w:rPr>
                      <w:t>8. References</w:t>
                    </w:r>
                    <w:r>
                      <w:rPr>
                        <w:noProof/>
                        <w:webHidden/>
                      </w:rPr>
                      <w:tab/>
                    </w:r>
                    <w:r>
                      <w:rPr>
                        <w:noProof/>
                        <w:webHidden/>
                      </w:rPr>
                      <w:fldChar w:fldCharType="begin"/>
                    </w:r>
                    <w:r>
                      <w:rPr>
                        <w:noProof/>
                        <w:webHidden/>
                      </w:rPr>
                      <w:instrText xml:space="preserve"> PAGEREF _Toc160750396 \h </w:instrText>
                    </w:r>
                    <w:r>
                      <w:rPr>
                        <w:noProof/>
                        <w:webHidden/>
                      </w:rPr>
                    </w:r>
                    <w:r>
                      <w:rPr>
                        <w:noProof/>
                        <w:webHidden/>
                      </w:rPr>
                      <w:fldChar w:fldCharType="separate"/>
                    </w:r>
                    <w:r>
                      <w:rPr>
                        <w:noProof/>
                        <w:webHidden/>
                      </w:rPr>
                      <w:t>16</w:t>
                    </w:r>
                    <w:r>
                      <w:rPr>
                        <w:noProof/>
                        <w:webHidden/>
                      </w:rPr>
                      <w:fldChar w:fldCharType="end"/>
                    </w:r>
                  </w:hyperlink>
                </w:p>
                <w:p w14:paraId="650EF8E7" w14:textId="3633C223" w:rsidR="00946985" w:rsidRPr="0034235E" w:rsidRDefault="00CC1032" w:rsidP="0034235E">
                  <w:pPr>
                    <w:spacing w:line="360" w:lineRule="auto"/>
                    <w:rPr>
                      <w:rStyle w:val="Strong"/>
                      <w:rFonts w:ascii="Arial" w:hAnsi="Arial" w:cs="Arial"/>
                      <w:bCs w:val="0"/>
                      <w:noProof/>
                    </w:rPr>
                  </w:pPr>
                  <w:r w:rsidRPr="0034235E">
                    <w:rPr>
                      <w:rFonts w:ascii="Arial" w:hAnsi="Arial" w:cs="Arial"/>
                      <w:b/>
                      <w:noProof/>
                    </w:rPr>
                    <w:fldChar w:fldCharType="end"/>
                  </w:r>
                </w:p>
              </w:sdtContent>
            </w:sdt>
          </w:sdtContent>
        </w:sdt>
        <w:p w14:paraId="051F374E" w14:textId="77777777" w:rsidR="009248E4" w:rsidRPr="0034235E" w:rsidRDefault="009248E4" w:rsidP="0034235E">
          <w:pPr>
            <w:spacing w:line="360" w:lineRule="auto"/>
            <w:rPr>
              <w:rFonts w:ascii="Arial" w:hAnsi="Arial" w:cs="Arial"/>
            </w:rPr>
          </w:pPr>
        </w:p>
        <w:p w14:paraId="2D1914C0" w14:textId="77777777" w:rsidR="009248E4" w:rsidRPr="0034235E" w:rsidRDefault="009248E4" w:rsidP="0034235E">
          <w:pPr>
            <w:spacing w:line="360" w:lineRule="auto"/>
            <w:rPr>
              <w:rFonts w:ascii="Arial" w:hAnsi="Arial" w:cs="Arial"/>
            </w:rPr>
          </w:pPr>
        </w:p>
        <w:p w14:paraId="7F11AC5E" w14:textId="77777777" w:rsidR="009248E4" w:rsidRPr="0034235E" w:rsidRDefault="009248E4" w:rsidP="0034235E">
          <w:pPr>
            <w:spacing w:line="360" w:lineRule="auto"/>
            <w:rPr>
              <w:rFonts w:ascii="Arial" w:hAnsi="Arial" w:cs="Arial"/>
            </w:rPr>
          </w:pPr>
        </w:p>
        <w:p w14:paraId="2016C12A" w14:textId="77777777" w:rsidR="009248E4" w:rsidRPr="0034235E" w:rsidRDefault="009248E4" w:rsidP="0034235E">
          <w:pPr>
            <w:spacing w:line="360" w:lineRule="auto"/>
            <w:rPr>
              <w:rFonts w:ascii="Arial" w:hAnsi="Arial" w:cs="Arial"/>
            </w:rPr>
          </w:pPr>
        </w:p>
        <w:p w14:paraId="44E935BF" w14:textId="77777777" w:rsidR="009248E4" w:rsidRPr="0034235E" w:rsidRDefault="009248E4" w:rsidP="0034235E">
          <w:pPr>
            <w:spacing w:line="360" w:lineRule="auto"/>
            <w:rPr>
              <w:rFonts w:ascii="Arial" w:hAnsi="Arial" w:cs="Arial"/>
            </w:rPr>
          </w:pPr>
        </w:p>
        <w:p w14:paraId="74076CDA" w14:textId="77777777" w:rsidR="009248E4" w:rsidRPr="0034235E" w:rsidRDefault="009248E4" w:rsidP="0034235E">
          <w:pPr>
            <w:spacing w:line="360" w:lineRule="auto"/>
            <w:rPr>
              <w:rFonts w:ascii="Arial" w:hAnsi="Arial" w:cs="Arial"/>
            </w:rPr>
          </w:pPr>
        </w:p>
        <w:p w14:paraId="67664B40" w14:textId="77777777" w:rsidR="009248E4" w:rsidRPr="0034235E" w:rsidRDefault="009248E4" w:rsidP="0034235E">
          <w:pPr>
            <w:spacing w:line="360" w:lineRule="auto"/>
            <w:rPr>
              <w:rFonts w:ascii="Arial" w:hAnsi="Arial" w:cs="Arial"/>
            </w:rPr>
          </w:pPr>
        </w:p>
        <w:p w14:paraId="72F4B9C5" w14:textId="77777777" w:rsidR="009248E4" w:rsidRPr="0034235E" w:rsidRDefault="009248E4" w:rsidP="0034235E">
          <w:pPr>
            <w:spacing w:line="360" w:lineRule="auto"/>
            <w:rPr>
              <w:rFonts w:ascii="Arial" w:hAnsi="Arial" w:cs="Arial"/>
            </w:rPr>
          </w:pPr>
        </w:p>
        <w:p w14:paraId="362873A9" w14:textId="77777777" w:rsidR="009248E4" w:rsidRPr="0034235E" w:rsidRDefault="009248E4" w:rsidP="0034235E">
          <w:pPr>
            <w:spacing w:line="360" w:lineRule="auto"/>
            <w:rPr>
              <w:rFonts w:ascii="Arial" w:hAnsi="Arial" w:cs="Arial"/>
            </w:rPr>
          </w:pPr>
        </w:p>
        <w:p w14:paraId="587A93D0" w14:textId="77777777" w:rsidR="009248E4" w:rsidRPr="0034235E" w:rsidRDefault="009248E4" w:rsidP="0034235E">
          <w:pPr>
            <w:spacing w:line="360" w:lineRule="auto"/>
            <w:rPr>
              <w:rFonts w:ascii="Arial" w:hAnsi="Arial" w:cs="Arial"/>
            </w:rPr>
          </w:pPr>
        </w:p>
        <w:p w14:paraId="6A713121" w14:textId="30C08730" w:rsidR="009E1BB9" w:rsidRPr="0034235E" w:rsidRDefault="009C3337" w:rsidP="0034235E">
          <w:pPr>
            <w:pStyle w:val="Heading3"/>
            <w:spacing w:line="360" w:lineRule="auto"/>
            <w:jc w:val="both"/>
            <w:rPr>
              <w:rStyle w:val="Strong"/>
              <w:rFonts w:ascii="Arial" w:hAnsi="Arial" w:cs="Arial"/>
              <w:color w:val="000000" w:themeColor="text1"/>
              <w:sz w:val="22"/>
              <w:szCs w:val="22"/>
            </w:rPr>
          </w:pPr>
          <w:bookmarkStart w:id="1" w:name="_Toc160750381"/>
          <w:r w:rsidRPr="0034235E">
            <w:rPr>
              <w:rStyle w:val="Strong"/>
              <w:rFonts w:ascii="Arial" w:hAnsi="Arial" w:cs="Arial"/>
              <w:color w:val="000000" w:themeColor="text1"/>
              <w:sz w:val="22"/>
              <w:szCs w:val="22"/>
            </w:rPr>
            <w:lastRenderedPageBreak/>
            <w:t>1.</w:t>
          </w:r>
          <w:r w:rsidR="009E1BB9" w:rsidRPr="0034235E">
            <w:rPr>
              <w:rStyle w:val="Strong"/>
              <w:rFonts w:ascii="Arial" w:hAnsi="Arial" w:cs="Arial"/>
              <w:color w:val="000000" w:themeColor="text1"/>
              <w:sz w:val="22"/>
              <w:szCs w:val="22"/>
            </w:rPr>
            <w:t>Introduction</w:t>
          </w:r>
          <w:bookmarkEnd w:id="1"/>
        </w:p>
        <w:p w14:paraId="50F5765A" w14:textId="76513FF2" w:rsidR="005201D3" w:rsidRPr="0034235E" w:rsidRDefault="00AA47FA" w:rsidP="0034235E">
          <w:pPr>
            <w:spacing w:line="360" w:lineRule="auto"/>
            <w:jc w:val="both"/>
            <w:rPr>
              <w:rFonts w:ascii="Arial" w:hAnsi="Arial" w:cs="Arial"/>
              <w:lang w:val="en-US"/>
            </w:rPr>
          </w:pPr>
          <w:r w:rsidRPr="0034235E">
            <w:rPr>
              <w:rFonts w:ascii="Arial" w:hAnsi="Arial" w:cs="Arial"/>
              <w:lang w:val="en-US"/>
            </w:rPr>
            <w:t xml:space="preserve">Milton Sandford Wines Ltd is a family-owned small and medium-sized enterprise (SME) operating in the wine industry. Founded in </w:t>
          </w:r>
          <w:r w:rsidR="002C0EEB" w:rsidRPr="0034235E">
            <w:rPr>
              <w:rFonts w:ascii="Arial" w:hAnsi="Arial" w:cs="Arial"/>
              <w:lang w:val="en-US"/>
            </w:rPr>
            <w:t>1990</w:t>
          </w:r>
          <w:r w:rsidRPr="0034235E">
            <w:rPr>
              <w:rFonts w:ascii="Arial" w:hAnsi="Arial" w:cs="Arial"/>
              <w:lang w:val="en-US"/>
            </w:rPr>
            <w:t>, the company has established itself as a reputable producer and distributor of high-quality wines</w:t>
          </w:r>
          <w:r w:rsidR="00DA4A14" w:rsidRPr="0034235E">
            <w:rPr>
              <w:rFonts w:ascii="Arial" w:hAnsi="Arial" w:cs="Arial"/>
              <w:lang w:val="en-US"/>
            </w:rPr>
            <w:t>,</w:t>
          </w:r>
          <w:r w:rsidR="009C7731" w:rsidRPr="0034235E">
            <w:rPr>
              <w:rFonts w:ascii="Arial" w:hAnsi="Arial" w:cs="Arial"/>
              <w:lang w:val="en-US"/>
            </w:rPr>
            <w:t xml:space="preserve"> w</w:t>
          </w:r>
          <w:r w:rsidRPr="0034235E">
            <w:rPr>
              <w:rFonts w:ascii="Arial" w:hAnsi="Arial" w:cs="Arial"/>
              <w:lang w:val="en-US"/>
            </w:rPr>
            <w:t>ith a focus on tradition, innovation, and sustainability. Milton Sandford Wines has successfully navigated the complexities of the wine market while maintaining a strong brand reputation</w:t>
          </w:r>
          <w:r w:rsidR="00A65CC9" w:rsidRPr="0034235E">
            <w:rPr>
              <w:rFonts w:ascii="Arial" w:hAnsi="Arial" w:cs="Arial"/>
              <w:lang w:val="en-US"/>
            </w:rPr>
            <w:t xml:space="preserve"> </w:t>
          </w:r>
          <w:r w:rsidR="00C3383B" w:rsidRPr="0034235E">
            <w:rPr>
              <w:rFonts w:ascii="Arial" w:hAnsi="Arial" w:cs="Arial"/>
              <w:lang w:val="en-US"/>
            </w:rPr>
            <w:t>(</w:t>
          </w:r>
          <w:r w:rsidR="00C26E37" w:rsidRPr="0034235E">
            <w:rPr>
              <w:rFonts w:ascii="Arial" w:hAnsi="Arial" w:cs="Arial"/>
              <w:lang w:val="en-US"/>
            </w:rPr>
            <w:t>MILTON SANDFORD WINES, 2018</w:t>
          </w:r>
          <w:r w:rsidR="00C3383B" w:rsidRPr="0034235E">
            <w:rPr>
              <w:rFonts w:ascii="Arial" w:hAnsi="Arial" w:cs="Arial"/>
              <w:lang w:val="en-US"/>
            </w:rPr>
            <w:t>)</w:t>
          </w:r>
          <w:r w:rsidR="00A65CC9" w:rsidRPr="0034235E">
            <w:rPr>
              <w:rFonts w:ascii="Arial" w:hAnsi="Arial" w:cs="Arial"/>
              <w:lang w:val="en-US"/>
            </w:rPr>
            <w:t>.</w:t>
          </w:r>
        </w:p>
        <w:p w14:paraId="5A3452EC" w14:textId="5A02F514" w:rsidR="003948F8" w:rsidRPr="0034235E" w:rsidRDefault="00C66063" w:rsidP="0034235E">
          <w:pPr>
            <w:spacing w:line="360" w:lineRule="auto"/>
            <w:jc w:val="both"/>
            <w:rPr>
              <w:rFonts w:ascii="Arial" w:hAnsi="Arial" w:cs="Arial"/>
            </w:rPr>
          </w:pPr>
          <w:r w:rsidRPr="0034235E">
            <w:rPr>
              <w:rFonts w:ascii="Arial" w:hAnsi="Arial" w:cs="Arial"/>
            </w:rPr>
            <w:t>For the purpose of ensuring that its precisely chosen wine portfolio continues to be of the highest quality, Milton Sandford Wines has worked hard to build these partnerships, some of which date back to the beginning of the firm. The participation of Milton Sandford Wines in the Waste Packaging Compliance Scheme demonstrates the company's commitment to being a responsible steward within the environment. In the wine sector, the firm has established itself as a contributor to ethical practices by virtue of its dedication to recycling and sustainability</w:t>
          </w:r>
          <w:r w:rsidR="00A65CC9" w:rsidRPr="0034235E">
            <w:rPr>
              <w:rFonts w:ascii="Arial" w:hAnsi="Arial" w:cs="Arial"/>
            </w:rPr>
            <w:t xml:space="preserve"> </w:t>
          </w:r>
          <w:r w:rsidR="00EF498F" w:rsidRPr="0034235E">
            <w:rPr>
              <w:rFonts w:ascii="Arial" w:hAnsi="Arial" w:cs="Arial"/>
              <w:lang w:val="en-US"/>
            </w:rPr>
            <w:t>(MILTON SANDFORD WINES, 2018)</w:t>
          </w:r>
          <w:r w:rsidR="00A65CC9" w:rsidRPr="0034235E">
            <w:rPr>
              <w:rFonts w:ascii="Arial" w:hAnsi="Arial" w:cs="Arial"/>
              <w:lang w:val="en-US"/>
            </w:rPr>
            <w:t>.</w:t>
          </w:r>
          <w:r w:rsidRPr="0034235E">
            <w:rPr>
              <w:rFonts w:ascii="Arial" w:hAnsi="Arial" w:cs="Arial"/>
            </w:rPr>
            <w:t xml:space="preserve"> The success of Milton Sandford Wines Ltd. indicates that small and medium-sized businesses (SMEs) are capable of achieving market success via the implementation of creative strategies, responsible administration of the environment, and strategic partnerships.</w:t>
          </w:r>
        </w:p>
        <w:p w14:paraId="3F64FEB4" w14:textId="5F093F16" w:rsidR="009A042E" w:rsidRPr="0034235E" w:rsidRDefault="00AA47FA" w:rsidP="0034235E">
          <w:pPr>
            <w:spacing w:line="360" w:lineRule="auto"/>
            <w:jc w:val="both"/>
            <w:rPr>
              <w:rFonts w:ascii="Arial" w:hAnsi="Arial" w:cs="Arial"/>
            </w:rPr>
          </w:pPr>
          <w:r w:rsidRPr="0034235E">
            <w:rPr>
              <w:rFonts w:ascii="Arial" w:hAnsi="Arial" w:cs="Arial"/>
              <w:lang w:val="en-US"/>
            </w:rPr>
            <w:t>However, like many SMEs, the company faces challenges in strategic management, including competition, changing consumer preferences, and regulatory compliance. This report aims to comprehensively analyze Milton Sandford Wines' current strategic direction,</w:t>
          </w:r>
          <w:r w:rsidR="00935232" w:rsidRPr="0034235E">
            <w:rPr>
              <w:rFonts w:ascii="Arial" w:hAnsi="Arial" w:cs="Arial"/>
              <w:lang w:val="en-US"/>
            </w:rPr>
            <w:t xml:space="preserve"> </w:t>
          </w:r>
          <w:r w:rsidR="00935232" w:rsidRPr="0034235E">
            <w:rPr>
              <w:rFonts w:ascii="Arial" w:hAnsi="Arial" w:cs="Arial"/>
            </w:rPr>
            <w:t>as well as to</w:t>
          </w:r>
          <w:r w:rsidRPr="0034235E">
            <w:rPr>
              <w:rFonts w:ascii="Arial" w:hAnsi="Arial" w:cs="Arial"/>
              <w:lang w:val="en-US"/>
            </w:rPr>
            <w:t xml:space="preserve"> assess its external and internal environment</w:t>
          </w:r>
          <w:r w:rsidR="0076430B" w:rsidRPr="0034235E">
            <w:rPr>
              <w:rFonts w:ascii="Arial" w:hAnsi="Arial" w:cs="Arial"/>
              <w:lang w:val="en-US"/>
            </w:rPr>
            <w:t>.</w:t>
          </w:r>
          <w:r w:rsidRPr="0034235E">
            <w:rPr>
              <w:rFonts w:ascii="Arial" w:hAnsi="Arial" w:cs="Arial"/>
              <w:lang w:val="en-US"/>
            </w:rPr>
            <w:t xml:space="preserve"> </w:t>
          </w:r>
          <w:r w:rsidR="0076430B" w:rsidRPr="0034235E">
            <w:rPr>
              <w:rFonts w:ascii="Arial" w:hAnsi="Arial" w:cs="Arial"/>
              <w:lang w:val="en-US"/>
            </w:rPr>
            <w:t>C</w:t>
          </w:r>
          <w:r w:rsidRPr="0034235E">
            <w:rPr>
              <w:rFonts w:ascii="Arial" w:hAnsi="Arial" w:cs="Arial"/>
              <w:lang w:val="en-US"/>
            </w:rPr>
            <w:t xml:space="preserve">onduct stakeholder analysis, explore strategic growth choices, </w:t>
          </w:r>
          <w:r w:rsidR="007C1356" w:rsidRPr="0034235E">
            <w:rPr>
              <w:rFonts w:ascii="Arial" w:hAnsi="Arial" w:cs="Arial"/>
              <w:lang w:val="en-US"/>
            </w:rPr>
            <w:t>propose</w:t>
          </w:r>
          <w:r w:rsidR="00BE0DE0" w:rsidRPr="0034235E">
            <w:rPr>
              <w:rFonts w:ascii="Arial" w:hAnsi="Arial" w:cs="Arial"/>
              <w:lang w:val="en-US"/>
            </w:rPr>
            <w:t xml:space="preserve"> a </w:t>
          </w:r>
          <w:r w:rsidR="007C1356" w:rsidRPr="0034235E">
            <w:rPr>
              <w:rFonts w:ascii="Arial" w:hAnsi="Arial" w:cs="Arial"/>
              <w:lang w:val="en-US"/>
            </w:rPr>
            <w:t xml:space="preserve">new </w:t>
          </w:r>
          <w:r w:rsidRPr="0034235E">
            <w:rPr>
              <w:rFonts w:ascii="Arial" w:hAnsi="Arial" w:cs="Arial"/>
              <w:lang w:val="en-US"/>
            </w:rPr>
            <w:t>sustainable business strategy, and provide key strategic recommendations for future development and implementation.</w:t>
          </w:r>
          <w:r w:rsidR="003948F8" w:rsidRPr="0034235E">
            <w:rPr>
              <w:rFonts w:ascii="Arial" w:hAnsi="Arial" w:cs="Arial"/>
              <w:lang w:val="en-US"/>
            </w:rPr>
            <w:t xml:space="preserve"> Through the lens of academic models, methods, and theories, the analysis aims to illuminate the path forward for Milton Sandford Wines Ltd, ensuring resilience, growth, and environmental responsibility.</w:t>
          </w:r>
        </w:p>
        <w:p w14:paraId="6D6CEA50" w14:textId="6C50A511" w:rsidR="00117CF0" w:rsidRPr="0034235E" w:rsidRDefault="009C3337" w:rsidP="0034235E">
          <w:pPr>
            <w:pStyle w:val="Heading3"/>
            <w:spacing w:line="360" w:lineRule="auto"/>
            <w:jc w:val="both"/>
            <w:rPr>
              <w:rStyle w:val="Strong"/>
              <w:rFonts w:ascii="Arial" w:hAnsi="Arial" w:cs="Arial"/>
              <w:color w:val="000000" w:themeColor="text1"/>
              <w:sz w:val="22"/>
              <w:szCs w:val="22"/>
            </w:rPr>
          </w:pPr>
          <w:bookmarkStart w:id="2" w:name="_Toc160750382"/>
          <w:r w:rsidRPr="0034235E">
            <w:rPr>
              <w:rStyle w:val="Strong"/>
              <w:rFonts w:ascii="Arial" w:hAnsi="Arial" w:cs="Arial"/>
              <w:color w:val="000000" w:themeColor="text1"/>
              <w:sz w:val="22"/>
              <w:szCs w:val="22"/>
            </w:rPr>
            <w:t>2.</w:t>
          </w:r>
          <w:r w:rsidR="00117CF0" w:rsidRPr="0034235E">
            <w:rPr>
              <w:rStyle w:val="Strong"/>
              <w:rFonts w:ascii="Arial" w:hAnsi="Arial" w:cs="Arial"/>
              <w:color w:val="000000" w:themeColor="text1"/>
              <w:sz w:val="22"/>
              <w:szCs w:val="22"/>
            </w:rPr>
            <w:t xml:space="preserve">Critically </w:t>
          </w:r>
          <w:r w:rsidR="00876AF3" w:rsidRPr="0034235E">
            <w:rPr>
              <w:rStyle w:val="Strong"/>
              <w:rFonts w:ascii="Arial" w:hAnsi="Arial" w:cs="Arial"/>
              <w:color w:val="000000" w:themeColor="text1"/>
              <w:sz w:val="22"/>
              <w:szCs w:val="22"/>
            </w:rPr>
            <w:t>A</w:t>
          </w:r>
          <w:r w:rsidR="00117CF0" w:rsidRPr="0034235E">
            <w:rPr>
              <w:rStyle w:val="Strong"/>
              <w:rFonts w:ascii="Arial" w:hAnsi="Arial" w:cs="Arial"/>
              <w:color w:val="000000" w:themeColor="text1"/>
              <w:sz w:val="22"/>
              <w:szCs w:val="22"/>
            </w:rPr>
            <w:t xml:space="preserve">ppraise </w:t>
          </w:r>
          <w:r w:rsidR="009B1FD4" w:rsidRPr="0034235E">
            <w:rPr>
              <w:rStyle w:val="Strong"/>
              <w:rFonts w:ascii="Arial" w:hAnsi="Arial" w:cs="Arial"/>
              <w:color w:val="000000" w:themeColor="text1"/>
              <w:sz w:val="22"/>
              <w:szCs w:val="22"/>
            </w:rPr>
            <w:t>T</w:t>
          </w:r>
          <w:r w:rsidR="00117CF0" w:rsidRPr="0034235E">
            <w:rPr>
              <w:rStyle w:val="Strong"/>
              <w:rFonts w:ascii="Arial" w:hAnsi="Arial" w:cs="Arial"/>
              <w:color w:val="000000" w:themeColor="text1"/>
              <w:sz w:val="22"/>
              <w:szCs w:val="22"/>
            </w:rPr>
            <w:t xml:space="preserve">he </w:t>
          </w:r>
          <w:r w:rsidR="00597D0F" w:rsidRPr="0034235E">
            <w:rPr>
              <w:rStyle w:val="Strong"/>
              <w:rFonts w:ascii="Arial" w:hAnsi="Arial" w:cs="Arial"/>
              <w:color w:val="000000" w:themeColor="text1"/>
              <w:sz w:val="22"/>
              <w:szCs w:val="22"/>
            </w:rPr>
            <w:t>O</w:t>
          </w:r>
          <w:r w:rsidR="00117CF0" w:rsidRPr="0034235E">
            <w:rPr>
              <w:rStyle w:val="Strong"/>
              <w:rFonts w:ascii="Arial" w:hAnsi="Arial" w:cs="Arial"/>
              <w:color w:val="000000" w:themeColor="text1"/>
              <w:sz w:val="22"/>
              <w:szCs w:val="22"/>
            </w:rPr>
            <w:t xml:space="preserve">rganization’s </w:t>
          </w:r>
          <w:r w:rsidR="00597D0F" w:rsidRPr="0034235E">
            <w:rPr>
              <w:rStyle w:val="Strong"/>
              <w:rFonts w:ascii="Arial" w:hAnsi="Arial" w:cs="Arial"/>
              <w:color w:val="000000" w:themeColor="text1"/>
              <w:sz w:val="22"/>
              <w:szCs w:val="22"/>
            </w:rPr>
            <w:t>C</w:t>
          </w:r>
          <w:r w:rsidR="00117CF0" w:rsidRPr="0034235E">
            <w:rPr>
              <w:rStyle w:val="Strong"/>
              <w:rFonts w:ascii="Arial" w:hAnsi="Arial" w:cs="Arial"/>
              <w:color w:val="000000" w:themeColor="text1"/>
              <w:sz w:val="22"/>
              <w:szCs w:val="22"/>
            </w:rPr>
            <w:t xml:space="preserve">urrent </w:t>
          </w:r>
          <w:r w:rsidR="00597D0F" w:rsidRPr="0034235E">
            <w:rPr>
              <w:rStyle w:val="Strong"/>
              <w:rFonts w:ascii="Arial" w:hAnsi="Arial" w:cs="Arial"/>
              <w:color w:val="000000" w:themeColor="text1"/>
              <w:sz w:val="22"/>
              <w:szCs w:val="22"/>
            </w:rPr>
            <w:t>S</w:t>
          </w:r>
          <w:r w:rsidR="00117CF0" w:rsidRPr="0034235E">
            <w:rPr>
              <w:rStyle w:val="Strong"/>
              <w:rFonts w:ascii="Arial" w:hAnsi="Arial" w:cs="Arial"/>
              <w:color w:val="000000" w:themeColor="text1"/>
              <w:sz w:val="22"/>
              <w:szCs w:val="22"/>
            </w:rPr>
            <w:t xml:space="preserve">trategic </w:t>
          </w:r>
          <w:r w:rsidR="00597D0F" w:rsidRPr="0034235E">
            <w:rPr>
              <w:rStyle w:val="Strong"/>
              <w:rFonts w:ascii="Arial" w:hAnsi="Arial" w:cs="Arial"/>
              <w:color w:val="000000" w:themeColor="text1"/>
              <w:sz w:val="22"/>
              <w:szCs w:val="22"/>
            </w:rPr>
            <w:t>D</w:t>
          </w:r>
          <w:r w:rsidR="00117CF0" w:rsidRPr="0034235E">
            <w:rPr>
              <w:rStyle w:val="Strong"/>
              <w:rFonts w:ascii="Arial" w:hAnsi="Arial" w:cs="Arial"/>
              <w:color w:val="000000" w:themeColor="text1"/>
              <w:sz w:val="22"/>
              <w:szCs w:val="22"/>
            </w:rPr>
            <w:t>irection</w:t>
          </w:r>
          <w:bookmarkEnd w:id="2"/>
        </w:p>
        <w:p w14:paraId="55C832AA" w14:textId="4322E6FB" w:rsidR="00CF73AC" w:rsidRPr="0034235E" w:rsidRDefault="00CF73AC" w:rsidP="0034235E">
          <w:pPr>
            <w:spacing w:line="360" w:lineRule="auto"/>
            <w:jc w:val="both"/>
            <w:rPr>
              <w:rFonts w:ascii="Arial" w:hAnsi="Arial" w:cs="Arial"/>
            </w:rPr>
          </w:pPr>
          <w:r w:rsidRPr="0034235E">
            <w:rPr>
              <w:rFonts w:ascii="Arial" w:hAnsi="Arial" w:cs="Arial"/>
            </w:rPr>
            <w:t>Milton Sandford Wines Ltd. needs to be the best in the wine business, which is very competitive. Their ongoing system bearing sets them apart by focusing on important things like quality, nature, and customer satisfaction. Working with farms run by families is in line with the company's goal of giving its customers high-quality drinks. This partnership also strengthens ties with reliable producers, which helps protect traditional winery practices and gives the line a more genuine feel (Bandinelli et al.). 2020).</w:t>
          </w:r>
        </w:p>
        <w:p w14:paraId="7C4C8C0E" w14:textId="7C9545E4" w:rsidR="00CF73AC" w:rsidRPr="0034235E" w:rsidRDefault="00CF73AC" w:rsidP="0034235E">
          <w:pPr>
            <w:spacing w:line="360" w:lineRule="auto"/>
            <w:jc w:val="both"/>
            <w:rPr>
              <w:rFonts w:ascii="Arial" w:hAnsi="Arial" w:cs="Arial"/>
            </w:rPr>
          </w:pPr>
          <w:r w:rsidRPr="0034235E">
            <w:rPr>
              <w:rFonts w:ascii="Arial" w:hAnsi="Arial" w:cs="Arial"/>
            </w:rPr>
            <w:t>It's interesting that this method stores wine in old chalk mine tunnels. This choice is better for the world because it uses eco-friendly ways to keep the temperature at 12 degrees Celsius all the time. By getting ideas from the cellars of famous wine-making regions like Champagne and Chablis, Milton Sandford Wines Ltd. raises the bar for its products and shows its customers that it cares about history and quality work.</w:t>
          </w:r>
        </w:p>
        <w:p w14:paraId="33718E98" w14:textId="34EACD16" w:rsidR="00CF73AC" w:rsidRPr="0034235E" w:rsidRDefault="00CF73AC" w:rsidP="0034235E">
          <w:pPr>
            <w:spacing w:line="360" w:lineRule="auto"/>
            <w:jc w:val="both"/>
            <w:rPr>
              <w:rFonts w:ascii="Arial" w:hAnsi="Arial" w:cs="Arial"/>
            </w:rPr>
          </w:pPr>
          <w:r w:rsidRPr="0034235E">
            <w:rPr>
              <w:rFonts w:ascii="Arial" w:hAnsi="Arial" w:cs="Arial"/>
            </w:rPr>
            <w:t xml:space="preserve">A focus on the customer is also important for the process method, which stresses personal help through company-owned cars and trained drivers. Customers feel more like they are getting a more personalised experience when they work with knowledgeable customer service staff (Dressler and Paunovic, 2021). This </w:t>
          </w:r>
          <w:r w:rsidRPr="0034235E">
            <w:rPr>
              <w:rFonts w:ascii="Arial" w:hAnsi="Arial" w:cs="Arial"/>
            </w:rPr>
            <w:lastRenderedPageBreak/>
            <w:t>way of doing things makes sure that every bottle gets there on time and safely. This shows that the business really wants to make great goods and keep customers happy.</w:t>
          </w:r>
          <w:r w:rsidR="006F0E5F">
            <w:rPr>
              <w:rFonts w:ascii="Arial" w:hAnsi="Arial" w:cs="Arial"/>
            </w:rPr>
            <w:t xml:space="preserve"> </w:t>
          </w:r>
          <w:r w:rsidRPr="0034235E">
            <w:rPr>
              <w:rFonts w:ascii="Arial" w:hAnsi="Arial" w:cs="Arial"/>
            </w:rPr>
            <w:t>As part of its corporate social responsibility, Milton Sandford Wines Ltd. also takes part in projects that are good for the environment, such as the Waste Bundling Consistence Plan. The company must demonstrate that it is a socially responsible business by firmly committing to reusing materials and actively supporting consistency programmes. For customers who care about the environment, this not only meets their needs, but it also follows social rules about how businesses should be sustainable.</w:t>
          </w:r>
          <w:r w:rsidR="006F0E5F">
            <w:rPr>
              <w:rFonts w:ascii="Arial" w:hAnsi="Arial" w:cs="Arial"/>
            </w:rPr>
            <w:t xml:space="preserve"> </w:t>
          </w:r>
          <w:r w:rsidRPr="0034235E">
            <w:rPr>
              <w:rFonts w:ascii="Arial" w:hAnsi="Arial" w:cs="Arial"/>
            </w:rPr>
            <w:t>The current approach is clearly working, but there may be ways to make it even better. For example, the rise of online business sites could be a good time for the wine industry to look into computerised ways to talk to and work with customers (Gilinsky et al. 2016). The company should focus on advertising methods that make the eco-friendly features of its work and goods stand out to customers. This will more likely show that it cares about sustainability.</w:t>
          </w:r>
        </w:p>
        <w:p w14:paraId="7457FD07" w14:textId="58D110C2" w:rsidR="444CC5CD" w:rsidRPr="0034235E" w:rsidRDefault="00CF73AC" w:rsidP="0034235E">
          <w:pPr>
            <w:spacing w:line="360" w:lineRule="auto"/>
            <w:jc w:val="both"/>
            <w:rPr>
              <w:rFonts w:ascii="Arial" w:hAnsi="Arial" w:cs="Arial"/>
            </w:rPr>
          </w:pPr>
          <w:r w:rsidRPr="0034235E">
            <w:rPr>
              <w:rFonts w:ascii="Arial" w:hAnsi="Arial" w:cs="Arial"/>
            </w:rPr>
            <w:t>Milton Sandford Wines Ltd. clearly puts quality, biology, and customer happiness first in their everyday work. In the very competitive wine business, the company has built up strengths for a great approach system through its partnerships, efforts to protect the environment, well-thought-out delivery plans, and strict capacity rules (Navarro et al. 2021). Analysing the market on a regular basis and implementing the necessary changes is important for improving the company's situation and taking advantage of new possibilities.</w:t>
          </w:r>
        </w:p>
        <w:p w14:paraId="2076873A" w14:textId="5B1C80DE" w:rsidR="00497AC4" w:rsidRPr="0034235E" w:rsidRDefault="00B11EA7" w:rsidP="0034235E">
          <w:pPr>
            <w:pStyle w:val="Heading3"/>
            <w:spacing w:line="360" w:lineRule="auto"/>
            <w:jc w:val="both"/>
            <w:rPr>
              <w:rFonts w:ascii="Arial" w:eastAsiaTheme="minorEastAsia" w:hAnsi="Arial" w:cs="Arial"/>
              <w:b/>
              <w:bCs/>
              <w:noProof/>
              <w:color w:val="000000" w:themeColor="text1"/>
              <w:sz w:val="22"/>
              <w:szCs w:val="22"/>
              <w:lang w:eastAsia="en-IN"/>
              <w14:ligatures w14:val="standardContextual"/>
            </w:rPr>
          </w:pPr>
          <w:hyperlink r:id="rId14" w:anchor="_Toc158406133" w:history="1">
            <w:bookmarkStart w:id="3" w:name="_Toc160750383"/>
            <w:r w:rsidR="009C3337" w:rsidRPr="0034235E">
              <w:rPr>
                <w:rStyle w:val="Hyperlink"/>
                <w:rFonts w:ascii="Arial" w:hAnsi="Arial" w:cs="Arial"/>
                <w:b/>
                <w:bCs/>
                <w:noProof/>
                <w:color w:val="000000" w:themeColor="text1"/>
                <w:sz w:val="22"/>
                <w:szCs w:val="22"/>
                <w:u w:val="none"/>
              </w:rPr>
              <w:t>3.Analysis of the organizations external and internal environment</w:t>
            </w:r>
            <w:bookmarkEnd w:id="3"/>
          </w:hyperlink>
        </w:p>
        <w:p w14:paraId="5BCC4D1A" w14:textId="56D58CD7" w:rsidR="00BF4A0E" w:rsidRDefault="003E60BB" w:rsidP="0034235E">
          <w:pPr>
            <w:spacing w:line="360" w:lineRule="auto"/>
            <w:jc w:val="both"/>
            <w:rPr>
              <w:rFonts w:ascii="Arial" w:hAnsi="Arial" w:cs="Arial"/>
              <w:lang w:val="en-US" w:eastAsia="en-IN"/>
            </w:rPr>
          </w:pPr>
          <w:r w:rsidRPr="003E60BB">
            <w:rPr>
              <w:rFonts w:ascii="Arial" w:hAnsi="Arial" w:cs="Arial"/>
              <w:lang w:val="en-US" w:eastAsia="en-IN"/>
            </w:rPr>
            <w:t>An essential step in strategic management is environmental scanning, which looks for and evaluates the internal and external elements that influence an organization's strategic orientation. This part will involve a comprehensive investigation of Milton Sandford Wines Ltd.'s working environment using well-known environmental scanning methods including PESTLE and SWOT analysis</w:t>
          </w:r>
          <w:r w:rsidR="00091D5B" w:rsidRPr="0034235E">
            <w:rPr>
              <w:rFonts w:ascii="Arial" w:hAnsi="Arial" w:cs="Arial"/>
              <w:lang w:val="en-US" w:eastAsia="en-IN"/>
            </w:rPr>
            <w:t>. This comprehensive examination will uncover the significant opportunities and threats the organization faces, providing a foundation for strategic decision-making.</w:t>
          </w:r>
        </w:p>
        <w:p w14:paraId="5572EA06" w14:textId="18B0BE70" w:rsidR="0011545E" w:rsidRPr="003A71E2" w:rsidRDefault="0011545E" w:rsidP="0054627E">
          <w:pPr>
            <w:pStyle w:val="Heading2"/>
            <w:rPr>
              <w:rFonts w:ascii="Arial" w:hAnsi="Arial" w:cs="Arial"/>
              <w:b/>
              <w:bCs/>
              <w:color w:val="000000" w:themeColor="text1"/>
              <w:sz w:val="22"/>
              <w:szCs w:val="22"/>
              <w:lang w:val="en-US" w:eastAsia="en-IN"/>
            </w:rPr>
          </w:pPr>
          <w:bookmarkStart w:id="4" w:name="_Toc160750384"/>
          <w:r w:rsidRPr="003A71E2">
            <w:rPr>
              <w:rFonts w:ascii="Arial" w:hAnsi="Arial" w:cs="Arial"/>
              <w:b/>
              <w:bCs/>
              <w:color w:val="000000" w:themeColor="text1"/>
              <w:sz w:val="22"/>
              <w:szCs w:val="22"/>
              <w:lang w:val="en-US" w:eastAsia="en-IN"/>
            </w:rPr>
            <w:t>PESTLE Analysis</w:t>
          </w:r>
          <w:bookmarkEnd w:id="4"/>
        </w:p>
        <w:p w14:paraId="5071B587" w14:textId="0D784377" w:rsidR="0011545E" w:rsidRPr="0011545E" w:rsidRDefault="0011545E" w:rsidP="0011545E">
          <w:pPr>
            <w:spacing w:line="360" w:lineRule="auto"/>
            <w:jc w:val="both"/>
            <w:rPr>
              <w:rFonts w:ascii="Arial" w:hAnsi="Arial" w:cs="Arial"/>
              <w:lang w:val="en-US" w:eastAsia="en-IN"/>
            </w:rPr>
          </w:pPr>
          <w:r w:rsidRPr="0011545E">
            <w:rPr>
              <w:rFonts w:ascii="Arial" w:hAnsi="Arial" w:cs="Arial"/>
              <w:lang w:val="en-US" w:eastAsia="en-IN"/>
            </w:rPr>
            <w:t>Within the ever-changing and dynamic wine sector, Milton Sanford Wine Ltd. faces various external challenges that might affect its company operations, growth prospects, and overall performance. Next, we go more deeply into each section of the PESTLE analysis for Milton Sanford Wine Ltd. to gain useful insights into the external macro-environmental variables that may have an impact on the company's performance and strategic decisions (Perera P., 2017).</w:t>
          </w:r>
        </w:p>
        <w:p w14:paraId="1F4988B4" w14:textId="7A558D3D" w:rsidR="001815E5" w:rsidRPr="0034235E" w:rsidRDefault="001815E5" w:rsidP="0034235E">
          <w:pPr>
            <w:pStyle w:val="Heading3"/>
            <w:spacing w:line="360" w:lineRule="auto"/>
            <w:jc w:val="right"/>
            <w:rPr>
              <w:rFonts w:ascii="Arial" w:hAnsi="Arial" w:cs="Arial"/>
              <w:b/>
              <w:bCs/>
              <w:color w:val="000000" w:themeColor="text1"/>
              <w:sz w:val="22"/>
              <w:szCs w:val="22"/>
              <w:lang w:val="en-US"/>
            </w:rPr>
          </w:pPr>
          <w:bookmarkStart w:id="5" w:name="_Toc160750385"/>
          <w:r w:rsidRPr="0034235E">
            <w:rPr>
              <w:rFonts w:ascii="Arial" w:hAnsi="Arial" w:cs="Arial"/>
              <w:b/>
              <w:bCs/>
              <w:color w:val="000000" w:themeColor="text1"/>
              <w:sz w:val="22"/>
              <w:szCs w:val="22"/>
              <w:lang w:val="en-US"/>
            </w:rPr>
            <w:lastRenderedPageBreak/>
            <w:t>Table 1: PESTLE analysis</w:t>
          </w:r>
          <w:bookmarkEnd w:id="5"/>
        </w:p>
        <w:p w14:paraId="36BBFD62" w14:textId="574714F6" w:rsidR="782D93C9" w:rsidRPr="0034235E" w:rsidRDefault="782D93C9" w:rsidP="0034235E">
          <w:pPr>
            <w:spacing w:line="360" w:lineRule="auto"/>
            <w:rPr>
              <w:rFonts w:ascii="Arial" w:hAnsi="Arial" w:cs="Arial"/>
              <w:lang w:val="en-US"/>
            </w:rPr>
          </w:pPr>
          <w:r w:rsidRPr="0034235E">
            <w:rPr>
              <w:rFonts w:ascii="Arial" w:hAnsi="Arial" w:cs="Arial"/>
              <w:noProof/>
            </w:rPr>
            <w:drawing>
              <wp:inline distT="0" distB="0" distL="0" distR="0" wp14:anchorId="29E52AAE" wp14:editId="30CC838B">
                <wp:extent cx="6666645" cy="8177554"/>
                <wp:effectExtent l="0" t="0" r="0" b="0"/>
                <wp:docPr id="1308842853" name="Picture 1308842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l="29939" t="14760" r="31476" b="11070"/>
                        <a:stretch>
                          <a:fillRect/>
                        </a:stretch>
                      </pic:blipFill>
                      <pic:spPr>
                        <a:xfrm>
                          <a:off x="0" y="0"/>
                          <a:ext cx="6666645" cy="8177554"/>
                        </a:xfrm>
                        <a:prstGeom prst="rect">
                          <a:avLst/>
                        </a:prstGeom>
                      </pic:spPr>
                    </pic:pic>
                  </a:graphicData>
                </a:graphic>
              </wp:inline>
            </w:drawing>
          </w:r>
        </w:p>
        <w:p w14:paraId="3E8033B9" w14:textId="56FB43A6" w:rsidR="00497AC4" w:rsidRPr="0034235E" w:rsidRDefault="00B11EA7" w:rsidP="0034235E">
          <w:pPr>
            <w:pStyle w:val="Heading3"/>
            <w:spacing w:line="360" w:lineRule="auto"/>
            <w:jc w:val="both"/>
            <w:rPr>
              <w:rStyle w:val="Hyperlink"/>
              <w:rFonts w:ascii="Arial" w:hAnsi="Arial" w:cs="Arial"/>
              <w:b/>
              <w:bCs/>
              <w:noProof/>
              <w:color w:val="000000" w:themeColor="text1"/>
              <w:sz w:val="22"/>
              <w:szCs w:val="22"/>
            </w:rPr>
          </w:pPr>
          <w:hyperlink r:id="rId16" w:anchor="_Toc158406135" w:history="1">
            <w:bookmarkStart w:id="6" w:name="_Toc160750386"/>
            <w:r w:rsidR="47633593" w:rsidRPr="0034235E">
              <w:rPr>
                <w:rStyle w:val="Hyperlink"/>
                <w:rFonts w:ascii="Arial" w:hAnsi="Arial" w:cs="Arial"/>
                <w:b/>
                <w:bCs/>
                <w:noProof/>
                <w:color w:val="000000" w:themeColor="text1"/>
                <w:sz w:val="22"/>
                <w:szCs w:val="22"/>
              </w:rPr>
              <w:t>SWOT Analysis</w:t>
            </w:r>
            <w:bookmarkEnd w:id="6"/>
          </w:hyperlink>
        </w:p>
        <w:p w14:paraId="78609F0A" w14:textId="3F03E0B6" w:rsidR="00E16A14" w:rsidRPr="0034235E" w:rsidRDefault="004171C1" w:rsidP="0034235E">
          <w:pPr>
            <w:spacing w:line="360" w:lineRule="auto"/>
            <w:jc w:val="both"/>
            <w:rPr>
              <w:rFonts w:ascii="Arial" w:hAnsi="Arial" w:cs="Arial"/>
              <w:lang w:val="en-US"/>
            </w:rPr>
          </w:pPr>
          <w:r w:rsidRPr="004171C1">
            <w:rPr>
              <w:rFonts w:ascii="Arial" w:hAnsi="Arial" w:cs="Arial"/>
              <w:lang w:val="en-US"/>
            </w:rPr>
            <w:t>Conducting a SWOT analysis for Milton Sanford Wine Ltd. involves a detailed examination of the company's internal strengths and weaknesses, as well as external opportunities and threats. This strategic analysis is instrumental in guiding decision-making processes and formulating strategies that leverage strengths, address weaknesses, capitalize on opportunities, and mitigate potential threats</w:t>
          </w:r>
          <w:r>
            <w:rPr>
              <w:rFonts w:ascii="Arial" w:hAnsi="Arial" w:cs="Arial"/>
              <w:lang w:val="en-US"/>
            </w:rPr>
            <w:t xml:space="preserve"> </w:t>
          </w:r>
          <w:r w:rsidR="002E2E24" w:rsidRPr="0034235E">
            <w:rPr>
              <w:rFonts w:ascii="Arial" w:hAnsi="Arial" w:cs="Arial"/>
              <w:lang w:val="en-US"/>
            </w:rPr>
            <w:t>(</w:t>
          </w:r>
          <w:r w:rsidR="001061CD" w:rsidRPr="0034235E">
            <w:rPr>
              <w:rFonts w:ascii="Arial" w:hAnsi="Arial" w:cs="Arial"/>
              <w:lang w:val="en-US"/>
            </w:rPr>
            <w:t xml:space="preserve">Haan S. </w:t>
          </w:r>
          <w:r w:rsidR="002E2E24" w:rsidRPr="0034235E">
            <w:rPr>
              <w:rFonts w:ascii="Arial" w:hAnsi="Arial" w:cs="Arial"/>
              <w:lang w:val="en-US"/>
            </w:rPr>
            <w:t>2023)</w:t>
          </w:r>
          <w:r>
            <w:rPr>
              <w:rFonts w:ascii="Arial" w:hAnsi="Arial" w:cs="Arial"/>
              <w:lang w:val="en-US"/>
            </w:rPr>
            <w:t>.</w:t>
          </w:r>
        </w:p>
        <w:p w14:paraId="093CF9CA" w14:textId="78D44846" w:rsidR="002D3891" w:rsidRPr="0034235E" w:rsidRDefault="00E16A14" w:rsidP="0034235E">
          <w:pPr>
            <w:pStyle w:val="Heading3"/>
            <w:spacing w:line="360" w:lineRule="auto"/>
            <w:jc w:val="right"/>
            <w:rPr>
              <w:rFonts w:ascii="Arial" w:hAnsi="Arial" w:cs="Arial"/>
              <w:b/>
              <w:bCs/>
              <w:color w:val="000000" w:themeColor="text1"/>
              <w:sz w:val="22"/>
              <w:szCs w:val="22"/>
              <w:lang w:val="en-US"/>
            </w:rPr>
          </w:pPr>
          <w:bookmarkStart w:id="7" w:name="_Toc160750387"/>
          <w:r w:rsidRPr="0034235E">
            <w:rPr>
              <w:rFonts w:ascii="Arial" w:hAnsi="Arial" w:cs="Arial"/>
              <w:b/>
              <w:bCs/>
              <w:color w:val="000000" w:themeColor="text1"/>
              <w:sz w:val="22"/>
              <w:szCs w:val="22"/>
              <w:lang w:val="en-US"/>
            </w:rPr>
            <w:t>Table 2: SWOT analysis</w:t>
          </w:r>
          <w:bookmarkEnd w:id="7"/>
        </w:p>
        <w:p w14:paraId="5F10B79A" w14:textId="2151825D" w:rsidR="00C31452" w:rsidRPr="0034235E" w:rsidRDefault="00B2003D" w:rsidP="0034235E">
          <w:pPr>
            <w:spacing w:line="360" w:lineRule="auto"/>
            <w:jc w:val="right"/>
            <w:rPr>
              <w:rFonts w:ascii="Arial" w:hAnsi="Arial" w:cs="Arial"/>
              <w:b/>
              <w:bCs/>
              <w:lang w:val="en-US"/>
            </w:rPr>
          </w:pPr>
          <w:r w:rsidRPr="0034235E">
            <w:rPr>
              <w:rFonts w:ascii="Arial" w:hAnsi="Arial" w:cs="Arial"/>
              <w:b/>
              <w:bCs/>
              <w:noProof/>
              <w:lang w:val="en-US"/>
            </w:rPr>
            <w:drawing>
              <wp:inline distT="0" distB="0" distL="0" distR="0" wp14:anchorId="1866F889" wp14:editId="65DE0DC7">
                <wp:extent cx="6849110" cy="6312102"/>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7">
                          <a:extLst>
                            <a:ext uri="{28A0092B-C50C-407E-A947-70E740481C1C}">
                              <a14:useLocalDpi xmlns:a14="http://schemas.microsoft.com/office/drawing/2010/main" val="0"/>
                            </a:ext>
                          </a:extLst>
                        </a:blip>
                        <a:srcRect l="26965" t="13828" r="26725" b="10258"/>
                        <a:stretch/>
                      </pic:blipFill>
                      <pic:spPr bwMode="auto">
                        <a:xfrm>
                          <a:off x="0" y="0"/>
                          <a:ext cx="6890953" cy="6350664"/>
                        </a:xfrm>
                        <a:prstGeom prst="rect">
                          <a:avLst/>
                        </a:prstGeom>
                        <a:ln>
                          <a:noFill/>
                        </a:ln>
                        <a:extLst>
                          <a:ext uri="{53640926-AAD7-44D8-BBD7-CCE9431645EC}">
                            <a14:shadowObscured xmlns:a14="http://schemas.microsoft.com/office/drawing/2010/main"/>
                          </a:ext>
                        </a:extLst>
                      </pic:spPr>
                    </pic:pic>
                  </a:graphicData>
                </a:graphic>
              </wp:inline>
            </w:drawing>
          </w:r>
        </w:p>
        <w:p w14:paraId="3755EBF7" w14:textId="63CFFEF5" w:rsidR="00B85E15" w:rsidRPr="00194BEA" w:rsidRDefault="0001562F" w:rsidP="00194BEA">
          <w:pPr>
            <w:spacing w:line="360" w:lineRule="auto"/>
            <w:jc w:val="both"/>
            <w:rPr>
              <w:rFonts w:ascii="Arial" w:hAnsi="Arial" w:cs="Arial"/>
              <w:lang w:val="en-US"/>
            </w:rPr>
          </w:pPr>
          <w:r w:rsidRPr="0001562F">
            <w:rPr>
              <w:rFonts w:ascii="Arial" w:hAnsi="Arial" w:cs="Arial"/>
              <w:lang w:val="en-US"/>
            </w:rPr>
            <w:t>By conducting a SWOT analysis, Milton Sanford Wine Ltd. can identify strategic priorities, capitalize on strengths, address weaknesses, leverage opportunities, and mitigate threats to optimize its competitive position and achieve sustainable growth in the wine market.</w:t>
          </w:r>
        </w:p>
        <w:p w14:paraId="426BE15C" w14:textId="5E5D2D19" w:rsidR="00497AC4" w:rsidRPr="0034235E" w:rsidRDefault="00B11EA7" w:rsidP="0034235E">
          <w:pPr>
            <w:pStyle w:val="Heading3"/>
            <w:spacing w:line="360" w:lineRule="auto"/>
            <w:jc w:val="both"/>
            <w:rPr>
              <w:rStyle w:val="Hyperlink"/>
              <w:rFonts w:ascii="Arial" w:hAnsi="Arial" w:cs="Arial"/>
              <w:b/>
              <w:bCs/>
              <w:noProof/>
              <w:color w:val="000000" w:themeColor="text1"/>
              <w:sz w:val="22"/>
              <w:szCs w:val="22"/>
              <w:u w:val="none"/>
            </w:rPr>
          </w:pPr>
          <w:hyperlink r:id="rId18" w:anchor="_Toc158406136" w:history="1">
            <w:bookmarkStart w:id="8" w:name="_Toc160750388"/>
            <w:r w:rsidR="009C3337" w:rsidRPr="0034235E">
              <w:rPr>
                <w:rStyle w:val="Hyperlink"/>
                <w:rFonts w:ascii="Arial" w:hAnsi="Arial" w:cs="Arial"/>
                <w:b/>
                <w:bCs/>
                <w:noProof/>
                <w:color w:val="000000" w:themeColor="text1"/>
                <w:sz w:val="22"/>
                <w:szCs w:val="22"/>
                <w:u w:val="none"/>
              </w:rPr>
              <w:t>4. Stakeholder analysis</w:t>
            </w:r>
            <w:bookmarkEnd w:id="8"/>
          </w:hyperlink>
        </w:p>
        <w:p w14:paraId="4A2CC76A" w14:textId="77777777" w:rsidR="00E60473" w:rsidRPr="002B179E" w:rsidRDefault="00EF501E" w:rsidP="0034235E">
          <w:pPr>
            <w:spacing w:line="360" w:lineRule="auto"/>
            <w:jc w:val="both"/>
            <w:rPr>
              <w:rFonts w:ascii="Arial" w:hAnsi="Arial" w:cs="Arial"/>
            </w:rPr>
          </w:pPr>
          <w:r w:rsidRPr="002B179E">
            <w:rPr>
              <w:rFonts w:ascii="Arial" w:hAnsi="Arial" w:cs="Arial"/>
            </w:rPr>
            <w:t>Milton Sandford Wines Ltd. has a lot of money put in it by its owners and partners. Their main goal is to make money from their assets over the long run. Their goals are to make as much money as possible, increase the value of their shares, and ensure long-term growth and security. The interests of shareholders are very important to the organization's path because shareholders can affect strategic decisions through their vote rights and ownership stakes (</w:t>
          </w:r>
          <w:r w:rsidRPr="002B179E">
            <w:rPr>
              <w:rFonts w:ascii="Arial" w:hAnsi="Arial" w:cs="Arial"/>
              <w:color w:val="222222"/>
              <w:shd w:val="clear" w:color="auto" w:fill="FFFFFF"/>
            </w:rPr>
            <w:t xml:space="preserve">Van Rensen </w:t>
          </w:r>
          <w:r w:rsidRPr="002B179E">
            <w:rPr>
              <w:rFonts w:ascii="Arial" w:hAnsi="Arial" w:cs="Arial"/>
              <w:i/>
              <w:color w:val="222222"/>
              <w:shd w:val="clear" w:color="auto" w:fill="FFFFFF"/>
            </w:rPr>
            <w:t>et al</w:t>
          </w:r>
          <w:r w:rsidRPr="002B179E">
            <w:rPr>
              <w:rFonts w:ascii="Arial" w:hAnsi="Arial" w:cs="Arial"/>
              <w:color w:val="222222"/>
              <w:shd w:val="clear" w:color="auto" w:fill="FFFFFF"/>
            </w:rPr>
            <w:t>., 2020)</w:t>
          </w:r>
          <w:r w:rsidRPr="002B179E">
            <w:rPr>
              <w:rFonts w:ascii="Arial" w:hAnsi="Arial" w:cs="Arial"/>
            </w:rPr>
            <w:t>. To meet their needs, we need a new strategy that makes us more profitable in the long run, gives us more ways to make money, and makes us less vulnerable to changes in the market. As a plan, diversification and innovation give owners the chance to make money in new product areas and markets, which is what they want</w:t>
          </w:r>
          <w:r w:rsidR="008A332F" w:rsidRPr="002B179E">
            <w:rPr>
              <w:rFonts w:ascii="Arial" w:hAnsi="Arial" w:cs="Arial"/>
            </w:rPr>
            <w:t xml:space="preserve"> (BITESIZE, n.d.).</w:t>
          </w:r>
        </w:p>
        <w:p w14:paraId="72F953F9" w14:textId="518EC054" w:rsidR="00A80D31" w:rsidRPr="00E60473" w:rsidRDefault="002455C4" w:rsidP="0034235E">
          <w:pPr>
            <w:spacing w:line="360" w:lineRule="auto"/>
            <w:jc w:val="both"/>
            <w:rPr>
              <w:rFonts w:ascii="Times New Roman" w:hAnsi="Times New Roman" w:cs="Times New Roman"/>
              <w:sz w:val="24"/>
              <w:szCs w:val="24"/>
            </w:rPr>
          </w:pPr>
          <w:r w:rsidRPr="002B179E">
            <w:rPr>
              <w:rFonts w:ascii="Arial" w:hAnsi="Arial" w:cs="Arial"/>
              <w:lang w:val="en-US"/>
            </w:rPr>
            <w:t>Stakeholder analysis is crucial for understanding the expectations and</w:t>
          </w:r>
          <w:r w:rsidRPr="0034235E">
            <w:rPr>
              <w:rFonts w:ascii="Arial" w:hAnsi="Arial" w:cs="Arial"/>
              <w:lang w:val="en-US"/>
            </w:rPr>
            <w:t xml:space="preserve"> power dynamics within Milton Sandford Wines' ecosystem.</w:t>
          </w:r>
          <w:r w:rsidR="00D72946" w:rsidRPr="0034235E">
            <w:rPr>
              <w:rFonts w:ascii="Arial" w:hAnsi="Arial" w:cs="Arial"/>
              <w:lang w:val="en-US"/>
            </w:rPr>
            <w:t xml:space="preserve">  </w:t>
          </w:r>
          <w:r w:rsidR="00832087">
            <w:rPr>
              <w:rFonts w:ascii="Arial" w:hAnsi="Arial" w:cs="Arial"/>
              <w:lang w:val="en-US"/>
            </w:rPr>
            <w:t xml:space="preserve">Below are </w:t>
          </w:r>
          <w:r w:rsidR="008D5527">
            <w:rPr>
              <w:rFonts w:ascii="Arial" w:hAnsi="Arial" w:cs="Arial"/>
              <w:lang w:val="en-US"/>
            </w:rPr>
            <w:t>listed</w:t>
          </w:r>
          <w:r w:rsidR="00832087">
            <w:rPr>
              <w:rFonts w:ascii="Arial" w:hAnsi="Arial" w:cs="Arial"/>
              <w:lang w:val="en-US"/>
            </w:rPr>
            <w:t xml:space="preserve"> some of them</w:t>
          </w:r>
          <w:r w:rsidR="008D5527">
            <w:rPr>
              <w:rFonts w:ascii="Arial" w:hAnsi="Arial" w:cs="Arial"/>
              <w:lang w:val="en-US"/>
            </w:rPr>
            <w:t>:</w:t>
          </w:r>
        </w:p>
        <w:p w14:paraId="2FAD9D66" w14:textId="3F381073" w:rsidR="00F90D51" w:rsidRPr="0034235E" w:rsidRDefault="00A80D31" w:rsidP="0034235E">
          <w:pPr>
            <w:pStyle w:val="Heading3"/>
            <w:spacing w:line="360" w:lineRule="auto"/>
            <w:jc w:val="right"/>
            <w:rPr>
              <w:rFonts w:ascii="Arial" w:hAnsi="Arial" w:cs="Arial"/>
              <w:b/>
              <w:bCs/>
              <w:color w:val="000000" w:themeColor="text1"/>
              <w:sz w:val="22"/>
              <w:szCs w:val="22"/>
              <w:lang w:val="en-US"/>
            </w:rPr>
          </w:pPr>
          <w:bookmarkStart w:id="9" w:name="_Toc160750389"/>
          <w:r w:rsidRPr="0034235E">
            <w:rPr>
              <w:rFonts w:ascii="Arial" w:hAnsi="Arial" w:cs="Arial"/>
              <w:b/>
              <w:bCs/>
              <w:color w:val="000000" w:themeColor="text1"/>
              <w:sz w:val="22"/>
              <w:szCs w:val="22"/>
              <w:lang w:val="en-US"/>
            </w:rPr>
            <w:lastRenderedPageBreak/>
            <w:t>Table 3:</w:t>
          </w:r>
          <w:r w:rsidRPr="0034235E">
            <w:rPr>
              <w:rFonts w:ascii="Arial" w:hAnsi="Arial" w:cs="Arial"/>
              <w:b/>
              <w:bCs/>
              <w:color w:val="000000" w:themeColor="text1"/>
              <w:sz w:val="22"/>
              <w:szCs w:val="22"/>
            </w:rPr>
            <w:t xml:space="preserve"> </w:t>
          </w:r>
          <w:r w:rsidRPr="0034235E">
            <w:rPr>
              <w:rFonts w:ascii="Arial" w:hAnsi="Arial" w:cs="Arial"/>
              <w:b/>
              <w:bCs/>
              <w:color w:val="000000" w:themeColor="text1"/>
              <w:sz w:val="22"/>
              <w:szCs w:val="22"/>
              <w:lang w:val="en-US"/>
            </w:rPr>
            <w:t>Stakeholder analysis</w:t>
          </w:r>
          <w:bookmarkEnd w:id="9"/>
        </w:p>
        <w:p w14:paraId="6A61D303" w14:textId="157B1C48" w:rsidR="005175B4" w:rsidRPr="0034235E" w:rsidRDefault="005175B4" w:rsidP="0034235E">
          <w:pPr>
            <w:spacing w:line="360" w:lineRule="auto"/>
            <w:jc w:val="right"/>
            <w:rPr>
              <w:rFonts w:ascii="Arial" w:hAnsi="Arial" w:cs="Arial"/>
              <w:b/>
              <w:bCs/>
            </w:rPr>
          </w:pPr>
          <w:r w:rsidRPr="0034235E">
            <w:rPr>
              <w:rFonts w:ascii="Arial" w:hAnsi="Arial" w:cs="Arial"/>
              <w:b/>
              <w:bCs/>
              <w:noProof/>
            </w:rPr>
            <w:drawing>
              <wp:inline distT="0" distB="0" distL="0" distR="0" wp14:anchorId="2EF8B4F3" wp14:editId="3EBA7817">
                <wp:extent cx="6713606" cy="601027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27743" t="13482" r="27209" b="14787"/>
                        <a:stretch/>
                      </pic:blipFill>
                      <pic:spPr bwMode="auto">
                        <a:xfrm>
                          <a:off x="0" y="0"/>
                          <a:ext cx="6727747" cy="6022934"/>
                        </a:xfrm>
                        <a:prstGeom prst="rect">
                          <a:avLst/>
                        </a:prstGeom>
                        <a:ln>
                          <a:noFill/>
                        </a:ln>
                        <a:extLst>
                          <a:ext uri="{53640926-AAD7-44D8-BBD7-CCE9431645EC}">
                            <a14:shadowObscured xmlns:a14="http://schemas.microsoft.com/office/drawing/2010/main"/>
                          </a:ext>
                        </a:extLst>
                      </pic:spPr>
                    </pic:pic>
                  </a:graphicData>
                </a:graphic>
              </wp:inline>
            </w:drawing>
          </w:r>
        </w:p>
        <w:p w14:paraId="5A280630" w14:textId="77777777" w:rsidR="00826A43" w:rsidRPr="0034235E" w:rsidRDefault="00487610" w:rsidP="0034235E">
          <w:pPr>
            <w:spacing w:line="360" w:lineRule="auto"/>
            <w:jc w:val="right"/>
            <w:rPr>
              <w:rFonts w:ascii="Arial" w:hAnsi="Arial" w:cs="Arial"/>
              <w:b/>
              <w:bCs/>
            </w:rPr>
          </w:pPr>
          <w:r w:rsidRPr="0034235E">
            <w:rPr>
              <w:rFonts w:ascii="Arial" w:hAnsi="Arial" w:cs="Arial"/>
              <w:b/>
              <w:bCs/>
              <w:noProof/>
            </w:rPr>
            <w:lastRenderedPageBreak/>
            <w:drawing>
              <wp:inline distT="0" distB="0" distL="0" distR="0" wp14:anchorId="008CA52F" wp14:editId="2C64303B">
                <wp:extent cx="6818832" cy="8269586"/>
                <wp:effectExtent l="0" t="0" r="127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53600" t="8834" r="5937" b="3882"/>
                        <a:stretch/>
                      </pic:blipFill>
                      <pic:spPr bwMode="auto">
                        <a:xfrm>
                          <a:off x="0" y="0"/>
                          <a:ext cx="6845777" cy="8302263"/>
                        </a:xfrm>
                        <a:prstGeom prst="rect">
                          <a:avLst/>
                        </a:prstGeom>
                        <a:ln>
                          <a:noFill/>
                        </a:ln>
                        <a:extLst>
                          <a:ext uri="{53640926-AAD7-44D8-BBD7-CCE9431645EC}">
                            <a14:shadowObscured xmlns:a14="http://schemas.microsoft.com/office/drawing/2010/main"/>
                          </a:ext>
                        </a:extLst>
                      </pic:spPr>
                    </pic:pic>
                  </a:graphicData>
                </a:graphic>
              </wp:inline>
            </w:drawing>
          </w:r>
        </w:p>
        <w:p w14:paraId="493DD6D8" w14:textId="2B6B61F9" w:rsidR="0025410B" w:rsidRPr="0034235E" w:rsidRDefault="00660289" w:rsidP="00660289">
          <w:pPr>
            <w:spacing w:line="360" w:lineRule="auto"/>
            <w:jc w:val="both"/>
            <w:rPr>
              <w:rFonts w:ascii="Arial" w:hAnsi="Arial" w:cs="Arial"/>
              <w:lang w:val="en-US"/>
            </w:rPr>
          </w:pPr>
          <w:r w:rsidRPr="00660289">
            <w:rPr>
              <w:rFonts w:ascii="Arial" w:hAnsi="Arial" w:cs="Arial"/>
              <w:lang w:val="en-US"/>
            </w:rPr>
            <w:t xml:space="preserve">Overall, a thorough stakeholders analysis allows Milton Sanford Wine Ltd. to identify key stakeholders, understand their interests and influence, and develop strategies to engage with them effectively while </w:t>
          </w:r>
          <w:r w:rsidRPr="00660289">
            <w:rPr>
              <w:rFonts w:ascii="Arial" w:hAnsi="Arial" w:cs="Arial"/>
              <w:lang w:val="en-US"/>
            </w:rPr>
            <w:lastRenderedPageBreak/>
            <w:t>balancing competing interests and priorities. This proactive approach helps build trust, manage risks, and enhance the company's reputation and stakeholder value.</w:t>
          </w:r>
        </w:p>
        <w:p w14:paraId="2B4008E0" w14:textId="78058788" w:rsidR="0025410B" w:rsidRPr="0034235E" w:rsidRDefault="0025410B" w:rsidP="0034235E">
          <w:pPr>
            <w:pStyle w:val="Heading3"/>
            <w:spacing w:line="360" w:lineRule="auto"/>
            <w:rPr>
              <w:rFonts w:ascii="Arial" w:hAnsi="Arial" w:cs="Arial"/>
              <w:b/>
              <w:bCs/>
              <w:color w:val="000000" w:themeColor="text1"/>
              <w:sz w:val="22"/>
              <w:szCs w:val="22"/>
              <w:lang w:val="en-US"/>
            </w:rPr>
          </w:pPr>
          <w:bookmarkStart w:id="10" w:name="_Toc160750390"/>
          <w:r w:rsidRPr="0034235E">
            <w:rPr>
              <w:rFonts w:ascii="Arial" w:hAnsi="Arial" w:cs="Arial"/>
              <w:b/>
              <w:bCs/>
              <w:color w:val="000000" w:themeColor="text1"/>
              <w:sz w:val="22"/>
              <w:szCs w:val="22"/>
              <w:lang w:val="en-US"/>
            </w:rPr>
            <w:t>Me</w:t>
          </w:r>
          <w:r w:rsidR="0059268F">
            <w:rPr>
              <w:rFonts w:ascii="Arial" w:hAnsi="Arial" w:cs="Arial"/>
              <w:b/>
              <w:bCs/>
              <w:color w:val="000000" w:themeColor="text1"/>
              <w:sz w:val="22"/>
              <w:szCs w:val="22"/>
              <w:lang w:val="en-US"/>
            </w:rPr>
            <w:t>ndelow</w:t>
          </w:r>
          <w:r w:rsidRPr="0034235E">
            <w:rPr>
              <w:rFonts w:ascii="Arial" w:hAnsi="Arial" w:cs="Arial"/>
              <w:b/>
              <w:bCs/>
              <w:color w:val="000000" w:themeColor="text1"/>
              <w:sz w:val="22"/>
              <w:szCs w:val="22"/>
              <w:lang w:val="en-US"/>
            </w:rPr>
            <w:t xml:space="preserve"> Matri</w:t>
          </w:r>
          <w:r w:rsidR="006D7077" w:rsidRPr="0034235E">
            <w:rPr>
              <w:rFonts w:ascii="Arial" w:hAnsi="Arial" w:cs="Arial"/>
              <w:b/>
              <w:bCs/>
              <w:color w:val="000000" w:themeColor="text1"/>
              <w:sz w:val="22"/>
              <w:szCs w:val="22"/>
              <w:lang w:val="en-US"/>
            </w:rPr>
            <w:t>x</w:t>
          </w:r>
          <w:bookmarkEnd w:id="10"/>
        </w:p>
        <w:p w14:paraId="1E7883A4" w14:textId="4E167023" w:rsidR="008A35C1" w:rsidRPr="0034235E" w:rsidRDefault="00F24343" w:rsidP="0034235E">
          <w:pPr>
            <w:spacing w:line="360" w:lineRule="auto"/>
            <w:rPr>
              <w:rFonts w:ascii="Arial" w:hAnsi="Arial" w:cs="Arial"/>
              <w:b/>
              <w:bCs/>
            </w:rPr>
          </w:pPr>
          <w:r w:rsidRPr="0034235E">
            <w:rPr>
              <w:rFonts w:ascii="Arial" w:hAnsi="Arial" w:cs="Arial"/>
              <w:lang w:val="en-US"/>
            </w:rPr>
            <w:t xml:space="preserve">The Mendelhson Matrix, also known as the Power/Interest Grid, is a tool used to categorize stakeholders based on their level of interest </w:t>
          </w:r>
          <w:r w:rsidR="005C340C" w:rsidRPr="005C340C">
            <w:rPr>
              <w:rFonts w:ascii="Arial" w:hAnsi="Arial" w:cs="Arial"/>
              <w:lang w:val="en-US"/>
            </w:rPr>
            <w:t>in the company's activities and their power to influence its decisions</w:t>
          </w:r>
          <w:r w:rsidR="002D76E1" w:rsidRPr="0034235E">
            <w:rPr>
              <w:rFonts w:ascii="Arial" w:hAnsi="Arial" w:cs="Arial"/>
              <w:lang w:val="en-US"/>
            </w:rPr>
            <w:t xml:space="preserve"> </w:t>
          </w:r>
          <w:r w:rsidR="00FB6C0F" w:rsidRPr="0034235E">
            <w:rPr>
              <w:rFonts w:ascii="Arial" w:hAnsi="Arial" w:cs="Arial"/>
              <w:lang w:val="en-US"/>
            </w:rPr>
            <w:t>(Kaplan Financial Limited, 2020).</w:t>
          </w:r>
          <w:r w:rsidRPr="0034235E">
            <w:rPr>
              <w:rFonts w:ascii="Arial" w:hAnsi="Arial" w:cs="Arial"/>
              <w:lang w:val="en-US"/>
            </w:rPr>
            <w:t xml:space="preserve"> </w:t>
          </w:r>
          <w:r w:rsidR="00073141" w:rsidRPr="00073141">
            <w:rPr>
              <w:rFonts w:ascii="Arial" w:hAnsi="Arial" w:cs="Arial"/>
              <w:lang w:val="en-US"/>
            </w:rPr>
            <w:t>This matrix helps organizations understand how to manage relationships with various stakeholders effectively.</w:t>
          </w:r>
          <w:r w:rsidR="00835781">
            <w:rPr>
              <w:rFonts w:ascii="Arial" w:hAnsi="Arial" w:cs="Arial"/>
              <w:lang w:val="en-US"/>
            </w:rPr>
            <w:t xml:space="preserve"> </w:t>
          </w:r>
          <w:r w:rsidRPr="0034235E">
            <w:rPr>
              <w:rFonts w:ascii="Arial" w:hAnsi="Arial" w:cs="Arial"/>
              <w:lang w:val="en-US"/>
            </w:rPr>
            <w:t>It classifies stakeholders into four quadrants:</w:t>
          </w:r>
        </w:p>
        <w:p w14:paraId="25876D95" w14:textId="6806C664" w:rsidR="008A35C1" w:rsidRPr="0034235E" w:rsidRDefault="0078524E" w:rsidP="0034235E">
          <w:pPr>
            <w:pStyle w:val="Heading3"/>
            <w:spacing w:line="360" w:lineRule="auto"/>
            <w:jc w:val="right"/>
            <w:rPr>
              <w:rFonts w:ascii="Arial" w:hAnsi="Arial" w:cs="Arial"/>
              <w:b/>
              <w:bCs/>
              <w:color w:val="000000" w:themeColor="text1"/>
              <w:sz w:val="22"/>
              <w:szCs w:val="22"/>
            </w:rPr>
          </w:pPr>
          <w:bookmarkStart w:id="11" w:name="_Toc160750391"/>
          <w:r w:rsidRPr="0034235E">
            <w:rPr>
              <w:rFonts w:ascii="Arial" w:hAnsi="Arial" w:cs="Arial"/>
              <w:b/>
              <w:bCs/>
              <w:color w:val="000000" w:themeColor="text1"/>
              <w:sz w:val="22"/>
              <w:szCs w:val="22"/>
            </w:rPr>
            <w:t>Table4</w:t>
          </w:r>
          <w:r w:rsidR="00AB3E14" w:rsidRPr="0034235E">
            <w:rPr>
              <w:rFonts w:ascii="Arial" w:hAnsi="Arial" w:cs="Arial"/>
              <w:b/>
              <w:bCs/>
              <w:color w:val="000000" w:themeColor="text1"/>
              <w:sz w:val="22"/>
              <w:szCs w:val="22"/>
            </w:rPr>
            <w:t>: Mende</w:t>
          </w:r>
          <w:r w:rsidR="008C2668" w:rsidRPr="0034235E">
            <w:rPr>
              <w:rFonts w:ascii="Arial" w:hAnsi="Arial" w:cs="Arial"/>
              <w:b/>
              <w:bCs/>
              <w:color w:val="000000" w:themeColor="text1"/>
              <w:sz w:val="22"/>
              <w:szCs w:val="22"/>
            </w:rPr>
            <w:t>low</w:t>
          </w:r>
          <w:r w:rsidR="00AB3E14" w:rsidRPr="0034235E">
            <w:rPr>
              <w:rFonts w:ascii="Arial" w:hAnsi="Arial" w:cs="Arial"/>
              <w:b/>
              <w:bCs/>
              <w:color w:val="000000" w:themeColor="text1"/>
              <w:sz w:val="22"/>
              <w:szCs w:val="22"/>
            </w:rPr>
            <w:t xml:space="preserve"> Matrix</w:t>
          </w:r>
          <w:bookmarkEnd w:id="11"/>
        </w:p>
        <w:p w14:paraId="303C7B0B" w14:textId="27B95852" w:rsidR="00D535B8" w:rsidRPr="0034235E" w:rsidRDefault="00566993" w:rsidP="0034235E">
          <w:pPr>
            <w:spacing w:line="360" w:lineRule="auto"/>
            <w:jc w:val="both"/>
            <w:rPr>
              <w:rFonts w:ascii="Arial" w:hAnsi="Arial" w:cs="Arial"/>
              <w:lang w:eastAsia="en-IN"/>
            </w:rPr>
          </w:pPr>
          <w:r>
            <w:rPr>
              <w:rFonts w:ascii="Arial" w:hAnsi="Arial" w:cs="Arial"/>
              <w:noProof/>
              <w:lang w:eastAsia="en-IN"/>
            </w:rPr>
            <w:drawing>
              <wp:inline distT="0" distB="0" distL="0" distR="0" wp14:anchorId="0DDFDC55" wp14:editId="3693DD43">
                <wp:extent cx="6481097" cy="37778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522642" cy="3802034"/>
                        </a:xfrm>
                        <a:prstGeom prst="rect">
                          <a:avLst/>
                        </a:prstGeom>
                        <a:noFill/>
                      </pic:spPr>
                    </pic:pic>
                  </a:graphicData>
                </a:graphic>
              </wp:inline>
            </w:drawing>
          </w:r>
        </w:p>
        <w:p w14:paraId="5D18CD25" w14:textId="283CD95E" w:rsidR="00D535B8" w:rsidRPr="0034235E" w:rsidRDefault="00C10FBE" w:rsidP="0034235E">
          <w:pPr>
            <w:spacing w:line="360" w:lineRule="auto"/>
            <w:jc w:val="both"/>
            <w:rPr>
              <w:rFonts w:ascii="Arial" w:hAnsi="Arial" w:cs="Arial"/>
              <w:lang w:eastAsia="en-IN"/>
            </w:rPr>
          </w:pPr>
          <w:r>
            <w:rPr>
              <w:rFonts w:ascii="Arial" w:hAnsi="Arial" w:cs="Arial"/>
              <w:lang w:eastAsia="en-IN"/>
            </w:rPr>
            <w:t>In general</w:t>
          </w:r>
          <w:r w:rsidR="00FB6C0F" w:rsidRPr="0034235E">
            <w:rPr>
              <w:rFonts w:ascii="Arial" w:hAnsi="Arial" w:cs="Arial"/>
              <w:lang w:eastAsia="en-IN"/>
            </w:rPr>
            <w:t>, the combination of stakeholder analysis and the Mendelhson Matrix provides Milton Sandford Wines Ltd with a structured approach to stakeholder engagement and relationship management, ultimately helping the company achieve its goals and maintain a positive reputation in the wine industry.</w:t>
          </w:r>
        </w:p>
        <w:p w14:paraId="62C3BF38" w14:textId="32CB6610" w:rsidR="003A50F6" w:rsidRPr="0034235E" w:rsidRDefault="00D25B8E" w:rsidP="0034235E">
          <w:pPr>
            <w:pStyle w:val="Heading3"/>
            <w:spacing w:line="360" w:lineRule="auto"/>
            <w:rPr>
              <w:rFonts w:ascii="Arial" w:hAnsi="Arial" w:cs="Arial"/>
              <w:b/>
              <w:bCs/>
              <w:color w:val="000000" w:themeColor="text1"/>
              <w:sz w:val="22"/>
              <w:szCs w:val="22"/>
              <w:lang w:eastAsia="en-IN"/>
            </w:rPr>
          </w:pPr>
          <w:bookmarkStart w:id="12" w:name="_Toc160750392"/>
          <w:r>
            <w:rPr>
              <w:rFonts w:ascii="Arial" w:hAnsi="Arial" w:cs="Arial"/>
              <w:b/>
              <w:bCs/>
              <w:color w:val="000000" w:themeColor="text1"/>
              <w:sz w:val="22"/>
              <w:szCs w:val="22"/>
              <w:lang w:eastAsia="en-IN"/>
            </w:rPr>
            <w:t>P</w:t>
          </w:r>
          <w:r w:rsidRPr="00D25B8E">
            <w:rPr>
              <w:rFonts w:ascii="Arial" w:hAnsi="Arial" w:cs="Arial"/>
              <w:b/>
              <w:bCs/>
              <w:color w:val="000000" w:themeColor="text1"/>
              <w:sz w:val="22"/>
              <w:szCs w:val="22"/>
              <w:lang w:eastAsia="en-IN"/>
            </w:rPr>
            <w:t xml:space="preserve">orter's </w:t>
          </w:r>
          <w:r w:rsidR="003209F8" w:rsidRPr="0034235E">
            <w:rPr>
              <w:rFonts w:ascii="Arial" w:hAnsi="Arial" w:cs="Arial"/>
              <w:b/>
              <w:bCs/>
              <w:color w:val="000000" w:themeColor="text1"/>
              <w:sz w:val="22"/>
              <w:szCs w:val="22"/>
              <w:lang w:eastAsia="en-IN"/>
            </w:rPr>
            <w:t>Value chain of Milton Sandford Wines Ltd</w:t>
          </w:r>
          <w:bookmarkEnd w:id="12"/>
        </w:p>
        <w:p w14:paraId="7005246A" w14:textId="74A3ED12" w:rsidR="003A50F6" w:rsidRPr="0034235E" w:rsidRDefault="003A50F6" w:rsidP="0034235E">
          <w:pPr>
            <w:spacing w:line="360" w:lineRule="auto"/>
            <w:jc w:val="both"/>
            <w:rPr>
              <w:rFonts w:ascii="Arial" w:hAnsi="Arial" w:cs="Arial"/>
              <w:lang w:eastAsia="en-IN"/>
            </w:rPr>
          </w:pPr>
          <w:r w:rsidRPr="0034235E">
            <w:rPr>
              <w:rFonts w:ascii="Arial" w:hAnsi="Arial" w:cs="Arial"/>
              <w:lang w:eastAsia="en-IN"/>
            </w:rPr>
            <w:t>The value chain is a concept introduced by Michael Porter in his book "Competitive Advantage: Creating and Sustaining Superior Performance"</w:t>
          </w:r>
          <w:r w:rsidR="00897CA0">
            <w:rPr>
              <w:rFonts w:ascii="Arial" w:hAnsi="Arial" w:cs="Arial"/>
              <w:lang w:eastAsia="en-IN"/>
            </w:rPr>
            <w:t xml:space="preserve">. </w:t>
          </w:r>
          <w:r w:rsidRPr="0034235E">
            <w:rPr>
              <w:rFonts w:ascii="Arial" w:hAnsi="Arial" w:cs="Arial"/>
              <w:lang w:eastAsia="en-IN"/>
            </w:rPr>
            <w:t>It refers to a series of activities that an organization performs to deliver a valuable product or service to the market. The value chain encompasses all the steps involved in the production process, from raw materials to the final product or service reaching the end consumer. It helps organizations understand the primary and support activities that contribute to creating value and achieving a competitive advantage.</w:t>
          </w:r>
          <w:r w:rsidR="00946DE7" w:rsidRPr="0034235E">
            <w:rPr>
              <w:rFonts w:ascii="Arial" w:hAnsi="Arial" w:cs="Arial"/>
              <w:lang w:eastAsia="en-IN"/>
            </w:rPr>
            <w:t xml:space="preserve"> </w:t>
          </w:r>
        </w:p>
        <w:p w14:paraId="3B0837E9" w14:textId="5361F3E0" w:rsidR="00E91571" w:rsidRPr="0034235E" w:rsidRDefault="00E91571" w:rsidP="0034235E">
          <w:pPr>
            <w:spacing w:line="360" w:lineRule="auto"/>
            <w:jc w:val="both"/>
            <w:rPr>
              <w:rFonts w:ascii="Arial" w:hAnsi="Arial" w:cs="Arial"/>
              <w:lang w:eastAsia="en-IN"/>
            </w:rPr>
          </w:pPr>
          <w:r w:rsidRPr="0034235E">
            <w:rPr>
              <w:rFonts w:ascii="Arial" w:hAnsi="Arial" w:cs="Arial"/>
              <w:lang w:eastAsia="en-IN"/>
            </w:rPr>
            <w:t>Here's a brief overview of the value chain of Milton Sandford Wines Ltd:</w:t>
          </w:r>
        </w:p>
        <w:p w14:paraId="2594AB33" w14:textId="0C362EC2"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lastRenderedPageBreak/>
            <w:t>Inbound Logistics:</w:t>
          </w:r>
        </w:p>
        <w:p w14:paraId="537879ED"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Milton Sanford Wine Ltd. sources grapes from its vineyard holdings and contracted growers. This involves coordinating the transportation of grapes to the winery facilities, ensuring timely delivery and quality control.</w:t>
          </w:r>
        </w:p>
        <w:p w14:paraId="6ABEDB64" w14:textId="18503204"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t>Operations:</w:t>
          </w:r>
        </w:p>
        <w:p w14:paraId="36F38E87"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Within the winery facilities, grapes undergo various processes including crushing, pressing, fermentation, aging, blending, and bottling. Skilled winemakers oversee these operations to ensure consistency and quality in the final product.</w:t>
          </w:r>
        </w:p>
        <w:p w14:paraId="46890E48" w14:textId="54F23782"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t>Outbound Logistics:</w:t>
          </w:r>
        </w:p>
        <w:p w14:paraId="12F5BD5F"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Once bottled, the wines are packaged and prepared for distribution. Milton Sanford Wine Ltd. manages the logistics of distributing its products to wholesalers, retailers, restaurants, and other distribution channels. This involves coordination with shipping companies and logistics providers to ensure timely delivery to customers.</w:t>
          </w:r>
        </w:p>
        <w:p w14:paraId="45B6762B" w14:textId="099B3562"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t>Marketing and Sales:</w:t>
          </w:r>
        </w:p>
        <w:p w14:paraId="03E02EDC"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The marketing and sales team at Milton Sanford Wine Ltd. develops strategies to promote its wines and build brand awareness. This includes advertising campaigns, participation in industry events and wine festivals, and maintaining an online presence through social media and e-commerce platforms. Sales efforts involve building relationships with distributors, negotiating retail placements, and managing direct-to-consumer sales channels such as tasting rooms and online sales.</w:t>
          </w:r>
        </w:p>
        <w:p w14:paraId="204900A7" w14:textId="40C52111"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t>Service:</w:t>
          </w:r>
        </w:p>
        <w:p w14:paraId="2BAAC981"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Milton Sanford Wine Ltd. provides customer service and support to enhance the wine-buying experience. This includes offering wine tastings, vineyard tours, and educational events to engage customers and build brand loyalty. Additionally, the company provides after-sales support, addressing inquiries, resolving issues, and managing wine club memberships to maintain customer satisfaction.</w:t>
          </w:r>
        </w:p>
        <w:p w14:paraId="134BD083" w14:textId="2D0A4862"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t>Procurement:</w:t>
          </w:r>
        </w:p>
        <w:p w14:paraId="5E8AFFE3"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The procurement function involves sourcing raw materials and resources needed for wine production, such as grapes, barrels, packaging materials, and winemaking equipment. Milton Sanford Wine Ltd. works with suppliers to negotiate contracts and ensure the availability of quality inputs for its operations.</w:t>
          </w:r>
        </w:p>
        <w:p w14:paraId="0F270915" w14:textId="1AA3ED7E"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t>Technology Development:</w:t>
          </w:r>
        </w:p>
        <w:p w14:paraId="67942585"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Continuous innovation and technology development are essential for improving production efficiency and product quality. Milton Sanford Wine Ltd. invests in research and development to explore new winemaking techniques, adopt advanced equipment, and leverage digital technologies for process optimization and quality control.</w:t>
          </w:r>
        </w:p>
        <w:p w14:paraId="25BA1240" w14:textId="04EF3509" w:rsidR="009C455C" w:rsidRPr="00AF15A2" w:rsidRDefault="009C455C" w:rsidP="009C455C">
          <w:pPr>
            <w:spacing w:line="360" w:lineRule="auto"/>
            <w:jc w:val="both"/>
            <w:rPr>
              <w:rFonts w:ascii="Arial" w:hAnsi="Arial" w:cs="Arial"/>
              <w:b/>
              <w:bCs/>
              <w:lang w:eastAsia="en-IN"/>
            </w:rPr>
          </w:pPr>
          <w:r w:rsidRPr="0009574B">
            <w:rPr>
              <w:rFonts w:ascii="Arial" w:hAnsi="Arial" w:cs="Arial"/>
              <w:b/>
              <w:bCs/>
              <w:lang w:eastAsia="en-IN"/>
            </w:rPr>
            <w:lastRenderedPageBreak/>
            <w:t>Human Resource Management:</w:t>
          </w:r>
        </w:p>
        <w:p w14:paraId="6E5AEE33"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Skilled personnel are critical for the success of Milton Sanford Wine Ltd. The company invests in recruiting, training, and retaining talented individuals across various functions including winemaking, viticulture, marketing, sales, customer service, and administration.</w:t>
          </w:r>
        </w:p>
        <w:p w14:paraId="587D87E3" w14:textId="2A26790C" w:rsidR="009C455C" w:rsidRPr="0009574B" w:rsidRDefault="009C455C" w:rsidP="009C455C">
          <w:pPr>
            <w:spacing w:line="360" w:lineRule="auto"/>
            <w:jc w:val="both"/>
            <w:rPr>
              <w:rFonts w:ascii="Arial" w:hAnsi="Arial" w:cs="Arial"/>
              <w:b/>
              <w:bCs/>
              <w:lang w:eastAsia="en-IN"/>
            </w:rPr>
          </w:pPr>
          <w:r w:rsidRPr="0009574B">
            <w:rPr>
              <w:rFonts w:ascii="Arial" w:hAnsi="Arial" w:cs="Arial"/>
              <w:b/>
              <w:bCs/>
              <w:lang w:eastAsia="en-IN"/>
            </w:rPr>
            <w:t>Infrastructure:</w:t>
          </w:r>
        </w:p>
        <w:p w14:paraId="62D2F7EA" w14:textId="77777777" w:rsidR="009C455C" w:rsidRPr="0009574B" w:rsidRDefault="009C455C" w:rsidP="009C455C">
          <w:pPr>
            <w:spacing w:line="360" w:lineRule="auto"/>
            <w:jc w:val="both"/>
            <w:rPr>
              <w:rFonts w:ascii="Arial" w:hAnsi="Arial" w:cs="Arial"/>
              <w:lang w:eastAsia="en-IN"/>
            </w:rPr>
          </w:pPr>
          <w:r w:rsidRPr="0009574B">
            <w:rPr>
              <w:rFonts w:ascii="Arial" w:hAnsi="Arial" w:cs="Arial"/>
              <w:lang w:eastAsia="en-IN"/>
            </w:rPr>
            <w:t>Infrastructure investments are necessary to support production operations, including winery facilities, vineyards, tasting rooms, and storage facilities. Milton Sanford Wine Ltd. maintains and upgrades its infrastructure to meet quality standards, regulatory requirements, and accommodate business growth.</w:t>
          </w:r>
        </w:p>
        <w:p w14:paraId="3A80F9CC" w14:textId="18F3B6CD" w:rsidR="009C455C" w:rsidRPr="00462C05" w:rsidRDefault="009C455C" w:rsidP="009C455C">
          <w:pPr>
            <w:spacing w:line="360" w:lineRule="auto"/>
            <w:jc w:val="both"/>
            <w:rPr>
              <w:rFonts w:ascii="Arial" w:hAnsi="Arial" w:cs="Arial"/>
              <w:b/>
              <w:bCs/>
              <w:lang w:eastAsia="en-IN"/>
            </w:rPr>
          </w:pPr>
          <w:r w:rsidRPr="00462C05">
            <w:rPr>
              <w:rFonts w:ascii="Arial" w:hAnsi="Arial" w:cs="Arial"/>
              <w:b/>
              <w:bCs/>
              <w:lang w:eastAsia="en-IN"/>
            </w:rPr>
            <w:t>Firm Infrastructure:</w:t>
          </w:r>
        </w:p>
        <w:p w14:paraId="60AB20F3" w14:textId="00FBD1AB" w:rsidR="00192FAF" w:rsidRPr="0009574B" w:rsidRDefault="009C455C" w:rsidP="009C455C">
          <w:pPr>
            <w:spacing w:line="360" w:lineRule="auto"/>
            <w:jc w:val="both"/>
            <w:rPr>
              <w:rFonts w:ascii="Arial" w:hAnsi="Arial" w:cs="Arial"/>
              <w:lang w:eastAsia="en-IN"/>
            </w:rPr>
          </w:pPr>
          <w:r w:rsidRPr="00462C05">
            <w:rPr>
              <w:rFonts w:ascii="Arial" w:hAnsi="Arial" w:cs="Arial"/>
              <w:lang w:eastAsia="en-IN"/>
            </w:rPr>
            <w:t>Strategic planning, governance, and organizational processes form the backbone of Milton Sanford Wine Ltd.'s operations. The company establishes systems for financial management, budgeting, risk management</w:t>
          </w:r>
          <w:r w:rsidRPr="0009574B">
            <w:rPr>
              <w:rFonts w:ascii="Arial" w:hAnsi="Arial" w:cs="Arial"/>
              <w:lang w:eastAsia="en-IN"/>
            </w:rPr>
            <w:t>, and compliance to ensure effective governance and decision-making.</w:t>
          </w:r>
        </w:p>
        <w:p w14:paraId="0119499C" w14:textId="0152CDBB" w:rsidR="00F85ACB" w:rsidRPr="0034235E" w:rsidRDefault="008055FC" w:rsidP="0053159F">
          <w:pPr>
            <w:spacing w:line="360" w:lineRule="auto"/>
            <w:jc w:val="both"/>
            <w:rPr>
              <w:rFonts w:ascii="Arial" w:hAnsi="Arial" w:cs="Arial"/>
              <w:lang w:eastAsia="en-IN"/>
            </w:rPr>
          </w:pPr>
          <w:r w:rsidRPr="0034235E">
            <w:rPr>
              <w:rFonts w:ascii="Arial" w:hAnsi="Arial" w:cs="Arial"/>
              <w:lang w:eastAsia="en-IN"/>
            </w:rPr>
            <w:t>The value chain framework helps organizations analyze their internal operations, identify areas for improvement, and develop strategies to enhance efficiency, effectiveness, and competitiveness in the market.</w:t>
          </w:r>
        </w:p>
        <w:p w14:paraId="14FA22AB" w14:textId="2261F744" w:rsidR="00497AC4" w:rsidRPr="0034235E" w:rsidRDefault="00B11EA7" w:rsidP="0034235E">
          <w:pPr>
            <w:pStyle w:val="Heading3"/>
            <w:spacing w:line="360" w:lineRule="auto"/>
            <w:jc w:val="both"/>
            <w:rPr>
              <w:rFonts w:ascii="Arial" w:eastAsiaTheme="minorEastAsia" w:hAnsi="Arial" w:cs="Arial"/>
              <w:b/>
              <w:bCs/>
              <w:noProof/>
              <w:color w:val="000000" w:themeColor="text1"/>
              <w:sz w:val="22"/>
              <w:szCs w:val="22"/>
              <w:lang w:eastAsia="en-IN"/>
              <w14:ligatures w14:val="standardContextual"/>
            </w:rPr>
          </w:pPr>
          <w:hyperlink r:id="rId22" w:anchor="_Toc158406137" w:history="1">
            <w:bookmarkStart w:id="13" w:name="_Toc160750393"/>
            <w:r w:rsidR="009C3337" w:rsidRPr="0034235E">
              <w:rPr>
                <w:rStyle w:val="Hyperlink"/>
                <w:rFonts w:ascii="Arial" w:hAnsi="Arial" w:cs="Arial"/>
                <w:b/>
                <w:bCs/>
                <w:noProof/>
                <w:color w:val="000000" w:themeColor="text1"/>
                <w:sz w:val="22"/>
                <w:szCs w:val="22"/>
                <w:u w:val="none"/>
              </w:rPr>
              <w:t xml:space="preserve">5. Discuss </w:t>
            </w:r>
            <w:r w:rsidR="00563205" w:rsidRPr="0034235E">
              <w:rPr>
                <w:rStyle w:val="Hyperlink"/>
                <w:rFonts w:ascii="Arial" w:hAnsi="Arial" w:cs="Arial"/>
                <w:b/>
                <w:bCs/>
                <w:noProof/>
                <w:color w:val="000000" w:themeColor="text1"/>
                <w:sz w:val="22"/>
                <w:szCs w:val="22"/>
                <w:u w:val="none"/>
              </w:rPr>
              <w:t>A</w:t>
            </w:r>
            <w:r w:rsidR="009C3337" w:rsidRPr="0034235E">
              <w:rPr>
                <w:rStyle w:val="Hyperlink"/>
                <w:rFonts w:ascii="Arial" w:hAnsi="Arial" w:cs="Arial"/>
                <w:b/>
                <w:bCs/>
                <w:noProof/>
                <w:color w:val="000000" w:themeColor="text1"/>
                <w:sz w:val="22"/>
                <w:szCs w:val="22"/>
                <w:u w:val="none"/>
              </w:rPr>
              <w:t xml:space="preserve">vailable </w:t>
            </w:r>
            <w:r w:rsidR="00563205" w:rsidRPr="0034235E">
              <w:rPr>
                <w:rStyle w:val="Hyperlink"/>
                <w:rFonts w:ascii="Arial" w:hAnsi="Arial" w:cs="Arial"/>
                <w:b/>
                <w:bCs/>
                <w:noProof/>
                <w:color w:val="000000" w:themeColor="text1"/>
                <w:sz w:val="22"/>
                <w:szCs w:val="22"/>
                <w:u w:val="none"/>
              </w:rPr>
              <w:t>S</w:t>
            </w:r>
            <w:r w:rsidR="009C3337" w:rsidRPr="0034235E">
              <w:rPr>
                <w:rStyle w:val="Hyperlink"/>
                <w:rFonts w:ascii="Arial" w:hAnsi="Arial" w:cs="Arial"/>
                <w:b/>
                <w:bCs/>
                <w:noProof/>
                <w:color w:val="000000" w:themeColor="text1"/>
                <w:sz w:val="22"/>
                <w:szCs w:val="22"/>
                <w:u w:val="none"/>
              </w:rPr>
              <w:t xml:space="preserve">trategic </w:t>
            </w:r>
            <w:r w:rsidR="00563205" w:rsidRPr="0034235E">
              <w:rPr>
                <w:rStyle w:val="Hyperlink"/>
                <w:rFonts w:ascii="Arial" w:hAnsi="Arial" w:cs="Arial"/>
                <w:b/>
                <w:bCs/>
                <w:noProof/>
                <w:color w:val="000000" w:themeColor="text1"/>
                <w:sz w:val="22"/>
                <w:szCs w:val="22"/>
                <w:u w:val="none"/>
              </w:rPr>
              <w:t>G</w:t>
            </w:r>
            <w:r w:rsidR="009C3337" w:rsidRPr="0034235E">
              <w:rPr>
                <w:rStyle w:val="Hyperlink"/>
                <w:rFonts w:ascii="Arial" w:hAnsi="Arial" w:cs="Arial"/>
                <w:b/>
                <w:bCs/>
                <w:noProof/>
                <w:color w:val="000000" w:themeColor="text1"/>
                <w:sz w:val="22"/>
                <w:szCs w:val="22"/>
                <w:u w:val="none"/>
              </w:rPr>
              <w:t xml:space="preserve">rowth </w:t>
            </w:r>
            <w:r w:rsidR="00563205" w:rsidRPr="0034235E">
              <w:rPr>
                <w:rStyle w:val="Hyperlink"/>
                <w:rFonts w:ascii="Arial" w:hAnsi="Arial" w:cs="Arial"/>
                <w:b/>
                <w:bCs/>
                <w:noProof/>
                <w:color w:val="000000" w:themeColor="text1"/>
                <w:sz w:val="22"/>
                <w:szCs w:val="22"/>
                <w:u w:val="none"/>
              </w:rPr>
              <w:t>C</w:t>
            </w:r>
            <w:r w:rsidR="009C3337" w:rsidRPr="0034235E">
              <w:rPr>
                <w:rStyle w:val="Hyperlink"/>
                <w:rFonts w:ascii="Arial" w:hAnsi="Arial" w:cs="Arial"/>
                <w:b/>
                <w:bCs/>
                <w:noProof/>
                <w:color w:val="000000" w:themeColor="text1"/>
                <w:sz w:val="22"/>
                <w:szCs w:val="22"/>
                <w:u w:val="none"/>
              </w:rPr>
              <w:t xml:space="preserve">hoices </w:t>
            </w:r>
            <w:r w:rsidR="00B13B2E" w:rsidRPr="0034235E">
              <w:rPr>
                <w:rStyle w:val="Hyperlink"/>
                <w:rFonts w:ascii="Arial" w:hAnsi="Arial" w:cs="Arial"/>
                <w:b/>
                <w:bCs/>
                <w:noProof/>
                <w:color w:val="000000" w:themeColor="text1"/>
                <w:sz w:val="22"/>
                <w:szCs w:val="22"/>
                <w:u w:val="none"/>
              </w:rPr>
              <w:t>f</w:t>
            </w:r>
            <w:r w:rsidR="009C3337" w:rsidRPr="0034235E">
              <w:rPr>
                <w:rStyle w:val="Hyperlink"/>
                <w:rFonts w:ascii="Arial" w:hAnsi="Arial" w:cs="Arial"/>
                <w:b/>
                <w:bCs/>
                <w:noProof/>
                <w:color w:val="000000" w:themeColor="text1"/>
                <w:sz w:val="22"/>
                <w:szCs w:val="22"/>
                <w:u w:val="none"/>
              </w:rPr>
              <w:t xml:space="preserve">or SMEs in </w:t>
            </w:r>
            <w:r w:rsidR="00563205" w:rsidRPr="0034235E">
              <w:rPr>
                <w:rStyle w:val="Hyperlink"/>
                <w:rFonts w:ascii="Arial" w:hAnsi="Arial" w:cs="Arial"/>
                <w:b/>
                <w:bCs/>
                <w:noProof/>
                <w:color w:val="000000" w:themeColor="text1"/>
                <w:sz w:val="22"/>
                <w:szCs w:val="22"/>
                <w:u w:val="none"/>
              </w:rPr>
              <w:t>M</w:t>
            </w:r>
            <w:r w:rsidR="009C3337" w:rsidRPr="0034235E">
              <w:rPr>
                <w:rStyle w:val="Hyperlink"/>
                <w:rFonts w:ascii="Arial" w:hAnsi="Arial" w:cs="Arial"/>
                <w:b/>
                <w:bCs/>
                <w:noProof/>
                <w:color w:val="000000" w:themeColor="text1"/>
                <w:sz w:val="22"/>
                <w:szCs w:val="22"/>
                <w:u w:val="none"/>
              </w:rPr>
              <w:t xml:space="preserve">arkets and </w:t>
            </w:r>
            <w:r w:rsidR="00563205" w:rsidRPr="0034235E">
              <w:rPr>
                <w:rStyle w:val="Hyperlink"/>
                <w:rFonts w:ascii="Arial" w:hAnsi="Arial" w:cs="Arial"/>
                <w:b/>
                <w:bCs/>
                <w:noProof/>
                <w:color w:val="000000" w:themeColor="text1"/>
                <w:sz w:val="22"/>
                <w:szCs w:val="22"/>
                <w:u w:val="none"/>
              </w:rPr>
              <w:t>P</w:t>
            </w:r>
            <w:r w:rsidR="009C3337" w:rsidRPr="0034235E">
              <w:rPr>
                <w:rStyle w:val="Hyperlink"/>
                <w:rFonts w:ascii="Arial" w:hAnsi="Arial" w:cs="Arial"/>
                <w:b/>
                <w:bCs/>
                <w:noProof/>
                <w:color w:val="000000" w:themeColor="text1"/>
                <w:sz w:val="22"/>
                <w:szCs w:val="22"/>
                <w:u w:val="none"/>
              </w:rPr>
              <w:t xml:space="preserve">ropose a </w:t>
            </w:r>
            <w:r w:rsidR="00563205" w:rsidRPr="0034235E">
              <w:rPr>
                <w:rStyle w:val="Hyperlink"/>
                <w:rFonts w:ascii="Arial" w:hAnsi="Arial" w:cs="Arial"/>
                <w:b/>
                <w:bCs/>
                <w:noProof/>
                <w:color w:val="000000" w:themeColor="text1"/>
                <w:sz w:val="22"/>
                <w:szCs w:val="22"/>
                <w:u w:val="none"/>
              </w:rPr>
              <w:t>N</w:t>
            </w:r>
            <w:r w:rsidR="009C3337" w:rsidRPr="0034235E">
              <w:rPr>
                <w:rStyle w:val="Hyperlink"/>
                <w:rFonts w:ascii="Arial" w:hAnsi="Arial" w:cs="Arial"/>
                <w:b/>
                <w:bCs/>
                <w:noProof/>
                <w:color w:val="000000" w:themeColor="text1"/>
                <w:sz w:val="22"/>
                <w:szCs w:val="22"/>
                <w:u w:val="none"/>
              </w:rPr>
              <w:t xml:space="preserve">ew </w:t>
            </w:r>
            <w:r w:rsidR="00563205" w:rsidRPr="0034235E">
              <w:rPr>
                <w:rStyle w:val="Hyperlink"/>
                <w:rFonts w:ascii="Arial" w:hAnsi="Arial" w:cs="Arial"/>
                <w:b/>
                <w:bCs/>
                <w:noProof/>
                <w:color w:val="000000" w:themeColor="text1"/>
                <w:sz w:val="22"/>
                <w:szCs w:val="22"/>
                <w:u w:val="none"/>
              </w:rPr>
              <w:t>S</w:t>
            </w:r>
            <w:r w:rsidR="009C3337" w:rsidRPr="0034235E">
              <w:rPr>
                <w:rStyle w:val="Hyperlink"/>
                <w:rFonts w:ascii="Arial" w:hAnsi="Arial" w:cs="Arial"/>
                <w:b/>
                <w:bCs/>
                <w:noProof/>
                <w:color w:val="000000" w:themeColor="text1"/>
                <w:sz w:val="22"/>
                <w:szCs w:val="22"/>
                <w:u w:val="none"/>
              </w:rPr>
              <w:t>trategy</w:t>
            </w:r>
            <w:bookmarkEnd w:id="13"/>
          </w:hyperlink>
        </w:p>
        <w:p w14:paraId="44223384" w14:textId="77777777" w:rsidR="007262F4" w:rsidRPr="0034235E" w:rsidRDefault="007262F4" w:rsidP="0034235E">
          <w:pPr>
            <w:spacing w:after="240" w:line="360" w:lineRule="auto"/>
            <w:jc w:val="both"/>
            <w:rPr>
              <w:rFonts w:ascii="Arial" w:hAnsi="Arial" w:cs="Arial"/>
            </w:rPr>
          </w:pPr>
          <w:r w:rsidRPr="0034235E">
            <w:rPr>
              <w:rFonts w:ascii="Arial" w:hAnsi="Arial" w:cs="Arial"/>
            </w:rPr>
            <w:t>Milton Sandford Wines Ltd. is heavily regulated by alcohol industry regulators. This firm values legal, safety, and environmental compliance. The organisation requires a new strategy that emphasises honesty and proactive communication with regulators to address regulatory challenges long-term. The innovation and diversity plan satisfies legislative standards for legality, ethical marketing, and sustainability (</w:t>
          </w:r>
          <w:r w:rsidRPr="0034235E">
            <w:rPr>
              <w:rFonts w:ascii="Arial" w:hAnsi="Arial" w:cs="Arial"/>
              <w:color w:val="222222"/>
              <w:shd w:val="clear" w:color="auto" w:fill="FFFFFF"/>
            </w:rPr>
            <w:t xml:space="preserve">Van Rensen </w:t>
          </w:r>
          <w:r w:rsidRPr="0034235E">
            <w:rPr>
              <w:rFonts w:ascii="Arial" w:hAnsi="Arial" w:cs="Arial"/>
              <w:i/>
              <w:color w:val="222222"/>
              <w:shd w:val="clear" w:color="auto" w:fill="FFFFFF"/>
            </w:rPr>
            <w:t>et al</w:t>
          </w:r>
          <w:r w:rsidRPr="0034235E">
            <w:rPr>
              <w:rFonts w:ascii="Arial" w:hAnsi="Arial" w:cs="Arial"/>
              <w:color w:val="222222"/>
              <w:shd w:val="clear" w:color="auto" w:fill="FFFFFF"/>
            </w:rPr>
            <w:t>., 2020)</w:t>
          </w:r>
          <w:r w:rsidRPr="0034235E">
            <w:rPr>
              <w:rFonts w:ascii="Arial" w:hAnsi="Arial" w:cs="Arial"/>
            </w:rPr>
            <w:t>. Businesses may reduce legal risks, maintain market access, and improve their reputation by vowing to obey the rules and operate honestly.</w:t>
          </w:r>
        </w:p>
        <w:p w14:paraId="67E96A9A" w14:textId="2DD410FF" w:rsidR="0011007D" w:rsidRPr="0034235E" w:rsidRDefault="0011007D" w:rsidP="0034235E">
          <w:pPr>
            <w:spacing w:after="240" w:line="360" w:lineRule="auto"/>
            <w:jc w:val="both"/>
            <w:rPr>
              <w:rFonts w:ascii="Arial" w:hAnsi="Arial" w:cs="Arial"/>
            </w:rPr>
          </w:pPr>
          <w:r w:rsidRPr="0034235E">
            <w:rPr>
              <w:rFonts w:ascii="Arial" w:hAnsi="Arial" w:cs="Arial"/>
            </w:rPr>
            <w:t>For Milton Sandford Wines Ltd, there are several strategic growth choices in markets that can be explored to expand its presence and increase market share. Here are some potential strategies:</w:t>
          </w:r>
        </w:p>
        <w:p w14:paraId="507E4CF2" w14:textId="77777777" w:rsidR="0030545B" w:rsidRPr="0034235E" w:rsidRDefault="0011007D" w:rsidP="0034235E">
          <w:pPr>
            <w:spacing w:after="240" w:line="360" w:lineRule="auto"/>
            <w:jc w:val="both"/>
            <w:rPr>
              <w:rFonts w:ascii="Arial" w:hAnsi="Arial" w:cs="Arial"/>
            </w:rPr>
          </w:pPr>
          <w:r w:rsidRPr="0034235E">
            <w:rPr>
              <w:rFonts w:ascii="Arial" w:hAnsi="Arial" w:cs="Arial"/>
              <w:b/>
              <w:bCs/>
            </w:rPr>
            <w:t>Market Penetration:</w:t>
          </w:r>
          <w:r w:rsidRPr="0034235E">
            <w:rPr>
              <w:rFonts w:ascii="Arial" w:hAnsi="Arial" w:cs="Arial"/>
            </w:rPr>
            <w:t xml:space="preserve"> Focus on increasing sales of existing products in current markets. This could involve aggressive marketing campaigns, expanding distribution channels, and offering promotional deals to attract new customers and encourage existing ones to buy more.</w:t>
          </w:r>
        </w:p>
        <w:p w14:paraId="75AA4F0E" w14:textId="5D36AA44" w:rsidR="0011007D" w:rsidRPr="0034235E" w:rsidRDefault="0011007D" w:rsidP="0034235E">
          <w:pPr>
            <w:spacing w:after="240" w:line="360" w:lineRule="auto"/>
            <w:jc w:val="both"/>
            <w:rPr>
              <w:rFonts w:ascii="Arial" w:hAnsi="Arial" w:cs="Arial"/>
            </w:rPr>
          </w:pPr>
          <w:r w:rsidRPr="0034235E">
            <w:rPr>
              <w:rFonts w:ascii="Arial" w:hAnsi="Arial" w:cs="Arial"/>
              <w:b/>
              <w:bCs/>
            </w:rPr>
            <w:t>Product Development:</w:t>
          </w:r>
          <w:r w:rsidR="00EB54AD" w:rsidRPr="0034235E">
            <w:rPr>
              <w:rFonts w:ascii="Arial" w:hAnsi="Arial" w:cs="Arial"/>
              <w:b/>
              <w:bCs/>
            </w:rPr>
            <w:t xml:space="preserve"> </w:t>
          </w:r>
          <w:r w:rsidR="00EB54AD" w:rsidRPr="0034235E">
            <w:rPr>
              <w:rFonts w:ascii="Arial" w:hAnsi="Arial" w:cs="Arial"/>
            </w:rPr>
            <w:t xml:space="preserve">One good way to grow is to add more types of wine or other useful products to the offerings. Some of the things that Milton Sandford Wines Ltd. can do to get more customers are to look into new mixes, limited edition orders, and stock linked to wine (Gilinsky et al. 2016).  </w:t>
          </w:r>
          <w:r w:rsidRPr="0034235E">
            <w:rPr>
              <w:rFonts w:ascii="Arial" w:hAnsi="Arial" w:cs="Arial"/>
            </w:rPr>
            <w:t xml:space="preserve"> Introduce new products or variants to cater to changing consumer preferences or tap into new market segments. This could include launching premium or niche wines, developing organic or sustainable options, or creating wine-based products like wine cocktails or wine-infused foods.</w:t>
          </w:r>
        </w:p>
        <w:p w14:paraId="3E88A242" w14:textId="4D677E06" w:rsidR="0011007D" w:rsidRPr="0034235E" w:rsidRDefault="0011007D" w:rsidP="0034235E">
          <w:pPr>
            <w:spacing w:after="240" w:line="360" w:lineRule="auto"/>
            <w:jc w:val="both"/>
            <w:rPr>
              <w:rFonts w:ascii="Arial" w:hAnsi="Arial" w:cs="Arial"/>
            </w:rPr>
          </w:pPr>
          <w:r w:rsidRPr="0034235E">
            <w:rPr>
              <w:rFonts w:ascii="Arial" w:hAnsi="Arial" w:cs="Arial"/>
              <w:b/>
              <w:bCs/>
            </w:rPr>
            <w:lastRenderedPageBreak/>
            <w:t>Market Development:</w:t>
          </w:r>
          <w:r w:rsidRPr="0034235E">
            <w:rPr>
              <w:rFonts w:ascii="Arial" w:hAnsi="Arial" w:cs="Arial"/>
            </w:rPr>
            <w:t xml:space="preserve"> Expand into new geographic markets either domestically or internationally. This could involve entering emerging markets with growing wine consumption, targeting regions with a high demand for premium wines, or exploring online sales channels to reach customers beyond traditional distribution networks.</w:t>
          </w:r>
        </w:p>
        <w:p w14:paraId="264D41E8" w14:textId="10F25979" w:rsidR="0011007D" w:rsidRPr="0034235E" w:rsidRDefault="0011007D" w:rsidP="0034235E">
          <w:pPr>
            <w:spacing w:after="240" w:line="360" w:lineRule="auto"/>
            <w:jc w:val="both"/>
            <w:rPr>
              <w:rFonts w:ascii="Arial" w:hAnsi="Arial" w:cs="Arial"/>
            </w:rPr>
          </w:pPr>
          <w:r w:rsidRPr="0034235E">
            <w:rPr>
              <w:rFonts w:ascii="Arial" w:hAnsi="Arial" w:cs="Arial"/>
              <w:b/>
              <w:bCs/>
            </w:rPr>
            <w:t>Diversification:</w:t>
          </w:r>
          <w:r w:rsidRPr="0034235E">
            <w:rPr>
              <w:rFonts w:ascii="Arial" w:hAnsi="Arial" w:cs="Arial"/>
            </w:rPr>
            <w:t xml:space="preserve"> Explore diversification by entering related or unrelated markets. This could involve vertical integration, such as acquiring vineyards or wineries to secure the supply chain, or horizontal diversification into related industries such as food and hospitality, offering wine-related experiences or products.</w:t>
          </w:r>
        </w:p>
        <w:p w14:paraId="2385F354" w14:textId="3369C442" w:rsidR="0011007D" w:rsidRPr="0034235E" w:rsidRDefault="0011007D" w:rsidP="0034235E">
          <w:pPr>
            <w:spacing w:after="240" w:line="360" w:lineRule="auto"/>
            <w:jc w:val="both"/>
            <w:rPr>
              <w:rFonts w:ascii="Arial" w:hAnsi="Arial" w:cs="Arial"/>
            </w:rPr>
          </w:pPr>
          <w:r w:rsidRPr="0034235E">
            <w:rPr>
              <w:rFonts w:ascii="Arial" w:hAnsi="Arial" w:cs="Arial"/>
              <w:b/>
              <w:bCs/>
            </w:rPr>
            <w:t xml:space="preserve">Partnerships and Alliances: </w:t>
          </w:r>
          <w:r w:rsidRPr="0034235E">
            <w:rPr>
              <w:rFonts w:ascii="Arial" w:hAnsi="Arial" w:cs="Arial"/>
            </w:rPr>
            <w:t>Form strategic partnerships or alliances with other companies in the wine industry or related sectors. This could include collaborations with restaurants, hotels, or retailers for joint marketing promotions, co-branding initiatives, or exclusive distribution agreements to reach new customer segments.</w:t>
          </w:r>
        </w:p>
        <w:p w14:paraId="4DCA83E8" w14:textId="72BC223C" w:rsidR="0011007D" w:rsidRPr="0034235E" w:rsidRDefault="0011007D" w:rsidP="0034235E">
          <w:pPr>
            <w:spacing w:after="240" w:line="360" w:lineRule="auto"/>
            <w:jc w:val="both"/>
            <w:rPr>
              <w:rFonts w:ascii="Arial" w:hAnsi="Arial" w:cs="Arial"/>
            </w:rPr>
          </w:pPr>
          <w:r w:rsidRPr="0034235E">
            <w:rPr>
              <w:rFonts w:ascii="Arial" w:hAnsi="Arial" w:cs="Arial"/>
              <w:b/>
              <w:bCs/>
            </w:rPr>
            <w:t>E-commerce Expansion:</w:t>
          </w:r>
          <w:r w:rsidRPr="0034235E">
            <w:rPr>
              <w:rFonts w:ascii="Arial" w:hAnsi="Arial" w:cs="Arial"/>
            </w:rPr>
            <w:t xml:space="preserve"> Invest in e-commerce capabilities to capitalize on the growing trend of online wine sales. This could involve enhancing the company's website for online ordering, partnering with e-commerce platforms, or developing mobile apps for convenient ordering and delivery services.</w:t>
          </w:r>
        </w:p>
        <w:p w14:paraId="5F1408BF" w14:textId="544268DD" w:rsidR="0011007D" w:rsidRPr="0034235E" w:rsidRDefault="0011007D" w:rsidP="0034235E">
          <w:pPr>
            <w:spacing w:after="240" w:line="360" w:lineRule="auto"/>
            <w:jc w:val="both"/>
            <w:rPr>
              <w:rFonts w:ascii="Arial" w:hAnsi="Arial" w:cs="Arial"/>
            </w:rPr>
          </w:pPr>
          <w:r w:rsidRPr="0034235E">
            <w:rPr>
              <w:rFonts w:ascii="Arial" w:hAnsi="Arial" w:cs="Arial"/>
              <w:b/>
              <w:bCs/>
            </w:rPr>
            <w:t>International Expansion:</w:t>
          </w:r>
          <w:r w:rsidRPr="0034235E">
            <w:rPr>
              <w:rFonts w:ascii="Arial" w:hAnsi="Arial" w:cs="Arial"/>
            </w:rPr>
            <w:t xml:space="preserve"> Explore opportunities for international expansion by targeting key export markets or establishing overseas distribution channels. This could involve conducting market research to identify potential markets with favorable demographics, consumer preferences, and regulatory environments for wine sales.</w:t>
          </w:r>
        </w:p>
        <w:p w14:paraId="0979C2DA" w14:textId="183A69E5" w:rsidR="0011007D" w:rsidRPr="0034235E" w:rsidRDefault="0011007D" w:rsidP="0034235E">
          <w:pPr>
            <w:spacing w:after="240" w:line="360" w:lineRule="auto"/>
            <w:jc w:val="both"/>
            <w:rPr>
              <w:rFonts w:ascii="Arial" w:hAnsi="Arial" w:cs="Arial"/>
            </w:rPr>
          </w:pPr>
          <w:r w:rsidRPr="0034235E">
            <w:rPr>
              <w:rFonts w:ascii="Arial" w:hAnsi="Arial" w:cs="Arial"/>
            </w:rPr>
            <w:t>Based on these strategic growth choices, a new strategy for Milton Sandford Wines Ltd could be:</w:t>
          </w:r>
        </w:p>
        <w:p w14:paraId="52925F3D" w14:textId="77777777" w:rsidR="004F4D0F" w:rsidRPr="0034235E" w:rsidRDefault="0011007D" w:rsidP="006F0E5F">
          <w:pPr>
            <w:spacing w:after="240" w:line="360" w:lineRule="auto"/>
            <w:jc w:val="center"/>
            <w:rPr>
              <w:rFonts w:ascii="Arial" w:hAnsi="Arial" w:cs="Arial"/>
            </w:rPr>
          </w:pPr>
          <w:r w:rsidRPr="006F0E5F">
            <w:rPr>
              <w:rFonts w:ascii="Arial" w:hAnsi="Arial" w:cs="Arial"/>
              <w:b/>
              <w:bCs/>
              <w:u w:val="single"/>
            </w:rPr>
            <w:t>New Strategy:</w:t>
          </w:r>
          <w:r w:rsidRPr="0034235E">
            <w:rPr>
              <w:rFonts w:ascii="Arial" w:hAnsi="Arial" w:cs="Arial"/>
            </w:rPr>
            <w:t xml:space="preserve"> </w:t>
          </w:r>
          <w:r w:rsidRPr="006F0E5F">
            <w:rPr>
              <w:rFonts w:ascii="Arial" w:hAnsi="Arial" w:cs="Arial"/>
              <w:b/>
              <w:bCs/>
            </w:rPr>
            <w:t>Premiumization and International Expansion</w:t>
          </w:r>
        </w:p>
        <w:p w14:paraId="051249F3" w14:textId="61990423" w:rsidR="0011007D" w:rsidRPr="0034235E" w:rsidRDefault="0011007D" w:rsidP="0034235E">
          <w:pPr>
            <w:spacing w:after="240" w:line="360" w:lineRule="auto"/>
            <w:jc w:val="both"/>
            <w:rPr>
              <w:rFonts w:ascii="Arial" w:hAnsi="Arial" w:cs="Arial"/>
            </w:rPr>
          </w:pPr>
          <w:r w:rsidRPr="0034235E">
            <w:rPr>
              <w:rFonts w:ascii="Arial" w:hAnsi="Arial" w:cs="Arial"/>
            </w:rPr>
            <w:t>Position</w:t>
          </w:r>
          <w:r w:rsidR="004F4D0F" w:rsidRPr="0034235E">
            <w:rPr>
              <w:rFonts w:ascii="Arial" w:hAnsi="Arial" w:cs="Arial"/>
            </w:rPr>
            <w:t>ing</w:t>
          </w:r>
          <w:r w:rsidRPr="0034235E">
            <w:rPr>
              <w:rFonts w:ascii="Arial" w:hAnsi="Arial" w:cs="Arial"/>
            </w:rPr>
            <w:t xml:space="preserve"> Milton Sandford Wines Ltd as a leading producer of premium wines while expanding its presence in international markets</w:t>
          </w:r>
          <w:r w:rsidR="004F4D0F" w:rsidRPr="0034235E">
            <w:rPr>
              <w:rFonts w:ascii="Arial" w:hAnsi="Arial" w:cs="Arial"/>
            </w:rPr>
            <w:t xml:space="preserve"> will be the objective</w:t>
          </w:r>
          <w:r w:rsidRPr="0034235E">
            <w:rPr>
              <w:rFonts w:ascii="Arial" w:hAnsi="Arial" w:cs="Arial"/>
            </w:rPr>
            <w:t>.</w:t>
          </w:r>
        </w:p>
        <w:p w14:paraId="38A0D703" w14:textId="65378E94" w:rsidR="0011007D" w:rsidRPr="00244971" w:rsidRDefault="0011007D" w:rsidP="0034235E">
          <w:pPr>
            <w:spacing w:after="240" w:line="360" w:lineRule="auto"/>
            <w:jc w:val="both"/>
            <w:rPr>
              <w:rFonts w:ascii="Arial" w:hAnsi="Arial" w:cs="Arial"/>
              <w:b/>
              <w:bCs/>
              <w:u w:val="single"/>
            </w:rPr>
          </w:pPr>
          <w:r w:rsidRPr="00244971">
            <w:rPr>
              <w:rFonts w:ascii="Arial" w:hAnsi="Arial" w:cs="Arial"/>
              <w:b/>
              <w:bCs/>
              <w:u w:val="single"/>
            </w:rPr>
            <w:t>Key Initiatives:</w:t>
          </w:r>
        </w:p>
        <w:p w14:paraId="0D654EC2" w14:textId="5D73DE42" w:rsidR="0011007D" w:rsidRPr="0034235E" w:rsidRDefault="0011007D" w:rsidP="0034235E">
          <w:pPr>
            <w:spacing w:after="240" w:line="360" w:lineRule="auto"/>
            <w:jc w:val="both"/>
            <w:rPr>
              <w:rFonts w:ascii="Arial" w:hAnsi="Arial" w:cs="Arial"/>
            </w:rPr>
          </w:pPr>
          <w:r w:rsidRPr="0034235E">
            <w:rPr>
              <w:rFonts w:ascii="Arial" w:hAnsi="Arial" w:cs="Arial"/>
              <w:b/>
              <w:bCs/>
            </w:rPr>
            <w:t>Premium Product Development:</w:t>
          </w:r>
          <w:r w:rsidR="00437EAA" w:rsidRPr="0034235E">
            <w:rPr>
              <w:rFonts w:ascii="Arial" w:hAnsi="Arial" w:cs="Arial"/>
            </w:rPr>
            <w:t xml:space="preserve"> </w:t>
          </w:r>
          <w:r w:rsidRPr="0034235E">
            <w:rPr>
              <w:rFonts w:ascii="Arial" w:hAnsi="Arial" w:cs="Arial"/>
            </w:rPr>
            <w:t>Invest in research and development to create high-quality, premium wines that cater to discerning consumers' preferences for unique flavors, terroir, and sustainability.</w:t>
          </w:r>
        </w:p>
        <w:p w14:paraId="028B1297" w14:textId="77777777" w:rsidR="0011007D" w:rsidRPr="0034235E" w:rsidRDefault="0011007D" w:rsidP="0034235E">
          <w:pPr>
            <w:spacing w:after="240" w:line="360" w:lineRule="auto"/>
            <w:jc w:val="both"/>
            <w:rPr>
              <w:rFonts w:ascii="Arial" w:hAnsi="Arial" w:cs="Arial"/>
            </w:rPr>
          </w:pPr>
          <w:r w:rsidRPr="0034235E">
            <w:rPr>
              <w:rFonts w:ascii="Arial" w:hAnsi="Arial" w:cs="Arial"/>
              <w:b/>
              <w:bCs/>
            </w:rPr>
            <w:t>Brand Building and Marketing:</w:t>
          </w:r>
          <w:r w:rsidRPr="0034235E">
            <w:rPr>
              <w:rFonts w:ascii="Arial" w:hAnsi="Arial" w:cs="Arial"/>
            </w:rPr>
            <w:t xml:space="preserve"> Develop a strong brand identity and marketing campaigns to communicate the company's commitment to quality, heritage, and craftsmanship. Focus on storytelling and experiential marketing to engage consumers and create emotional connections with the brand.</w:t>
          </w:r>
        </w:p>
        <w:p w14:paraId="2C54E17B" w14:textId="77777777" w:rsidR="0011007D" w:rsidRPr="0034235E" w:rsidRDefault="0011007D" w:rsidP="0034235E">
          <w:pPr>
            <w:spacing w:after="240" w:line="360" w:lineRule="auto"/>
            <w:jc w:val="both"/>
            <w:rPr>
              <w:rFonts w:ascii="Arial" w:hAnsi="Arial" w:cs="Arial"/>
            </w:rPr>
          </w:pPr>
          <w:r w:rsidRPr="0034235E">
            <w:rPr>
              <w:rFonts w:ascii="Arial" w:hAnsi="Arial" w:cs="Arial"/>
              <w:b/>
              <w:bCs/>
            </w:rPr>
            <w:t>International Market Entry:</w:t>
          </w:r>
          <w:r w:rsidRPr="0034235E">
            <w:rPr>
              <w:rFonts w:ascii="Arial" w:hAnsi="Arial" w:cs="Arial"/>
            </w:rPr>
            <w:t xml:space="preserve"> Identify and prioritize key international markets with a growing demand for premium wines, such as China, the United States, and emerging markets in Asia and Latin America. Establish </w:t>
          </w:r>
          <w:r w:rsidRPr="0034235E">
            <w:rPr>
              <w:rFonts w:ascii="Arial" w:hAnsi="Arial" w:cs="Arial"/>
            </w:rPr>
            <w:lastRenderedPageBreak/>
            <w:t>strategic partnerships with local distributors, retailers, and hospitality partners to expand distribution channels and increase market penetration.</w:t>
          </w:r>
        </w:p>
        <w:p w14:paraId="4F5AEF1F" w14:textId="77777777" w:rsidR="0011007D" w:rsidRPr="0034235E" w:rsidRDefault="0011007D" w:rsidP="0034235E">
          <w:pPr>
            <w:spacing w:after="240" w:line="360" w:lineRule="auto"/>
            <w:jc w:val="both"/>
            <w:rPr>
              <w:rFonts w:ascii="Arial" w:hAnsi="Arial" w:cs="Arial"/>
            </w:rPr>
          </w:pPr>
          <w:r w:rsidRPr="0034235E">
            <w:rPr>
              <w:rFonts w:ascii="Arial" w:hAnsi="Arial" w:cs="Arial"/>
              <w:b/>
              <w:bCs/>
            </w:rPr>
            <w:t>E-commerce and Direct-to-Consumer Sales:</w:t>
          </w:r>
          <w:r w:rsidRPr="0034235E">
            <w:rPr>
              <w:rFonts w:ascii="Arial" w:hAnsi="Arial" w:cs="Arial"/>
            </w:rPr>
            <w:t xml:space="preserve"> Enhance the company's e-commerce capabilities to reach consumers directly and capitalize on the growing trend of online wine sales. Offer personalized experiences, exclusive offers, and subscription services to build customer loyalty and drive repeat purchases.</w:t>
          </w:r>
        </w:p>
        <w:p w14:paraId="6E945505" w14:textId="7F00D954" w:rsidR="0011007D" w:rsidRPr="0034235E" w:rsidRDefault="0011007D" w:rsidP="0034235E">
          <w:pPr>
            <w:spacing w:after="240" w:line="360" w:lineRule="auto"/>
            <w:jc w:val="both"/>
            <w:rPr>
              <w:rFonts w:ascii="Arial" w:hAnsi="Arial" w:cs="Arial"/>
            </w:rPr>
          </w:pPr>
          <w:r w:rsidRPr="0034235E">
            <w:rPr>
              <w:rFonts w:ascii="Arial" w:hAnsi="Arial" w:cs="Arial"/>
              <w:b/>
              <w:bCs/>
            </w:rPr>
            <w:t>Sustainability and Corporate Social Responsibility:</w:t>
          </w:r>
          <w:r w:rsidR="00DB1A2A" w:rsidRPr="0034235E">
            <w:rPr>
              <w:rFonts w:ascii="Arial" w:hAnsi="Arial" w:cs="Arial"/>
              <w:b/>
              <w:bCs/>
            </w:rPr>
            <w:t xml:space="preserve"> </w:t>
          </w:r>
          <w:r w:rsidR="00DB1A2A" w:rsidRPr="0034235E">
            <w:rPr>
              <w:rFonts w:ascii="Arial" w:hAnsi="Arial" w:cs="Arial"/>
            </w:rPr>
            <w:t>The growing demand for environmentally friendly products (Dressler and Paunovic, 2021) fits with this creative process to make an impact that lasts and appeal to a socially aware customer base.</w:t>
          </w:r>
          <w:r w:rsidRPr="0034235E">
            <w:rPr>
              <w:rFonts w:ascii="Arial" w:hAnsi="Arial" w:cs="Arial"/>
            </w:rPr>
            <w:t xml:space="preserve"> Integrate sustainability practices throughout the value chain to minimize environmental impact, promote ethical sourcing, and enhance brand reputation. Communicate the company's commitment to sustainability and corporate social responsibility through transparent reporting and engagement with stakeholders.</w:t>
          </w:r>
          <w:r w:rsidR="00DB1A2A" w:rsidRPr="0034235E">
            <w:rPr>
              <w:rFonts w:ascii="Arial" w:hAnsi="Arial" w:cs="Arial"/>
            </w:rPr>
            <w:t xml:space="preserve"> </w:t>
          </w:r>
        </w:p>
        <w:p w14:paraId="4B8E9C13" w14:textId="15A3A3CD" w:rsidR="0011007D" w:rsidRPr="0034235E" w:rsidRDefault="0011007D" w:rsidP="0034235E">
          <w:pPr>
            <w:spacing w:after="240" w:line="360" w:lineRule="auto"/>
            <w:jc w:val="both"/>
            <w:rPr>
              <w:rFonts w:ascii="Arial" w:hAnsi="Arial" w:cs="Arial"/>
            </w:rPr>
          </w:pPr>
          <w:r w:rsidRPr="0034235E">
            <w:rPr>
              <w:rFonts w:ascii="Arial" w:hAnsi="Arial" w:cs="Arial"/>
              <w:b/>
              <w:bCs/>
            </w:rPr>
            <w:t>Continuous Innovation and Adaptation:</w:t>
          </w:r>
          <w:r w:rsidRPr="0034235E">
            <w:rPr>
              <w:rFonts w:ascii="Arial" w:hAnsi="Arial" w:cs="Arial"/>
            </w:rPr>
            <w:t xml:space="preserve"> Stay agile and responsive to changing consumer preferences, market trends, and regulatory requirements. Invest in innovation and adaptability to differentiate the brand and maintain a competitive edge in the dynamic wine industry landscape.</w:t>
          </w:r>
          <w:r w:rsidR="00EB54AD" w:rsidRPr="0034235E">
            <w:rPr>
              <w:rFonts w:ascii="Arial" w:hAnsi="Arial" w:cs="Arial"/>
            </w:rPr>
            <w:t xml:space="preserve"> Today, if you want to reach more people, you need a strong online presence. Milton Sandford Wines Ltd. has made smart investments in e-commerce and advanced digital marketing (Bandinelli et al.) 2020 so that they can reach customers all over the world.</w:t>
          </w:r>
        </w:p>
        <w:p w14:paraId="2380C750" w14:textId="39065719" w:rsidR="00FA7F1E" w:rsidRPr="0034235E" w:rsidRDefault="0011007D" w:rsidP="0034235E">
          <w:pPr>
            <w:spacing w:after="240" w:line="360" w:lineRule="auto"/>
            <w:jc w:val="both"/>
            <w:rPr>
              <w:rFonts w:ascii="Arial" w:hAnsi="Arial" w:cs="Arial"/>
            </w:rPr>
          </w:pPr>
          <w:r w:rsidRPr="0034235E">
            <w:rPr>
              <w:rFonts w:ascii="Arial" w:hAnsi="Arial" w:cs="Arial"/>
            </w:rPr>
            <w:t>By implementing this new strategy, Milton Sandford Wines Ltd can position itself for sustainable growth, strengthen its competitive position in the global wine market, and create long-term value for its stakeholders.</w:t>
          </w:r>
        </w:p>
        <w:p w14:paraId="64AE3F3B" w14:textId="16731A01" w:rsidR="00497AC4" w:rsidRPr="0034235E" w:rsidRDefault="00497AC4" w:rsidP="0034235E">
          <w:pPr>
            <w:pStyle w:val="Heading3"/>
            <w:spacing w:line="360" w:lineRule="auto"/>
            <w:jc w:val="both"/>
            <w:rPr>
              <w:rFonts w:ascii="Arial" w:hAnsi="Arial" w:cs="Arial"/>
              <w:b/>
              <w:bCs/>
              <w:color w:val="000000" w:themeColor="text1"/>
              <w:sz w:val="22"/>
              <w:szCs w:val="22"/>
            </w:rPr>
          </w:pPr>
          <w:bookmarkStart w:id="14" w:name="_Toc160750394"/>
          <w:r w:rsidRPr="0034235E">
            <w:rPr>
              <w:rFonts w:ascii="Arial" w:hAnsi="Arial" w:cs="Arial"/>
              <w:b/>
              <w:bCs/>
              <w:color w:val="000000" w:themeColor="text1"/>
              <w:sz w:val="22"/>
              <w:szCs w:val="22"/>
            </w:rPr>
            <w:t>6. Strategic Recommendations for Future Developments and Implementation at Milton Sandford Wines Ltd</w:t>
          </w:r>
          <w:bookmarkEnd w:id="14"/>
          <w:r w:rsidRPr="0034235E">
            <w:rPr>
              <w:rFonts w:ascii="Arial" w:hAnsi="Arial" w:cs="Arial"/>
              <w:b/>
              <w:bCs/>
              <w:color w:val="000000" w:themeColor="text1"/>
              <w:sz w:val="22"/>
              <w:szCs w:val="22"/>
            </w:rPr>
            <w:t xml:space="preserve"> </w:t>
          </w:r>
        </w:p>
        <w:p w14:paraId="2A788850" w14:textId="77777777" w:rsidR="001731E4" w:rsidRPr="0034235E" w:rsidRDefault="001731E4" w:rsidP="0034235E">
          <w:pPr>
            <w:spacing w:line="360" w:lineRule="auto"/>
            <w:jc w:val="both"/>
            <w:rPr>
              <w:rFonts w:ascii="Arial" w:hAnsi="Arial" w:cs="Arial"/>
            </w:rPr>
          </w:pPr>
          <w:r w:rsidRPr="0034235E">
            <w:rPr>
              <w:rFonts w:ascii="Arial" w:hAnsi="Arial" w:cs="Arial"/>
            </w:rPr>
            <w:t>Milton Sandford Wines Ltd. is now doing well overall, yet by setting vital strategies in motion, it can work on its position on the lookout and ensure it will keep on finding success. These thoughts are probably the main ones:</w:t>
          </w:r>
        </w:p>
        <w:p w14:paraId="6D12287F" w14:textId="7BA417C7" w:rsidR="001731E4" w:rsidRPr="0034235E" w:rsidRDefault="001731E4" w:rsidP="0034235E">
          <w:pPr>
            <w:spacing w:line="360" w:lineRule="auto"/>
            <w:jc w:val="both"/>
            <w:rPr>
              <w:rFonts w:ascii="Arial" w:hAnsi="Arial" w:cs="Arial"/>
              <w:b/>
              <w:bCs/>
            </w:rPr>
          </w:pPr>
          <w:r w:rsidRPr="0034235E">
            <w:rPr>
              <w:rFonts w:ascii="Arial" w:hAnsi="Arial" w:cs="Arial"/>
              <w:b/>
              <w:bCs/>
            </w:rPr>
            <w:t xml:space="preserve">Doing </w:t>
          </w:r>
          <w:r w:rsidR="00B13B2E" w:rsidRPr="0034235E">
            <w:rPr>
              <w:rFonts w:ascii="Arial" w:hAnsi="Arial" w:cs="Arial"/>
              <w:b/>
              <w:bCs/>
            </w:rPr>
            <w:t>T</w:t>
          </w:r>
          <w:r w:rsidRPr="0034235E">
            <w:rPr>
              <w:rFonts w:ascii="Arial" w:hAnsi="Arial" w:cs="Arial"/>
              <w:b/>
              <w:bCs/>
            </w:rPr>
            <w:t xml:space="preserve">he </w:t>
          </w:r>
          <w:r w:rsidR="00B13B2E" w:rsidRPr="0034235E">
            <w:rPr>
              <w:rFonts w:ascii="Arial" w:hAnsi="Arial" w:cs="Arial"/>
              <w:b/>
              <w:bCs/>
            </w:rPr>
            <w:t>C</w:t>
          </w:r>
          <w:r w:rsidRPr="0034235E">
            <w:rPr>
              <w:rFonts w:ascii="Arial" w:hAnsi="Arial" w:cs="Arial"/>
              <w:b/>
              <w:bCs/>
            </w:rPr>
            <w:t xml:space="preserve">hange to </w:t>
          </w:r>
          <w:r w:rsidR="00B13B2E" w:rsidRPr="0034235E">
            <w:rPr>
              <w:rFonts w:ascii="Arial" w:hAnsi="Arial" w:cs="Arial"/>
              <w:b/>
              <w:bCs/>
            </w:rPr>
            <w:t>C</w:t>
          </w:r>
          <w:r w:rsidRPr="0034235E">
            <w:rPr>
              <w:rFonts w:ascii="Arial" w:hAnsi="Arial" w:cs="Arial"/>
              <w:b/>
              <w:bCs/>
            </w:rPr>
            <w:t>omputerized:</w:t>
          </w:r>
        </w:p>
        <w:p w14:paraId="6CA87C41" w14:textId="77777777" w:rsidR="001731E4" w:rsidRPr="0034235E" w:rsidRDefault="001731E4" w:rsidP="0034235E">
          <w:pPr>
            <w:spacing w:line="360" w:lineRule="auto"/>
            <w:jc w:val="both"/>
            <w:rPr>
              <w:rFonts w:ascii="Arial" w:hAnsi="Arial" w:cs="Arial"/>
            </w:rPr>
          </w:pPr>
          <w:r w:rsidRPr="0034235E">
            <w:rPr>
              <w:rFonts w:ascii="Arial" w:hAnsi="Arial" w:cs="Arial"/>
            </w:rPr>
            <w:t>Milton Sandford Wines Ltd. would be wise to develop a robust digital change strategy now that it is so crucial to have a strong online presence. This implies you want to make your site simple for individuals to endlessly utilize innovation to work on their experience. By having a web-based shop, the business can exploit the developing pattern of getting wine by the glass from anyplace on the planet (</w:t>
          </w:r>
          <w:r w:rsidRPr="0034235E">
            <w:rPr>
              <w:rFonts w:ascii="Arial" w:hAnsi="Arial" w:cs="Arial"/>
              <w:color w:val="222222"/>
              <w:shd w:val="clear" w:color="auto" w:fill="FFFFFF"/>
            </w:rPr>
            <w:t>Jatmiko et al., 2021)</w:t>
          </w:r>
          <w:r w:rsidRPr="0034235E">
            <w:rPr>
              <w:rFonts w:ascii="Arial" w:hAnsi="Arial" w:cs="Arial"/>
            </w:rPr>
            <w:t>.</w:t>
          </w:r>
        </w:p>
        <w:p w14:paraId="16B3CE04" w14:textId="77777777" w:rsidR="001731E4" w:rsidRPr="0034235E" w:rsidRDefault="001731E4" w:rsidP="0034235E">
          <w:pPr>
            <w:spacing w:line="360" w:lineRule="auto"/>
            <w:jc w:val="both"/>
            <w:rPr>
              <w:rFonts w:ascii="Arial" w:hAnsi="Arial" w:cs="Arial"/>
            </w:rPr>
          </w:pPr>
          <w:r w:rsidRPr="0034235E">
            <w:rPr>
              <w:rFonts w:ascii="Arial" w:hAnsi="Arial" w:cs="Arial"/>
            </w:rPr>
            <w:t xml:space="preserve">In any case, little and medium-sized organizations frequently experience difficulty with computerized projects since they need more means. For this issue to be tackled, utilizing an organized method is significant. The principal things that ought to be done are a web-based shop and computerized promoting endeavors that </w:t>
          </w:r>
          <w:r w:rsidRPr="0034235E">
            <w:rPr>
              <w:rFonts w:ascii="Arial" w:hAnsi="Arial" w:cs="Arial"/>
            </w:rPr>
            <w:lastRenderedPageBreak/>
            <w:t>show what the organization depend on. To perform their duties effectively, our employees must acquire computer skills. It's vital to stay up with the latest so everybody is in total agreement and can assist with getting the change going.</w:t>
          </w:r>
        </w:p>
        <w:p w14:paraId="0AF3216F" w14:textId="77777777" w:rsidR="001731E4" w:rsidRPr="0034235E" w:rsidRDefault="001731E4" w:rsidP="0034235E">
          <w:pPr>
            <w:spacing w:line="360" w:lineRule="auto"/>
            <w:jc w:val="both"/>
            <w:rPr>
              <w:rFonts w:ascii="Arial" w:hAnsi="Arial" w:cs="Arial"/>
              <w:b/>
              <w:bCs/>
            </w:rPr>
          </w:pPr>
          <w:r w:rsidRPr="0034235E">
            <w:rPr>
              <w:rFonts w:ascii="Arial" w:hAnsi="Arial" w:cs="Arial"/>
              <w:b/>
              <w:bCs/>
            </w:rPr>
            <w:t>Getting greater:</w:t>
          </w:r>
        </w:p>
        <w:p w14:paraId="2C5658B9" w14:textId="77777777" w:rsidR="001731E4" w:rsidRPr="0034235E" w:rsidRDefault="001731E4" w:rsidP="0034235E">
          <w:pPr>
            <w:spacing w:line="360" w:lineRule="auto"/>
            <w:jc w:val="both"/>
            <w:rPr>
              <w:rFonts w:ascii="Arial" w:hAnsi="Arial" w:cs="Arial"/>
            </w:rPr>
          </w:pPr>
          <w:r w:rsidRPr="0034235E">
            <w:rPr>
              <w:rFonts w:ascii="Arial" w:hAnsi="Arial" w:cs="Arial"/>
            </w:rPr>
            <w:t>To decrease the impacts of changes on the lookout and in what individuals like, Milton Sandford Wines Ltd ought to investigate ways of enhancing. You can increase sales and profits by including limited-edition wines, wine-related products, and one-of-a-kind wine events.</w:t>
          </w:r>
        </w:p>
        <w:p w14:paraId="079669EE" w14:textId="77777777" w:rsidR="001731E4" w:rsidRPr="0034235E" w:rsidRDefault="001731E4" w:rsidP="0034235E">
          <w:pPr>
            <w:spacing w:line="360" w:lineRule="auto"/>
            <w:jc w:val="both"/>
            <w:rPr>
              <w:rFonts w:ascii="Arial" w:hAnsi="Arial" w:cs="Arial"/>
            </w:rPr>
          </w:pPr>
          <w:r w:rsidRPr="0034235E">
            <w:rPr>
              <w:rFonts w:ascii="Arial" w:hAnsi="Arial" w:cs="Arial"/>
            </w:rPr>
            <w:t>Little and medium-sized organizations might find it hard to differentiate in light of the fact that activities are getting more confounded and they need to burn through cash immediately. For that reason the organization needs to do a great deal of examination available to track down potential open doors that fit with its image (</w:t>
          </w:r>
          <w:r w:rsidRPr="0034235E">
            <w:rPr>
              <w:rFonts w:ascii="Arial" w:hAnsi="Arial" w:cs="Arial"/>
              <w:color w:val="222222"/>
              <w:shd w:val="clear" w:color="auto" w:fill="FFFFFF"/>
            </w:rPr>
            <w:t>Jatmiko et al., 2021)</w:t>
          </w:r>
          <w:r w:rsidRPr="0034235E">
            <w:rPr>
              <w:rFonts w:ascii="Arial" w:hAnsi="Arial" w:cs="Arial"/>
            </w:rPr>
            <w:t>. It's brilliant to do a trial of another item prior to putting it available to perceive how intrigued individuals are. Keeping the lines of correspondence open with present clients is significant for laying out reasonable objectives and getting individuals amped up for the new items.</w:t>
          </w:r>
        </w:p>
        <w:p w14:paraId="306A9632" w14:textId="77777777" w:rsidR="001731E4" w:rsidRPr="0034235E" w:rsidRDefault="001731E4" w:rsidP="0034235E">
          <w:pPr>
            <w:spacing w:line="360" w:lineRule="auto"/>
            <w:jc w:val="both"/>
            <w:rPr>
              <w:rFonts w:ascii="Arial" w:hAnsi="Arial" w:cs="Arial"/>
              <w:b/>
              <w:bCs/>
            </w:rPr>
          </w:pPr>
          <w:r w:rsidRPr="0034235E">
            <w:rPr>
              <w:rFonts w:ascii="Arial" w:hAnsi="Arial" w:cs="Arial"/>
              <w:b/>
              <w:bCs/>
            </w:rPr>
            <w:t>Getting the store network to work better:</w:t>
          </w:r>
        </w:p>
        <w:p w14:paraId="0410C1A0" w14:textId="77777777" w:rsidR="001731E4" w:rsidRPr="0034235E" w:rsidRDefault="001731E4" w:rsidP="0034235E">
          <w:pPr>
            <w:spacing w:line="360" w:lineRule="auto"/>
            <w:jc w:val="both"/>
            <w:rPr>
              <w:rFonts w:ascii="Arial" w:hAnsi="Arial" w:cs="Arial"/>
            </w:rPr>
          </w:pPr>
          <w:r w:rsidRPr="0034235E">
            <w:rPr>
              <w:rFonts w:ascii="Arial" w:hAnsi="Arial" w:cs="Arial"/>
            </w:rPr>
            <w:t>Supply lines that are very much run assist merchants with loving Milton Sandford Wines Ltd get wine to clients rapidly and at a fair cost. A piece of this is setting up innovation like stock administration frameworks and making conveyance networks better.</w:t>
          </w:r>
        </w:p>
        <w:p w14:paraId="11E0D937" w14:textId="77777777" w:rsidR="001731E4" w:rsidRPr="0034235E" w:rsidRDefault="001731E4" w:rsidP="0034235E">
          <w:pPr>
            <w:spacing w:line="360" w:lineRule="auto"/>
            <w:jc w:val="both"/>
            <w:rPr>
              <w:rFonts w:ascii="Arial" w:hAnsi="Arial" w:cs="Arial"/>
            </w:rPr>
          </w:pPr>
          <w:r w:rsidRPr="0034235E">
            <w:rPr>
              <w:rFonts w:ascii="Arial" w:hAnsi="Arial" w:cs="Arial"/>
            </w:rPr>
            <w:t>SMEs frequently experience difficulty further developing their inventory lines since they are little, don't have numerous assets, and don't have any desire to change. To fix this, the organization ought to investigate its ongoing inventory network and search for cash saving tips. Center around projects that are vital and will take care of immediately by reducing expenses and making the organization more useful. Cooperating with significant wholesalers and venders is essential to ensure that the change goes without a hitch and that everybody is in total agreement about the objectives for streamlining.</w:t>
          </w:r>
        </w:p>
        <w:p w14:paraId="5793C94B" w14:textId="09CA29A6" w:rsidR="007262F4" w:rsidRDefault="001731E4" w:rsidP="0034235E">
          <w:pPr>
            <w:spacing w:line="360" w:lineRule="auto"/>
            <w:jc w:val="both"/>
            <w:rPr>
              <w:rFonts w:ascii="Arial" w:hAnsi="Arial" w:cs="Arial"/>
            </w:rPr>
          </w:pPr>
          <w:r w:rsidRPr="0034235E">
            <w:rPr>
              <w:rFonts w:ascii="Arial" w:hAnsi="Arial" w:cs="Arial"/>
            </w:rPr>
            <w:t>At last, Milton Sandford Wines Ltd could begin another period of development and strength by setting these strategies in motion: going advanced, growing, and further developing the inventory network. In any case, the issues that private companies have when they attempt to do plans should be recognized and managed in the correct manner. To get around restricted assets and individuals who would rather not transform, it will be essential to utilize an organized methodology that incorporates instructing laborers and keeping lines of correspondence open. The wine business is exceptionally serious and continuously evolving. Milton Sandford Wines Ltd. may achieve long-term success if it follows our recommendations.</w:t>
          </w:r>
        </w:p>
        <w:p w14:paraId="62A7105D" w14:textId="77777777" w:rsidR="00244971" w:rsidRPr="0034235E" w:rsidRDefault="00244971" w:rsidP="0034235E">
          <w:pPr>
            <w:spacing w:line="360" w:lineRule="auto"/>
            <w:jc w:val="both"/>
            <w:rPr>
              <w:rFonts w:ascii="Arial" w:hAnsi="Arial" w:cs="Arial"/>
            </w:rPr>
          </w:pPr>
        </w:p>
        <w:p w14:paraId="5F5FB2C5" w14:textId="362009F6" w:rsidR="00497AC4" w:rsidRPr="0034235E" w:rsidRDefault="00B11EA7" w:rsidP="0034235E">
          <w:pPr>
            <w:pStyle w:val="Heading3"/>
            <w:spacing w:line="360" w:lineRule="auto"/>
            <w:jc w:val="both"/>
            <w:rPr>
              <w:rFonts w:ascii="Arial" w:hAnsi="Arial" w:cs="Arial"/>
              <w:b/>
              <w:bCs/>
              <w:color w:val="000000" w:themeColor="text1"/>
              <w:sz w:val="22"/>
              <w:szCs w:val="22"/>
            </w:rPr>
          </w:pPr>
          <w:hyperlink r:id="rId23" w:anchor="_Toc158406139" w:history="1">
            <w:bookmarkStart w:id="15" w:name="_Toc160750395"/>
            <w:r w:rsidR="009C3337" w:rsidRPr="0034235E">
              <w:rPr>
                <w:rStyle w:val="Hyperlink"/>
                <w:rFonts w:ascii="Arial" w:hAnsi="Arial" w:cs="Arial"/>
                <w:b/>
                <w:bCs/>
                <w:noProof/>
                <w:color w:val="000000" w:themeColor="text1"/>
                <w:sz w:val="22"/>
                <w:szCs w:val="22"/>
                <w:u w:val="none"/>
              </w:rPr>
              <w:t>7. Conclusion</w:t>
            </w:r>
            <w:bookmarkEnd w:id="15"/>
          </w:hyperlink>
        </w:p>
        <w:p w14:paraId="3C5CE4E6" w14:textId="77777777" w:rsidR="002E0416" w:rsidRPr="0034235E" w:rsidRDefault="002E0416" w:rsidP="0034235E">
          <w:pPr>
            <w:spacing w:line="360" w:lineRule="auto"/>
            <w:jc w:val="both"/>
            <w:rPr>
              <w:rFonts w:ascii="Arial" w:hAnsi="Arial" w:cs="Arial"/>
            </w:rPr>
          </w:pPr>
          <w:r w:rsidRPr="0034235E">
            <w:rPr>
              <w:rFonts w:ascii="Arial" w:hAnsi="Arial" w:cs="Arial"/>
            </w:rPr>
            <w:t>Milton Sandford Wines Ltd. faces a fundamental decision after a long history of excellence, environmental care, and satisfied customers. The company has grown via a mix of small, family-owned grape vineyards, meticulous ageing in chalk mine sinkholes, and a commitment to sustainability. The suggested crucial drives aim to keep the organisation in the fiercely competitive wine industry as it plans its future.</w:t>
          </w:r>
        </w:p>
        <w:p w14:paraId="52C62ED5" w14:textId="77777777" w:rsidR="002E0416" w:rsidRPr="0034235E" w:rsidRDefault="002E0416" w:rsidP="0034235E">
          <w:pPr>
            <w:spacing w:line="360" w:lineRule="auto"/>
            <w:jc w:val="both"/>
            <w:rPr>
              <w:rFonts w:ascii="Arial" w:hAnsi="Arial" w:cs="Arial"/>
            </w:rPr>
          </w:pPr>
          <w:r w:rsidRPr="0034235E">
            <w:rPr>
              <w:rFonts w:ascii="Arial" w:hAnsi="Arial" w:cs="Arial"/>
            </w:rPr>
            <w:t>The association's proposal to use environmentally friendly operations as a selling point shows its foresight in adapting to changing business trends. Buyers value Milton Sandford Wines Ltd.'s commitment to normal capacity, organised conveyance, and reuse as a leader in manageability. This product meets customer needs in a market where shoppers value authenticity and natural cognizance (</w:t>
          </w:r>
          <w:r w:rsidRPr="0034235E">
            <w:rPr>
              <w:rFonts w:ascii="Arial" w:hAnsi="Arial" w:cs="Arial"/>
              <w:color w:val="222222"/>
              <w:shd w:val="clear" w:color="auto" w:fill="FFFFFF"/>
            </w:rPr>
            <w:t>Ouvrard et al., 2020)</w:t>
          </w:r>
          <w:r w:rsidRPr="0034235E">
            <w:rPr>
              <w:rFonts w:ascii="Arial" w:hAnsi="Arial" w:cs="Arial"/>
            </w:rPr>
            <w:t>.</w:t>
          </w:r>
        </w:p>
        <w:p w14:paraId="17FF9512" w14:textId="77777777" w:rsidR="002E0416" w:rsidRPr="0034235E" w:rsidRDefault="002E0416" w:rsidP="0034235E">
          <w:pPr>
            <w:spacing w:line="360" w:lineRule="auto"/>
            <w:jc w:val="both"/>
            <w:rPr>
              <w:rFonts w:ascii="Arial" w:hAnsi="Arial" w:cs="Arial"/>
            </w:rPr>
          </w:pPr>
          <w:r w:rsidRPr="0034235E">
            <w:rPr>
              <w:rFonts w:ascii="Arial" w:hAnsi="Arial" w:cs="Arial"/>
            </w:rPr>
            <w:t>The association can adapt and thrive with three key suggestions: computerised change, production network development, and widening. The organisation can stay ahead in the unique online business field by adopting computerised change and creating new market entry and communication routes. If you want to increase your earnings and protect yourself from market volatility, expand. Businesses are offering unique experiences and limited-edition wines to entice new and repeat consumers.</w:t>
          </w:r>
        </w:p>
        <w:p w14:paraId="43069866" w14:textId="77777777" w:rsidR="002E0416" w:rsidRPr="0034235E" w:rsidRDefault="002E0416" w:rsidP="0034235E">
          <w:pPr>
            <w:spacing w:line="360" w:lineRule="auto"/>
            <w:jc w:val="both"/>
            <w:rPr>
              <w:rFonts w:ascii="Arial" w:hAnsi="Arial" w:cs="Arial"/>
            </w:rPr>
          </w:pPr>
          <w:r w:rsidRPr="0034235E">
            <w:rPr>
              <w:rFonts w:ascii="Arial" w:hAnsi="Arial" w:cs="Arial"/>
            </w:rPr>
            <w:t>Store network enhancement is essential to SMEs' efficiency and cost reserve funds, despite its repeated challenges. Milton Sandford Wines Ltd. may increase its operational efficiency and competitiveness by regularly assessing and improving its production network. Recognising the challenges SMEs face, such as asset constraints and change protection, the ideas emphasise phased execution, worker training, and clear communication to ensure progress.</w:t>
          </w:r>
        </w:p>
        <w:p w14:paraId="2F00FF19" w14:textId="293F803F" w:rsidR="00874B12" w:rsidRPr="0034235E" w:rsidRDefault="002E0416" w:rsidP="0034235E">
          <w:pPr>
            <w:spacing w:line="360" w:lineRule="auto"/>
            <w:jc w:val="both"/>
            <w:rPr>
              <w:rFonts w:ascii="Arial" w:hAnsi="Arial" w:cs="Arial"/>
            </w:rPr>
          </w:pPr>
          <w:r w:rsidRPr="0034235E">
            <w:rPr>
              <w:rFonts w:ascii="Arial" w:hAnsi="Arial" w:cs="Arial"/>
            </w:rPr>
            <w:t>Overall, Milton Sandford Wines Ltd. is well-positioned to succeed and expand in a growing company industry (</w:t>
          </w:r>
          <w:r w:rsidRPr="0034235E">
            <w:rPr>
              <w:rFonts w:ascii="Arial" w:hAnsi="Arial" w:cs="Arial"/>
              <w:color w:val="222222"/>
              <w:shd w:val="clear" w:color="auto" w:fill="FFFFFF"/>
            </w:rPr>
            <w:t>Ouvrard et al., 2020)</w:t>
          </w:r>
          <w:r w:rsidRPr="0034235E">
            <w:rPr>
              <w:rFonts w:ascii="Arial" w:hAnsi="Arial" w:cs="Arial"/>
            </w:rPr>
            <w:t>. Vital preparedness, ecological awareness, and a promise of greatness distinguish the company from other SMEs. Milton Sandford Wines Ltd. should implement the ideas to keep ahead in the changing wine sector.</w:t>
          </w:r>
        </w:p>
        <w:p w14:paraId="547D3458" w14:textId="77777777" w:rsidR="006131DE" w:rsidRDefault="006131DE" w:rsidP="0034235E">
          <w:pPr>
            <w:spacing w:line="360" w:lineRule="auto"/>
            <w:rPr>
              <w:rFonts w:ascii="Arial" w:hAnsi="Arial" w:cs="Arial"/>
            </w:rPr>
          </w:pPr>
        </w:p>
        <w:p w14:paraId="2D1299DF" w14:textId="77777777" w:rsidR="00244971" w:rsidRDefault="00244971" w:rsidP="0034235E">
          <w:pPr>
            <w:spacing w:line="360" w:lineRule="auto"/>
            <w:rPr>
              <w:rFonts w:ascii="Arial" w:hAnsi="Arial" w:cs="Arial"/>
            </w:rPr>
          </w:pPr>
        </w:p>
        <w:p w14:paraId="1CA688C3" w14:textId="77777777" w:rsidR="00244971" w:rsidRDefault="00244971" w:rsidP="0034235E">
          <w:pPr>
            <w:spacing w:line="360" w:lineRule="auto"/>
            <w:rPr>
              <w:rFonts w:ascii="Arial" w:hAnsi="Arial" w:cs="Arial"/>
            </w:rPr>
          </w:pPr>
        </w:p>
        <w:p w14:paraId="195A7963" w14:textId="77777777" w:rsidR="00244971" w:rsidRDefault="00244971" w:rsidP="0034235E">
          <w:pPr>
            <w:spacing w:line="360" w:lineRule="auto"/>
            <w:rPr>
              <w:rFonts w:ascii="Arial" w:hAnsi="Arial" w:cs="Arial"/>
            </w:rPr>
          </w:pPr>
        </w:p>
        <w:p w14:paraId="4058C3F9" w14:textId="77777777" w:rsidR="00244971" w:rsidRDefault="00244971" w:rsidP="0034235E">
          <w:pPr>
            <w:spacing w:line="360" w:lineRule="auto"/>
            <w:rPr>
              <w:rFonts w:ascii="Arial" w:hAnsi="Arial" w:cs="Arial"/>
            </w:rPr>
          </w:pPr>
        </w:p>
        <w:p w14:paraId="785CD7A6" w14:textId="77777777" w:rsidR="00244971" w:rsidRPr="0034235E" w:rsidRDefault="00244971" w:rsidP="0034235E">
          <w:pPr>
            <w:spacing w:line="360" w:lineRule="auto"/>
            <w:rPr>
              <w:rFonts w:ascii="Arial" w:hAnsi="Arial" w:cs="Arial"/>
            </w:rPr>
          </w:pPr>
        </w:p>
        <w:p w14:paraId="2874DE48" w14:textId="599E07BD" w:rsidR="00BD0C27" w:rsidRPr="0034235E" w:rsidRDefault="00CE6BFB" w:rsidP="0034235E">
          <w:pPr>
            <w:pStyle w:val="Heading3"/>
            <w:spacing w:line="360" w:lineRule="auto"/>
            <w:rPr>
              <w:rFonts w:ascii="Arial" w:hAnsi="Arial" w:cs="Arial"/>
              <w:b/>
              <w:bCs/>
              <w:color w:val="000000" w:themeColor="text1"/>
              <w:sz w:val="22"/>
              <w:szCs w:val="22"/>
              <w:lang w:val="en-IN" w:eastAsia="en-GB"/>
            </w:rPr>
          </w:pPr>
          <w:bookmarkStart w:id="16" w:name="_Toc160750396"/>
          <w:r w:rsidRPr="0034235E">
            <w:rPr>
              <w:rFonts w:ascii="Arial" w:hAnsi="Arial" w:cs="Arial"/>
              <w:b/>
              <w:bCs/>
              <w:color w:val="000000" w:themeColor="text1"/>
              <w:sz w:val="22"/>
              <w:szCs w:val="22"/>
              <w:lang w:val="en-IN" w:eastAsia="en-GB"/>
            </w:rPr>
            <w:lastRenderedPageBreak/>
            <w:t>8. References</w:t>
          </w:r>
          <w:bookmarkEnd w:id="16"/>
        </w:p>
        <w:p w14:paraId="268032D8" w14:textId="48568497"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Bandinelli, R., Acuti, D., Fani, V., Bindi, B. and Aiello, G.,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2020</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Environmental practices in the wine industry: an overview of the Italian market. British Food Journal</w:t>
          </w:r>
          <w:r w:rsidRPr="0034235E">
            <w:rPr>
              <w:rFonts w:ascii="Arial" w:hAnsi="Arial" w:cs="Arial"/>
              <w:color w:val="222222"/>
              <w:shd w:val="clear" w:color="auto" w:fill="FFFFFF"/>
            </w:rPr>
            <w:t xml:space="preserve">, 122(5), pp.1625-1646. </w:t>
          </w:r>
          <w:r w:rsidR="002A1795" w:rsidRPr="0034235E">
            <w:rPr>
              <w:rFonts w:ascii="Arial" w:hAnsi="Arial" w:cs="Arial"/>
              <w:color w:val="222222"/>
              <w:shd w:val="clear" w:color="auto" w:fill="FFFFFF"/>
            </w:rPr>
            <w:t xml:space="preserve">Available at: </w:t>
          </w:r>
          <w:hyperlink r:id="rId24" w:history="1">
            <w:r w:rsidRPr="0034235E">
              <w:rPr>
                <w:rStyle w:val="Hyperlink"/>
                <w:rFonts w:ascii="Arial" w:hAnsi="Arial" w:cs="Arial"/>
                <w:shd w:val="clear" w:color="auto" w:fill="FFFFFF"/>
              </w:rPr>
              <w:t>https://www.emerald.com/insight/content/doi/10.1108/BFJ-08-2019-0653/full/html</w:t>
            </w:r>
          </w:hyperlink>
          <w:r w:rsidRPr="0034235E">
            <w:rPr>
              <w:rFonts w:ascii="Arial" w:hAnsi="Arial" w:cs="Arial"/>
              <w:color w:val="222222"/>
              <w:shd w:val="clear" w:color="auto" w:fill="FFFFFF"/>
            </w:rPr>
            <w:t xml:space="preserve"> </w:t>
          </w:r>
          <w:r w:rsidR="00E24FDF" w:rsidRPr="0034235E">
            <w:rPr>
              <w:rFonts w:ascii="Arial" w:hAnsi="Arial" w:cs="Arial"/>
              <w:shd w:val="clear" w:color="auto" w:fill="FFFFFF"/>
            </w:rPr>
            <w:t>(Accessed: 28.02.2024)</w:t>
          </w:r>
        </w:p>
        <w:p w14:paraId="1F2B5546" w14:textId="3A297690" w:rsidR="00BD0C27" w:rsidRPr="0034235E" w:rsidRDefault="00BD0C27" w:rsidP="0034235E">
          <w:pPr>
            <w:spacing w:after="240" w:line="360" w:lineRule="auto"/>
            <w:jc w:val="both"/>
            <w:rPr>
              <w:rFonts w:ascii="Arial" w:hAnsi="Arial" w:cs="Arial"/>
              <w:shd w:val="clear" w:color="auto" w:fill="FFFFFF"/>
            </w:rPr>
          </w:pPr>
          <w:r w:rsidRPr="0034235E">
            <w:rPr>
              <w:rFonts w:ascii="Arial" w:hAnsi="Arial" w:cs="Arial"/>
              <w:color w:val="222222"/>
              <w:shd w:val="clear" w:color="auto" w:fill="FFFFFF"/>
            </w:rPr>
            <w:t xml:space="preserve">Benzaghta, M.A., Elwalda, A., Mousa, M.M., Erkan, I. and Rahman, M.,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SWOT analysis applications: An integrative literature review. Journal of Global Business Insights</w:t>
          </w:r>
          <w:r w:rsidRPr="0034235E">
            <w:rPr>
              <w:rFonts w:ascii="Arial" w:hAnsi="Arial" w:cs="Arial"/>
              <w:color w:val="222222"/>
              <w:shd w:val="clear" w:color="auto" w:fill="FFFFFF"/>
            </w:rPr>
            <w:t>, </w:t>
          </w:r>
          <w:r w:rsidRPr="0034235E">
            <w:rPr>
              <w:rFonts w:ascii="Arial" w:hAnsi="Arial" w:cs="Arial"/>
              <w:i/>
              <w:iCs/>
              <w:color w:val="222222"/>
              <w:shd w:val="clear" w:color="auto" w:fill="FFFFFF"/>
            </w:rPr>
            <w:t>6</w:t>
          </w:r>
          <w:r w:rsidRPr="0034235E">
            <w:rPr>
              <w:rFonts w:ascii="Arial" w:hAnsi="Arial" w:cs="Arial"/>
              <w:color w:val="222222"/>
              <w:shd w:val="clear" w:color="auto" w:fill="FFFFFF"/>
            </w:rPr>
            <w:t>(1), pp.55-73.</w:t>
          </w:r>
          <w:r w:rsidRPr="0034235E">
            <w:rPr>
              <w:rFonts w:ascii="Arial" w:hAnsi="Arial" w:cs="Arial"/>
            </w:rPr>
            <w:t xml:space="preserve"> </w:t>
          </w:r>
          <w:r w:rsidR="002A1795" w:rsidRPr="0034235E">
            <w:rPr>
              <w:rFonts w:ascii="Arial" w:hAnsi="Arial" w:cs="Arial"/>
              <w:color w:val="222222"/>
              <w:shd w:val="clear" w:color="auto" w:fill="FFFFFF"/>
            </w:rPr>
            <w:t xml:space="preserve">Available at: </w:t>
          </w:r>
          <w:hyperlink r:id="rId25" w:history="1">
            <w:r w:rsidRPr="0034235E">
              <w:rPr>
                <w:rStyle w:val="Hyperlink"/>
                <w:rFonts w:ascii="Arial" w:hAnsi="Arial" w:cs="Arial"/>
                <w:shd w:val="clear" w:color="auto" w:fill="FFFFFF"/>
              </w:rPr>
              <w:t>https://digitalcommons.usf.edu/globe/vol6/iss1/5/</w:t>
            </w:r>
          </w:hyperlink>
          <w:r w:rsidR="00E24FDF" w:rsidRPr="0034235E">
            <w:rPr>
              <w:rStyle w:val="Hyperlink"/>
              <w:rFonts w:ascii="Arial" w:hAnsi="Arial" w:cs="Arial"/>
              <w:shd w:val="clear" w:color="auto" w:fill="FFFFFF"/>
            </w:rPr>
            <w:t xml:space="preserve"> </w:t>
          </w:r>
          <w:r w:rsidR="00E24FDF" w:rsidRPr="0034235E">
            <w:rPr>
              <w:rFonts w:ascii="Arial" w:hAnsi="Arial" w:cs="Arial"/>
              <w:shd w:val="clear" w:color="auto" w:fill="FFFFFF"/>
            </w:rPr>
            <w:t>(Accessed: 01.03.2024)</w:t>
          </w:r>
        </w:p>
        <w:p w14:paraId="39AFCC56" w14:textId="6AB85B9A" w:rsidR="005D0B0E" w:rsidRPr="0034235E" w:rsidRDefault="005D0B0E" w:rsidP="0034235E">
          <w:pPr>
            <w:spacing w:line="360" w:lineRule="auto"/>
            <w:jc w:val="both"/>
            <w:rPr>
              <w:rFonts w:ascii="Arial" w:hAnsi="Arial" w:cs="Arial"/>
            </w:rPr>
          </w:pPr>
          <w:r w:rsidRPr="0034235E">
            <w:rPr>
              <w:rFonts w:ascii="Arial" w:hAnsi="Arial" w:cs="Arial"/>
            </w:rPr>
            <w:t xml:space="preserve">BITESIZE (n.d) Business stakeholders. Available at: </w:t>
          </w:r>
          <w:hyperlink r:id="rId26" w:history="1">
            <w:r w:rsidRPr="0034235E">
              <w:rPr>
                <w:rStyle w:val="Hyperlink"/>
                <w:rFonts w:ascii="Arial" w:hAnsi="Arial" w:cs="Arial"/>
              </w:rPr>
              <w:t>https://www.bbc.co.uk/bitesize/guides/z6scbdm/revision/1</w:t>
            </w:r>
          </w:hyperlink>
          <w:r w:rsidRPr="0034235E">
            <w:rPr>
              <w:rFonts w:ascii="Arial" w:hAnsi="Arial" w:cs="Arial"/>
            </w:rPr>
            <w:t xml:space="preserve">  (Accessed: 04.03.2024).</w:t>
          </w:r>
        </w:p>
        <w:p w14:paraId="5C7318DF" w14:textId="62C54F26"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Dressler, M. and Paunovic, I.,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A typology of winery SME brand strategies with implications for sustainability communication and co-creation. Sustainability</w:t>
          </w:r>
          <w:r w:rsidRPr="0034235E">
            <w:rPr>
              <w:rFonts w:ascii="Arial" w:hAnsi="Arial" w:cs="Arial"/>
              <w:color w:val="222222"/>
              <w:shd w:val="clear" w:color="auto" w:fill="FFFFFF"/>
            </w:rPr>
            <w:t>, 13(2), p.805.</w:t>
          </w:r>
          <w:r w:rsidR="002A1795" w:rsidRPr="0034235E">
            <w:rPr>
              <w:rFonts w:ascii="Arial" w:hAnsi="Arial" w:cs="Arial"/>
              <w:color w:val="222222"/>
              <w:shd w:val="clear" w:color="auto" w:fill="FFFFFF"/>
            </w:rPr>
            <w:t xml:space="preserve"> Available at: </w:t>
          </w:r>
          <w:r w:rsidRPr="0034235E">
            <w:rPr>
              <w:rFonts w:ascii="Arial" w:hAnsi="Arial" w:cs="Arial"/>
              <w:color w:val="222222"/>
              <w:shd w:val="clear" w:color="auto" w:fill="FFFFFF"/>
            </w:rPr>
            <w:t xml:space="preserve"> </w:t>
          </w:r>
          <w:hyperlink r:id="rId27" w:history="1">
            <w:r w:rsidRPr="0034235E">
              <w:rPr>
                <w:rStyle w:val="Hyperlink"/>
                <w:rFonts w:ascii="Arial" w:hAnsi="Arial" w:cs="Arial"/>
                <w:shd w:val="clear" w:color="auto" w:fill="FFFFFF"/>
              </w:rPr>
              <w:t>https://www.mdpi.com/2071-1050/13/2/805</w:t>
            </w:r>
          </w:hyperlink>
          <w:r w:rsidRPr="0034235E">
            <w:rPr>
              <w:rFonts w:ascii="Arial" w:hAnsi="Arial" w:cs="Arial"/>
              <w:color w:val="222222"/>
              <w:shd w:val="clear" w:color="auto" w:fill="FFFFFF"/>
            </w:rPr>
            <w:t xml:space="preserve"> </w:t>
          </w:r>
          <w:r w:rsidR="00D27D63" w:rsidRPr="0034235E">
            <w:rPr>
              <w:rFonts w:ascii="Arial" w:hAnsi="Arial" w:cs="Arial"/>
              <w:shd w:val="clear" w:color="auto" w:fill="FFFFFF"/>
            </w:rPr>
            <w:t>(Accessed: 29.02.2024)</w:t>
          </w:r>
        </w:p>
        <w:p w14:paraId="468E16ED" w14:textId="09E60E4F"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Fitchuk, C.,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Creating a Sustainable Business Strategy for a SME</w:t>
          </w:r>
          <w:r w:rsidRPr="0034235E">
            <w:rPr>
              <w:rFonts w:ascii="Arial" w:hAnsi="Arial" w:cs="Arial"/>
              <w:color w:val="222222"/>
              <w:shd w:val="clear" w:color="auto" w:fill="FFFFFF"/>
            </w:rPr>
            <w:t>.</w:t>
          </w:r>
          <w:r w:rsidRPr="0034235E">
            <w:rPr>
              <w:rFonts w:ascii="Arial" w:hAnsi="Arial" w:cs="Arial"/>
            </w:rPr>
            <w:t xml:space="preserve"> </w:t>
          </w:r>
          <w:r w:rsidR="003B0658" w:rsidRPr="0034235E">
            <w:rPr>
              <w:rFonts w:ascii="Arial" w:hAnsi="Arial" w:cs="Arial"/>
              <w:color w:val="222222"/>
              <w:shd w:val="clear" w:color="auto" w:fill="FFFFFF"/>
            </w:rPr>
            <w:t xml:space="preserve">Available at: </w:t>
          </w:r>
          <w:hyperlink r:id="rId28" w:history="1">
            <w:r w:rsidRPr="0034235E">
              <w:rPr>
                <w:rStyle w:val="Hyperlink"/>
                <w:rFonts w:ascii="Arial" w:hAnsi="Arial" w:cs="Arial"/>
                <w:shd w:val="clear" w:color="auto" w:fill="FFFFFF"/>
              </w:rPr>
              <w:t>https://www.theseus.fi/bitstream/handle/10024/504296/Fitchuk.Courtney.pdf?sequence=2&amp;isAllowed=y</w:t>
            </w:r>
          </w:hyperlink>
          <w:r w:rsidR="00D27D63" w:rsidRPr="0034235E">
            <w:rPr>
              <w:rStyle w:val="Hyperlink"/>
              <w:rFonts w:ascii="Arial" w:hAnsi="Arial" w:cs="Arial"/>
              <w:shd w:val="clear" w:color="auto" w:fill="FFFFFF"/>
            </w:rPr>
            <w:t xml:space="preserve"> </w:t>
          </w:r>
          <w:r w:rsidR="00D27D63" w:rsidRPr="0034235E">
            <w:rPr>
              <w:rFonts w:ascii="Arial" w:hAnsi="Arial" w:cs="Arial"/>
              <w:shd w:val="clear" w:color="auto" w:fill="FFFFFF"/>
            </w:rPr>
            <w:t>(Accessed: 27.02.2024)</w:t>
          </w:r>
        </w:p>
        <w:p w14:paraId="54125BDC" w14:textId="467A5A5E"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Gilinsky Jr, A., Newton, S.K. and Vega, R.F.,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2016</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Sustainability in the global wine industry: Concepts and cases. Agriculture and agricultural science procedia,</w:t>
          </w:r>
          <w:r w:rsidRPr="0034235E">
            <w:rPr>
              <w:rFonts w:ascii="Arial" w:hAnsi="Arial" w:cs="Arial"/>
              <w:color w:val="222222"/>
              <w:shd w:val="clear" w:color="auto" w:fill="FFFFFF"/>
            </w:rPr>
            <w:t xml:space="preserve"> 8, pp.37-49. </w:t>
          </w:r>
          <w:r w:rsidR="002A1795" w:rsidRPr="0034235E">
            <w:rPr>
              <w:rFonts w:ascii="Arial" w:hAnsi="Arial" w:cs="Arial"/>
              <w:color w:val="222222"/>
              <w:shd w:val="clear" w:color="auto" w:fill="FFFFFF"/>
            </w:rPr>
            <w:t xml:space="preserve">Available at: </w:t>
          </w:r>
          <w:hyperlink r:id="rId29" w:history="1">
            <w:r w:rsidRPr="0034235E">
              <w:rPr>
                <w:rStyle w:val="Hyperlink"/>
                <w:rFonts w:ascii="Arial" w:hAnsi="Arial" w:cs="Arial"/>
                <w:shd w:val="clear" w:color="auto" w:fill="FFFFFF"/>
              </w:rPr>
              <w:t>https://www.sciencedirect.com/science/article/pii/S2210784316300067</w:t>
            </w:r>
          </w:hyperlink>
          <w:r w:rsidRPr="0034235E">
            <w:rPr>
              <w:rFonts w:ascii="Arial" w:hAnsi="Arial" w:cs="Arial"/>
              <w:color w:val="222222"/>
              <w:shd w:val="clear" w:color="auto" w:fill="FFFFFF"/>
            </w:rPr>
            <w:t xml:space="preserve">   </w:t>
          </w:r>
          <w:r w:rsidR="00D27D63" w:rsidRPr="0034235E">
            <w:rPr>
              <w:rFonts w:ascii="Arial" w:hAnsi="Arial" w:cs="Arial"/>
              <w:shd w:val="clear" w:color="auto" w:fill="FFFFFF"/>
            </w:rPr>
            <w:t>(Accessed: 27.02.2024)</w:t>
          </w:r>
        </w:p>
        <w:p w14:paraId="5F5AF7FD" w14:textId="2017FD18" w:rsidR="00BD0C27" w:rsidRPr="0034235E" w:rsidRDefault="00BD0C27" w:rsidP="0034235E">
          <w:pPr>
            <w:spacing w:after="240" w:line="360" w:lineRule="auto"/>
            <w:jc w:val="both"/>
            <w:rPr>
              <w:rFonts w:ascii="Arial" w:hAnsi="Arial" w:cs="Arial"/>
              <w:shd w:val="clear" w:color="auto" w:fill="FFFFFF"/>
            </w:rPr>
          </w:pPr>
          <w:r w:rsidRPr="0034235E">
            <w:rPr>
              <w:rFonts w:ascii="Arial" w:hAnsi="Arial" w:cs="Arial"/>
              <w:color w:val="222222"/>
              <w:shd w:val="clear" w:color="auto" w:fill="FFFFFF"/>
            </w:rPr>
            <w:t xml:space="preserve">Guerola-Navarro, V., Oltra-Badenes, R., Gil-Gomez, H. and Fernández, A.I.,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Customer relationship management (CRM) and Innovation: </w:t>
          </w:r>
          <w:r w:rsidRPr="0034235E">
            <w:rPr>
              <w:rFonts w:ascii="Arial" w:hAnsi="Arial" w:cs="Arial"/>
              <w:i/>
              <w:iCs/>
              <w:color w:val="222222"/>
              <w:shd w:val="clear" w:color="auto" w:fill="FFFFFF"/>
            </w:rPr>
            <w:t>A qualitative comparative analysis (QCA) in the search for improvements on the firm performance in winery sector. Technological Forecasting and Social Change</w:t>
          </w:r>
          <w:r w:rsidRPr="0034235E">
            <w:rPr>
              <w:rFonts w:ascii="Arial" w:hAnsi="Arial" w:cs="Arial"/>
              <w:color w:val="222222"/>
              <w:shd w:val="clear" w:color="auto" w:fill="FFFFFF"/>
            </w:rPr>
            <w:t xml:space="preserve">, 169, p.120838. </w:t>
          </w:r>
          <w:r w:rsidR="003B0658" w:rsidRPr="0034235E">
            <w:rPr>
              <w:rFonts w:ascii="Arial" w:hAnsi="Arial" w:cs="Arial"/>
              <w:color w:val="222222"/>
              <w:shd w:val="clear" w:color="auto" w:fill="FFFFFF"/>
            </w:rPr>
            <w:t xml:space="preserve">Available at: </w:t>
          </w:r>
          <w:hyperlink r:id="rId30" w:history="1">
            <w:r w:rsidR="003B0658" w:rsidRPr="0034235E">
              <w:rPr>
                <w:rStyle w:val="Hyperlink"/>
                <w:rFonts w:ascii="Arial" w:hAnsi="Arial" w:cs="Arial"/>
                <w:shd w:val="clear" w:color="auto" w:fill="FFFFFF"/>
              </w:rPr>
              <w:t>https://www.sciencedirect.com/science/article/pii/S0040162521002705</w:t>
            </w:r>
          </w:hyperlink>
          <w:r w:rsidRPr="0034235E">
            <w:rPr>
              <w:rFonts w:ascii="Arial" w:hAnsi="Arial" w:cs="Arial"/>
              <w:color w:val="222222"/>
              <w:shd w:val="clear" w:color="auto" w:fill="FFFFFF"/>
            </w:rPr>
            <w:t xml:space="preserve"> </w:t>
          </w:r>
          <w:r w:rsidR="00D27D63" w:rsidRPr="0034235E">
            <w:rPr>
              <w:rFonts w:ascii="Arial" w:hAnsi="Arial" w:cs="Arial"/>
              <w:shd w:val="clear" w:color="auto" w:fill="FFFFFF"/>
            </w:rPr>
            <w:t>(Accessed: 01.03.2024)</w:t>
          </w:r>
        </w:p>
        <w:p w14:paraId="5A97D1DC" w14:textId="52E9F9E0" w:rsidR="00D3692C" w:rsidRPr="0034235E" w:rsidRDefault="00D3692C" w:rsidP="0034235E">
          <w:pPr>
            <w:spacing w:line="360" w:lineRule="auto"/>
            <w:jc w:val="both"/>
            <w:rPr>
              <w:rFonts w:ascii="Arial" w:hAnsi="Arial" w:cs="Arial"/>
              <w:color w:val="000000" w:themeColor="text1"/>
              <w:lang w:val="en-US"/>
            </w:rPr>
          </w:pPr>
          <w:r w:rsidRPr="0034235E">
            <w:rPr>
              <w:rFonts w:ascii="Arial" w:hAnsi="Arial" w:cs="Arial"/>
              <w:lang w:val="en-US"/>
            </w:rPr>
            <w:t xml:space="preserve">Haan S. </w:t>
          </w:r>
          <w:r w:rsidR="000C49C2" w:rsidRPr="0034235E">
            <w:rPr>
              <w:rFonts w:ascii="Arial" w:hAnsi="Arial" w:cs="Arial"/>
              <w:lang w:val="en-US"/>
            </w:rPr>
            <w:t>(</w:t>
          </w:r>
          <w:r w:rsidRPr="0034235E">
            <w:rPr>
              <w:rFonts w:ascii="Arial" w:hAnsi="Arial" w:cs="Arial"/>
              <w:lang w:val="en-US"/>
            </w:rPr>
            <w:t>2023)</w:t>
          </w:r>
          <w:r w:rsidR="000C49C2" w:rsidRPr="0034235E">
            <w:rPr>
              <w:rFonts w:ascii="Arial" w:hAnsi="Arial" w:cs="Arial"/>
              <w:lang w:val="en-US"/>
            </w:rPr>
            <w:t xml:space="preserve">. </w:t>
          </w:r>
          <w:r w:rsidR="000C49C2" w:rsidRPr="0034235E">
            <w:rPr>
              <w:rFonts w:ascii="Arial" w:hAnsi="Arial" w:cs="Arial"/>
              <w:i/>
              <w:iCs/>
              <w:lang w:val="en-US"/>
            </w:rPr>
            <w:t>Swot Analysis</w:t>
          </w:r>
          <w:r w:rsidR="002A1795" w:rsidRPr="0034235E">
            <w:rPr>
              <w:rFonts w:ascii="Arial" w:hAnsi="Arial" w:cs="Arial"/>
              <w:i/>
              <w:iCs/>
              <w:lang w:val="en-US"/>
            </w:rPr>
            <w:t xml:space="preserve"> </w:t>
          </w:r>
          <w:r w:rsidR="002A1795" w:rsidRPr="0034235E">
            <w:rPr>
              <w:rFonts w:ascii="Arial" w:hAnsi="Arial" w:cs="Arial"/>
              <w:color w:val="222222"/>
              <w:shd w:val="clear" w:color="auto" w:fill="FFFFFF"/>
            </w:rPr>
            <w:t xml:space="preserve">Available at: </w:t>
          </w:r>
          <w:r w:rsidRPr="0034235E">
            <w:rPr>
              <w:rFonts w:ascii="Arial" w:hAnsi="Arial" w:cs="Arial"/>
              <w:lang w:val="en-US"/>
            </w:rPr>
            <w:t xml:space="preserve"> </w:t>
          </w:r>
          <w:hyperlink r:id="rId31" w:history="1">
            <w:r w:rsidR="002A1795" w:rsidRPr="0034235E">
              <w:rPr>
                <w:rStyle w:val="Hyperlink"/>
                <w:rFonts w:ascii="Arial" w:hAnsi="Arial" w:cs="Arial"/>
                <w:lang w:val="en-US"/>
              </w:rPr>
              <w:t>https://www.cipd.org/uk/knowledge/factsheets/swot-analysis-factsheet/</w:t>
            </w:r>
          </w:hyperlink>
          <w:r w:rsidR="002A1795" w:rsidRPr="0034235E">
            <w:rPr>
              <w:rFonts w:ascii="Arial" w:hAnsi="Arial" w:cs="Arial"/>
              <w:color w:val="0070C0"/>
              <w:lang w:val="en-US"/>
            </w:rPr>
            <w:t xml:space="preserve">  </w:t>
          </w:r>
          <w:r w:rsidR="002A1795" w:rsidRPr="0034235E">
            <w:rPr>
              <w:rFonts w:ascii="Arial" w:hAnsi="Arial" w:cs="Arial"/>
              <w:color w:val="000000" w:themeColor="text1"/>
              <w:lang w:val="en-US"/>
            </w:rPr>
            <w:t>(Accessed: 04.03.2024)</w:t>
          </w:r>
        </w:p>
        <w:p w14:paraId="3FE8826C" w14:textId="06EA8533" w:rsidR="00BD0C27" w:rsidRPr="0034235E" w:rsidRDefault="00BD0C27" w:rsidP="0034235E">
          <w:pPr>
            <w:spacing w:after="240" w:line="360" w:lineRule="auto"/>
            <w:jc w:val="both"/>
            <w:rPr>
              <w:rFonts w:ascii="Arial" w:hAnsi="Arial" w:cs="Arial"/>
              <w:shd w:val="clear" w:color="auto" w:fill="FFFFFF"/>
            </w:rPr>
          </w:pPr>
          <w:r w:rsidRPr="0034235E">
            <w:rPr>
              <w:rFonts w:ascii="Arial" w:hAnsi="Arial" w:cs="Arial"/>
              <w:color w:val="222222"/>
              <w:shd w:val="clear" w:color="auto" w:fill="FFFFFF"/>
            </w:rPr>
            <w:t xml:space="preserve">Jatmiko, B., Udin, U.D.I.N., Raharti, R., Laras, T. and Ardhi, K.F.,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Strategies for MSMEs to achieve sustainable competitive advantage: The SWOT analysis method. </w:t>
          </w:r>
          <w:r w:rsidRPr="0034235E">
            <w:rPr>
              <w:rFonts w:ascii="Arial" w:hAnsi="Arial" w:cs="Arial"/>
              <w:i/>
              <w:iCs/>
              <w:color w:val="222222"/>
              <w:shd w:val="clear" w:color="auto" w:fill="FFFFFF"/>
            </w:rPr>
            <w:t>The Journal of Asian Finance, Economics and Business,</w:t>
          </w:r>
          <w:r w:rsidRPr="0034235E">
            <w:rPr>
              <w:rFonts w:ascii="Arial" w:hAnsi="Arial" w:cs="Arial"/>
              <w:color w:val="222222"/>
              <w:shd w:val="clear" w:color="auto" w:fill="FFFFFF"/>
            </w:rPr>
            <w:t> </w:t>
          </w:r>
          <w:r w:rsidRPr="0034235E">
            <w:rPr>
              <w:rFonts w:ascii="Arial" w:hAnsi="Arial" w:cs="Arial"/>
              <w:i/>
              <w:iCs/>
              <w:color w:val="222222"/>
              <w:shd w:val="clear" w:color="auto" w:fill="FFFFFF"/>
            </w:rPr>
            <w:t>8</w:t>
          </w:r>
          <w:r w:rsidRPr="0034235E">
            <w:rPr>
              <w:rFonts w:ascii="Arial" w:hAnsi="Arial" w:cs="Arial"/>
              <w:color w:val="222222"/>
              <w:shd w:val="clear" w:color="auto" w:fill="FFFFFF"/>
            </w:rPr>
            <w:t>(3), pp.505-515.</w:t>
          </w:r>
          <w:r w:rsidR="00195E78" w:rsidRPr="0034235E">
            <w:rPr>
              <w:rFonts w:ascii="Arial" w:hAnsi="Arial" w:cs="Arial"/>
              <w:color w:val="222222"/>
              <w:shd w:val="clear" w:color="auto" w:fill="FFFFFF"/>
            </w:rPr>
            <w:t xml:space="preserve"> Available at: </w:t>
          </w:r>
          <w:r w:rsidRPr="0034235E">
            <w:rPr>
              <w:rFonts w:ascii="Arial" w:hAnsi="Arial" w:cs="Arial"/>
            </w:rPr>
            <w:t xml:space="preserve"> </w:t>
          </w:r>
          <w:hyperlink r:id="rId32" w:history="1">
            <w:r w:rsidRPr="0034235E">
              <w:rPr>
                <w:rStyle w:val="Hyperlink"/>
                <w:rFonts w:ascii="Arial" w:hAnsi="Arial" w:cs="Arial"/>
                <w:shd w:val="clear" w:color="auto" w:fill="FFFFFF"/>
              </w:rPr>
              <w:t>https://d1wqtxts1xzle7.cloudfront.net/78779121/JAKO202106438543417-libre.pdf?1642236953=&amp;response-content-disposition=inline%3B+filename%3DStrategies_for_MSMEs_to_Achieve_Sustaina.pdf&amp;Expires=1707462644&amp;Signature=H4jG~OaIAoBneUQ7c7mRT36ajbXb40k3tGO8Xfi6ibUx4Eyu8mZfhc0Nnk42ijbotI6VnTlS-MehJyL2S3q3XfODiAcFSO00A85wtaroR-</w:t>
            </w:r>
            <w:r w:rsidRPr="0034235E">
              <w:rPr>
                <w:rStyle w:val="Hyperlink"/>
                <w:rFonts w:ascii="Arial" w:hAnsi="Arial" w:cs="Arial"/>
                <w:shd w:val="clear" w:color="auto" w:fill="FFFFFF"/>
              </w:rPr>
              <w:lastRenderedPageBreak/>
              <w:t>jo4B7CbsnIXjqBKabCVqsod3Jfdk1Z4MaoITxfgW626n6lHhcJuTaCZduq8pob69xeX0SZy1xO86ejepsnE8NKlXMZeHdecxLAdTy9xLT3PVwE7AoC0c0fOJJt6IRO6sv506WVT4x8yjsIULTUIBmp04Ote7NKGN9Ud-Yp6jxJNraos~lB~-gdAMd4~kckXxz17FIbEcGRWck90gzVjJbe6XUBV4Td0k6d3-PkFnrP7w__&amp;Key-Pair-Id=APKAJLOHF5GGSLRBV4ZA</w:t>
            </w:r>
          </w:hyperlink>
          <w:r w:rsidR="00D27D63" w:rsidRPr="0034235E">
            <w:rPr>
              <w:rStyle w:val="Hyperlink"/>
              <w:rFonts w:ascii="Arial" w:hAnsi="Arial" w:cs="Arial"/>
              <w:shd w:val="clear" w:color="auto" w:fill="FFFFFF"/>
            </w:rPr>
            <w:t xml:space="preserve"> </w:t>
          </w:r>
          <w:r w:rsidR="00D27D63" w:rsidRPr="0034235E">
            <w:rPr>
              <w:rFonts w:ascii="Arial" w:hAnsi="Arial" w:cs="Arial"/>
              <w:shd w:val="clear" w:color="auto" w:fill="FFFFFF"/>
            </w:rPr>
            <w:t>(Accessed: 27.02.2024)</w:t>
          </w:r>
          <w:r w:rsidR="00CD2232" w:rsidRPr="0034235E">
            <w:rPr>
              <w:rFonts w:ascii="Arial" w:hAnsi="Arial" w:cs="Arial"/>
              <w:shd w:val="clear" w:color="auto" w:fill="FFFFFF"/>
            </w:rPr>
            <w:t>.</w:t>
          </w:r>
        </w:p>
        <w:p w14:paraId="5F5BBCBC" w14:textId="5512D199" w:rsidR="001938CA" w:rsidRPr="0034235E" w:rsidRDefault="001938CA" w:rsidP="0034235E">
          <w:pPr>
            <w:spacing w:after="240" w:line="360" w:lineRule="auto"/>
            <w:jc w:val="both"/>
            <w:rPr>
              <w:rFonts w:ascii="Arial" w:hAnsi="Arial" w:cs="Arial"/>
              <w:color w:val="222222"/>
              <w:shd w:val="clear" w:color="auto" w:fill="FFFFFF"/>
            </w:rPr>
          </w:pPr>
          <w:r w:rsidRPr="0034235E">
            <w:rPr>
              <w:rFonts w:ascii="Arial" w:hAnsi="Arial" w:cs="Arial"/>
              <w:shd w:val="clear" w:color="auto" w:fill="FFFFFF"/>
            </w:rPr>
            <w:t xml:space="preserve">Kaplan Financial, (2020) </w:t>
          </w:r>
          <w:r w:rsidR="00873D71" w:rsidRPr="0034235E">
            <w:rPr>
              <w:rFonts w:ascii="Arial" w:hAnsi="Arial" w:cs="Arial"/>
              <w:shd w:val="clear" w:color="auto" w:fill="FFFFFF"/>
            </w:rPr>
            <w:t xml:space="preserve">Mendelow's matrix </w:t>
          </w:r>
          <w:r w:rsidR="00CD2232" w:rsidRPr="0034235E">
            <w:rPr>
              <w:rFonts w:ascii="Arial" w:hAnsi="Arial" w:cs="Arial"/>
              <w:shd w:val="clear" w:color="auto" w:fill="FFFFFF"/>
            </w:rPr>
            <w:t xml:space="preserve">Available at: </w:t>
          </w:r>
          <w:hyperlink r:id="rId33" w:history="1">
            <w:r w:rsidR="0047417D" w:rsidRPr="0034235E">
              <w:rPr>
                <w:rStyle w:val="Hyperlink"/>
                <w:rFonts w:ascii="Arial" w:hAnsi="Arial" w:cs="Arial"/>
                <w:shd w:val="clear" w:color="auto" w:fill="FFFFFF"/>
              </w:rPr>
              <w:t>https://kfknowledgebank.kaplan.co.uk/business-strategy/stakeholder-analysis/mendelows-matrix</w:t>
            </w:r>
          </w:hyperlink>
          <w:r w:rsidR="0047417D" w:rsidRPr="0034235E">
            <w:rPr>
              <w:rFonts w:ascii="Arial" w:hAnsi="Arial" w:cs="Arial"/>
              <w:shd w:val="clear" w:color="auto" w:fill="FFFFFF"/>
            </w:rPr>
            <w:t xml:space="preserve">  (</w:t>
          </w:r>
          <w:r w:rsidR="00CD2232" w:rsidRPr="0034235E">
            <w:rPr>
              <w:rFonts w:ascii="Arial" w:hAnsi="Arial" w:cs="Arial"/>
              <w:shd w:val="clear" w:color="auto" w:fill="FFFFFF"/>
            </w:rPr>
            <w:t>Accessed: 04.03.2024</w:t>
          </w:r>
          <w:r w:rsidR="0047417D" w:rsidRPr="0034235E">
            <w:rPr>
              <w:rFonts w:ascii="Arial" w:hAnsi="Arial" w:cs="Arial"/>
              <w:shd w:val="clear" w:color="auto" w:fill="FFFFFF"/>
            </w:rPr>
            <w:t>)</w:t>
          </w:r>
        </w:p>
        <w:p w14:paraId="55E03715" w14:textId="2446A805"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Kujala, J., Sachs, S., Leinonen, H., Heikkinen, A. and Laude, D.,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2022</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Stakeholder engagement: Past, present, and future. </w:t>
          </w:r>
          <w:r w:rsidRPr="0034235E">
            <w:rPr>
              <w:rFonts w:ascii="Arial" w:hAnsi="Arial" w:cs="Arial"/>
              <w:i/>
              <w:iCs/>
              <w:color w:val="222222"/>
              <w:shd w:val="clear" w:color="auto" w:fill="FFFFFF"/>
            </w:rPr>
            <w:t>Business &amp; Society</w:t>
          </w:r>
          <w:r w:rsidRPr="0034235E">
            <w:rPr>
              <w:rFonts w:ascii="Arial" w:hAnsi="Arial" w:cs="Arial"/>
              <w:color w:val="222222"/>
              <w:shd w:val="clear" w:color="auto" w:fill="FFFFFF"/>
            </w:rPr>
            <w:t>, </w:t>
          </w:r>
          <w:r w:rsidRPr="0034235E">
            <w:rPr>
              <w:rFonts w:ascii="Arial" w:hAnsi="Arial" w:cs="Arial"/>
              <w:i/>
              <w:iCs/>
              <w:color w:val="222222"/>
              <w:shd w:val="clear" w:color="auto" w:fill="FFFFFF"/>
            </w:rPr>
            <w:t>61</w:t>
          </w:r>
          <w:r w:rsidRPr="0034235E">
            <w:rPr>
              <w:rFonts w:ascii="Arial" w:hAnsi="Arial" w:cs="Arial"/>
              <w:color w:val="222222"/>
              <w:shd w:val="clear" w:color="auto" w:fill="FFFFFF"/>
            </w:rPr>
            <w:t>(5), pp.1136-1196.</w:t>
          </w:r>
          <w:r w:rsidRPr="0034235E">
            <w:rPr>
              <w:rFonts w:ascii="Arial" w:hAnsi="Arial" w:cs="Arial"/>
            </w:rPr>
            <w:t xml:space="preserve"> </w:t>
          </w:r>
          <w:r w:rsidR="00195E78" w:rsidRPr="0034235E">
            <w:rPr>
              <w:rFonts w:ascii="Arial" w:hAnsi="Arial" w:cs="Arial"/>
              <w:color w:val="222222"/>
              <w:shd w:val="clear" w:color="auto" w:fill="FFFFFF"/>
            </w:rPr>
            <w:t xml:space="preserve">Available at: </w:t>
          </w:r>
          <w:hyperlink r:id="rId34" w:history="1">
            <w:r w:rsidRPr="0034235E">
              <w:rPr>
                <w:rStyle w:val="Hyperlink"/>
                <w:rFonts w:ascii="Arial" w:hAnsi="Arial" w:cs="Arial"/>
                <w:shd w:val="clear" w:color="auto" w:fill="FFFFFF"/>
              </w:rPr>
              <w:t>https://journals.sagepub.com/doi/full/10.1177/00076503211066595</w:t>
            </w:r>
          </w:hyperlink>
          <w:r w:rsidR="00D27D63" w:rsidRPr="0034235E">
            <w:rPr>
              <w:rStyle w:val="Hyperlink"/>
              <w:rFonts w:ascii="Arial" w:hAnsi="Arial" w:cs="Arial"/>
              <w:shd w:val="clear" w:color="auto" w:fill="FFFFFF"/>
            </w:rPr>
            <w:t xml:space="preserve"> </w:t>
          </w:r>
          <w:r w:rsidR="00D27D63" w:rsidRPr="0034235E">
            <w:rPr>
              <w:rFonts w:ascii="Arial" w:hAnsi="Arial" w:cs="Arial"/>
              <w:shd w:val="clear" w:color="auto" w:fill="FFFFFF"/>
            </w:rPr>
            <w:t>(Accessed: 2</w:t>
          </w:r>
          <w:r w:rsidR="005C49CA" w:rsidRPr="0034235E">
            <w:rPr>
              <w:rFonts w:ascii="Arial" w:hAnsi="Arial" w:cs="Arial"/>
              <w:shd w:val="clear" w:color="auto" w:fill="FFFFFF"/>
            </w:rPr>
            <w:t>8</w:t>
          </w:r>
          <w:r w:rsidR="00D27D63" w:rsidRPr="0034235E">
            <w:rPr>
              <w:rFonts w:ascii="Arial" w:hAnsi="Arial" w:cs="Arial"/>
              <w:shd w:val="clear" w:color="auto" w:fill="FFFFFF"/>
            </w:rPr>
            <w:t>.02.2024)</w:t>
          </w:r>
        </w:p>
        <w:p w14:paraId="2F6F2A72" w14:textId="0D61E394" w:rsidR="00752B2A" w:rsidRPr="0034235E" w:rsidRDefault="00A53EC2" w:rsidP="0034235E">
          <w:pPr>
            <w:spacing w:after="240" w:line="360" w:lineRule="auto"/>
            <w:jc w:val="both"/>
            <w:rPr>
              <w:rFonts w:ascii="Arial" w:hAnsi="Arial" w:cs="Arial"/>
              <w:shd w:val="clear" w:color="auto" w:fill="FFFFFF"/>
            </w:rPr>
          </w:pPr>
          <w:r w:rsidRPr="0034235E">
            <w:rPr>
              <w:rFonts w:ascii="Arial" w:hAnsi="Arial" w:cs="Arial"/>
              <w:color w:val="222222"/>
              <w:shd w:val="clear" w:color="auto" w:fill="FFFFFF"/>
            </w:rPr>
            <w:t>MILTON SANDFORD WINES</w:t>
          </w:r>
          <w:r w:rsidR="005E071F" w:rsidRPr="0034235E">
            <w:rPr>
              <w:rFonts w:ascii="Arial" w:hAnsi="Arial" w:cs="Arial"/>
              <w:color w:val="222222"/>
              <w:shd w:val="clear" w:color="auto" w:fill="FFFFFF"/>
            </w:rPr>
            <w:t xml:space="preserve">, (2018) </w:t>
          </w:r>
          <w:r w:rsidR="002C33DB" w:rsidRPr="0034235E">
            <w:rPr>
              <w:rFonts w:ascii="Arial" w:hAnsi="Arial" w:cs="Arial"/>
              <w:i/>
              <w:iCs/>
              <w:color w:val="222222"/>
              <w:shd w:val="clear" w:color="auto" w:fill="FFFFFF"/>
            </w:rPr>
            <w:t xml:space="preserve">About Milton Sandford </w:t>
          </w:r>
          <w:r w:rsidR="002C33DB" w:rsidRPr="0034235E">
            <w:rPr>
              <w:rFonts w:ascii="Arial" w:hAnsi="Arial" w:cs="Arial"/>
              <w:i/>
              <w:iCs/>
              <w:shd w:val="clear" w:color="auto" w:fill="FFFFFF"/>
            </w:rPr>
            <w:t>Wines</w:t>
          </w:r>
          <w:r w:rsidR="00124EB5" w:rsidRPr="0034235E">
            <w:rPr>
              <w:rFonts w:ascii="Arial" w:hAnsi="Arial" w:cs="Arial"/>
              <w:shd w:val="clear" w:color="auto" w:fill="FFFFFF"/>
            </w:rPr>
            <w:t xml:space="preserve"> Available </w:t>
          </w:r>
          <w:r w:rsidR="005345DD" w:rsidRPr="0034235E">
            <w:rPr>
              <w:rFonts w:ascii="Arial" w:hAnsi="Arial" w:cs="Arial"/>
              <w:shd w:val="clear" w:color="auto" w:fill="FFFFFF"/>
            </w:rPr>
            <w:t xml:space="preserve">at: </w:t>
          </w:r>
          <w:hyperlink r:id="rId35" w:history="1">
            <w:r w:rsidR="00026C2C" w:rsidRPr="0034235E">
              <w:rPr>
                <w:rStyle w:val="Hyperlink"/>
                <w:rFonts w:ascii="Arial" w:hAnsi="Arial" w:cs="Arial"/>
                <w:shd w:val="clear" w:color="auto" w:fill="FFFFFF"/>
              </w:rPr>
              <w:t>https://www.miltonsandfordwines.com/about-milton-sandford-wines-0</w:t>
            </w:r>
          </w:hyperlink>
          <w:r w:rsidR="00026C2C" w:rsidRPr="0034235E">
            <w:rPr>
              <w:rFonts w:ascii="Arial" w:hAnsi="Arial" w:cs="Arial"/>
              <w:shd w:val="clear" w:color="auto" w:fill="FFFFFF"/>
            </w:rPr>
            <w:t xml:space="preserve"> </w:t>
          </w:r>
          <w:bookmarkStart w:id="17" w:name="_Hlk160473455"/>
          <w:r w:rsidR="006E4642" w:rsidRPr="0034235E">
            <w:rPr>
              <w:rFonts w:ascii="Arial" w:hAnsi="Arial" w:cs="Arial"/>
              <w:shd w:val="clear" w:color="auto" w:fill="FFFFFF"/>
            </w:rPr>
            <w:t xml:space="preserve">(Accessed: </w:t>
          </w:r>
          <w:r w:rsidR="00E24FDF" w:rsidRPr="0034235E">
            <w:rPr>
              <w:rFonts w:ascii="Arial" w:hAnsi="Arial" w:cs="Arial"/>
              <w:shd w:val="clear" w:color="auto" w:fill="FFFFFF"/>
            </w:rPr>
            <w:t>27.02.2024</w:t>
          </w:r>
          <w:r w:rsidR="006E4642" w:rsidRPr="0034235E">
            <w:rPr>
              <w:rFonts w:ascii="Arial" w:hAnsi="Arial" w:cs="Arial"/>
              <w:shd w:val="clear" w:color="auto" w:fill="FFFFFF"/>
            </w:rPr>
            <w:t>)</w:t>
          </w:r>
          <w:bookmarkEnd w:id="17"/>
        </w:p>
        <w:p w14:paraId="15AE1645" w14:textId="6D468A21" w:rsidR="00BD0C27" w:rsidRPr="0034235E" w:rsidRDefault="00BD0C27" w:rsidP="0034235E">
          <w:pPr>
            <w:spacing w:after="240" w:line="360" w:lineRule="auto"/>
            <w:jc w:val="both"/>
            <w:rPr>
              <w:rFonts w:ascii="Arial" w:hAnsi="Arial" w:cs="Arial"/>
              <w:shd w:val="clear" w:color="auto" w:fill="FFFFFF"/>
            </w:rPr>
          </w:pPr>
          <w:r w:rsidRPr="0034235E">
            <w:rPr>
              <w:rFonts w:ascii="Arial" w:hAnsi="Arial" w:cs="Arial"/>
              <w:color w:val="222222"/>
              <w:shd w:val="clear" w:color="auto" w:fill="FFFFFF"/>
            </w:rPr>
            <w:t xml:space="preserve">Ouvrard, S., Jasimuddin, S.M. and Spiga, A.,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2020</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Does sustainability push to reshape business models? Evidence from the European wine industry. Sustainability</w:t>
          </w:r>
          <w:r w:rsidRPr="0034235E">
            <w:rPr>
              <w:rFonts w:ascii="Arial" w:hAnsi="Arial" w:cs="Arial"/>
              <w:color w:val="222222"/>
              <w:shd w:val="clear" w:color="auto" w:fill="FFFFFF"/>
            </w:rPr>
            <w:t>, 12(6), p.2561.</w:t>
          </w:r>
          <w:r w:rsidR="00195E78" w:rsidRPr="0034235E">
            <w:rPr>
              <w:rFonts w:ascii="Arial" w:hAnsi="Arial" w:cs="Arial"/>
              <w:color w:val="222222"/>
              <w:shd w:val="clear" w:color="auto" w:fill="FFFFFF"/>
            </w:rPr>
            <w:t xml:space="preserve"> Available at: </w:t>
          </w:r>
          <w:r w:rsidRPr="0034235E">
            <w:rPr>
              <w:rFonts w:ascii="Arial" w:hAnsi="Arial" w:cs="Arial"/>
              <w:color w:val="222222"/>
              <w:shd w:val="clear" w:color="auto" w:fill="FFFFFF"/>
            </w:rPr>
            <w:t xml:space="preserve"> </w:t>
          </w:r>
          <w:hyperlink r:id="rId36" w:history="1">
            <w:r w:rsidRPr="0034235E">
              <w:rPr>
                <w:rStyle w:val="Hyperlink"/>
                <w:rFonts w:ascii="Arial" w:hAnsi="Arial" w:cs="Arial"/>
                <w:shd w:val="clear" w:color="auto" w:fill="FFFFFF"/>
              </w:rPr>
              <w:t>https://www.mdpi.com/2071-1050/12/6/2561</w:t>
            </w:r>
          </w:hyperlink>
          <w:r w:rsidRPr="0034235E">
            <w:rPr>
              <w:rFonts w:ascii="Arial" w:hAnsi="Arial" w:cs="Arial"/>
              <w:color w:val="222222"/>
              <w:shd w:val="clear" w:color="auto" w:fill="FFFFFF"/>
            </w:rPr>
            <w:t xml:space="preserve"> </w:t>
          </w:r>
          <w:r w:rsidR="005C49CA" w:rsidRPr="0034235E">
            <w:rPr>
              <w:rFonts w:ascii="Arial" w:hAnsi="Arial" w:cs="Arial"/>
              <w:shd w:val="clear" w:color="auto" w:fill="FFFFFF"/>
            </w:rPr>
            <w:t>(Accessed: 03.03.2024)</w:t>
          </w:r>
        </w:p>
        <w:p w14:paraId="480134A1" w14:textId="270C4318" w:rsidR="00BC033A" w:rsidRPr="0034235E" w:rsidRDefault="00BC033A" w:rsidP="0034235E">
          <w:pPr>
            <w:autoSpaceDE w:val="0"/>
            <w:autoSpaceDN w:val="0"/>
            <w:adjustRightInd w:val="0"/>
            <w:spacing w:after="0" w:line="360" w:lineRule="auto"/>
            <w:rPr>
              <w:rFonts w:ascii="Arial" w:hAnsi="Arial" w:cs="Arial"/>
              <w:lang w:val="en-US"/>
            </w:rPr>
          </w:pPr>
          <w:r w:rsidRPr="0034235E">
            <w:rPr>
              <w:rFonts w:ascii="Arial" w:hAnsi="Arial" w:cs="Arial"/>
            </w:rPr>
            <w:t xml:space="preserve">Perera P., (2017) </w:t>
          </w:r>
          <w:r w:rsidRPr="0034235E">
            <w:rPr>
              <w:rFonts w:ascii="Arial" w:eastAsia="Calibri-Italic" w:hAnsi="Arial" w:cs="Arial"/>
              <w:i/>
              <w:iCs/>
            </w:rPr>
            <w:t xml:space="preserve">The Pestle Analysis </w:t>
          </w:r>
          <w:r w:rsidRPr="0034235E">
            <w:rPr>
              <w:rFonts w:ascii="Arial" w:hAnsi="Arial" w:cs="Arial"/>
            </w:rPr>
            <w:t xml:space="preserve"> 2nd edn.</w:t>
          </w:r>
          <w:r w:rsidR="003A0CE9" w:rsidRPr="0034235E">
            <w:rPr>
              <w:rFonts w:ascii="Arial" w:hAnsi="Arial" w:cs="Arial"/>
            </w:rPr>
            <w:t>,</w:t>
          </w:r>
          <w:r w:rsidRPr="0034235E">
            <w:rPr>
              <w:rFonts w:ascii="Arial" w:hAnsi="Arial" w:cs="Arial"/>
            </w:rPr>
            <w:t xml:space="preserve"> BOOKSBYNERDYNAUT </w:t>
          </w:r>
          <w:r w:rsidR="003A0CE9" w:rsidRPr="0034235E">
            <w:rPr>
              <w:rFonts w:ascii="Arial" w:hAnsi="Arial" w:cs="Arial"/>
            </w:rPr>
            <w:t xml:space="preserve"> </w:t>
          </w:r>
          <w:r w:rsidRPr="0034235E">
            <w:rPr>
              <w:rFonts w:ascii="Arial" w:hAnsi="Arial" w:cs="Arial"/>
            </w:rPr>
            <w:t xml:space="preserve">Available At: </w:t>
          </w:r>
          <w:hyperlink r:id="rId37" w:anchor="v=twopage&amp;q&amp;f=false" w:history="1">
            <w:r w:rsidRPr="0034235E">
              <w:rPr>
                <w:rStyle w:val="Hyperlink"/>
                <w:rFonts w:ascii="Arial" w:hAnsi="Arial" w:cs="Arial"/>
              </w:rPr>
              <w:t>https://books.google.co.uk/books?hl=en&amp;lr=&amp;id=ZWpLDwAAQBAJ&amp;oi=fnd&amp;pg=PA2&amp;dq=+pestle+&amp;ots=Dv75tP7zEv&amp;sig=q8tIlc3p3cCEINdbPrkYktdaDHQ&amp;redir_esc=y#v=twopage&amp;q&amp;f=false</w:t>
            </w:r>
          </w:hyperlink>
          <w:r w:rsidRPr="0034235E">
            <w:rPr>
              <w:rFonts w:ascii="Arial" w:hAnsi="Arial" w:cs="Arial"/>
            </w:rPr>
            <w:t xml:space="preserve"> (Accessed: 04.03.2024)</w:t>
          </w:r>
        </w:p>
        <w:p w14:paraId="7CC55263" w14:textId="77777777" w:rsidR="005D7F03" w:rsidRPr="0034235E" w:rsidRDefault="005D7F03" w:rsidP="0034235E">
          <w:pPr>
            <w:autoSpaceDE w:val="0"/>
            <w:autoSpaceDN w:val="0"/>
            <w:adjustRightInd w:val="0"/>
            <w:spacing w:after="0" w:line="360" w:lineRule="auto"/>
            <w:rPr>
              <w:rFonts w:ascii="Arial" w:hAnsi="Arial" w:cs="Arial"/>
              <w:lang w:val="en-US"/>
            </w:rPr>
          </w:pPr>
        </w:p>
        <w:p w14:paraId="52990F49" w14:textId="6E372B3C"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Pomarici, E. and Sardone, R.,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2020</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EU wine policy in the framework of the CAP: post-2020 challenges. Agricultural and Food Economics</w:t>
          </w:r>
          <w:r w:rsidRPr="0034235E">
            <w:rPr>
              <w:rFonts w:ascii="Arial" w:hAnsi="Arial" w:cs="Arial"/>
              <w:color w:val="222222"/>
              <w:shd w:val="clear" w:color="auto" w:fill="FFFFFF"/>
            </w:rPr>
            <w:t>, 8, pp.1-40.</w:t>
          </w:r>
          <w:r w:rsidR="00195E78" w:rsidRPr="0034235E">
            <w:rPr>
              <w:rFonts w:ascii="Arial" w:hAnsi="Arial" w:cs="Arial"/>
              <w:color w:val="222222"/>
              <w:shd w:val="clear" w:color="auto" w:fill="FFFFFF"/>
            </w:rPr>
            <w:t xml:space="preserve"> Available at: </w:t>
          </w:r>
          <w:r w:rsidRPr="0034235E">
            <w:rPr>
              <w:rFonts w:ascii="Arial" w:hAnsi="Arial" w:cs="Arial"/>
              <w:color w:val="222222"/>
              <w:shd w:val="clear" w:color="auto" w:fill="FFFFFF"/>
            </w:rPr>
            <w:t xml:space="preserve"> </w:t>
          </w:r>
          <w:hyperlink r:id="rId38" w:history="1">
            <w:r w:rsidRPr="0034235E">
              <w:rPr>
                <w:rStyle w:val="Hyperlink"/>
                <w:rFonts w:ascii="Arial" w:hAnsi="Arial" w:cs="Arial"/>
                <w:shd w:val="clear" w:color="auto" w:fill="FFFFFF"/>
              </w:rPr>
              <w:t>https://link.springer.com/article/10.1186/s40100-020-00159-z</w:t>
            </w:r>
          </w:hyperlink>
          <w:r w:rsidRPr="0034235E">
            <w:rPr>
              <w:rFonts w:ascii="Arial" w:hAnsi="Arial" w:cs="Arial"/>
              <w:color w:val="222222"/>
              <w:shd w:val="clear" w:color="auto" w:fill="FFFFFF"/>
            </w:rPr>
            <w:t xml:space="preserve"> </w:t>
          </w:r>
          <w:r w:rsidR="005C49CA" w:rsidRPr="0034235E">
            <w:rPr>
              <w:rFonts w:ascii="Arial" w:hAnsi="Arial" w:cs="Arial"/>
              <w:shd w:val="clear" w:color="auto" w:fill="FFFFFF"/>
            </w:rPr>
            <w:t>(Accessed: 27.02.2024)</w:t>
          </w:r>
        </w:p>
        <w:p w14:paraId="54EC4287" w14:textId="55829B20"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Pomarici, E., Corsi, A., Mazzarino, S. and Sardone, R., </w:t>
          </w:r>
          <w:r w:rsidR="00154315"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154315"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The Italian wine sector: </w:t>
          </w:r>
          <w:r w:rsidRPr="0034235E">
            <w:rPr>
              <w:rFonts w:ascii="Arial" w:hAnsi="Arial" w:cs="Arial"/>
              <w:i/>
              <w:iCs/>
              <w:color w:val="222222"/>
              <w:shd w:val="clear" w:color="auto" w:fill="FFFFFF"/>
            </w:rPr>
            <w:t>Evolution, structure, competitiveness and future challenges of an enduring leader. Italian Economic Journal</w:t>
          </w:r>
          <w:r w:rsidRPr="0034235E">
            <w:rPr>
              <w:rFonts w:ascii="Arial" w:hAnsi="Arial" w:cs="Arial"/>
              <w:color w:val="222222"/>
              <w:shd w:val="clear" w:color="auto" w:fill="FFFFFF"/>
            </w:rPr>
            <w:t xml:space="preserve">, 7(2), pp.259-295. </w:t>
          </w:r>
          <w:r w:rsidR="00195E78" w:rsidRPr="0034235E">
            <w:rPr>
              <w:rFonts w:ascii="Arial" w:hAnsi="Arial" w:cs="Arial"/>
              <w:color w:val="222222"/>
              <w:shd w:val="clear" w:color="auto" w:fill="FFFFFF"/>
            </w:rPr>
            <w:t xml:space="preserve">Available at: </w:t>
          </w:r>
          <w:hyperlink r:id="rId39" w:history="1">
            <w:r w:rsidRPr="0034235E">
              <w:rPr>
                <w:rStyle w:val="Hyperlink"/>
                <w:rFonts w:ascii="Arial" w:hAnsi="Arial" w:cs="Arial"/>
                <w:shd w:val="clear" w:color="auto" w:fill="FFFFFF"/>
              </w:rPr>
              <w:t>https://link.springer.com/article/10.1007/s40797-021-00144-5</w:t>
            </w:r>
          </w:hyperlink>
          <w:r w:rsidRPr="0034235E">
            <w:rPr>
              <w:rFonts w:ascii="Arial" w:hAnsi="Arial" w:cs="Arial"/>
              <w:color w:val="222222"/>
              <w:shd w:val="clear" w:color="auto" w:fill="FFFFFF"/>
            </w:rPr>
            <w:t xml:space="preserve"> </w:t>
          </w:r>
          <w:r w:rsidR="005C49CA" w:rsidRPr="0034235E">
            <w:rPr>
              <w:rFonts w:ascii="Arial" w:hAnsi="Arial" w:cs="Arial"/>
              <w:shd w:val="clear" w:color="auto" w:fill="FFFFFF"/>
            </w:rPr>
            <w:t>(Accessed: 27.02.2024)</w:t>
          </w:r>
        </w:p>
        <w:p w14:paraId="06C11B2D" w14:textId="45703A59"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Siddiqui, A.A.,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The use of Pestel analysis tool of quality management in the health care business and its advantages. </w:t>
          </w:r>
          <w:r w:rsidRPr="0034235E">
            <w:rPr>
              <w:rFonts w:ascii="Arial" w:hAnsi="Arial" w:cs="Arial"/>
              <w:i/>
              <w:iCs/>
              <w:color w:val="222222"/>
              <w:shd w:val="clear" w:color="auto" w:fill="FFFFFF"/>
            </w:rPr>
            <w:t>Am J Biochem Biotechnol</w:t>
          </w:r>
          <w:r w:rsidRPr="0034235E">
            <w:rPr>
              <w:rFonts w:ascii="Arial" w:hAnsi="Arial" w:cs="Arial"/>
              <w:color w:val="222222"/>
              <w:shd w:val="clear" w:color="auto" w:fill="FFFFFF"/>
            </w:rPr>
            <w:t>, </w:t>
          </w:r>
          <w:r w:rsidRPr="0034235E">
            <w:rPr>
              <w:rFonts w:ascii="Arial" w:hAnsi="Arial" w:cs="Arial"/>
              <w:i/>
              <w:iCs/>
              <w:color w:val="222222"/>
              <w:shd w:val="clear" w:color="auto" w:fill="FFFFFF"/>
            </w:rPr>
            <w:t>14</w:t>
          </w:r>
          <w:r w:rsidRPr="0034235E">
            <w:rPr>
              <w:rFonts w:ascii="Arial" w:hAnsi="Arial" w:cs="Arial"/>
              <w:color w:val="222222"/>
              <w:shd w:val="clear" w:color="auto" w:fill="FFFFFF"/>
            </w:rPr>
            <w:t>, pp.507-12.</w:t>
          </w:r>
          <w:r w:rsidR="00195E78" w:rsidRPr="0034235E">
            <w:rPr>
              <w:rFonts w:ascii="Arial" w:hAnsi="Arial" w:cs="Arial"/>
              <w:color w:val="222222"/>
              <w:shd w:val="clear" w:color="auto" w:fill="FFFFFF"/>
            </w:rPr>
            <w:t xml:space="preserve"> Available at: </w:t>
          </w:r>
          <w:r w:rsidRPr="0034235E">
            <w:rPr>
              <w:rFonts w:ascii="Arial" w:hAnsi="Arial" w:cs="Arial"/>
            </w:rPr>
            <w:t xml:space="preserve"> </w:t>
          </w:r>
          <w:hyperlink r:id="rId40" w:history="1">
            <w:r w:rsidRPr="0034235E">
              <w:rPr>
                <w:rStyle w:val="Hyperlink"/>
                <w:rFonts w:ascii="Arial" w:hAnsi="Arial" w:cs="Arial"/>
                <w:shd w:val="clear" w:color="auto" w:fill="FFFFFF"/>
              </w:rPr>
              <w: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w:t>
            </w:r>
          </w:hyperlink>
          <w:r w:rsidR="005C49CA" w:rsidRPr="0034235E">
            <w:rPr>
              <w:rStyle w:val="Hyperlink"/>
              <w:rFonts w:ascii="Arial" w:hAnsi="Arial" w:cs="Arial"/>
              <w:shd w:val="clear" w:color="auto" w:fill="FFFFFF"/>
            </w:rPr>
            <w:t xml:space="preserve"> </w:t>
          </w:r>
          <w:r w:rsidR="005C49CA" w:rsidRPr="0034235E">
            <w:rPr>
              <w:rFonts w:ascii="Arial" w:hAnsi="Arial" w:cs="Arial"/>
              <w:shd w:val="clear" w:color="auto" w:fill="FFFFFF"/>
            </w:rPr>
            <w:t>(Accessed: 28.02.2024)</w:t>
          </w:r>
        </w:p>
        <w:p w14:paraId="393C3091" w14:textId="69AF3EC5"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lastRenderedPageBreak/>
            <w:t xml:space="preserve">Sonia, D.R., Sanjaya, A. and Hutajulu, M.J.,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2020</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Business development strategies using SWOT analysis in the Cahaya Modern home industry</w:t>
          </w:r>
          <w:r w:rsidRPr="0034235E">
            <w:rPr>
              <w:rFonts w:ascii="Arial" w:hAnsi="Arial" w:cs="Arial"/>
              <w:color w:val="222222"/>
              <w:shd w:val="clear" w:color="auto" w:fill="FFFFFF"/>
            </w:rPr>
            <w:t>. </w:t>
          </w:r>
          <w:r w:rsidRPr="0034235E">
            <w:rPr>
              <w:rFonts w:ascii="Arial" w:hAnsi="Arial" w:cs="Arial"/>
              <w:i/>
              <w:iCs/>
              <w:color w:val="222222"/>
              <w:shd w:val="clear" w:color="auto" w:fill="FFFFFF"/>
            </w:rPr>
            <w:t>J. Adm</w:t>
          </w:r>
          <w:r w:rsidRPr="0034235E">
            <w:rPr>
              <w:rFonts w:ascii="Arial" w:hAnsi="Arial" w:cs="Arial"/>
              <w:color w:val="222222"/>
              <w:shd w:val="clear" w:color="auto" w:fill="FFFFFF"/>
            </w:rPr>
            <w:t>, </w:t>
          </w:r>
          <w:r w:rsidRPr="0034235E">
            <w:rPr>
              <w:rFonts w:ascii="Arial" w:hAnsi="Arial" w:cs="Arial"/>
              <w:i/>
              <w:iCs/>
              <w:color w:val="222222"/>
              <w:shd w:val="clear" w:color="auto" w:fill="FFFFFF"/>
            </w:rPr>
            <w:t>7</w:t>
          </w:r>
          <w:r w:rsidRPr="0034235E">
            <w:rPr>
              <w:rFonts w:ascii="Arial" w:hAnsi="Arial" w:cs="Arial"/>
              <w:color w:val="222222"/>
              <w:shd w:val="clear" w:color="auto" w:fill="FFFFFF"/>
            </w:rPr>
            <w:t>, pp.117-128.</w:t>
          </w:r>
          <w:r w:rsidRPr="0034235E">
            <w:rPr>
              <w:rFonts w:ascii="Arial" w:hAnsi="Arial" w:cs="Arial"/>
            </w:rPr>
            <w:t xml:space="preserve"> </w:t>
          </w:r>
          <w:r w:rsidR="001C6921" w:rsidRPr="0034235E">
            <w:rPr>
              <w:rFonts w:ascii="Arial" w:hAnsi="Arial" w:cs="Arial"/>
              <w:color w:val="222222"/>
              <w:shd w:val="clear" w:color="auto" w:fill="FFFFFF"/>
            </w:rPr>
            <w:t xml:space="preserve">Available at: </w:t>
          </w:r>
          <w:hyperlink r:id="rId41" w:history="1">
            <w:r w:rsidRPr="0034235E">
              <w:rPr>
                <w:rStyle w:val="Hyperlink"/>
                <w:rFonts w:ascii="Arial" w:hAnsi="Arial" w:cs="Arial"/>
                <w:shd w:val="clear" w:color="auto" w:fill="FFFFFF"/>
              </w:rPr>
              <w:t>https://pdfs.semanticscholar.org/4be7/0767285b6475154c610ee6b8bbf7bf118b6f.pdf</w:t>
            </w:r>
          </w:hyperlink>
          <w:r w:rsidR="005C49CA" w:rsidRPr="0034235E">
            <w:rPr>
              <w:rStyle w:val="Hyperlink"/>
              <w:rFonts w:ascii="Arial" w:hAnsi="Arial" w:cs="Arial"/>
              <w:shd w:val="clear" w:color="auto" w:fill="FFFFFF"/>
            </w:rPr>
            <w:t xml:space="preserve"> </w:t>
          </w:r>
          <w:r w:rsidR="005C49CA" w:rsidRPr="0034235E">
            <w:rPr>
              <w:rFonts w:ascii="Arial" w:hAnsi="Arial" w:cs="Arial"/>
              <w:shd w:val="clear" w:color="auto" w:fill="FFFFFF"/>
            </w:rPr>
            <w:t>(Accessed: 04.03.2024)</w:t>
          </w:r>
        </w:p>
        <w:p w14:paraId="551FEC63" w14:textId="030802EE" w:rsidR="00BD0C27" w:rsidRPr="0034235E" w:rsidRDefault="00BD0C27" w:rsidP="0034235E">
          <w:pPr>
            <w:spacing w:after="240" w:line="360" w:lineRule="auto"/>
            <w:jc w:val="both"/>
            <w:rPr>
              <w:rFonts w:ascii="Arial" w:hAnsi="Arial" w:cs="Arial"/>
              <w:color w:val="222222"/>
              <w:shd w:val="clear" w:color="auto" w:fill="FFFFFF"/>
            </w:rPr>
          </w:pPr>
          <w:r w:rsidRPr="0034235E">
            <w:rPr>
              <w:rFonts w:ascii="Arial" w:hAnsi="Arial" w:cs="Arial"/>
              <w:color w:val="222222"/>
              <w:shd w:val="clear" w:color="auto" w:fill="FFFFFF"/>
            </w:rPr>
            <w:t xml:space="preserve">Thomas, P.J.M., Sandwell, P., Williamson, S.J. and Harper, P.W.,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2021</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A PESTLE analysis of solar home systems in refugee camps in Rwanda. </w:t>
          </w:r>
          <w:r w:rsidRPr="0034235E">
            <w:rPr>
              <w:rFonts w:ascii="Arial" w:hAnsi="Arial" w:cs="Arial"/>
              <w:i/>
              <w:iCs/>
              <w:color w:val="222222"/>
              <w:shd w:val="clear" w:color="auto" w:fill="FFFFFF"/>
            </w:rPr>
            <w:t>Renewable and Sustainable Energy Reviews</w:t>
          </w:r>
          <w:r w:rsidRPr="0034235E">
            <w:rPr>
              <w:rFonts w:ascii="Arial" w:hAnsi="Arial" w:cs="Arial"/>
              <w:color w:val="222222"/>
              <w:shd w:val="clear" w:color="auto" w:fill="FFFFFF"/>
            </w:rPr>
            <w:t>, </w:t>
          </w:r>
          <w:r w:rsidRPr="0034235E">
            <w:rPr>
              <w:rFonts w:ascii="Arial" w:hAnsi="Arial" w:cs="Arial"/>
              <w:i/>
              <w:iCs/>
              <w:color w:val="222222"/>
              <w:shd w:val="clear" w:color="auto" w:fill="FFFFFF"/>
            </w:rPr>
            <w:t>143</w:t>
          </w:r>
          <w:r w:rsidRPr="0034235E">
            <w:rPr>
              <w:rFonts w:ascii="Arial" w:hAnsi="Arial" w:cs="Arial"/>
              <w:color w:val="222222"/>
              <w:shd w:val="clear" w:color="auto" w:fill="FFFFFF"/>
            </w:rPr>
            <w:t>, p.110872.</w:t>
          </w:r>
          <w:r w:rsidRPr="0034235E">
            <w:rPr>
              <w:rFonts w:ascii="Arial" w:hAnsi="Arial" w:cs="Arial"/>
            </w:rPr>
            <w:t xml:space="preserve"> </w:t>
          </w:r>
          <w:r w:rsidR="001C6921" w:rsidRPr="0034235E">
            <w:rPr>
              <w:rFonts w:ascii="Arial" w:hAnsi="Arial" w:cs="Arial"/>
              <w:color w:val="222222"/>
              <w:shd w:val="clear" w:color="auto" w:fill="FFFFFF"/>
            </w:rPr>
            <w:t xml:space="preserve">Available at: </w:t>
          </w:r>
          <w:hyperlink r:id="rId42" w:history="1">
            <w:r w:rsidRPr="0034235E">
              <w:rPr>
                <w:rStyle w:val="Hyperlink"/>
                <w:rFonts w:ascii="Arial" w:hAnsi="Arial" w:cs="Arial"/>
                <w:shd w:val="clear" w:color="auto" w:fill="FFFFFF"/>
              </w:rPr>
              <w:t>https://doi.org/10.1016/j.rser.2021.110872</w:t>
            </w:r>
          </w:hyperlink>
          <w:r w:rsidR="005C49CA" w:rsidRPr="0034235E">
            <w:rPr>
              <w:rStyle w:val="Hyperlink"/>
              <w:rFonts w:ascii="Arial" w:hAnsi="Arial" w:cs="Arial"/>
              <w:shd w:val="clear" w:color="auto" w:fill="FFFFFF"/>
            </w:rPr>
            <w:t xml:space="preserve"> </w:t>
          </w:r>
          <w:r w:rsidR="006B3CD0" w:rsidRPr="0034235E">
            <w:rPr>
              <w:rFonts w:ascii="Arial" w:hAnsi="Arial" w:cs="Arial"/>
              <w:shd w:val="clear" w:color="auto" w:fill="FFFFFF"/>
            </w:rPr>
            <w:t>(Accessed: 22.02.2024)</w:t>
          </w:r>
        </w:p>
        <w:p w14:paraId="44BC7745" w14:textId="745C6C73" w:rsidR="00BD0C27" w:rsidRPr="0034235E" w:rsidRDefault="00BD0C27" w:rsidP="0034235E">
          <w:pPr>
            <w:spacing w:after="240" w:line="360" w:lineRule="auto"/>
            <w:jc w:val="both"/>
            <w:rPr>
              <w:rStyle w:val="Hyperlink"/>
              <w:rFonts w:ascii="Arial" w:hAnsi="Arial" w:cs="Arial"/>
            </w:rPr>
          </w:pPr>
          <w:r w:rsidRPr="0034235E">
            <w:rPr>
              <w:rFonts w:ascii="Arial" w:hAnsi="Arial" w:cs="Arial"/>
              <w:color w:val="222222"/>
              <w:shd w:val="clear" w:color="auto" w:fill="FFFFFF"/>
            </w:rPr>
            <w:t xml:space="preserve">Van Rensen, A., Voogdt-Pruis, H.R. and Vroonland, E.,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2020</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The launch of the European Patients' Academy on Therapeutic Innovation in the Netherlands: a qualitative multi-stakeholder analysis. </w:t>
          </w:r>
          <w:r w:rsidRPr="0034235E">
            <w:rPr>
              <w:rFonts w:ascii="Arial" w:hAnsi="Arial" w:cs="Arial"/>
              <w:i/>
              <w:iCs/>
              <w:color w:val="222222"/>
              <w:shd w:val="clear" w:color="auto" w:fill="FFFFFF"/>
            </w:rPr>
            <w:t>Frontiers in Medicine</w:t>
          </w:r>
          <w:r w:rsidRPr="0034235E">
            <w:rPr>
              <w:rFonts w:ascii="Arial" w:hAnsi="Arial" w:cs="Arial"/>
              <w:color w:val="222222"/>
              <w:shd w:val="clear" w:color="auto" w:fill="FFFFFF"/>
            </w:rPr>
            <w:t>, </w:t>
          </w:r>
          <w:r w:rsidRPr="0034235E">
            <w:rPr>
              <w:rFonts w:ascii="Arial" w:hAnsi="Arial" w:cs="Arial"/>
              <w:i/>
              <w:iCs/>
              <w:color w:val="222222"/>
              <w:shd w:val="clear" w:color="auto" w:fill="FFFFFF"/>
            </w:rPr>
            <w:t>7</w:t>
          </w:r>
          <w:r w:rsidRPr="0034235E">
            <w:rPr>
              <w:rFonts w:ascii="Arial" w:hAnsi="Arial" w:cs="Arial"/>
              <w:color w:val="222222"/>
              <w:shd w:val="clear" w:color="auto" w:fill="FFFFFF"/>
            </w:rPr>
            <w:t>, p.558.</w:t>
          </w:r>
          <w:r w:rsidR="001C6921" w:rsidRPr="0034235E">
            <w:rPr>
              <w:rFonts w:ascii="Arial" w:hAnsi="Arial" w:cs="Arial"/>
              <w:color w:val="222222"/>
              <w:shd w:val="clear" w:color="auto" w:fill="FFFFFF"/>
            </w:rPr>
            <w:t xml:space="preserve"> Available at: </w:t>
          </w:r>
          <w:r w:rsidRPr="0034235E">
            <w:rPr>
              <w:rFonts w:ascii="Arial" w:hAnsi="Arial" w:cs="Arial"/>
            </w:rPr>
            <w:t xml:space="preserve"> </w:t>
          </w:r>
          <w:hyperlink r:id="rId43" w:history="1">
            <w:r w:rsidRPr="0034235E">
              <w:rPr>
                <w:rStyle w:val="Hyperlink"/>
                <w:rFonts w:ascii="Arial" w:hAnsi="Arial" w:cs="Arial"/>
                <w:shd w:val="clear" w:color="auto" w:fill="FFFFFF"/>
              </w:rPr>
              <w:t>https://www.frontiersin.org/articles/10.3389/fmed.2020.00558/full</w:t>
            </w:r>
          </w:hyperlink>
          <w:r w:rsidR="006B3CD0" w:rsidRPr="0034235E">
            <w:rPr>
              <w:rStyle w:val="Hyperlink"/>
              <w:rFonts w:ascii="Arial" w:hAnsi="Arial" w:cs="Arial"/>
              <w:shd w:val="clear" w:color="auto" w:fill="FFFFFF"/>
            </w:rPr>
            <w:t xml:space="preserve"> </w:t>
          </w:r>
          <w:r w:rsidR="006B3CD0" w:rsidRPr="0034235E">
            <w:rPr>
              <w:rFonts w:ascii="Arial" w:hAnsi="Arial" w:cs="Arial"/>
              <w:shd w:val="clear" w:color="auto" w:fill="FFFFFF"/>
            </w:rPr>
            <w:t>(Accessed: 20.02.2024)</w:t>
          </w:r>
        </w:p>
        <w:p w14:paraId="459E240D" w14:textId="1F11605D" w:rsidR="00393B37" w:rsidRPr="0034235E" w:rsidRDefault="00BD0C27" w:rsidP="0034235E">
          <w:pPr>
            <w:spacing w:line="360" w:lineRule="auto"/>
            <w:rPr>
              <w:rFonts w:ascii="Arial" w:hAnsi="Arial" w:cs="Arial"/>
              <w:color w:val="222222"/>
              <w:shd w:val="clear" w:color="auto" w:fill="FFFFFF"/>
            </w:rPr>
          </w:pPr>
          <w:r w:rsidRPr="0034235E">
            <w:rPr>
              <w:rFonts w:ascii="Arial" w:hAnsi="Arial" w:cs="Arial"/>
              <w:color w:val="222222"/>
              <w:shd w:val="clear" w:color="auto" w:fill="FFFFFF"/>
            </w:rPr>
            <w:t xml:space="preserve">Wagner, M., Stanbury, P., Dietrich, T., Döring, J., Ewert, J., Foerster, C., Freund, M., Friedel, M., Kammann, C., Koch, M. and Owtram, T., </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2023</w:t>
          </w:r>
          <w:r w:rsidR="00035AE7" w:rsidRPr="0034235E">
            <w:rPr>
              <w:rFonts w:ascii="Arial" w:hAnsi="Arial" w:cs="Arial"/>
              <w:color w:val="222222"/>
              <w:shd w:val="clear" w:color="auto" w:fill="FFFFFF"/>
            </w:rPr>
            <w:t>)</w:t>
          </w:r>
          <w:r w:rsidRPr="0034235E">
            <w:rPr>
              <w:rFonts w:ascii="Arial" w:hAnsi="Arial" w:cs="Arial"/>
              <w:color w:val="222222"/>
              <w:shd w:val="clear" w:color="auto" w:fill="FFFFFF"/>
            </w:rPr>
            <w:t xml:space="preserve">. </w:t>
          </w:r>
          <w:r w:rsidRPr="0034235E">
            <w:rPr>
              <w:rFonts w:ascii="Arial" w:hAnsi="Arial" w:cs="Arial"/>
              <w:i/>
              <w:iCs/>
              <w:color w:val="222222"/>
              <w:shd w:val="clear" w:color="auto" w:fill="FFFFFF"/>
            </w:rPr>
            <w:t>Developing a Sustainability Vision for the Global Wine Industry. Sustainability,</w:t>
          </w:r>
          <w:r w:rsidRPr="0034235E">
            <w:rPr>
              <w:rFonts w:ascii="Arial" w:hAnsi="Arial" w:cs="Arial"/>
              <w:color w:val="222222"/>
              <w:shd w:val="clear" w:color="auto" w:fill="FFFFFF"/>
            </w:rPr>
            <w:t xml:space="preserve"> 15(13), p.10487.</w:t>
          </w:r>
          <w:r w:rsidR="001C6921" w:rsidRPr="0034235E">
            <w:rPr>
              <w:rFonts w:ascii="Arial" w:hAnsi="Arial" w:cs="Arial"/>
              <w:color w:val="222222"/>
              <w:shd w:val="clear" w:color="auto" w:fill="FFFFFF"/>
            </w:rPr>
            <w:t xml:space="preserve"> Available at: </w:t>
          </w:r>
          <w:r w:rsidRPr="0034235E">
            <w:rPr>
              <w:rFonts w:ascii="Arial" w:hAnsi="Arial" w:cs="Arial"/>
              <w:color w:val="222222"/>
              <w:shd w:val="clear" w:color="auto" w:fill="FFFFFF"/>
            </w:rPr>
            <w:t xml:space="preserve"> </w:t>
          </w:r>
          <w:hyperlink r:id="rId44" w:history="1">
            <w:r w:rsidRPr="0034235E">
              <w:rPr>
                <w:rStyle w:val="Hyperlink"/>
                <w:rFonts w:ascii="Arial" w:hAnsi="Arial" w:cs="Arial"/>
                <w:shd w:val="clear" w:color="auto" w:fill="FFFFFF"/>
              </w:rPr>
              <w:t>https://www.mdpi.com/2071-1050/15/13/10487</w:t>
            </w:r>
          </w:hyperlink>
          <w:r w:rsidRPr="0034235E">
            <w:rPr>
              <w:rFonts w:ascii="Arial" w:hAnsi="Arial" w:cs="Arial"/>
              <w:color w:val="222222"/>
              <w:shd w:val="clear" w:color="auto" w:fill="FFFFFF"/>
            </w:rPr>
            <w:t xml:space="preserve">  </w:t>
          </w:r>
          <w:r w:rsidR="006B3CD0" w:rsidRPr="0034235E">
            <w:rPr>
              <w:rFonts w:ascii="Arial" w:hAnsi="Arial" w:cs="Arial"/>
              <w:shd w:val="clear" w:color="auto" w:fill="FFFFFF"/>
            </w:rPr>
            <w:t>(Accessed: 25.02.2024)</w:t>
          </w:r>
        </w:p>
        <w:p w14:paraId="67692768" w14:textId="77777777" w:rsidR="00393B37" w:rsidRPr="0034235E" w:rsidRDefault="00393B37" w:rsidP="0034235E">
          <w:pPr>
            <w:spacing w:line="360" w:lineRule="auto"/>
            <w:rPr>
              <w:rFonts w:ascii="Arial" w:hAnsi="Arial" w:cs="Arial"/>
              <w:color w:val="222222"/>
              <w:shd w:val="clear" w:color="auto" w:fill="FFFFFF"/>
            </w:rPr>
          </w:pPr>
        </w:p>
        <w:p w14:paraId="1A47AC2F" w14:textId="77777777" w:rsidR="00393B37" w:rsidRPr="0034235E" w:rsidRDefault="00393B37" w:rsidP="0034235E">
          <w:pPr>
            <w:spacing w:line="360" w:lineRule="auto"/>
            <w:rPr>
              <w:rFonts w:ascii="Arial" w:hAnsi="Arial" w:cs="Arial"/>
              <w:color w:val="222222"/>
              <w:shd w:val="clear" w:color="auto" w:fill="FFFFFF"/>
            </w:rPr>
          </w:pPr>
        </w:p>
        <w:p w14:paraId="4375BA59" w14:textId="77777777" w:rsidR="00393B37" w:rsidRPr="0034235E" w:rsidRDefault="00393B37" w:rsidP="0034235E">
          <w:pPr>
            <w:spacing w:line="360" w:lineRule="auto"/>
            <w:rPr>
              <w:rFonts w:ascii="Arial" w:hAnsi="Arial" w:cs="Arial"/>
              <w:lang w:val="en-IN" w:eastAsia="en-GB"/>
            </w:rPr>
          </w:pPr>
        </w:p>
        <w:p w14:paraId="3753F0C4" w14:textId="77777777" w:rsidR="00356C83" w:rsidRDefault="00356C83" w:rsidP="0034235E">
          <w:pPr>
            <w:spacing w:line="360" w:lineRule="auto"/>
            <w:rPr>
              <w:rStyle w:val="Strong"/>
              <w:rFonts w:ascii="Arial" w:hAnsi="Arial" w:cs="Arial"/>
              <w:b w:val="0"/>
              <w:bCs w:val="0"/>
              <w:lang w:val="en-IN" w:eastAsia="en-GB"/>
            </w:rPr>
          </w:pPr>
        </w:p>
        <w:p w14:paraId="3329E840" w14:textId="77777777" w:rsidR="00356C83" w:rsidRDefault="00356C83" w:rsidP="0034235E">
          <w:pPr>
            <w:spacing w:line="360" w:lineRule="auto"/>
            <w:rPr>
              <w:rStyle w:val="Strong"/>
              <w:rFonts w:ascii="Arial" w:hAnsi="Arial" w:cs="Arial"/>
              <w:b w:val="0"/>
              <w:bCs w:val="0"/>
              <w:lang w:val="en-IN" w:eastAsia="en-GB"/>
            </w:rPr>
          </w:pPr>
        </w:p>
        <w:p w14:paraId="7C434C7B" w14:textId="77777777" w:rsidR="00356C83" w:rsidRDefault="00356C83" w:rsidP="0034235E">
          <w:pPr>
            <w:spacing w:line="360" w:lineRule="auto"/>
            <w:rPr>
              <w:rStyle w:val="Strong"/>
              <w:rFonts w:ascii="Arial" w:hAnsi="Arial" w:cs="Arial"/>
              <w:b w:val="0"/>
              <w:bCs w:val="0"/>
              <w:lang w:val="en-IN" w:eastAsia="en-GB"/>
            </w:rPr>
          </w:pPr>
        </w:p>
        <w:p w14:paraId="116534DF" w14:textId="77777777" w:rsidR="00356C83" w:rsidRDefault="00356C83" w:rsidP="0034235E">
          <w:pPr>
            <w:spacing w:line="360" w:lineRule="auto"/>
            <w:rPr>
              <w:rStyle w:val="Strong"/>
              <w:rFonts w:ascii="Arial" w:hAnsi="Arial" w:cs="Arial"/>
              <w:b w:val="0"/>
              <w:bCs w:val="0"/>
              <w:lang w:val="en-IN" w:eastAsia="en-GB"/>
            </w:rPr>
          </w:pPr>
        </w:p>
        <w:p w14:paraId="7FB56100" w14:textId="77777777" w:rsidR="00356C83" w:rsidRDefault="00356C83" w:rsidP="0034235E">
          <w:pPr>
            <w:spacing w:line="360" w:lineRule="auto"/>
            <w:rPr>
              <w:rStyle w:val="Strong"/>
              <w:rFonts w:ascii="Arial" w:hAnsi="Arial" w:cs="Arial"/>
              <w:b w:val="0"/>
              <w:bCs w:val="0"/>
              <w:lang w:val="en-IN" w:eastAsia="en-GB"/>
            </w:rPr>
          </w:pPr>
        </w:p>
        <w:p w14:paraId="697D8984" w14:textId="77777777" w:rsidR="00356C83" w:rsidRDefault="00356C83" w:rsidP="0034235E">
          <w:pPr>
            <w:spacing w:line="360" w:lineRule="auto"/>
            <w:rPr>
              <w:rStyle w:val="Strong"/>
              <w:rFonts w:ascii="Arial" w:hAnsi="Arial" w:cs="Arial"/>
              <w:b w:val="0"/>
              <w:bCs w:val="0"/>
              <w:lang w:val="en-IN" w:eastAsia="en-GB"/>
            </w:rPr>
          </w:pPr>
        </w:p>
        <w:p w14:paraId="08E5F14C" w14:textId="77777777" w:rsidR="00356C83" w:rsidRDefault="00356C83" w:rsidP="0034235E">
          <w:pPr>
            <w:spacing w:line="360" w:lineRule="auto"/>
            <w:rPr>
              <w:rStyle w:val="Strong"/>
              <w:rFonts w:ascii="Arial" w:hAnsi="Arial" w:cs="Arial"/>
              <w:b w:val="0"/>
              <w:bCs w:val="0"/>
              <w:lang w:val="en-IN" w:eastAsia="en-GB"/>
            </w:rPr>
          </w:pPr>
        </w:p>
        <w:p w14:paraId="165B1E87" w14:textId="77777777" w:rsidR="00356C83" w:rsidRDefault="00356C83" w:rsidP="0034235E">
          <w:pPr>
            <w:spacing w:line="360" w:lineRule="auto"/>
            <w:rPr>
              <w:rStyle w:val="Strong"/>
              <w:rFonts w:ascii="Arial" w:hAnsi="Arial" w:cs="Arial"/>
              <w:b w:val="0"/>
              <w:bCs w:val="0"/>
              <w:lang w:val="en-IN" w:eastAsia="en-GB"/>
            </w:rPr>
          </w:pPr>
        </w:p>
        <w:p w14:paraId="0EA5BDC9" w14:textId="77777777" w:rsidR="00356C83" w:rsidRDefault="00356C83" w:rsidP="0034235E">
          <w:pPr>
            <w:spacing w:line="360" w:lineRule="auto"/>
            <w:rPr>
              <w:rStyle w:val="Strong"/>
              <w:rFonts w:ascii="Arial" w:hAnsi="Arial" w:cs="Arial"/>
              <w:b w:val="0"/>
              <w:bCs w:val="0"/>
              <w:lang w:val="en-IN" w:eastAsia="en-GB"/>
            </w:rPr>
          </w:pPr>
        </w:p>
        <w:p w14:paraId="338D53EF" w14:textId="77777777" w:rsidR="00356C83" w:rsidRDefault="00356C83" w:rsidP="0034235E">
          <w:pPr>
            <w:spacing w:line="360" w:lineRule="auto"/>
            <w:rPr>
              <w:rStyle w:val="Strong"/>
              <w:rFonts w:ascii="Arial" w:hAnsi="Arial" w:cs="Arial"/>
              <w:b w:val="0"/>
              <w:bCs w:val="0"/>
              <w:lang w:val="en-IN" w:eastAsia="en-GB"/>
            </w:rPr>
          </w:pPr>
        </w:p>
        <w:p w14:paraId="78BEF5F2" w14:textId="77777777" w:rsidR="006E0D23" w:rsidRDefault="006E0D23" w:rsidP="0034235E">
          <w:pPr>
            <w:spacing w:line="360" w:lineRule="auto"/>
            <w:rPr>
              <w:rStyle w:val="Strong"/>
              <w:rFonts w:ascii="Arial" w:hAnsi="Arial" w:cs="Arial"/>
              <w:b w:val="0"/>
              <w:bCs w:val="0"/>
              <w:lang w:val="en-IN" w:eastAsia="en-GB"/>
            </w:rPr>
          </w:pPr>
        </w:p>
        <w:p w14:paraId="3BB4701D" w14:textId="57F54E05" w:rsidR="00C26C02" w:rsidRDefault="00C26C02" w:rsidP="0034235E">
          <w:pPr>
            <w:spacing w:line="360" w:lineRule="auto"/>
            <w:rPr>
              <w:rStyle w:val="Strong"/>
              <w:rFonts w:ascii="Arial" w:hAnsi="Arial" w:cs="Arial"/>
              <w:b w:val="0"/>
              <w:bCs w:val="0"/>
              <w:lang w:val="en-IN" w:eastAsia="en-GB"/>
            </w:rPr>
          </w:pPr>
          <w:r w:rsidRPr="0034235E">
            <w:rPr>
              <w:rStyle w:val="Strong"/>
              <w:rFonts w:ascii="Arial" w:hAnsi="Arial" w:cs="Arial"/>
              <w:b w:val="0"/>
              <w:bCs w:val="0"/>
              <w:lang w:val="en-IN" w:eastAsia="en-GB"/>
            </w:rPr>
            <w:lastRenderedPageBreak/>
            <w:t>Task 2:</w:t>
          </w:r>
        </w:p>
        <w:p w14:paraId="60207EBE" w14:textId="5DF56216" w:rsidR="006E0D23" w:rsidRDefault="009B3FD0" w:rsidP="0034235E">
          <w:pPr>
            <w:spacing w:line="360" w:lineRule="auto"/>
            <w:rPr>
              <w:rStyle w:val="Strong"/>
              <w:rFonts w:ascii="Arial" w:hAnsi="Arial" w:cs="Arial"/>
              <w:b w:val="0"/>
              <w:bCs w:val="0"/>
              <w:lang w:val="en-IN" w:eastAsia="en-GB"/>
            </w:rPr>
          </w:pPr>
          <w:r>
            <w:rPr>
              <w:rFonts w:ascii="Arial" w:hAnsi="Arial" w:cs="Arial"/>
              <w:noProof/>
              <w:lang w:val="en-IN" w:eastAsia="en-GB"/>
            </w:rPr>
            <w:drawing>
              <wp:inline distT="0" distB="0" distL="0" distR="0" wp14:anchorId="29C0BD49" wp14:editId="6BDF1660">
                <wp:extent cx="6686550" cy="3759200"/>
                <wp:effectExtent l="0" t="0" r="0" b="0"/>
                <wp:docPr id="4" name="Picture 4"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business card&#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p>
        <w:p w14:paraId="1C884A28" w14:textId="230B4C0B" w:rsidR="00173BC2" w:rsidRDefault="00CB1C5E" w:rsidP="0034235E">
          <w:pPr>
            <w:spacing w:line="360" w:lineRule="auto"/>
            <w:rPr>
              <w:rStyle w:val="Strong"/>
              <w:rFonts w:ascii="Arial" w:hAnsi="Arial" w:cs="Arial"/>
              <w:b w:val="0"/>
              <w:bCs w:val="0"/>
              <w:lang w:val="en-IN" w:eastAsia="en-GB"/>
            </w:rPr>
          </w:pPr>
          <w:r>
            <w:rPr>
              <w:rFonts w:ascii="Arial" w:hAnsi="Arial" w:cs="Arial"/>
              <w:noProof/>
              <w:lang w:val="en-IN" w:eastAsia="en-GB"/>
            </w:rPr>
            <w:drawing>
              <wp:inline distT="0" distB="0" distL="0" distR="0" wp14:anchorId="03710476" wp14:editId="2A580DF6">
                <wp:extent cx="6686550" cy="3759200"/>
                <wp:effectExtent l="0" t="0" r="0" b="0"/>
                <wp:docPr id="7"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 screen&#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694067" cy="3763426"/>
                        </a:xfrm>
                        <a:prstGeom prst="rect">
                          <a:avLst/>
                        </a:prstGeom>
                      </pic:spPr>
                    </pic:pic>
                  </a:graphicData>
                </a:graphic>
              </wp:inline>
            </w:drawing>
          </w:r>
        </w:p>
        <w:p w14:paraId="0C9CB0F4" w14:textId="6D3D16DB" w:rsidR="00CB1C5E" w:rsidRDefault="00D16618" w:rsidP="0034235E">
          <w:pPr>
            <w:spacing w:line="360" w:lineRule="auto"/>
            <w:rPr>
              <w:rStyle w:val="Strong"/>
              <w:rFonts w:ascii="Arial" w:hAnsi="Arial" w:cs="Arial"/>
              <w:b w:val="0"/>
              <w:bCs w:val="0"/>
              <w:lang w:val="en-IN" w:eastAsia="en-GB"/>
            </w:rPr>
          </w:pPr>
          <w:r>
            <w:rPr>
              <w:rFonts w:ascii="Arial" w:hAnsi="Arial" w:cs="Arial"/>
              <w:noProof/>
              <w:lang w:val="en-IN" w:eastAsia="en-GB"/>
            </w:rPr>
            <w:lastRenderedPageBreak/>
            <w:drawing>
              <wp:inline distT="0" distB="0" distL="0" distR="0" wp14:anchorId="5BA2B53C" wp14:editId="666BD305">
                <wp:extent cx="6686550" cy="3759200"/>
                <wp:effectExtent l="0" t="0" r="0" b="0"/>
                <wp:docPr id="8" name="Picture 8"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people sitting at a tab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p>
        <w:p w14:paraId="6852E6A5" w14:textId="43A1F82D" w:rsidR="00D16618" w:rsidRDefault="00D16618" w:rsidP="0034235E">
          <w:pPr>
            <w:spacing w:line="360" w:lineRule="auto"/>
            <w:rPr>
              <w:rStyle w:val="Strong"/>
              <w:rFonts w:ascii="Arial" w:hAnsi="Arial" w:cs="Arial"/>
              <w:b w:val="0"/>
              <w:bCs w:val="0"/>
              <w:lang w:val="en-IN" w:eastAsia="en-GB"/>
            </w:rPr>
          </w:pPr>
          <w:r>
            <w:rPr>
              <w:rFonts w:ascii="Arial" w:hAnsi="Arial" w:cs="Arial"/>
              <w:noProof/>
              <w:lang w:val="en-IN" w:eastAsia="en-GB"/>
            </w:rPr>
            <w:drawing>
              <wp:inline distT="0" distB="0" distL="0" distR="0" wp14:anchorId="33E42A7D" wp14:editId="686B3722">
                <wp:extent cx="6686550" cy="3759200"/>
                <wp:effectExtent l="0" t="0" r="0" b="0"/>
                <wp:docPr id="9" name="Picture 9"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paper with black 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p>
        <w:p w14:paraId="5B81ADFB" w14:textId="1EF31036" w:rsidR="00177041" w:rsidRDefault="00C609DE" w:rsidP="0034235E">
          <w:pPr>
            <w:spacing w:line="360" w:lineRule="auto"/>
            <w:rPr>
              <w:rStyle w:val="Strong"/>
              <w:rFonts w:ascii="Arial" w:hAnsi="Arial" w:cs="Arial"/>
              <w:b w:val="0"/>
              <w:bCs w:val="0"/>
              <w:lang w:val="en-IN" w:eastAsia="en-GB"/>
            </w:rPr>
          </w:pPr>
          <w:r>
            <w:rPr>
              <w:rFonts w:ascii="Arial" w:hAnsi="Arial" w:cs="Arial"/>
              <w:noProof/>
              <w:lang w:val="en-IN" w:eastAsia="en-GB"/>
            </w:rPr>
            <w:lastRenderedPageBreak/>
            <w:drawing>
              <wp:inline distT="0" distB="0" distL="0" distR="0" wp14:anchorId="473BCDA5" wp14:editId="0DCD83FF">
                <wp:extent cx="6686550" cy="3759200"/>
                <wp:effectExtent l="0" t="0" r="0" b="0"/>
                <wp:docPr id="10" name="Picture 10" descr="A blu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and black text on a white background&#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drawing>
              <wp:inline distT="0" distB="0" distL="0" distR="0" wp14:anchorId="1B75ED6D" wp14:editId="52FEBEA4">
                <wp:extent cx="6686550" cy="3759200"/>
                <wp:effectExtent l="0" t="0" r="0" b="0"/>
                <wp:docPr id="11"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 scree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lastRenderedPageBreak/>
            <w:drawing>
              <wp:inline distT="0" distB="0" distL="0" distR="0" wp14:anchorId="60242E5F" wp14:editId="11E4731F">
                <wp:extent cx="6686550" cy="3759200"/>
                <wp:effectExtent l="0" t="0" r="0" b="0"/>
                <wp:docPr id="12" name="Picture 12"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hart with text on i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drawing>
              <wp:inline distT="0" distB="0" distL="0" distR="0" wp14:anchorId="2EA79464" wp14:editId="04212210">
                <wp:extent cx="6686550" cy="375920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p>
        <w:p w14:paraId="4F49E2C4" w14:textId="77777777" w:rsidR="007548AD" w:rsidRDefault="00177041" w:rsidP="0034235E">
          <w:pPr>
            <w:spacing w:line="360" w:lineRule="auto"/>
            <w:rPr>
              <w:rStyle w:val="Strong"/>
              <w:rFonts w:ascii="Arial" w:hAnsi="Arial" w:cs="Arial"/>
              <w:b w:val="0"/>
              <w:bCs w:val="0"/>
              <w:lang w:val="en-IN" w:eastAsia="en-GB"/>
            </w:rPr>
          </w:pPr>
          <w:r>
            <w:rPr>
              <w:rFonts w:ascii="Arial" w:hAnsi="Arial" w:cs="Arial"/>
              <w:noProof/>
              <w:lang w:val="en-IN" w:eastAsia="en-GB"/>
            </w:rPr>
            <w:lastRenderedPageBreak/>
            <w:drawing>
              <wp:inline distT="0" distB="0" distL="0" distR="0" wp14:anchorId="6FA03273" wp14:editId="7D9E8788">
                <wp:extent cx="6686550" cy="3759200"/>
                <wp:effectExtent l="0" t="0" r="0" b="0"/>
                <wp:docPr id="19" name="Picture 19"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diagram of a business&#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drawing>
              <wp:inline distT="0" distB="0" distL="0" distR="0" wp14:anchorId="21F6400E" wp14:editId="06248354">
                <wp:extent cx="6686550" cy="3759200"/>
                <wp:effectExtent l="0" t="0" r="0" b="0"/>
                <wp:docPr id="14" name="Picture 14" descr="A white and blue card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white and blue card with text&#10;&#10;Description automatically generated with medium confidence"/>
                        <pic:cNvPicPr/>
                      </pic:nvPicPr>
                      <pic:blipFill>
                        <a:blip r:embed="rId54">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lastRenderedPageBreak/>
            <w:drawing>
              <wp:inline distT="0" distB="0" distL="0" distR="0" wp14:anchorId="469885A7" wp14:editId="41CED3E1">
                <wp:extent cx="6686550" cy="3759200"/>
                <wp:effectExtent l="0" t="0" r="0" b="0"/>
                <wp:docPr id="15" name="Picture 15" descr="A group of icon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oup of icons with 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drawing>
              <wp:inline distT="0" distB="0" distL="0" distR="0" wp14:anchorId="4C83BAEC" wp14:editId="36A33894">
                <wp:extent cx="6686550" cy="3759200"/>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p>
        <w:p w14:paraId="58566798" w14:textId="22B1BB74" w:rsidR="00C609DE" w:rsidRPr="0034235E" w:rsidRDefault="005B511F" w:rsidP="0034235E">
          <w:pPr>
            <w:spacing w:line="360" w:lineRule="auto"/>
            <w:rPr>
              <w:rStyle w:val="Strong"/>
              <w:rFonts w:ascii="Arial" w:hAnsi="Arial" w:cs="Arial"/>
              <w:b w:val="0"/>
              <w:bCs w:val="0"/>
              <w:lang w:val="en-IN" w:eastAsia="en-GB"/>
            </w:rPr>
          </w:pPr>
          <w:r>
            <w:rPr>
              <w:rFonts w:ascii="Arial" w:hAnsi="Arial" w:cs="Arial"/>
              <w:noProof/>
              <w:lang w:val="en-IN" w:eastAsia="en-GB"/>
            </w:rPr>
            <w:lastRenderedPageBreak/>
            <w:drawing>
              <wp:inline distT="0" distB="0" distL="0" distR="0" wp14:anchorId="5108A572" wp14:editId="72A61DA7">
                <wp:extent cx="6686550" cy="375920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drawing>
              <wp:inline distT="0" distB="0" distL="0" distR="0" wp14:anchorId="15E37454" wp14:editId="2EBE5770">
                <wp:extent cx="6686550" cy="3759200"/>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r w:rsidR="002C6AB7">
            <w:rPr>
              <w:rFonts w:ascii="Arial" w:hAnsi="Arial" w:cs="Arial"/>
              <w:noProof/>
              <w:lang w:val="en-IN" w:eastAsia="en-GB"/>
            </w:rPr>
            <w:lastRenderedPageBreak/>
            <w:drawing>
              <wp:inline distT="0" distB="0" distL="0" distR="0" wp14:anchorId="3CCF3D49" wp14:editId="663319E6">
                <wp:extent cx="6686550" cy="3759200"/>
                <wp:effectExtent l="0" t="0" r="0" b="0"/>
                <wp:docPr id="18" name="Picture 18" descr="A pencil on a yellow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encil on a yellow surface&#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6686550" cy="3759200"/>
                        </a:xfrm>
                        <a:prstGeom prst="rect">
                          <a:avLst/>
                        </a:prstGeom>
                      </pic:spPr>
                    </pic:pic>
                  </a:graphicData>
                </a:graphic>
              </wp:inline>
            </w:drawing>
          </w:r>
        </w:p>
        <w:p w14:paraId="7E5CE0B8" w14:textId="3F04F193" w:rsidR="008B1DAD" w:rsidRPr="0034235E" w:rsidRDefault="00B11EA7" w:rsidP="0034235E">
          <w:pPr>
            <w:spacing w:line="360" w:lineRule="auto"/>
            <w:rPr>
              <w:rStyle w:val="Strong"/>
              <w:rFonts w:ascii="Arial" w:hAnsi="Arial" w:cs="Arial"/>
              <w:b w:val="0"/>
              <w:bCs w:val="0"/>
              <w:lang w:val="en-IN" w:eastAsia="en-GB"/>
            </w:rPr>
          </w:pPr>
        </w:p>
      </w:sdtContent>
    </w:sdt>
    <w:p w14:paraId="4CF6A5B7" w14:textId="77777777" w:rsidR="00DA431F" w:rsidRPr="0034235E" w:rsidRDefault="00DA431F" w:rsidP="0034235E">
      <w:pPr>
        <w:spacing w:line="360" w:lineRule="auto"/>
        <w:jc w:val="both"/>
        <w:rPr>
          <w:rFonts w:ascii="Arial" w:hAnsi="Arial" w:cs="Arial"/>
        </w:rPr>
      </w:pPr>
    </w:p>
    <w:sectPr w:rsidR="00DA431F" w:rsidRPr="0034235E" w:rsidSect="006F0E5F">
      <w:footerReference w:type="default" r:id="rId60"/>
      <w:pgSz w:w="12240" w:h="15840"/>
      <w:pgMar w:top="568" w:right="810" w:bottom="284" w:left="9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9A0BF" w14:textId="77777777" w:rsidR="00636ABA" w:rsidRDefault="00636ABA" w:rsidP="001871E4">
      <w:pPr>
        <w:spacing w:after="0" w:line="240" w:lineRule="auto"/>
      </w:pPr>
      <w:r>
        <w:separator/>
      </w:r>
    </w:p>
  </w:endnote>
  <w:endnote w:type="continuationSeparator" w:id="0">
    <w:p w14:paraId="423F1BE1" w14:textId="77777777" w:rsidR="00636ABA" w:rsidRDefault="00636ABA" w:rsidP="001871E4">
      <w:pPr>
        <w:spacing w:after="0" w:line="240" w:lineRule="auto"/>
      </w:pPr>
      <w:r>
        <w:continuationSeparator/>
      </w:r>
    </w:p>
  </w:endnote>
  <w:endnote w:type="continuationNotice" w:id="1">
    <w:p w14:paraId="2681833F" w14:textId="77777777" w:rsidR="00636ABA" w:rsidRDefault="00636A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Italic">
    <w:altName w:val="Klee One"/>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768758"/>
      <w:docPartObj>
        <w:docPartGallery w:val="Page Numbers (Bottom of Page)"/>
        <w:docPartUnique/>
      </w:docPartObj>
    </w:sdtPr>
    <w:sdtEndPr>
      <w:rPr>
        <w:noProof/>
      </w:rPr>
    </w:sdtEndPr>
    <w:sdtContent>
      <w:p w14:paraId="4A626191" w14:textId="77777777" w:rsidR="001871E4" w:rsidRDefault="001871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45DD47" w14:textId="77777777" w:rsidR="001871E4" w:rsidRDefault="00187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8952D" w14:textId="77777777" w:rsidR="00636ABA" w:rsidRDefault="00636ABA" w:rsidP="001871E4">
      <w:pPr>
        <w:spacing w:after="0" w:line="240" w:lineRule="auto"/>
      </w:pPr>
      <w:r>
        <w:separator/>
      </w:r>
    </w:p>
  </w:footnote>
  <w:footnote w:type="continuationSeparator" w:id="0">
    <w:p w14:paraId="3AEBFE0F" w14:textId="77777777" w:rsidR="00636ABA" w:rsidRDefault="00636ABA" w:rsidP="001871E4">
      <w:pPr>
        <w:spacing w:after="0" w:line="240" w:lineRule="auto"/>
      </w:pPr>
      <w:r>
        <w:continuationSeparator/>
      </w:r>
    </w:p>
  </w:footnote>
  <w:footnote w:type="continuationNotice" w:id="1">
    <w:p w14:paraId="2CB2F036" w14:textId="77777777" w:rsidR="00636ABA" w:rsidRDefault="00636AB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6EF7"/>
    <w:multiLevelType w:val="hybridMultilevel"/>
    <w:tmpl w:val="B02C0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AB5448"/>
    <w:multiLevelType w:val="hybridMultilevel"/>
    <w:tmpl w:val="2390A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D2EE2"/>
    <w:multiLevelType w:val="hybridMultilevel"/>
    <w:tmpl w:val="E16EE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121A9"/>
    <w:multiLevelType w:val="hybridMultilevel"/>
    <w:tmpl w:val="353ED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C2038"/>
    <w:multiLevelType w:val="hybridMultilevel"/>
    <w:tmpl w:val="91026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45D7B"/>
    <w:multiLevelType w:val="hybridMultilevel"/>
    <w:tmpl w:val="30266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9631C0"/>
    <w:multiLevelType w:val="hybridMultilevel"/>
    <w:tmpl w:val="A9828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4D6A7E"/>
    <w:multiLevelType w:val="hybridMultilevel"/>
    <w:tmpl w:val="B2BEC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4823B8"/>
    <w:multiLevelType w:val="hybridMultilevel"/>
    <w:tmpl w:val="711E1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6971595">
    <w:abstractNumId w:val="7"/>
  </w:num>
  <w:num w:numId="2" w16cid:durableId="137455366">
    <w:abstractNumId w:val="2"/>
  </w:num>
  <w:num w:numId="3" w16cid:durableId="1415128536">
    <w:abstractNumId w:val="1"/>
  </w:num>
  <w:num w:numId="4" w16cid:durableId="294336566">
    <w:abstractNumId w:val="3"/>
  </w:num>
  <w:num w:numId="5" w16cid:durableId="543177987">
    <w:abstractNumId w:val="5"/>
  </w:num>
  <w:num w:numId="6" w16cid:durableId="1826782125">
    <w:abstractNumId w:val="8"/>
  </w:num>
  <w:num w:numId="7" w16cid:durableId="2010281117">
    <w:abstractNumId w:val="0"/>
  </w:num>
  <w:num w:numId="8" w16cid:durableId="386297791">
    <w:abstractNumId w:val="6"/>
  </w:num>
  <w:num w:numId="9" w16cid:durableId="2223768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C8C"/>
    <w:rsid w:val="000000E3"/>
    <w:rsid w:val="00011A35"/>
    <w:rsid w:val="0001562F"/>
    <w:rsid w:val="00026C2C"/>
    <w:rsid w:val="00035AE7"/>
    <w:rsid w:val="00050D4A"/>
    <w:rsid w:val="00051A29"/>
    <w:rsid w:val="0005620B"/>
    <w:rsid w:val="000727F2"/>
    <w:rsid w:val="00073141"/>
    <w:rsid w:val="00084F46"/>
    <w:rsid w:val="000918A6"/>
    <w:rsid w:val="00091D5B"/>
    <w:rsid w:val="0009299F"/>
    <w:rsid w:val="00092A12"/>
    <w:rsid w:val="00094B7F"/>
    <w:rsid w:val="0009574B"/>
    <w:rsid w:val="00097E39"/>
    <w:rsid w:val="000A391B"/>
    <w:rsid w:val="000A5E36"/>
    <w:rsid w:val="000A7759"/>
    <w:rsid w:val="000B099D"/>
    <w:rsid w:val="000B37DB"/>
    <w:rsid w:val="000C13A5"/>
    <w:rsid w:val="000C28E1"/>
    <w:rsid w:val="000C49C2"/>
    <w:rsid w:val="000C5BEA"/>
    <w:rsid w:val="000D0D36"/>
    <w:rsid w:val="000D65AC"/>
    <w:rsid w:val="000D6A72"/>
    <w:rsid w:val="000E6CA2"/>
    <w:rsid w:val="000F3D6A"/>
    <w:rsid w:val="000F4347"/>
    <w:rsid w:val="000F57B1"/>
    <w:rsid w:val="00105442"/>
    <w:rsid w:val="001061CD"/>
    <w:rsid w:val="0011007D"/>
    <w:rsid w:val="0011545E"/>
    <w:rsid w:val="00117CF0"/>
    <w:rsid w:val="00124EB5"/>
    <w:rsid w:val="001257CE"/>
    <w:rsid w:val="00154315"/>
    <w:rsid w:val="00161C4C"/>
    <w:rsid w:val="00166604"/>
    <w:rsid w:val="001731E4"/>
    <w:rsid w:val="00173BC2"/>
    <w:rsid w:val="0017450E"/>
    <w:rsid w:val="00174BC9"/>
    <w:rsid w:val="00177041"/>
    <w:rsid w:val="001815E5"/>
    <w:rsid w:val="001871E4"/>
    <w:rsid w:val="00192FAF"/>
    <w:rsid w:val="001938CA"/>
    <w:rsid w:val="00194BEA"/>
    <w:rsid w:val="00195E78"/>
    <w:rsid w:val="001B1325"/>
    <w:rsid w:val="001B4346"/>
    <w:rsid w:val="001C0A47"/>
    <w:rsid w:val="001C20FE"/>
    <w:rsid w:val="001C237E"/>
    <w:rsid w:val="001C6921"/>
    <w:rsid w:val="001D5882"/>
    <w:rsid w:val="001D6A19"/>
    <w:rsid w:val="001E4C36"/>
    <w:rsid w:val="001E55A3"/>
    <w:rsid w:val="00204479"/>
    <w:rsid w:val="00212E20"/>
    <w:rsid w:val="002200C6"/>
    <w:rsid w:val="00233D65"/>
    <w:rsid w:val="00237844"/>
    <w:rsid w:val="00242345"/>
    <w:rsid w:val="00244971"/>
    <w:rsid w:val="002455C4"/>
    <w:rsid w:val="002478DF"/>
    <w:rsid w:val="00247AE1"/>
    <w:rsid w:val="00251242"/>
    <w:rsid w:val="00252029"/>
    <w:rsid w:val="0025410B"/>
    <w:rsid w:val="0025472C"/>
    <w:rsid w:val="00256C21"/>
    <w:rsid w:val="00267D82"/>
    <w:rsid w:val="00280CAF"/>
    <w:rsid w:val="002829D1"/>
    <w:rsid w:val="00283247"/>
    <w:rsid w:val="00285C8C"/>
    <w:rsid w:val="0029519A"/>
    <w:rsid w:val="002A1795"/>
    <w:rsid w:val="002B179E"/>
    <w:rsid w:val="002B28D5"/>
    <w:rsid w:val="002C0EEB"/>
    <w:rsid w:val="002C33DB"/>
    <w:rsid w:val="002C44AF"/>
    <w:rsid w:val="002C5B35"/>
    <w:rsid w:val="002C6AB7"/>
    <w:rsid w:val="002D3891"/>
    <w:rsid w:val="002D76E1"/>
    <w:rsid w:val="002E0416"/>
    <w:rsid w:val="002E181E"/>
    <w:rsid w:val="002E2E24"/>
    <w:rsid w:val="002E2FF9"/>
    <w:rsid w:val="002E428C"/>
    <w:rsid w:val="002F099B"/>
    <w:rsid w:val="002F4D42"/>
    <w:rsid w:val="002F5B0E"/>
    <w:rsid w:val="0030545B"/>
    <w:rsid w:val="00315E53"/>
    <w:rsid w:val="003209F8"/>
    <w:rsid w:val="00324608"/>
    <w:rsid w:val="003267C9"/>
    <w:rsid w:val="00327E87"/>
    <w:rsid w:val="00332B75"/>
    <w:rsid w:val="00333D56"/>
    <w:rsid w:val="0034235E"/>
    <w:rsid w:val="003446FE"/>
    <w:rsid w:val="00356C83"/>
    <w:rsid w:val="003572E9"/>
    <w:rsid w:val="00357DF8"/>
    <w:rsid w:val="003677A8"/>
    <w:rsid w:val="00377BBF"/>
    <w:rsid w:val="00390635"/>
    <w:rsid w:val="00393B37"/>
    <w:rsid w:val="003948F8"/>
    <w:rsid w:val="003A0CE9"/>
    <w:rsid w:val="003A50F6"/>
    <w:rsid w:val="003A71E2"/>
    <w:rsid w:val="003B0174"/>
    <w:rsid w:val="003B0658"/>
    <w:rsid w:val="003C07A2"/>
    <w:rsid w:val="003D6212"/>
    <w:rsid w:val="003E170D"/>
    <w:rsid w:val="003E60BB"/>
    <w:rsid w:val="003E61DB"/>
    <w:rsid w:val="003E6E99"/>
    <w:rsid w:val="003F3D01"/>
    <w:rsid w:val="00400E12"/>
    <w:rsid w:val="00405466"/>
    <w:rsid w:val="004060B2"/>
    <w:rsid w:val="00412727"/>
    <w:rsid w:val="004139D6"/>
    <w:rsid w:val="004171C1"/>
    <w:rsid w:val="00420ED7"/>
    <w:rsid w:val="00422D94"/>
    <w:rsid w:val="0043452B"/>
    <w:rsid w:val="0043787F"/>
    <w:rsid w:val="00437EAA"/>
    <w:rsid w:val="00446005"/>
    <w:rsid w:val="00446956"/>
    <w:rsid w:val="00453774"/>
    <w:rsid w:val="004555DF"/>
    <w:rsid w:val="00462C05"/>
    <w:rsid w:val="004647B1"/>
    <w:rsid w:val="00466580"/>
    <w:rsid w:val="00471748"/>
    <w:rsid w:val="0047417D"/>
    <w:rsid w:val="00484537"/>
    <w:rsid w:val="004862D6"/>
    <w:rsid w:val="00487610"/>
    <w:rsid w:val="00497AC4"/>
    <w:rsid w:val="004B08F0"/>
    <w:rsid w:val="004B7CEB"/>
    <w:rsid w:val="004C237C"/>
    <w:rsid w:val="004C663D"/>
    <w:rsid w:val="004E581B"/>
    <w:rsid w:val="004F4D0F"/>
    <w:rsid w:val="004F62BC"/>
    <w:rsid w:val="00500F65"/>
    <w:rsid w:val="00506D2E"/>
    <w:rsid w:val="00507687"/>
    <w:rsid w:val="0051254B"/>
    <w:rsid w:val="005175B4"/>
    <w:rsid w:val="00517646"/>
    <w:rsid w:val="005201D3"/>
    <w:rsid w:val="00524077"/>
    <w:rsid w:val="0052551B"/>
    <w:rsid w:val="005277DC"/>
    <w:rsid w:val="0053159F"/>
    <w:rsid w:val="005345DD"/>
    <w:rsid w:val="0054627E"/>
    <w:rsid w:val="00550156"/>
    <w:rsid w:val="00553D37"/>
    <w:rsid w:val="00563205"/>
    <w:rsid w:val="00566993"/>
    <w:rsid w:val="0059268F"/>
    <w:rsid w:val="00594BCA"/>
    <w:rsid w:val="0059751E"/>
    <w:rsid w:val="00597D0F"/>
    <w:rsid w:val="005A3092"/>
    <w:rsid w:val="005A319E"/>
    <w:rsid w:val="005B03A3"/>
    <w:rsid w:val="005B10FA"/>
    <w:rsid w:val="005B113F"/>
    <w:rsid w:val="005B3CAB"/>
    <w:rsid w:val="005B511F"/>
    <w:rsid w:val="005C0490"/>
    <w:rsid w:val="005C340C"/>
    <w:rsid w:val="005C49CA"/>
    <w:rsid w:val="005C78CA"/>
    <w:rsid w:val="005C7C0B"/>
    <w:rsid w:val="005D0B0E"/>
    <w:rsid w:val="005D1865"/>
    <w:rsid w:val="005D4E32"/>
    <w:rsid w:val="005D7360"/>
    <w:rsid w:val="005D7F03"/>
    <w:rsid w:val="005E071F"/>
    <w:rsid w:val="005E601D"/>
    <w:rsid w:val="005F6045"/>
    <w:rsid w:val="00604D81"/>
    <w:rsid w:val="006131DE"/>
    <w:rsid w:val="00614E85"/>
    <w:rsid w:val="006202DF"/>
    <w:rsid w:val="00623894"/>
    <w:rsid w:val="00631124"/>
    <w:rsid w:val="00636ABA"/>
    <w:rsid w:val="006372C6"/>
    <w:rsid w:val="00641290"/>
    <w:rsid w:val="00660289"/>
    <w:rsid w:val="00664F6E"/>
    <w:rsid w:val="006654BC"/>
    <w:rsid w:val="00671916"/>
    <w:rsid w:val="00672264"/>
    <w:rsid w:val="006729DC"/>
    <w:rsid w:val="00673834"/>
    <w:rsid w:val="00683AE0"/>
    <w:rsid w:val="00687136"/>
    <w:rsid w:val="00693F9B"/>
    <w:rsid w:val="006A09A4"/>
    <w:rsid w:val="006A3372"/>
    <w:rsid w:val="006A50FE"/>
    <w:rsid w:val="006B3CD0"/>
    <w:rsid w:val="006B7ECF"/>
    <w:rsid w:val="006C5F8A"/>
    <w:rsid w:val="006C6A0E"/>
    <w:rsid w:val="006D7077"/>
    <w:rsid w:val="006E0D23"/>
    <w:rsid w:val="006E1927"/>
    <w:rsid w:val="006E1AA5"/>
    <w:rsid w:val="006E4642"/>
    <w:rsid w:val="006F0E5F"/>
    <w:rsid w:val="006F5900"/>
    <w:rsid w:val="006F63C6"/>
    <w:rsid w:val="006F7B89"/>
    <w:rsid w:val="00700E62"/>
    <w:rsid w:val="00711A0A"/>
    <w:rsid w:val="00713E1B"/>
    <w:rsid w:val="00715D0B"/>
    <w:rsid w:val="007262F4"/>
    <w:rsid w:val="007307D1"/>
    <w:rsid w:val="00732A25"/>
    <w:rsid w:val="0074405E"/>
    <w:rsid w:val="00745653"/>
    <w:rsid w:val="00752438"/>
    <w:rsid w:val="00752B2A"/>
    <w:rsid w:val="00753044"/>
    <w:rsid w:val="007548AD"/>
    <w:rsid w:val="0076430B"/>
    <w:rsid w:val="00764D3D"/>
    <w:rsid w:val="00767481"/>
    <w:rsid w:val="00783057"/>
    <w:rsid w:val="00784D1D"/>
    <w:rsid w:val="0078524E"/>
    <w:rsid w:val="007853A8"/>
    <w:rsid w:val="0079268C"/>
    <w:rsid w:val="0079571D"/>
    <w:rsid w:val="00796E98"/>
    <w:rsid w:val="007A4697"/>
    <w:rsid w:val="007A5D69"/>
    <w:rsid w:val="007A5D84"/>
    <w:rsid w:val="007C0CFA"/>
    <w:rsid w:val="007C1356"/>
    <w:rsid w:val="007D0A9F"/>
    <w:rsid w:val="007D0B9D"/>
    <w:rsid w:val="007D1CC2"/>
    <w:rsid w:val="007D492C"/>
    <w:rsid w:val="007E35C6"/>
    <w:rsid w:val="007E490F"/>
    <w:rsid w:val="007F4810"/>
    <w:rsid w:val="007F4ABC"/>
    <w:rsid w:val="007F5EAF"/>
    <w:rsid w:val="00804956"/>
    <w:rsid w:val="008055FC"/>
    <w:rsid w:val="008130C4"/>
    <w:rsid w:val="00816AAD"/>
    <w:rsid w:val="0082305D"/>
    <w:rsid w:val="00826A43"/>
    <w:rsid w:val="00832087"/>
    <w:rsid w:val="00833E15"/>
    <w:rsid w:val="008343C9"/>
    <w:rsid w:val="00835781"/>
    <w:rsid w:val="00846091"/>
    <w:rsid w:val="00846903"/>
    <w:rsid w:val="00847D35"/>
    <w:rsid w:val="00850B0D"/>
    <w:rsid w:val="00855A39"/>
    <w:rsid w:val="00863DC9"/>
    <w:rsid w:val="0086467D"/>
    <w:rsid w:val="00865FAA"/>
    <w:rsid w:val="00866978"/>
    <w:rsid w:val="00866C97"/>
    <w:rsid w:val="00871AD6"/>
    <w:rsid w:val="008735EB"/>
    <w:rsid w:val="00873D71"/>
    <w:rsid w:val="00874B12"/>
    <w:rsid w:val="00876AF3"/>
    <w:rsid w:val="0088562D"/>
    <w:rsid w:val="00887C36"/>
    <w:rsid w:val="00897CA0"/>
    <w:rsid w:val="008A332F"/>
    <w:rsid w:val="008A35C1"/>
    <w:rsid w:val="008B1DAD"/>
    <w:rsid w:val="008B6AB1"/>
    <w:rsid w:val="008C2668"/>
    <w:rsid w:val="008C3BE9"/>
    <w:rsid w:val="008C58F0"/>
    <w:rsid w:val="008C5C56"/>
    <w:rsid w:val="008C7496"/>
    <w:rsid w:val="008D1909"/>
    <w:rsid w:val="008D236A"/>
    <w:rsid w:val="008D5527"/>
    <w:rsid w:val="008E0E41"/>
    <w:rsid w:val="008E29AB"/>
    <w:rsid w:val="008F054F"/>
    <w:rsid w:val="008F0F4A"/>
    <w:rsid w:val="008F29B2"/>
    <w:rsid w:val="008F52A0"/>
    <w:rsid w:val="00902F72"/>
    <w:rsid w:val="00923163"/>
    <w:rsid w:val="009248E4"/>
    <w:rsid w:val="00935232"/>
    <w:rsid w:val="00945EDE"/>
    <w:rsid w:val="00946985"/>
    <w:rsid w:val="00946DE7"/>
    <w:rsid w:val="00947674"/>
    <w:rsid w:val="009566C7"/>
    <w:rsid w:val="009610CE"/>
    <w:rsid w:val="00964824"/>
    <w:rsid w:val="009663B7"/>
    <w:rsid w:val="0097624B"/>
    <w:rsid w:val="00976CB5"/>
    <w:rsid w:val="009848BF"/>
    <w:rsid w:val="009870E1"/>
    <w:rsid w:val="00990A11"/>
    <w:rsid w:val="00995037"/>
    <w:rsid w:val="009A042E"/>
    <w:rsid w:val="009B1FD4"/>
    <w:rsid w:val="009B3FD0"/>
    <w:rsid w:val="009B48E9"/>
    <w:rsid w:val="009B4E4D"/>
    <w:rsid w:val="009C1308"/>
    <w:rsid w:val="009C3337"/>
    <w:rsid w:val="009C455C"/>
    <w:rsid w:val="009C602A"/>
    <w:rsid w:val="009C7731"/>
    <w:rsid w:val="009D01F0"/>
    <w:rsid w:val="009D1B7F"/>
    <w:rsid w:val="009E1BB9"/>
    <w:rsid w:val="009E5AF7"/>
    <w:rsid w:val="009F6F1B"/>
    <w:rsid w:val="009F762F"/>
    <w:rsid w:val="00A041B3"/>
    <w:rsid w:val="00A1266B"/>
    <w:rsid w:val="00A53EC2"/>
    <w:rsid w:val="00A57DCE"/>
    <w:rsid w:val="00A65CC9"/>
    <w:rsid w:val="00A757A8"/>
    <w:rsid w:val="00A80D31"/>
    <w:rsid w:val="00A847D1"/>
    <w:rsid w:val="00AA47FA"/>
    <w:rsid w:val="00AB2FE3"/>
    <w:rsid w:val="00AB3386"/>
    <w:rsid w:val="00AB3E14"/>
    <w:rsid w:val="00AB718B"/>
    <w:rsid w:val="00AC5A6A"/>
    <w:rsid w:val="00AC7C73"/>
    <w:rsid w:val="00AD208C"/>
    <w:rsid w:val="00AE03A2"/>
    <w:rsid w:val="00AE0AB7"/>
    <w:rsid w:val="00AE160C"/>
    <w:rsid w:val="00AE1D2D"/>
    <w:rsid w:val="00AE6B2D"/>
    <w:rsid w:val="00AF15A2"/>
    <w:rsid w:val="00AF63FB"/>
    <w:rsid w:val="00AF77F3"/>
    <w:rsid w:val="00B11EA7"/>
    <w:rsid w:val="00B13B2E"/>
    <w:rsid w:val="00B14A97"/>
    <w:rsid w:val="00B2003D"/>
    <w:rsid w:val="00B237C7"/>
    <w:rsid w:val="00B26747"/>
    <w:rsid w:val="00B3684B"/>
    <w:rsid w:val="00B372CC"/>
    <w:rsid w:val="00B61B28"/>
    <w:rsid w:val="00B725A3"/>
    <w:rsid w:val="00B72984"/>
    <w:rsid w:val="00B81E64"/>
    <w:rsid w:val="00B81F8A"/>
    <w:rsid w:val="00B85E15"/>
    <w:rsid w:val="00B87EC9"/>
    <w:rsid w:val="00BA051C"/>
    <w:rsid w:val="00BA2107"/>
    <w:rsid w:val="00BA3EE6"/>
    <w:rsid w:val="00BB0600"/>
    <w:rsid w:val="00BB2CF3"/>
    <w:rsid w:val="00BC033A"/>
    <w:rsid w:val="00BC24B7"/>
    <w:rsid w:val="00BC4E2E"/>
    <w:rsid w:val="00BD0C27"/>
    <w:rsid w:val="00BD2E10"/>
    <w:rsid w:val="00BD372B"/>
    <w:rsid w:val="00BD68E0"/>
    <w:rsid w:val="00BE02D6"/>
    <w:rsid w:val="00BE0DE0"/>
    <w:rsid w:val="00BF0FA7"/>
    <w:rsid w:val="00BF33D7"/>
    <w:rsid w:val="00BF3B7A"/>
    <w:rsid w:val="00BF4A0E"/>
    <w:rsid w:val="00BF4C7C"/>
    <w:rsid w:val="00BF6362"/>
    <w:rsid w:val="00BF6838"/>
    <w:rsid w:val="00C000E2"/>
    <w:rsid w:val="00C104D5"/>
    <w:rsid w:val="00C10FBE"/>
    <w:rsid w:val="00C22F1B"/>
    <w:rsid w:val="00C2481B"/>
    <w:rsid w:val="00C26966"/>
    <w:rsid w:val="00C26C02"/>
    <w:rsid w:val="00C26E37"/>
    <w:rsid w:val="00C31452"/>
    <w:rsid w:val="00C320D8"/>
    <w:rsid w:val="00C32615"/>
    <w:rsid w:val="00C3383B"/>
    <w:rsid w:val="00C35F9E"/>
    <w:rsid w:val="00C36F63"/>
    <w:rsid w:val="00C4512E"/>
    <w:rsid w:val="00C455E6"/>
    <w:rsid w:val="00C567F9"/>
    <w:rsid w:val="00C609DE"/>
    <w:rsid w:val="00C63682"/>
    <w:rsid w:val="00C63EF8"/>
    <w:rsid w:val="00C66063"/>
    <w:rsid w:val="00C6750A"/>
    <w:rsid w:val="00C76199"/>
    <w:rsid w:val="00C8123C"/>
    <w:rsid w:val="00C81696"/>
    <w:rsid w:val="00C851FD"/>
    <w:rsid w:val="00CB094E"/>
    <w:rsid w:val="00CB1C5E"/>
    <w:rsid w:val="00CB76D1"/>
    <w:rsid w:val="00CC1032"/>
    <w:rsid w:val="00CC11F7"/>
    <w:rsid w:val="00CC1445"/>
    <w:rsid w:val="00CD2232"/>
    <w:rsid w:val="00CE6BFB"/>
    <w:rsid w:val="00CF73AC"/>
    <w:rsid w:val="00D01F72"/>
    <w:rsid w:val="00D11194"/>
    <w:rsid w:val="00D16618"/>
    <w:rsid w:val="00D24060"/>
    <w:rsid w:val="00D25A2B"/>
    <w:rsid w:val="00D25B8E"/>
    <w:rsid w:val="00D261DC"/>
    <w:rsid w:val="00D27D63"/>
    <w:rsid w:val="00D3692C"/>
    <w:rsid w:val="00D51EDF"/>
    <w:rsid w:val="00D535B8"/>
    <w:rsid w:val="00D5411D"/>
    <w:rsid w:val="00D57398"/>
    <w:rsid w:val="00D66CC1"/>
    <w:rsid w:val="00D7121C"/>
    <w:rsid w:val="00D71F3A"/>
    <w:rsid w:val="00D7270C"/>
    <w:rsid w:val="00D72946"/>
    <w:rsid w:val="00D83386"/>
    <w:rsid w:val="00D84B55"/>
    <w:rsid w:val="00D9728C"/>
    <w:rsid w:val="00DA431F"/>
    <w:rsid w:val="00DA4A14"/>
    <w:rsid w:val="00DA6F89"/>
    <w:rsid w:val="00DB1A2A"/>
    <w:rsid w:val="00DB5510"/>
    <w:rsid w:val="00DC24F7"/>
    <w:rsid w:val="00DC2690"/>
    <w:rsid w:val="00DC3A1C"/>
    <w:rsid w:val="00DC5C81"/>
    <w:rsid w:val="00DD2CC3"/>
    <w:rsid w:val="00DE3B8C"/>
    <w:rsid w:val="00DE6A1A"/>
    <w:rsid w:val="00DF01EE"/>
    <w:rsid w:val="00DF5CD9"/>
    <w:rsid w:val="00DF64AB"/>
    <w:rsid w:val="00E0186F"/>
    <w:rsid w:val="00E01B47"/>
    <w:rsid w:val="00E044EC"/>
    <w:rsid w:val="00E061E1"/>
    <w:rsid w:val="00E076E2"/>
    <w:rsid w:val="00E13BF6"/>
    <w:rsid w:val="00E1448F"/>
    <w:rsid w:val="00E16A14"/>
    <w:rsid w:val="00E172A7"/>
    <w:rsid w:val="00E21A5C"/>
    <w:rsid w:val="00E24DB1"/>
    <w:rsid w:val="00E24FDF"/>
    <w:rsid w:val="00E302CD"/>
    <w:rsid w:val="00E30AA4"/>
    <w:rsid w:val="00E3677D"/>
    <w:rsid w:val="00E4794E"/>
    <w:rsid w:val="00E479B4"/>
    <w:rsid w:val="00E506E9"/>
    <w:rsid w:val="00E53646"/>
    <w:rsid w:val="00E53F4D"/>
    <w:rsid w:val="00E563C5"/>
    <w:rsid w:val="00E60473"/>
    <w:rsid w:val="00E85EEC"/>
    <w:rsid w:val="00E9094F"/>
    <w:rsid w:val="00E91571"/>
    <w:rsid w:val="00E943BD"/>
    <w:rsid w:val="00E95B35"/>
    <w:rsid w:val="00E97DCB"/>
    <w:rsid w:val="00EA1079"/>
    <w:rsid w:val="00EA735D"/>
    <w:rsid w:val="00EB54AD"/>
    <w:rsid w:val="00EB603C"/>
    <w:rsid w:val="00EC0416"/>
    <w:rsid w:val="00EC0980"/>
    <w:rsid w:val="00EC14C3"/>
    <w:rsid w:val="00ED6013"/>
    <w:rsid w:val="00EF3AC8"/>
    <w:rsid w:val="00EF498F"/>
    <w:rsid w:val="00EF501E"/>
    <w:rsid w:val="00F0147D"/>
    <w:rsid w:val="00F12490"/>
    <w:rsid w:val="00F23832"/>
    <w:rsid w:val="00F24343"/>
    <w:rsid w:val="00F420BE"/>
    <w:rsid w:val="00F5196C"/>
    <w:rsid w:val="00F6587B"/>
    <w:rsid w:val="00F80FCE"/>
    <w:rsid w:val="00F85ACB"/>
    <w:rsid w:val="00F85FE9"/>
    <w:rsid w:val="00F90D51"/>
    <w:rsid w:val="00F93F12"/>
    <w:rsid w:val="00F97027"/>
    <w:rsid w:val="00FA7469"/>
    <w:rsid w:val="00FA7F1E"/>
    <w:rsid w:val="00FB0266"/>
    <w:rsid w:val="00FB312A"/>
    <w:rsid w:val="00FB35E3"/>
    <w:rsid w:val="00FB47C6"/>
    <w:rsid w:val="00FB6C0F"/>
    <w:rsid w:val="00FC32C6"/>
    <w:rsid w:val="00FC4017"/>
    <w:rsid w:val="00FC7260"/>
    <w:rsid w:val="00FD315E"/>
    <w:rsid w:val="00FD7897"/>
    <w:rsid w:val="00FE09A5"/>
    <w:rsid w:val="00FF0EF3"/>
    <w:rsid w:val="04E03EE3"/>
    <w:rsid w:val="05D889CA"/>
    <w:rsid w:val="0817DFA5"/>
    <w:rsid w:val="0A9109C9"/>
    <w:rsid w:val="0D8E98D9"/>
    <w:rsid w:val="14E5418D"/>
    <w:rsid w:val="1B10A15B"/>
    <w:rsid w:val="1C7D48DE"/>
    <w:rsid w:val="29C209E0"/>
    <w:rsid w:val="2A1EFA3C"/>
    <w:rsid w:val="2BAE1B9E"/>
    <w:rsid w:val="2C6F73ED"/>
    <w:rsid w:val="31CD1BC5"/>
    <w:rsid w:val="36A87A6E"/>
    <w:rsid w:val="36BB8E4A"/>
    <w:rsid w:val="39E01B30"/>
    <w:rsid w:val="3D17BBF2"/>
    <w:rsid w:val="444CC5CD"/>
    <w:rsid w:val="46A6D325"/>
    <w:rsid w:val="47633593"/>
    <w:rsid w:val="51401B14"/>
    <w:rsid w:val="52F513D2"/>
    <w:rsid w:val="5957DFDC"/>
    <w:rsid w:val="5C6416B3"/>
    <w:rsid w:val="6256B4B4"/>
    <w:rsid w:val="64E29873"/>
    <w:rsid w:val="658E5576"/>
    <w:rsid w:val="6A489E3C"/>
    <w:rsid w:val="7246FD3E"/>
    <w:rsid w:val="73E2CD9F"/>
    <w:rsid w:val="782D93C9"/>
    <w:rsid w:val="7ADE78E0"/>
    <w:rsid w:val="7E849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C4A365"/>
  <w15:chartTrackingRefBased/>
  <w15:docId w15:val="{A837F8A7-253E-4FE0-BB52-2305E049D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C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31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31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C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A31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A319E"/>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A319E"/>
    <w:rPr>
      <w:b/>
      <w:bCs/>
    </w:rPr>
  </w:style>
  <w:style w:type="paragraph" w:styleId="TOCHeading">
    <w:name w:val="TOC Heading"/>
    <w:basedOn w:val="Heading1"/>
    <w:next w:val="Normal"/>
    <w:uiPriority w:val="39"/>
    <w:unhideWhenUsed/>
    <w:qFormat/>
    <w:rsid w:val="005277DC"/>
    <w:pPr>
      <w:outlineLvl w:val="9"/>
    </w:pPr>
    <w:rPr>
      <w:lang w:val="en-US"/>
    </w:rPr>
  </w:style>
  <w:style w:type="paragraph" w:styleId="TOC2">
    <w:name w:val="toc 2"/>
    <w:basedOn w:val="Normal"/>
    <w:next w:val="Normal"/>
    <w:autoRedefine/>
    <w:uiPriority w:val="39"/>
    <w:unhideWhenUsed/>
    <w:rsid w:val="00400E12"/>
    <w:pPr>
      <w:tabs>
        <w:tab w:val="right" w:leader="dot" w:pos="10348"/>
      </w:tabs>
      <w:spacing w:after="100" w:line="360" w:lineRule="auto"/>
      <w:ind w:left="220"/>
    </w:pPr>
  </w:style>
  <w:style w:type="character" w:styleId="Hyperlink">
    <w:name w:val="Hyperlink"/>
    <w:basedOn w:val="DefaultParagraphFont"/>
    <w:uiPriority w:val="99"/>
    <w:unhideWhenUsed/>
    <w:rsid w:val="005277DC"/>
    <w:rPr>
      <w:color w:val="0563C1" w:themeColor="hyperlink"/>
      <w:u w:val="single"/>
    </w:rPr>
  </w:style>
  <w:style w:type="paragraph" w:styleId="NoSpacing">
    <w:name w:val="No Spacing"/>
    <w:link w:val="NoSpacingChar"/>
    <w:uiPriority w:val="1"/>
    <w:qFormat/>
    <w:rsid w:val="00B372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72CC"/>
    <w:rPr>
      <w:rFonts w:eastAsiaTheme="minorEastAsia"/>
      <w:lang w:val="en-US"/>
    </w:rPr>
  </w:style>
  <w:style w:type="paragraph" w:styleId="Header">
    <w:name w:val="header"/>
    <w:basedOn w:val="Normal"/>
    <w:link w:val="HeaderChar"/>
    <w:uiPriority w:val="99"/>
    <w:unhideWhenUsed/>
    <w:rsid w:val="001871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71E4"/>
  </w:style>
  <w:style w:type="paragraph" w:styleId="Footer">
    <w:name w:val="footer"/>
    <w:basedOn w:val="Normal"/>
    <w:link w:val="FooterChar"/>
    <w:uiPriority w:val="99"/>
    <w:unhideWhenUsed/>
    <w:rsid w:val="001871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71E4"/>
  </w:style>
  <w:style w:type="character" w:styleId="UnresolvedMention">
    <w:name w:val="Unresolved Mention"/>
    <w:basedOn w:val="DefaultParagraphFont"/>
    <w:uiPriority w:val="99"/>
    <w:semiHidden/>
    <w:unhideWhenUsed/>
    <w:rsid w:val="00CC1032"/>
    <w:rPr>
      <w:color w:val="605E5C"/>
      <w:shd w:val="clear" w:color="auto" w:fill="E1DFDD"/>
    </w:rPr>
  </w:style>
  <w:style w:type="paragraph" w:styleId="TOC1">
    <w:name w:val="toc 1"/>
    <w:basedOn w:val="Normal"/>
    <w:next w:val="Normal"/>
    <w:autoRedefine/>
    <w:uiPriority w:val="39"/>
    <w:unhideWhenUsed/>
    <w:rsid w:val="00400E12"/>
    <w:pPr>
      <w:tabs>
        <w:tab w:val="right" w:leader="dot" w:pos="10348"/>
      </w:tabs>
      <w:spacing w:after="100" w:line="360" w:lineRule="auto"/>
    </w:pPr>
    <w:rPr>
      <w:kern w:val="2"/>
      <w:lang w:val="en-IN" w:eastAsia="en-GB"/>
    </w:rPr>
  </w:style>
  <w:style w:type="character" w:styleId="FollowedHyperlink">
    <w:name w:val="FollowedHyperlink"/>
    <w:basedOn w:val="DefaultParagraphFont"/>
    <w:uiPriority w:val="99"/>
    <w:semiHidden/>
    <w:unhideWhenUsed/>
    <w:rsid w:val="004B08F0"/>
    <w:rPr>
      <w:color w:val="954F72" w:themeColor="followedHyperlink"/>
      <w:u w:val="single"/>
    </w:rPr>
  </w:style>
  <w:style w:type="paragraph" w:styleId="TOC3">
    <w:name w:val="toc 3"/>
    <w:basedOn w:val="Normal"/>
    <w:next w:val="Normal"/>
    <w:autoRedefine/>
    <w:uiPriority w:val="39"/>
    <w:unhideWhenUsed/>
    <w:rsid w:val="0005620B"/>
    <w:pPr>
      <w:spacing w:after="100"/>
      <w:ind w:left="440"/>
    </w:pPr>
  </w:style>
  <w:style w:type="paragraph" w:styleId="ListParagraph">
    <w:name w:val="List Paragraph"/>
    <w:basedOn w:val="Normal"/>
    <w:uiPriority w:val="34"/>
    <w:qFormat/>
    <w:rsid w:val="00BE02D6"/>
    <w:pPr>
      <w:ind w:left="720"/>
      <w:contextualSpacing/>
    </w:pPr>
  </w:style>
  <w:style w:type="table" w:styleId="TableGrid">
    <w:name w:val="Table Grid"/>
    <w:basedOn w:val="TableNormal"/>
    <w:uiPriority w:val="39"/>
    <w:rsid w:val="00B7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6945">
      <w:bodyDiv w:val="1"/>
      <w:marLeft w:val="0"/>
      <w:marRight w:val="0"/>
      <w:marTop w:val="0"/>
      <w:marBottom w:val="0"/>
      <w:divBdr>
        <w:top w:val="none" w:sz="0" w:space="0" w:color="auto"/>
        <w:left w:val="none" w:sz="0" w:space="0" w:color="auto"/>
        <w:bottom w:val="none" w:sz="0" w:space="0" w:color="auto"/>
        <w:right w:val="none" w:sz="0" w:space="0" w:color="auto"/>
      </w:divBdr>
    </w:div>
    <w:div w:id="179780170">
      <w:bodyDiv w:val="1"/>
      <w:marLeft w:val="0"/>
      <w:marRight w:val="0"/>
      <w:marTop w:val="0"/>
      <w:marBottom w:val="0"/>
      <w:divBdr>
        <w:top w:val="none" w:sz="0" w:space="0" w:color="auto"/>
        <w:left w:val="none" w:sz="0" w:space="0" w:color="auto"/>
        <w:bottom w:val="none" w:sz="0" w:space="0" w:color="auto"/>
        <w:right w:val="none" w:sz="0" w:space="0" w:color="auto"/>
      </w:divBdr>
    </w:div>
    <w:div w:id="202135937">
      <w:bodyDiv w:val="1"/>
      <w:marLeft w:val="0"/>
      <w:marRight w:val="0"/>
      <w:marTop w:val="0"/>
      <w:marBottom w:val="0"/>
      <w:divBdr>
        <w:top w:val="none" w:sz="0" w:space="0" w:color="auto"/>
        <w:left w:val="none" w:sz="0" w:space="0" w:color="auto"/>
        <w:bottom w:val="none" w:sz="0" w:space="0" w:color="auto"/>
        <w:right w:val="none" w:sz="0" w:space="0" w:color="auto"/>
      </w:divBdr>
    </w:div>
    <w:div w:id="209806223">
      <w:bodyDiv w:val="1"/>
      <w:marLeft w:val="0"/>
      <w:marRight w:val="0"/>
      <w:marTop w:val="0"/>
      <w:marBottom w:val="0"/>
      <w:divBdr>
        <w:top w:val="none" w:sz="0" w:space="0" w:color="auto"/>
        <w:left w:val="none" w:sz="0" w:space="0" w:color="auto"/>
        <w:bottom w:val="none" w:sz="0" w:space="0" w:color="auto"/>
        <w:right w:val="none" w:sz="0" w:space="0" w:color="auto"/>
      </w:divBdr>
    </w:div>
    <w:div w:id="267584125">
      <w:bodyDiv w:val="1"/>
      <w:marLeft w:val="0"/>
      <w:marRight w:val="0"/>
      <w:marTop w:val="0"/>
      <w:marBottom w:val="0"/>
      <w:divBdr>
        <w:top w:val="none" w:sz="0" w:space="0" w:color="auto"/>
        <w:left w:val="none" w:sz="0" w:space="0" w:color="auto"/>
        <w:bottom w:val="none" w:sz="0" w:space="0" w:color="auto"/>
        <w:right w:val="none" w:sz="0" w:space="0" w:color="auto"/>
      </w:divBdr>
    </w:div>
    <w:div w:id="318925354">
      <w:bodyDiv w:val="1"/>
      <w:marLeft w:val="0"/>
      <w:marRight w:val="0"/>
      <w:marTop w:val="0"/>
      <w:marBottom w:val="0"/>
      <w:divBdr>
        <w:top w:val="none" w:sz="0" w:space="0" w:color="auto"/>
        <w:left w:val="none" w:sz="0" w:space="0" w:color="auto"/>
        <w:bottom w:val="none" w:sz="0" w:space="0" w:color="auto"/>
        <w:right w:val="none" w:sz="0" w:space="0" w:color="auto"/>
      </w:divBdr>
    </w:div>
    <w:div w:id="530994726">
      <w:bodyDiv w:val="1"/>
      <w:marLeft w:val="0"/>
      <w:marRight w:val="0"/>
      <w:marTop w:val="0"/>
      <w:marBottom w:val="0"/>
      <w:divBdr>
        <w:top w:val="none" w:sz="0" w:space="0" w:color="auto"/>
        <w:left w:val="none" w:sz="0" w:space="0" w:color="auto"/>
        <w:bottom w:val="none" w:sz="0" w:space="0" w:color="auto"/>
        <w:right w:val="none" w:sz="0" w:space="0" w:color="auto"/>
      </w:divBdr>
    </w:div>
    <w:div w:id="615217367">
      <w:bodyDiv w:val="1"/>
      <w:marLeft w:val="0"/>
      <w:marRight w:val="0"/>
      <w:marTop w:val="0"/>
      <w:marBottom w:val="0"/>
      <w:divBdr>
        <w:top w:val="none" w:sz="0" w:space="0" w:color="auto"/>
        <w:left w:val="none" w:sz="0" w:space="0" w:color="auto"/>
        <w:bottom w:val="none" w:sz="0" w:space="0" w:color="auto"/>
        <w:right w:val="none" w:sz="0" w:space="0" w:color="auto"/>
      </w:divBdr>
    </w:div>
    <w:div w:id="674654282">
      <w:bodyDiv w:val="1"/>
      <w:marLeft w:val="0"/>
      <w:marRight w:val="0"/>
      <w:marTop w:val="0"/>
      <w:marBottom w:val="0"/>
      <w:divBdr>
        <w:top w:val="none" w:sz="0" w:space="0" w:color="auto"/>
        <w:left w:val="none" w:sz="0" w:space="0" w:color="auto"/>
        <w:bottom w:val="none" w:sz="0" w:space="0" w:color="auto"/>
        <w:right w:val="none" w:sz="0" w:space="0" w:color="auto"/>
      </w:divBdr>
    </w:div>
    <w:div w:id="700326941">
      <w:bodyDiv w:val="1"/>
      <w:marLeft w:val="0"/>
      <w:marRight w:val="0"/>
      <w:marTop w:val="0"/>
      <w:marBottom w:val="0"/>
      <w:divBdr>
        <w:top w:val="none" w:sz="0" w:space="0" w:color="auto"/>
        <w:left w:val="none" w:sz="0" w:space="0" w:color="auto"/>
        <w:bottom w:val="none" w:sz="0" w:space="0" w:color="auto"/>
        <w:right w:val="none" w:sz="0" w:space="0" w:color="auto"/>
      </w:divBdr>
    </w:div>
    <w:div w:id="835221225">
      <w:bodyDiv w:val="1"/>
      <w:marLeft w:val="0"/>
      <w:marRight w:val="0"/>
      <w:marTop w:val="0"/>
      <w:marBottom w:val="0"/>
      <w:divBdr>
        <w:top w:val="none" w:sz="0" w:space="0" w:color="auto"/>
        <w:left w:val="none" w:sz="0" w:space="0" w:color="auto"/>
        <w:bottom w:val="none" w:sz="0" w:space="0" w:color="auto"/>
        <w:right w:val="none" w:sz="0" w:space="0" w:color="auto"/>
      </w:divBdr>
    </w:div>
    <w:div w:id="863906560">
      <w:bodyDiv w:val="1"/>
      <w:marLeft w:val="0"/>
      <w:marRight w:val="0"/>
      <w:marTop w:val="0"/>
      <w:marBottom w:val="0"/>
      <w:divBdr>
        <w:top w:val="none" w:sz="0" w:space="0" w:color="auto"/>
        <w:left w:val="none" w:sz="0" w:space="0" w:color="auto"/>
        <w:bottom w:val="none" w:sz="0" w:space="0" w:color="auto"/>
        <w:right w:val="none" w:sz="0" w:space="0" w:color="auto"/>
      </w:divBdr>
    </w:div>
    <w:div w:id="962033583">
      <w:bodyDiv w:val="1"/>
      <w:marLeft w:val="0"/>
      <w:marRight w:val="0"/>
      <w:marTop w:val="0"/>
      <w:marBottom w:val="0"/>
      <w:divBdr>
        <w:top w:val="none" w:sz="0" w:space="0" w:color="auto"/>
        <w:left w:val="none" w:sz="0" w:space="0" w:color="auto"/>
        <w:bottom w:val="none" w:sz="0" w:space="0" w:color="auto"/>
        <w:right w:val="none" w:sz="0" w:space="0" w:color="auto"/>
      </w:divBdr>
    </w:div>
    <w:div w:id="986086338">
      <w:bodyDiv w:val="1"/>
      <w:marLeft w:val="0"/>
      <w:marRight w:val="0"/>
      <w:marTop w:val="0"/>
      <w:marBottom w:val="0"/>
      <w:divBdr>
        <w:top w:val="none" w:sz="0" w:space="0" w:color="auto"/>
        <w:left w:val="none" w:sz="0" w:space="0" w:color="auto"/>
        <w:bottom w:val="none" w:sz="0" w:space="0" w:color="auto"/>
        <w:right w:val="none" w:sz="0" w:space="0" w:color="auto"/>
      </w:divBdr>
    </w:div>
    <w:div w:id="1004282528">
      <w:bodyDiv w:val="1"/>
      <w:marLeft w:val="0"/>
      <w:marRight w:val="0"/>
      <w:marTop w:val="0"/>
      <w:marBottom w:val="0"/>
      <w:divBdr>
        <w:top w:val="none" w:sz="0" w:space="0" w:color="auto"/>
        <w:left w:val="none" w:sz="0" w:space="0" w:color="auto"/>
        <w:bottom w:val="none" w:sz="0" w:space="0" w:color="auto"/>
        <w:right w:val="none" w:sz="0" w:space="0" w:color="auto"/>
      </w:divBdr>
    </w:div>
    <w:div w:id="1142305238">
      <w:bodyDiv w:val="1"/>
      <w:marLeft w:val="0"/>
      <w:marRight w:val="0"/>
      <w:marTop w:val="0"/>
      <w:marBottom w:val="0"/>
      <w:divBdr>
        <w:top w:val="none" w:sz="0" w:space="0" w:color="auto"/>
        <w:left w:val="none" w:sz="0" w:space="0" w:color="auto"/>
        <w:bottom w:val="none" w:sz="0" w:space="0" w:color="auto"/>
        <w:right w:val="none" w:sz="0" w:space="0" w:color="auto"/>
      </w:divBdr>
    </w:div>
    <w:div w:id="1156069036">
      <w:bodyDiv w:val="1"/>
      <w:marLeft w:val="0"/>
      <w:marRight w:val="0"/>
      <w:marTop w:val="0"/>
      <w:marBottom w:val="0"/>
      <w:divBdr>
        <w:top w:val="none" w:sz="0" w:space="0" w:color="auto"/>
        <w:left w:val="none" w:sz="0" w:space="0" w:color="auto"/>
        <w:bottom w:val="none" w:sz="0" w:space="0" w:color="auto"/>
        <w:right w:val="none" w:sz="0" w:space="0" w:color="auto"/>
      </w:divBdr>
    </w:div>
    <w:div w:id="1164661674">
      <w:bodyDiv w:val="1"/>
      <w:marLeft w:val="0"/>
      <w:marRight w:val="0"/>
      <w:marTop w:val="0"/>
      <w:marBottom w:val="0"/>
      <w:divBdr>
        <w:top w:val="none" w:sz="0" w:space="0" w:color="auto"/>
        <w:left w:val="none" w:sz="0" w:space="0" w:color="auto"/>
        <w:bottom w:val="none" w:sz="0" w:space="0" w:color="auto"/>
        <w:right w:val="none" w:sz="0" w:space="0" w:color="auto"/>
      </w:divBdr>
    </w:div>
    <w:div w:id="1200899816">
      <w:bodyDiv w:val="1"/>
      <w:marLeft w:val="0"/>
      <w:marRight w:val="0"/>
      <w:marTop w:val="0"/>
      <w:marBottom w:val="0"/>
      <w:divBdr>
        <w:top w:val="none" w:sz="0" w:space="0" w:color="auto"/>
        <w:left w:val="none" w:sz="0" w:space="0" w:color="auto"/>
        <w:bottom w:val="none" w:sz="0" w:space="0" w:color="auto"/>
        <w:right w:val="none" w:sz="0" w:space="0" w:color="auto"/>
      </w:divBdr>
    </w:div>
    <w:div w:id="1210728730">
      <w:bodyDiv w:val="1"/>
      <w:marLeft w:val="0"/>
      <w:marRight w:val="0"/>
      <w:marTop w:val="0"/>
      <w:marBottom w:val="0"/>
      <w:divBdr>
        <w:top w:val="none" w:sz="0" w:space="0" w:color="auto"/>
        <w:left w:val="none" w:sz="0" w:space="0" w:color="auto"/>
        <w:bottom w:val="none" w:sz="0" w:space="0" w:color="auto"/>
        <w:right w:val="none" w:sz="0" w:space="0" w:color="auto"/>
      </w:divBdr>
    </w:div>
    <w:div w:id="1219560492">
      <w:bodyDiv w:val="1"/>
      <w:marLeft w:val="0"/>
      <w:marRight w:val="0"/>
      <w:marTop w:val="0"/>
      <w:marBottom w:val="0"/>
      <w:divBdr>
        <w:top w:val="none" w:sz="0" w:space="0" w:color="auto"/>
        <w:left w:val="none" w:sz="0" w:space="0" w:color="auto"/>
        <w:bottom w:val="none" w:sz="0" w:space="0" w:color="auto"/>
        <w:right w:val="none" w:sz="0" w:space="0" w:color="auto"/>
      </w:divBdr>
    </w:div>
    <w:div w:id="1292051059">
      <w:bodyDiv w:val="1"/>
      <w:marLeft w:val="0"/>
      <w:marRight w:val="0"/>
      <w:marTop w:val="0"/>
      <w:marBottom w:val="0"/>
      <w:divBdr>
        <w:top w:val="none" w:sz="0" w:space="0" w:color="auto"/>
        <w:left w:val="none" w:sz="0" w:space="0" w:color="auto"/>
        <w:bottom w:val="none" w:sz="0" w:space="0" w:color="auto"/>
        <w:right w:val="none" w:sz="0" w:space="0" w:color="auto"/>
      </w:divBdr>
    </w:div>
    <w:div w:id="1350450207">
      <w:bodyDiv w:val="1"/>
      <w:marLeft w:val="0"/>
      <w:marRight w:val="0"/>
      <w:marTop w:val="0"/>
      <w:marBottom w:val="0"/>
      <w:divBdr>
        <w:top w:val="none" w:sz="0" w:space="0" w:color="auto"/>
        <w:left w:val="none" w:sz="0" w:space="0" w:color="auto"/>
        <w:bottom w:val="none" w:sz="0" w:space="0" w:color="auto"/>
        <w:right w:val="none" w:sz="0" w:space="0" w:color="auto"/>
      </w:divBdr>
    </w:div>
    <w:div w:id="1453747648">
      <w:bodyDiv w:val="1"/>
      <w:marLeft w:val="0"/>
      <w:marRight w:val="0"/>
      <w:marTop w:val="0"/>
      <w:marBottom w:val="0"/>
      <w:divBdr>
        <w:top w:val="none" w:sz="0" w:space="0" w:color="auto"/>
        <w:left w:val="none" w:sz="0" w:space="0" w:color="auto"/>
        <w:bottom w:val="none" w:sz="0" w:space="0" w:color="auto"/>
        <w:right w:val="none" w:sz="0" w:space="0" w:color="auto"/>
      </w:divBdr>
    </w:div>
    <w:div w:id="1524174953">
      <w:bodyDiv w:val="1"/>
      <w:marLeft w:val="0"/>
      <w:marRight w:val="0"/>
      <w:marTop w:val="0"/>
      <w:marBottom w:val="0"/>
      <w:divBdr>
        <w:top w:val="none" w:sz="0" w:space="0" w:color="auto"/>
        <w:left w:val="none" w:sz="0" w:space="0" w:color="auto"/>
        <w:bottom w:val="none" w:sz="0" w:space="0" w:color="auto"/>
        <w:right w:val="none" w:sz="0" w:space="0" w:color="auto"/>
      </w:divBdr>
    </w:div>
    <w:div w:id="1550455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file:///C:\Users\Natalia\OneDrive%20-%20University%20of%20Wales%20Trinity%20Saint%20David\Desktop\level%206\04\final...%20Analysis%20of%20the%20organizations%20external%20and%20internal%20environment.docx" TargetMode="External"/><Relationship Id="rId26" Type="http://schemas.openxmlformats.org/officeDocument/2006/relationships/hyperlink" Target="https://www.bbc.co.uk/bitesize/guides/z6scbdm/revision/1" TargetMode="External"/><Relationship Id="rId39" Type="http://schemas.openxmlformats.org/officeDocument/2006/relationships/hyperlink" Target="https://link.springer.com/article/10.1007/s40797-021-00144-5" TargetMode="External"/><Relationship Id="rId21" Type="http://schemas.openxmlformats.org/officeDocument/2006/relationships/image" Target="media/image8.png"/><Relationship Id="rId34" Type="http://schemas.openxmlformats.org/officeDocument/2006/relationships/hyperlink" Target="https://journals.sagepub.com/doi/full/10.1177/00076503211066595" TargetMode="External"/><Relationship Id="rId42" Type="http://schemas.openxmlformats.org/officeDocument/2006/relationships/hyperlink" Target="https://doi.org/10.1016/j.rser.2021.110872" TargetMode="External"/><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image" Target="media/image19.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file:///C:\Users\Natalia\OneDrive%20-%20University%20of%20Wales%20Trinity%20Saint%20David\Desktop\level%206\04\final...%20Analysis%20of%20the%20organizations%20external%20and%20internal%20environment.docx" TargetMode="External"/><Relationship Id="rId29" Type="http://schemas.openxmlformats.org/officeDocument/2006/relationships/hyperlink" Target="https://www.sciencedirect.com/science/article/pii/S2210784316300067" TargetMode="External"/><Relationship Id="rId11" Type="http://schemas.openxmlformats.org/officeDocument/2006/relationships/image" Target="media/image1.png"/><Relationship Id="rId24" Type="http://schemas.openxmlformats.org/officeDocument/2006/relationships/hyperlink" Target="https://www.emerald.com/insight/content/doi/10.1108/BFJ-08-2019-0653/full/html" TargetMode="External"/><Relationship Id="rId32" Type="http://schemas.openxmlformats.org/officeDocument/2006/relationships/hyperlink" Target="https://d1wqtxts1xzle7.cloudfront.net/78779121/JAKO202106438543417-libre.pdf?1642236953=&amp;response-content-disposition=inline%3B+filename%3DStrategies_for_MSMEs_to_Achieve_Sustaina.pdf&amp;Expires=1707462644&amp;Signature=H4jG~OaIAoBneUQ7c7mRT36ajbXb40k3tGO8Xfi6ibUx4Eyu8mZfhc0Nnk42ijbotI6VnTlS-MehJyL2S3q3XfODiAcFSO00A85wtaroR-jo4B7CbsnIXjqBKabCVqsod3Jfdk1Z4MaoITxfgW626n6lHhcJuTaCZduq8pob69xeX0SZy1xO86ejepsnE8NKlXMZeHdecxLAdTy9xLT3PVwE7AoC0c0fOJJt6IRO6sv506WVT4x8yjsIULTUIBmp04Ote7NKGN9Ud-Yp6jxJNraos~lB~-gdAMd4~kckXxz17FIbEcGRWck90gzVjJbe6XUBV4Td0k6d3-PkFnrP7w__&amp;Key-Pair-Id=APKAJLOHF5GGSLRBV4ZA" TargetMode="External"/><Relationship Id="rId37" Type="http://schemas.openxmlformats.org/officeDocument/2006/relationships/hyperlink" Target="https://books.google.co.uk/books?hl=en&amp;lr=&amp;id=ZWpLDwAAQBAJ&amp;oi=fnd&amp;pg=PA2&amp;dq=+pestle+&amp;ots=Dv75tP7zEv&amp;sig=q8tIlc3p3cCEINdbPrkYktdaDHQ&amp;redir_esc=y" TargetMode="External"/><Relationship Id="rId40" Type="http://schemas.openxmlformats.org/officeDocument/2006/relationships/hyperlink" Targe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 TargetMode="External"/><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image" Target="media/image22.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6.png"/><Relationship Id="rId14" Type="http://schemas.openxmlformats.org/officeDocument/2006/relationships/hyperlink" Target="file:///C:\Users\Natalia\OneDrive%20-%20University%20of%20Wales%20Trinity%20Saint%20David\Desktop\level%206\04\final...%20Analysis%20of%20the%20organizations%20external%20and%20internal%20environment.docx" TargetMode="External"/><Relationship Id="rId22" Type="http://schemas.openxmlformats.org/officeDocument/2006/relationships/hyperlink" Target="file:///C:\Users\Natalia\OneDrive%20-%20University%20of%20Wales%20Trinity%20Saint%20David\Desktop\level%206\04\final...%20Analysis%20of%20the%20organizations%20external%20and%20internal%20environment.docx" TargetMode="External"/><Relationship Id="rId27" Type="http://schemas.openxmlformats.org/officeDocument/2006/relationships/hyperlink" Target="https://www.mdpi.com/2071-1050/13/2/805" TargetMode="External"/><Relationship Id="rId30" Type="http://schemas.openxmlformats.org/officeDocument/2006/relationships/hyperlink" Target="https://www.sciencedirect.com/science/article/pii/S0040162521002705" TargetMode="External"/><Relationship Id="rId35" Type="http://schemas.openxmlformats.org/officeDocument/2006/relationships/hyperlink" Target="https://www.miltonsandfordwines.com/about-milton-sandford-wines-0" TargetMode="External"/><Relationship Id="rId43" Type="http://schemas.openxmlformats.org/officeDocument/2006/relationships/hyperlink" Target="https://www.frontiersin.org/articles/10.3389/fmed.2020.00558/full" TargetMode="External"/><Relationship Id="rId48" Type="http://schemas.openxmlformats.org/officeDocument/2006/relationships/image" Target="media/image12.png"/><Relationship Id="rId56" Type="http://schemas.openxmlformats.org/officeDocument/2006/relationships/image" Target="media/image20.png"/><Relationship Id="rId8" Type="http://schemas.openxmlformats.org/officeDocument/2006/relationships/webSettings" Target="webSettings.xml"/><Relationship Id="rId51" Type="http://schemas.openxmlformats.org/officeDocument/2006/relationships/image" Target="media/image15.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digitalcommons.usf.edu/globe/vol6/iss1/5/" TargetMode="External"/><Relationship Id="rId33" Type="http://schemas.openxmlformats.org/officeDocument/2006/relationships/hyperlink" Target="https://kfknowledgebank.kaplan.co.uk/business-strategy/stakeholder-analysis/mendelows-matrix" TargetMode="External"/><Relationship Id="rId38" Type="http://schemas.openxmlformats.org/officeDocument/2006/relationships/hyperlink" Target="https://link.springer.com/article/10.1186/s40100-020-00159-z" TargetMode="External"/><Relationship Id="rId46" Type="http://schemas.openxmlformats.org/officeDocument/2006/relationships/image" Target="media/image10.png"/><Relationship Id="rId59" Type="http://schemas.openxmlformats.org/officeDocument/2006/relationships/image" Target="media/image23.png"/><Relationship Id="rId20" Type="http://schemas.openxmlformats.org/officeDocument/2006/relationships/image" Target="media/image7.png"/><Relationship Id="rId41" Type="http://schemas.openxmlformats.org/officeDocument/2006/relationships/hyperlink" Target="https://pdfs.semanticscholar.org/4be7/0767285b6475154c610ee6b8bbf7bf118b6f.pdf" TargetMode="External"/><Relationship Id="rId54" Type="http://schemas.openxmlformats.org/officeDocument/2006/relationships/image" Target="media/image18.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file:///C:\Users\Natalia\OneDrive%20-%20University%20of%20Wales%20Trinity%20Saint%20David\Desktop\level%206\04\final...%20Analysis%20of%20the%20organizations%20external%20and%20internal%20environment.docx" TargetMode="External"/><Relationship Id="rId28" Type="http://schemas.openxmlformats.org/officeDocument/2006/relationships/hyperlink" Target="https://www.theseus.fi/bitstream/handle/10024/504296/Fitchuk.Courtney.pdf?sequence=2&amp;isAllowed=y" TargetMode="External"/><Relationship Id="rId36" Type="http://schemas.openxmlformats.org/officeDocument/2006/relationships/hyperlink" Target="https://www.mdpi.com/2071-1050/12/6/2561" TargetMode="External"/><Relationship Id="rId49" Type="http://schemas.openxmlformats.org/officeDocument/2006/relationships/image" Target="media/image13.png"/><Relationship Id="rId57" Type="http://schemas.openxmlformats.org/officeDocument/2006/relationships/image" Target="media/image21.png"/><Relationship Id="rId10" Type="http://schemas.openxmlformats.org/officeDocument/2006/relationships/endnotes" Target="endnotes.xml"/><Relationship Id="rId31" Type="http://schemas.openxmlformats.org/officeDocument/2006/relationships/hyperlink" Target="https://www.cipd.org/uk/knowledge/factsheets/swot-analysis-factsheet/" TargetMode="External"/><Relationship Id="rId44" Type="http://schemas.openxmlformats.org/officeDocument/2006/relationships/hyperlink" Target="https://www.mdpi.com/2071-1050/15/13/10487" TargetMode="External"/><Relationship Id="rId52" Type="http://schemas.openxmlformats.org/officeDocument/2006/relationships/image" Target="media/image16.png"/><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33f1998642d16168b249bd38f7bbf99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0eb6337198c8cb02fc2d756f9928eb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A9AC70-5C0E-4955-B56E-E2D0BDD06E17}">
  <ds:schemaRefs>
    <ds:schemaRef ds:uri="http://schemas.openxmlformats.org/officeDocument/2006/bibliography"/>
  </ds:schemaRefs>
</ds:datastoreItem>
</file>

<file path=customXml/itemProps2.xml><?xml version="1.0" encoding="utf-8"?>
<ds:datastoreItem xmlns:ds="http://schemas.openxmlformats.org/officeDocument/2006/customXml" ds:itemID="{0F58A31C-1C44-482B-BBFA-902BAEAAD9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C980F5-D679-4124-9C42-199C8DE7139B}">
  <ds:schemaRefs>
    <ds:schemaRef ds:uri="http://purl.org/dc/elements/1.1/"/>
    <ds:schemaRef ds:uri="http://purl.org/dc/terms/"/>
    <ds:schemaRef ds:uri="http://schemas.microsoft.com/office/2006/documentManagement/types"/>
    <ds:schemaRef ds:uri="http://schemas.microsoft.com/office/2006/metadata/properties"/>
    <ds:schemaRef ds:uri="http://schemas.microsoft.com/office/infopath/2007/PartnerControls"/>
    <ds:schemaRef ds:uri="be49ff73-cec0-4379-9da8-63ff3cc411bb"/>
    <ds:schemaRef ds:uri="http://schemas.openxmlformats.org/package/2006/metadata/core-properties"/>
    <ds:schemaRef ds:uri="90b58af8-24e5-4252-ab67-b2f2985aee88"/>
    <ds:schemaRef ds:uri="http://www.w3.org/XML/1998/namespace"/>
    <ds:schemaRef ds:uri="http://purl.org/dc/dcmitype/"/>
  </ds:schemaRefs>
</ds:datastoreItem>
</file>

<file path=customXml/itemProps4.xml><?xml version="1.0" encoding="utf-8"?>
<ds:datastoreItem xmlns:ds="http://schemas.openxmlformats.org/officeDocument/2006/customXml" ds:itemID="{68FEB590-DC81-424A-B80A-3820DF04C7C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1044</TotalTime>
  <Pages>27</Pages>
  <Words>4322</Words>
  <Characters>33412</Characters>
  <Application>Microsoft Office Word</Application>
  <DocSecurity>0</DocSecurity>
  <Lines>278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37659</CharactersWithSpaces>
  <SharedDoc>false</SharedDoc>
  <HLinks>
    <vt:vector size="192" baseType="variant">
      <vt:variant>
        <vt:i4>8126522</vt:i4>
      </vt:variant>
      <vt:variant>
        <vt:i4>126</vt:i4>
      </vt:variant>
      <vt:variant>
        <vt:i4>0</vt:i4>
      </vt:variant>
      <vt:variant>
        <vt:i4>5</vt:i4>
      </vt:variant>
      <vt:variant>
        <vt:lpwstr>https://www.mdpi.com/2071-1050/15/13/10487</vt:lpwstr>
      </vt:variant>
      <vt:variant>
        <vt:lpwstr/>
      </vt:variant>
      <vt:variant>
        <vt:i4>6160413</vt:i4>
      </vt:variant>
      <vt:variant>
        <vt:i4>123</vt:i4>
      </vt:variant>
      <vt:variant>
        <vt:i4>0</vt:i4>
      </vt:variant>
      <vt:variant>
        <vt:i4>5</vt:i4>
      </vt:variant>
      <vt:variant>
        <vt:lpwstr>https://www.frontiersin.org/articles/10.3389/fmed.2020.00558/full</vt:lpwstr>
      </vt:variant>
      <vt:variant>
        <vt:lpwstr/>
      </vt:variant>
      <vt:variant>
        <vt:i4>2621496</vt:i4>
      </vt:variant>
      <vt:variant>
        <vt:i4>120</vt:i4>
      </vt:variant>
      <vt:variant>
        <vt:i4>0</vt:i4>
      </vt:variant>
      <vt:variant>
        <vt:i4>5</vt:i4>
      </vt:variant>
      <vt:variant>
        <vt:lpwstr>https://doi.org/10.1016/j.rser.2021.110872</vt:lpwstr>
      </vt:variant>
      <vt:variant>
        <vt:lpwstr/>
      </vt:variant>
      <vt:variant>
        <vt:i4>2818103</vt:i4>
      </vt:variant>
      <vt:variant>
        <vt:i4>117</vt:i4>
      </vt:variant>
      <vt:variant>
        <vt:i4>0</vt:i4>
      </vt:variant>
      <vt:variant>
        <vt:i4>5</vt:i4>
      </vt:variant>
      <vt:variant>
        <vt:lpwstr>https://pdfs.semanticscholar.org/4be7/0767285b6475154c610ee6b8bbf7bf118b6f.pdf</vt:lpwstr>
      </vt:variant>
      <vt:variant>
        <vt:lpwstr/>
      </vt:variant>
      <vt:variant>
        <vt:i4>3342409</vt:i4>
      </vt:variant>
      <vt:variant>
        <vt:i4>114</vt:i4>
      </vt:variant>
      <vt:variant>
        <vt:i4>0</vt:i4>
      </vt:variant>
      <vt:variant>
        <vt:i4>5</vt:i4>
      </vt:variant>
      <vt:variant>
        <vt:lpwstr>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vt:lpwstr>
      </vt:variant>
      <vt:variant>
        <vt:lpwstr/>
      </vt:variant>
      <vt:variant>
        <vt:i4>262148</vt:i4>
      </vt:variant>
      <vt:variant>
        <vt:i4>111</vt:i4>
      </vt:variant>
      <vt:variant>
        <vt:i4>0</vt:i4>
      </vt:variant>
      <vt:variant>
        <vt:i4>5</vt:i4>
      </vt:variant>
      <vt:variant>
        <vt:lpwstr>https://link.springer.com/article/10.1007/s40797-021-00144-5</vt:lpwstr>
      </vt:variant>
      <vt:variant>
        <vt:lpwstr/>
      </vt:variant>
      <vt:variant>
        <vt:i4>5111820</vt:i4>
      </vt:variant>
      <vt:variant>
        <vt:i4>108</vt:i4>
      </vt:variant>
      <vt:variant>
        <vt:i4>0</vt:i4>
      </vt:variant>
      <vt:variant>
        <vt:i4>5</vt:i4>
      </vt:variant>
      <vt:variant>
        <vt:lpwstr>https://link.springer.com/article/10.1186/s40100-020-00159-z</vt:lpwstr>
      </vt:variant>
      <vt:variant>
        <vt:lpwstr/>
      </vt:variant>
      <vt:variant>
        <vt:i4>5636121</vt:i4>
      </vt:variant>
      <vt:variant>
        <vt:i4>105</vt:i4>
      </vt:variant>
      <vt:variant>
        <vt:i4>0</vt:i4>
      </vt:variant>
      <vt:variant>
        <vt:i4>5</vt:i4>
      </vt:variant>
      <vt:variant>
        <vt:lpwstr>https://www.mdpi.com/2071-1050/12/6/2561</vt:lpwstr>
      </vt:variant>
      <vt:variant>
        <vt:lpwstr/>
      </vt:variant>
      <vt:variant>
        <vt:i4>2621482</vt:i4>
      </vt:variant>
      <vt:variant>
        <vt:i4>102</vt:i4>
      </vt:variant>
      <vt:variant>
        <vt:i4>0</vt:i4>
      </vt:variant>
      <vt:variant>
        <vt:i4>5</vt:i4>
      </vt:variant>
      <vt:variant>
        <vt:lpwstr>https://journals.sagepub.com/doi/full/10.1177/00076503211066595</vt:lpwstr>
      </vt:variant>
      <vt:variant>
        <vt:lpwstr/>
      </vt:variant>
      <vt:variant>
        <vt:i4>5832758</vt:i4>
      </vt:variant>
      <vt:variant>
        <vt:i4>99</vt:i4>
      </vt:variant>
      <vt:variant>
        <vt:i4>0</vt:i4>
      </vt:variant>
      <vt:variant>
        <vt:i4>5</vt:i4>
      </vt:variant>
      <vt:variant>
        <vt:lpwstr>https://d1wqtxts1xzle7.cloudfront.net/78779121/JAKO202106438543417-libre.pdf?1642236953=&amp;response-content-disposition=inline%3B+filename%3DStrategies_for_MSMEs_to_Achieve_Sustaina.pdf&amp;Expires=1707462644&amp;Signature=H4jG~OaIAoBneUQ7c7mRT36ajbXb40k3tGO8Xfi6ibUx4Eyu8mZfhc0Nnk42ijbotI6VnTlS-MehJyL2S3q3XfODiAcFSO00A85wtaroR-jo4B7CbsnIXjqBKabCVqsod3Jfdk1Z4MaoITxfgW626n6lHhcJuTaCZduq8pob69xeX0SZy1xO86ejepsnE8NKlXMZeHdecxLAdTy9xLT3PVwE7AoC0c0fOJJt6IRO6sv506WVT4x8yjsIULTUIBmp04Ote7NKGN9Ud-Yp6jxJNraos~lB~-gdAMd4~kckXxz17FIbEcGRWck90gzVjJbe6XUBV4Td0k6d3-PkFnrP7w__&amp;Key-Pair-Id=APKAJLOHF5GGSLRBV4ZA</vt:lpwstr>
      </vt:variant>
      <vt:variant>
        <vt:lpwstr/>
      </vt:variant>
      <vt:variant>
        <vt:i4>6619258</vt:i4>
      </vt:variant>
      <vt:variant>
        <vt:i4>96</vt:i4>
      </vt:variant>
      <vt:variant>
        <vt:i4>0</vt:i4>
      </vt:variant>
      <vt:variant>
        <vt:i4>5</vt:i4>
      </vt:variant>
      <vt:variant>
        <vt:lpwstr>https://www.sciencedirect.com/science/article/pii/S0040162521002705</vt:lpwstr>
      </vt:variant>
      <vt:variant>
        <vt:lpwstr/>
      </vt:variant>
      <vt:variant>
        <vt:i4>6684784</vt:i4>
      </vt:variant>
      <vt:variant>
        <vt:i4>93</vt:i4>
      </vt:variant>
      <vt:variant>
        <vt:i4>0</vt:i4>
      </vt:variant>
      <vt:variant>
        <vt:i4>5</vt:i4>
      </vt:variant>
      <vt:variant>
        <vt:lpwstr>https://www.sciencedirect.com/science/article/pii/S2210784316300067</vt:lpwstr>
      </vt:variant>
      <vt:variant>
        <vt:lpwstr/>
      </vt:variant>
      <vt:variant>
        <vt:i4>1245200</vt:i4>
      </vt:variant>
      <vt:variant>
        <vt:i4>90</vt:i4>
      </vt:variant>
      <vt:variant>
        <vt:i4>0</vt:i4>
      </vt:variant>
      <vt:variant>
        <vt:i4>5</vt:i4>
      </vt:variant>
      <vt:variant>
        <vt:lpwstr>https://www.theseus.fi/bitstream/handle/10024/504296/Fitchuk.Courtney.pdf?sequence=2&amp;isAllowed=y</vt:lpwstr>
      </vt:variant>
      <vt:variant>
        <vt:lpwstr/>
      </vt:variant>
      <vt:variant>
        <vt:i4>6422560</vt:i4>
      </vt:variant>
      <vt:variant>
        <vt:i4>87</vt:i4>
      </vt:variant>
      <vt:variant>
        <vt:i4>0</vt:i4>
      </vt:variant>
      <vt:variant>
        <vt:i4>5</vt:i4>
      </vt:variant>
      <vt:variant>
        <vt:lpwstr>https://www.mdpi.com/2071-1050/13/2/805</vt:lpwstr>
      </vt:variant>
      <vt:variant>
        <vt:lpwstr/>
      </vt:variant>
      <vt:variant>
        <vt:i4>5111874</vt:i4>
      </vt:variant>
      <vt:variant>
        <vt:i4>84</vt:i4>
      </vt:variant>
      <vt:variant>
        <vt:i4>0</vt:i4>
      </vt:variant>
      <vt:variant>
        <vt:i4>5</vt:i4>
      </vt:variant>
      <vt:variant>
        <vt:lpwstr>https://digitalcommons.usf.edu/globe/vol6/iss1/5/</vt:lpwstr>
      </vt:variant>
      <vt:variant>
        <vt:lpwstr/>
      </vt:variant>
      <vt:variant>
        <vt:i4>7602287</vt:i4>
      </vt:variant>
      <vt:variant>
        <vt:i4>81</vt:i4>
      </vt:variant>
      <vt:variant>
        <vt:i4>0</vt:i4>
      </vt:variant>
      <vt:variant>
        <vt:i4>5</vt:i4>
      </vt:variant>
      <vt:variant>
        <vt:lpwstr>https://www.emerald.com/insight/content/doi/10.1108/BFJ-08-2019-0653/full/html</vt:lpwstr>
      </vt:variant>
      <vt:variant>
        <vt:lpwstr/>
      </vt:variant>
      <vt:variant>
        <vt:i4>3211385</vt:i4>
      </vt:variant>
      <vt:variant>
        <vt:i4>78</vt:i4>
      </vt:variant>
      <vt:variant>
        <vt:i4>0</vt:i4>
      </vt:variant>
      <vt:variant>
        <vt:i4>5</vt:i4>
      </vt:variant>
      <vt:variant>
        <vt:lpwstr>C:\Users\Natalia\OneDrive - University of Wales Trinity Saint David\Desktop\level 6\04\final... Analysis of the organizations external and internal environment.docx</vt:lpwstr>
      </vt:variant>
      <vt:variant>
        <vt:lpwstr>_Toc158406139</vt:lpwstr>
      </vt:variant>
      <vt:variant>
        <vt:i4>3211385</vt:i4>
      </vt:variant>
      <vt:variant>
        <vt:i4>75</vt:i4>
      </vt:variant>
      <vt:variant>
        <vt:i4>0</vt:i4>
      </vt:variant>
      <vt:variant>
        <vt:i4>5</vt:i4>
      </vt:variant>
      <vt:variant>
        <vt:lpwstr>C:\Users\Natalia\OneDrive - University of Wales Trinity Saint David\Desktop\level 6\04\final... Analysis of the organizations external and internal environment.docx</vt:lpwstr>
      </vt:variant>
      <vt:variant>
        <vt:lpwstr>_Toc158406137</vt:lpwstr>
      </vt:variant>
      <vt:variant>
        <vt:i4>3211385</vt:i4>
      </vt:variant>
      <vt:variant>
        <vt:i4>72</vt:i4>
      </vt:variant>
      <vt:variant>
        <vt:i4>0</vt:i4>
      </vt:variant>
      <vt:variant>
        <vt:i4>5</vt:i4>
      </vt:variant>
      <vt:variant>
        <vt:lpwstr>C:\Users\Natalia\OneDrive - University of Wales Trinity Saint David\Desktop\level 6\04\final... Analysis of the organizations external and internal environment.docx</vt:lpwstr>
      </vt:variant>
      <vt:variant>
        <vt:lpwstr>_Toc158406136</vt:lpwstr>
      </vt:variant>
      <vt:variant>
        <vt:i4>3211385</vt:i4>
      </vt:variant>
      <vt:variant>
        <vt:i4>69</vt:i4>
      </vt:variant>
      <vt:variant>
        <vt:i4>0</vt:i4>
      </vt:variant>
      <vt:variant>
        <vt:i4>5</vt:i4>
      </vt:variant>
      <vt:variant>
        <vt:lpwstr>C:\Users\Natalia\OneDrive - University of Wales Trinity Saint David\Desktop\level 6\04\final... Analysis of the organizations external and internal environment.docx</vt:lpwstr>
      </vt:variant>
      <vt:variant>
        <vt:lpwstr>_Toc158406135</vt:lpwstr>
      </vt:variant>
      <vt:variant>
        <vt:i4>3211385</vt:i4>
      </vt:variant>
      <vt:variant>
        <vt:i4>66</vt:i4>
      </vt:variant>
      <vt:variant>
        <vt:i4>0</vt:i4>
      </vt:variant>
      <vt:variant>
        <vt:i4>5</vt:i4>
      </vt:variant>
      <vt:variant>
        <vt:lpwstr>C:\Users\Natalia\OneDrive - University of Wales Trinity Saint David\Desktop\level 6\04\final... Analysis of the organizations external and internal environment.docx</vt:lpwstr>
      </vt:variant>
      <vt:variant>
        <vt:lpwstr>_Toc158406134</vt:lpwstr>
      </vt:variant>
      <vt:variant>
        <vt:i4>3211385</vt:i4>
      </vt:variant>
      <vt:variant>
        <vt:i4>63</vt:i4>
      </vt:variant>
      <vt:variant>
        <vt:i4>0</vt:i4>
      </vt:variant>
      <vt:variant>
        <vt:i4>5</vt:i4>
      </vt:variant>
      <vt:variant>
        <vt:lpwstr>C:\Users\Natalia\OneDrive - University of Wales Trinity Saint David\Desktop\level 6\04\final... Analysis of the organizations external and internal environment.docx</vt:lpwstr>
      </vt:variant>
      <vt:variant>
        <vt:lpwstr>_Toc158406133</vt:lpwstr>
      </vt:variant>
      <vt:variant>
        <vt:i4>1310777</vt:i4>
      </vt:variant>
      <vt:variant>
        <vt:i4>56</vt:i4>
      </vt:variant>
      <vt:variant>
        <vt:i4>0</vt:i4>
      </vt:variant>
      <vt:variant>
        <vt:i4>5</vt:i4>
      </vt:variant>
      <vt:variant>
        <vt:lpwstr/>
      </vt:variant>
      <vt:variant>
        <vt:lpwstr>_Toc160307818</vt:lpwstr>
      </vt:variant>
      <vt:variant>
        <vt:i4>1310777</vt:i4>
      </vt:variant>
      <vt:variant>
        <vt:i4>50</vt:i4>
      </vt:variant>
      <vt:variant>
        <vt:i4>0</vt:i4>
      </vt:variant>
      <vt:variant>
        <vt:i4>5</vt:i4>
      </vt:variant>
      <vt:variant>
        <vt:lpwstr/>
      </vt:variant>
      <vt:variant>
        <vt:lpwstr>_Toc160307817</vt:lpwstr>
      </vt:variant>
      <vt:variant>
        <vt:i4>1310777</vt:i4>
      </vt:variant>
      <vt:variant>
        <vt:i4>44</vt:i4>
      </vt:variant>
      <vt:variant>
        <vt:i4>0</vt:i4>
      </vt:variant>
      <vt:variant>
        <vt:i4>5</vt:i4>
      </vt:variant>
      <vt:variant>
        <vt:lpwstr/>
      </vt:variant>
      <vt:variant>
        <vt:lpwstr>_Toc160307816</vt:lpwstr>
      </vt:variant>
      <vt:variant>
        <vt:i4>1310777</vt:i4>
      </vt:variant>
      <vt:variant>
        <vt:i4>38</vt:i4>
      </vt:variant>
      <vt:variant>
        <vt:i4>0</vt:i4>
      </vt:variant>
      <vt:variant>
        <vt:i4>5</vt:i4>
      </vt:variant>
      <vt:variant>
        <vt:lpwstr/>
      </vt:variant>
      <vt:variant>
        <vt:lpwstr>_Toc160307815</vt:lpwstr>
      </vt:variant>
      <vt:variant>
        <vt:i4>1310777</vt:i4>
      </vt:variant>
      <vt:variant>
        <vt:i4>32</vt:i4>
      </vt:variant>
      <vt:variant>
        <vt:i4>0</vt:i4>
      </vt:variant>
      <vt:variant>
        <vt:i4>5</vt:i4>
      </vt:variant>
      <vt:variant>
        <vt:lpwstr/>
      </vt:variant>
      <vt:variant>
        <vt:lpwstr>_Toc160307814</vt:lpwstr>
      </vt:variant>
      <vt:variant>
        <vt:i4>1310777</vt:i4>
      </vt:variant>
      <vt:variant>
        <vt:i4>26</vt:i4>
      </vt:variant>
      <vt:variant>
        <vt:i4>0</vt:i4>
      </vt:variant>
      <vt:variant>
        <vt:i4>5</vt:i4>
      </vt:variant>
      <vt:variant>
        <vt:lpwstr/>
      </vt:variant>
      <vt:variant>
        <vt:lpwstr>_Toc160307813</vt:lpwstr>
      </vt:variant>
      <vt:variant>
        <vt:i4>1310777</vt:i4>
      </vt:variant>
      <vt:variant>
        <vt:i4>20</vt:i4>
      </vt:variant>
      <vt:variant>
        <vt:i4>0</vt:i4>
      </vt:variant>
      <vt:variant>
        <vt:i4>5</vt:i4>
      </vt:variant>
      <vt:variant>
        <vt:lpwstr/>
      </vt:variant>
      <vt:variant>
        <vt:lpwstr>_Toc160307812</vt:lpwstr>
      </vt:variant>
      <vt:variant>
        <vt:i4>1310777</vt:i4>
      </vt:variant>
      <vt:variant>
        <vt:i4>14</vt:i4>
      </vt:variant>
      <vt:variant>
        <vt:i4>0</vt:i4>
      </vt:variant>
      <vt:variant>
        <vt:i4>5</vt:i4>
      </vt:variant>
      <vt:variant>
        <vt:lpwstr/>
      </vt:variant>
      <vt:variant>
        <vt:lpwstr>_Toc160307811</vt:lpwstr>
      </vt:variant>
      <vt:variant>
        <vt:i4>1310777</vt:i4>
      </vt:variant>
      <vt:variant>
        <vt:i4>8</vt:i4>
      </vt:variant>
      <vt:variant>
        <vt:i4>0</vt:i4>
      </vt:variant>
      <vt:variant>
        <vt:i4>5</vt:i4>
      </vt:variant>
      <vt:variant>
        <vt:lpwstr/>
      </vt:variant>
      <vt:variant>
        <vt:lpwstr>_Toc160307810</vt:lpwstr>
      </vt:variant>
      <vt:variant>
        <vt:i4>1376313</vt:i4>
      </vt:variant>
      <vt:variant>
        <vt:i4>2</vt:i4>
      </vt:variant>
      <vt:variant>
        <vt:i4>0</vt:i4>
      </vt:variant>
      <vt:variant>
        <vt:i4>5</vt:i4>
      </vt:variant>
      <vt:variant>
        <vt:lpwstr/>
      </vt:variant>
      <vt:variant>
        <vt:lpwstr>_Toc160307809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dc:creator>
  <cp:keywords/>
  <dc:description/>
  <cp:lastModifiedBy>Natalia Rupet (2109475)</cp:lastModifiedBy>
  <cp:revision>320</cp:revision>
  <dcterms:created xsi:type="dcterms:W3CDTF">2024-03-01T20:16:00Z</dcterms:created>
  <dcterms:modified xsi:type="dcterms:W3CDTF">2024-03-08T02:11:00Z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