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66FEC" w:rsidRDefault="00266FEC">
      <w:pPr>
        <w:jc w:val="center"/>
        <w:rPr>
          <w:b/>
          <w:sz w:val="32"/>
          <w:szCs w:val="32"/>
        </w:rPr>
      </w:pPr>
    </w:p>
    <w:p w14:paraId="00000002" w14:textId="46EB774D" w:rsidR="00266FEC" w:rsidRDefault="00A81BF1">
      <w:pPr>
        <w:jc w:val="center"/>
        <w:rPr>
          <w:b/>
          <w:sz w:val="32"/>
          <w:szCs w:val="32"/>
        </w:rPr>
      </w:pPr>
      <w:r>
        <w:rPr>
          <w:b/>
          <w:sz w:val="32"/>
          <w:szCs w:val="32"/>
        </w:rPr>
        <w:t xml:space="preserve">Adelina Sisianu </w:t>
      </w:r>
    </w:p>
    <w:p w14:paraId="21CC9D42" w14:textId="171DFB79" w:rsidR="007B2E88" w:rsidRDefault="00A81BF1" w:rsidP="006F1BF8">
      <w:pPr>
        <w:jc w:val="center"/>
        <w:rPr>
          <w:b/>
          <w:sz w:val="32"/>
          <w:szCs w:val="32"/>
        </w:rPr>
      </w:pPr>
      <w:r>
        <w:rPr>
          <w:b/>
          <w:sz w:val="32"/>
          <w:szCs w:val="32"/>
        </w:rPr>
        <w:t>Student ID : 2020</w:t>
      </w:r>
      <w:r w:rsidR="006F1BF8">
        <w:rPr>
          <w:b/>
          <w:sz w:val="32"/>
          <w:szCs w:val="32"/>
        </w:rPr>
        <w:t>528</w:t>
      </w:r>
    </w:p>
    <w:p w14:paraId="096172E9" w14:textId="77777777" w:rsidR="007B2E88" w:rsidRDefault="007B2E88">
      <w:pPr>
        <w:jc w:val="center"/>
        <w:rPr>
          <w:b/>
          <w:sz w:val="32"/>
          <w:szCs w:val="32"/>
        </w:rPr>
      </w:pPr>
    </w:p>
    <w:p w14:paraId="00000007" w14:textId="41B9A0FA" w:rsidR="00266FEC" w:rsidRDefault="008C62B3">
      <w:pPr>
        <w:jc w:val="center"/>
        <w:rPr>
          <w:b/>
          <w:sz w:val="32"/>
          <w:szCs w:val="32"/>
        </w:rPr>
      </w:pPr>
      <w:r>
        <w:rPr>
          <w:b/>
          <w:sz w:val="32"/>
          <w:szCs w:val="32"/>
        </w:rPr>
        <w:t xml:space="preserve">ASSESSMENT 1- ESSAY </w:t>
      </w:r>
      <w:r>
        <w:br w:type="page"/>
      </w:r>
    </w:p>
    <w:bookmarkStart w:id="0" w:name="_vc645rlvjwae"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1033462785"/>
        <w:docPartObj>
          <w:docPartGallery w:val="Table of Contents"/>
          <w:docPartUnique/>
        </w:docPartObj>
      </w:sdtPr>
      <w:sdtEndPr>
        <w:rPr>
          <w:b/>
          <w:bCs/>
          <w:noProof/>
        </w:rPr>
      </w:sdtEndPr>
      <w:sdtContent>
        <w:p w14:paraId="702E8BED" w14:textId="24F09C9F" w:rsidR="002068BC" w:rsidRDefault="008C62B3" w:rsidP="002068BC">
          <w:pPr>
            <w:pStyle w:val="a8"/>
            <w:jc w:val="center"/>
            <w:rPr>
              <w:rFonts w:ascii="Times New Roman" w:hAnsi="Times New Roman" w:cs="Times New Roman"/>
              <w:b/>
              <w:bCs/>
              <w:color w:val="000000" w:themeColor="text1"/>
              <w:sz w:val="28"/>
              <w:szCs w:val="28"/>
            </w:rPr>
          </w:pPr>
          <w:r w:rsidRPr="002068BC">
            <w:rPr>
              <w:rFonts w:ascii="Times New Roman" w:hAnsi="Times New Roman" w:cs="Times New Roman"/>
              <w:b/>
              <w:bCs/>
              <w:color w:val="000000" w:themeColor="text1"/>
              <w:sz w:val="28"/>
              <w:szCs w:val="28"/>
            </w:rPr>
            <w:t>Table of Contents</w:t>
          </w:r>
        </w:p>
        <w:p w14:paraId="3DB53A95" w14:textId="77777777" w:rsidR="002068BC" w:rsidRPr="002068BC" w:rsidRDefault="002068BC" w:rsidP="002068BC">
          <w:pPr>
            <w:rPr>
              <w:lang w:val="en-US" w:eastAsia="en-US"/>
            </w:rPr>
          </w:pPr>
        </w:p>
        <w:p w14:paraId="699D3CE7" w14:textId="02045959" w:rsidR="00401D18" w:rsidRDefault="008C62B3">
          <w:pPr>
            <w:pStyle w:val="10"/>
            <w:tabs>
              <w:tab w:val="right" w:leader="dot" w:pos="9019"/>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21159960" w:history="1">
            <w:r w:rsidR="00401D18" w:rsidRPr="007C5C14">
              <w:rPr>
                <w:rStyle w:val="a9"/>
                <w:noProof/>
              </w:rPr>
              <w:t>Introduction</w:t>
            </w:r>
            <w:r w:rsidR="00401D18">
              <w:rPr>
                <w:noProof/>
                <w:webHidden/>
              </w:rPr>
              <w:tab/>
            </w:r>
            <w:r w:rsidR="00401D18">
              <w:rPr>
                <w:noProof/>
                <w:webHidden/>
              </w:rPr>
              <w:fldChar w:fldCharType="begin"/>
            </w:r>
            <w:r w:rsidR="00401D18">
              <w:rPr>
                <w:noProof/>
                <w:webHidden/>
              </w:rPr>
              <w:instrText xml:space="preserve"> PAGEREF _Toc121159960 \h </w:instrText>
            </w:r>
            <w:r w:rsidR="00401D18">
              <w:rPr>
                <w:noProof/>
                <w:webHidden/>
              </w:rPr>
            </w:r>
            <w:r w:rsidR="00401D18">
              <w:rPr>
                <w:noProof/>
                <w:webHidden/>
              </w:rPr>
              <w:fldChar w:fldCharType="separate"/>
            </w:r>
            <w:r w:rsidR="00401D18">
              <w:rPr>
                <w:noProof/>
                <w:webHidden/>
              </w:rPr>
              <w:t>3</w:t>
            </w:r>
            <w:r w:rsidR="00401D18">
              <w:rPr>
                <w:noProof/>
                <w:webHidden/>
              </w:rPr>
              <w:fldChar w:fldCharType="end"/>
            </w:r>
          </w:hyperlink>
        </w:p>
        <w:p w14:paraId="50364D0C" w14:textId="5C25BC5B" w:rsidR="00401D18" w:rsidRDefault="008C62B3">
          <w:pPr>
            <w:pStyle w:val="10"/>
            <w:tabs>
              <w:tab w:val="right" w:leader="dot" w:pos="9019"/>
            </w:tabs>
            <w:rPr>
              <w:rFonts w:asciiTheme="minorHAnsi" w:eastAsiaTheme="minorEastAsia" w:hAnsiTheme="minorHAnsi" w:cstheme="minorBidi"/>
              <w:noProof/>
              <w:sz w:val="22"/>
              <w:szCs w:val="22"/>
              <w:lang w:val="en-IN"/>
            </w:rPr>
          </w:pPr>
          <w:hyperlink w:anchor="_Toc121159961" w:history="1">
            <w:r w:rsidR="00401D18" w:rsidRPr="007C5C14">
              <w:rPr>
                <w:rStyle w:val="a9"/>
                <w:noProof/>
              </w:rPr>
              <w:t>The Body</w:t>
            </w:r>
            <w:r w:rsidR="00401D18">
              <w:rPr>
                <w:noProof/>
                <w:webHidden/>
              </w:rPr>
              <w:tab/>
            </w:r>
            <w:r w:rsidR="00401D18">
              <w:rPr>
                <w:noProof/>
                <w:webHidden/>
              </w:rPr>
              <w:fldChar w:fldCharType="begin"/>
            </w:r>
            <w:r w:rsidR="00401D18">
              <w:rPr>
                <w:noProof/>
                <w:webHidden/>
              </w:rPr>
              <w:instrText xml:space="preserve"> PAGEREF _Toc121159961 \h </w:instrText>
            </w:r>
            <w:r w:rsidR="00401D18">
              <w:rPr>
                <w:noProof/>
                <w:webHidden/>
              </w:rPr>
            </w:r>
            <w:r w:rsidR="00401D18">
              <w:rPr>
                <w:noProof/>
                <w:webHidden/>
              </w:rPr>
              <w:fldChar w:fldCharType="separate"/>
            </w:r>
            <w:r w:rsidR="00401D18">
              <w:rPr>
                <w:noProof/>
                <w:webHidden/>
              </w:rPr>
              <w:t>3</w:t>
            </w:r>
            <w:r w:rsidR="00401D18">
              <w:rPr>
                <w:noProof/>
                <w:webHidden/>
              </w:rPr>
              <w:fldChar w:fldCharType="end"/>
            </w:r>
          </w:hyperlink>
        </w:p>
        <w:p w14:paraId="4E36AB1D" w14:textId="1A4756B7" w:rsidR="00401D18" w:rsidRDefault="008C62B3">
          <w:pPr>
            <w:pStyle w:val="10"/>
            <w:tabs>
              <w:tab w:val="right" w:leader="dot" w:pos="9019"/>
            </w:tabs>
            <w:rPr>
              <w:rFonts w:asciiTheme="minorHAnsi" w:eastAsiaTheme="minorEastAsia" w:hAnsiTheme="minorHAnsi" w:cstheme="minorBidi"/>
              <w:noProof/>
              <w:sz w:val="22"/>
              <w:szCs w:val="22"/>
              <w:lang w:val="en-IN"/>
            </w:rPr>
          </w:pPr>
          <w:hyperlink w:anchor="_Toc121159962" w:history="1">
            <w:r w:rsidR="00401D18" w:rsidRPr="007C5C14">
              <w:rPr>
                <w:rStyle w:val="a9"/>
                <w:noProof/>
              </w:rPr>
              <w:t>Conclusion</w:t>
            </w:r>
            <w:r w:rsidR="00401D18">
              <w:rPr>
                <w:noProof/>
                <w:webHidden/>
              </w:rPr>
              <w:tab/>
            </w:r>
            <w:r w:rsidR="00401D18">
              <w:rPr>
                <w:noProof/>
                <w:webHidden/>
              </w:rPr>
              <w:fldChar w:fldCharType="begin"/>
            </w:r>
            <w:r w:rsidR="00401D18">
              <w:rPr>
                <w:noProof/>
                <w:webHidden/>
              </w:rPr>
              <w:instrText xml:space="preserve"> PAGEREF _Toc121159962 \h </w:instrText>
            </w:r>
            <w:r w:rsidR="00401D18">
              <w:rPr>
                <w:noProof/>
                <w:webHidden/>
              </w:rPr>
            </w:r>
            <w:r w:rsidR="00401D18">
              <w:rPr>
                <w:noProof/>
                <w:webHidden/>
              </w:rPr>
              <w:fldChar w:fldCharType="separate"/>
            </w:r>
            <w:r w:rsidR="00401D18">
              <w:rPr>
                <w:noProof/>
                <w:webHidden/>
              </w:rPr>
              <w:t>8</w:t>
            </w:r>
            <w:r w:rsidR="00401D18">
              <w:rPr>
                <w:noProof/>
                <w:webHidden/>
              </w:rPr>
              <w:fldChar w:fldCharType="end"/>
            </w:r>
          </w:hyperlink>
        </w:p>
        <w:p w14:paraId="224F44A3" w14:textId="0A9885C5" w:rsidR="00401D18" w:rsidRDefault="008C62B3">
          <w:pPr>
            <w:pStyle w:val="10"/>
            <w:tabs>
              <w:tab w:val="right" w:leader="dot" w:pos="9019"/>
            </w:tabs>
            <w:rPr>
              <w:rFonts w:asciiTheme="minorHAnsi" w:eastAsiaTheme="minorEastAsia" w:hAnsiTheme="minorHAnsi" w:cstheme="minorBidi"/>
              <w:noProof/>
              <w:sz w:val="22"/>
              <w:szCs w:val="22"/>
              <w:lang w:val="en-IN"/>
            </w:rPr>
          </w:pPr>
          <w:hyperlink w:anchor="_Toc121159963" w:history="1">
            <w:r w:rsidR="00401D18" w:rsidRPr="007C5C14">
              <w:rPr>
                <w:rStyle w:val="a9"/>
                <w:noProof/>
              </w:rPr>
              <w:t>References</w:t>
            </w:r>
            <w:r w:rsidR="00401D18">
              <w:rPr>
                <w:noProof/>
                <w:webHidden/>
              </w:rPr>
              <w:tab/>
            </w:r>
            <w:r w:rsidR="00401D18">
              <w:rPr>
                <w:noProof/>
                <w:webHidden/>
              </w:rPr>
              <w:fldChar w:fldCharType="begin"/>
            </w:r>
            <w:r w:rsidR="00401D18">
              <w:rPr>
                <w:noProof/>
                <w:webHidden/>
              </w:rPr>
              <w:instrText xml:space="preserve"> PAGEREF _Toc121159963 \h </w:instrText>
            </w:r>
            <w:r w:rsidR="00401D18">
              <w:rPr>
                <w:noProof/>
                <w:webHidden/>
              </w:rPr>
            </w:r>
            <w:r w:rsidR="00401D18">
              <w:rPr>
                <w:noProof/>
                <w:webHidden/>
              </w:rPr>
              <w:fldChar w:fldCharType="separate"/>
            </w:r>
            <w:r w:rsidR="00401D18">
              <w:rPr>
                <w:noProof/>
                <w:webHidden/>
              </w:rPr>
              <w:t>9</w:t>
            </w:r>
            <w:r w:rsidR="00401D18">
              <w:rPr>
                <w:noProof/>
                <w:webHidden/>
              </w:rPr>
              <w:fldChar w:fldCharType="end"/>
            </w:r>
          </w:hyperlink>
        </w:p>
        <w:p w14:paraId="44BAEBFF" w14:textId="5608F788" w:rsidR="002068BC" w:rsidRDefault="008C62B3">
          <w:r>
            <w:rPr>
              <w:b/>
              <w:bCs/>
              <w:noProof/>
            </w:rPr>
            <w:fldChar w:fldCharType="end"/>
          </w:r>
        </w:p>
      </w:sdtContent>
    </w:sdt>
    <w:p w14:paraId="3C6BE70A" w14:textId="77777777" w:rsidR="002068BC" w:rsidRDefault="008C62B3">
      <w:pPr>
        <w:rPr>
          <w:b/>
          <w:sz w:val="28"/>
          <w:szCs w:val="28"/>
        </w:rPr>
      </w:pPr>
      <w:r>
        <w:br w:type="page"/>
      </w:r>
    </w:p>
    <w:p w14:paraId="00000008" w14:textId="3BAB79C9" w:rsidR="00266FEC" w:rsidRDefault="008C62B3">
      <w:pPr>
        <w:pStyle w:val="1"/>
      </w:pPr>
      <w:bookmarkStart w:id="1" w:name="_Toc121159960"/>
      <w:r>
        <w:t>Introduction</w:t>
      </w:r>
      <w:bookmarkEnd w:id="1"/>
      <w:r>
        <w:t xml:space="preserve"> </w:t>
      </w:r>
    </w:p>
    <w:p w14:paraId="00000009" w14:textId="06F15CF1" w:rsidR="00266FEC" w:rsidRDefault="008C62B3">
      <w:r>
        <w:rPr>
          <w:b/>
          <w:i/>
        </w:rPr>
        <w:t xml:space="preserve">Crossrail </w:t>
      </w:r>
      <w:r>
        <w:t xml:space="preserve">is one of the most significant infrastructure projects in the United Kingdom which aims to improve journey times across London, erase congestion, and offer better connections. The project is </w:t>
      </w:r>
      <w:r>
        <w:t>stretched over 100 kilometres from “</w:t>
      </w:r>
      <w:r>
        <w:rPr>
          <w:b/>
          <w:i/>
        </w:rPr>
        <w:t>Reading and Heathrow Airport in the west of London to Shenfield and Abbey Wood in the east”</w:t>
      </w:r>
      <w:r>
        <w:t xml:space="preserve">. There are 41 stopping stations and 10 new stations have been included. There is major tunnelling work however, </w:t>
      </w:r>
      <w:r>
        <w:rPr>
          <w:b/>
          <w:i/>
        </w:rPr>
        <w:t>75% of the 100-k</w:t>
      </w:r>
      <w:r>
        <w:rPr>
          <w:b/>
          <w:i/>
        </w:rPr>
        <w:t>ilometre route</w:t>
      </w:r>
      <w:r>
        <w:t xml:space="preserve"> is above the ground (Network Rail, 2022). The overground rail network of this project is known as the “Elizabeth line” (Parliament, 2022). The estimated budget of the Crossrail budget </w:t>
      </w:r>
      <w:r w:rsidR="002068BC">
        <w:t xml:space="preserve">was </w:t>
      </w:r>
      <w:r w:rsidR="002068BC">
        <w:rPr>
          <w:b/>
          <w:i/>
        </w:rPr>
        <w:t>£</w:t>
      </w:r>
      <w:r>
        <w:rPr>
          <w:b/>
          <w:i/>
        </w:rPr>
        <w:t xml:space="preserve">14.8 billion in 2021 </w:t>
      </w:r>
      <w:r>
        <w:t>however the completed cost of t</w:t>
      </w:r>
      <w:r>
        <w:t xml:space="preserve">he project has increased by </w:t>
      </w:r>
      <w:r>
        <w:rPr>
          <w:b/>
          <w:i/>
        </w:rPr>
        <w:t>28% and become £18.9 billion</w:t>
      </w:r>
      <w:r>
        <w:t xml:space="preserve"> after the completion. The </w:t>
      </w:r>
      <w:r>
        <w:rPr>
          <w:b/>
          <w:i/>
        </w:rPr>
        <w:t xml:space="preserve">“Elizabeth line” enhanced the capacity of London rail by 10% </w:t>
      </w:r>
      <w:r>
        <w:t xml:space="preserve">and its service commenced on </w:t>
      </w:r>
      <w:r>
        <w:rPr>
          <w:b/>
          <w:i/>
        </w:rPr>
        <w:t>“24 May 2022”</w:t>
      </w:r>
      <w:r>
        <w:t xml:space="preserve"> (Crossrail, 2022a). There is a huge delay in the completion of the pr</w:t>
      </w:r>
      <w:r>
        <w:t xml:space="preserve">oject and the budget of the project is also overrun. In this essay, the Crossrail project will be critically evaluated in terms of budget, quality, time, risk factors and stakeholders. The reason for the huge delay and budget overrun from the initial plan </w:t>
      </w:r>
      <w:r>
        <w:t xml:space="preserve">is gouging to be discussed here.  </w:t>
      </w:r>
    </w:p>
    <w:p w14:paraId="0000000A" w14:textId="77777777" w:rsidR="00266FEC" w:rsidRDefault="008C62B3">
      <w:r>
        <w:rPr>
          <w:b/>
          <w:i/>
        </w:rPr>
        <w:t>Thesis statement: Crossrail project (Elizabeth line) is one of the most significant and largest infrastructure projects in the UK that enhances the transport capability of London and its surrounding areas. However, the co</w:t>
      </w:r>
      <w:r>
        <w:rPr>
          <w:b/>
          <w:i/>
        </w:rPr>
        <w:t xml:space="preserve">vid-19 pandemic and other different issues contributed to the huge delay and budget overrun of the project.        </w:t>
      </w:r>
      <w:r>
        <w:t xml:space="preserve">                                 </w:t>
      </w:r>
    </w:p>
    <w:p w14:paraId="0000000B" w14:textId="77777777" w:rsidR="00266FEC" w:rsidRDefault="008C62B3">
      <w:pPr>
        <w:pStyle w:val="1"/>
      </w:pPr>
      <w:bookmarkStart w:id="2" w:name="_qjqwt7dwyhnh" w:colFirst="0" w:colLast="0"/>
      <w:bookmarkStart w:id="3" w:name="_Toc121159961"/>
      <w:bookmarkEnd w:id="2"/>
      <w:r>
        <w:t>The Body</w:t>
      </w:r>
      <w:bookmarkEnd w:id="3"/>
    </w:p>
    <w:p w14:paraId="0000000C" w14:textId="3787F3AC" w:rsidR="00266FEC" w:rsidRDefault="008C62B3" w:rsidP="002068BC">
      <w:r>
        <w:t>The Crossrail project not only offers journey accessibility but also aims to generate employment o</w:t>
      </w:r>
      <w:r>
        <w:t xml:space="preserve">pportunities within and across the project. The Crossrail project was first proposed in </w:t>
      </w:r>
      <w:r>
        <w:rPr>
          <w:b/>
          <w:i/>
        </w:rPr>
        <w:t>1974 and after several intervening attempts it was first started in 2009.</w:t>
      </w:r>
      <w:r>
        <w:t xml:space="preserve"> And in 2019 it was announced that the project would be finished between October 2020 to March </w:t>
      </w:r>
      <w:r>
        <w:t xml:space="preserve">2021 (Parliament, 2022). The </w:t>
      </w:r>
      <w:r>
        <w:rPr>
          <w:b/>
          <w:i/>
        </w:rPr>
        <w:t>“Elizabeth line”</w:t>
      </w:r>
      <w:r>
        <w:t xml:space="preserve"> connects London with the main employment centres of the UK and supports the new journey through central London </w:t>
      </w:r>
      <w:r w:rsidR="002068BC">
        <w:t>to Buckinghamshire</w:t>
      </w:r>
      <w:r>
        <w:t>, Berkshire, and Essex. The rail network is a part of the</w:t>
      </w:r>
      <w:r>
        <w:rPr>
          <w:b/>
          <w:i/>
        </w:rPr>
        <w:t xml:space="preserve"> “Transport for London (</w:t>
      </w:r>
      <w:r>
        <w:rPr>
          <w:b/>
          <w:i/>
        </w:rPr>
        <w:t>TfL)”</w:t>
      </w:r>
      <w:r>
        <w:t xml:space="preserve"> network. The project is the first truly digital railway by its scale and size across the world. The tunnelling of the project first started in 2012. The Crossrail brings extra 1.5 million passengers within </w:t>
      </w:r>
      <w:r>
        <w:rPr>
          <w:b/>
          <w:i/>
        </w:rPr>
        <w:t>45 minutes of central London and is linked t</w:t>
      </w:r>
      <w:r>
        <w:rPr>
          <w:b/>
          <w:i/>
        </w:rPr>
        <w:t xml:space="preserve">o the major employment areas </w:t>
      </w:r>
      <w:r>
        <w:t xml:space="preserve">(AECOM, 2022).  The tunnelling project is scheduled to open in 2018 however the deadline was missed several times.                </w:t>
      </w:r>
    </w:p>
    <w:p w14:paraId="0000000D" w14:textId="77777777" w:rsidR="00266FEC" w:rsidRDefault="008C62B3" w:rsidP="002068BC">
      <w:r>
        <w:t>The funding framework of the Crossrail project was estimated in 2017 and it was announced by the</w:t>
      </w:r>
      <w:r>
        <w:t xml:space="preserve"> Prime Minister that the cost of the project will be met by the government of the UK, London businesses, and “the Mayor of London”. The initial estimated funding of the project was</w:t>
      </w:r>
      <w:r>
        <w:rPr>
          <w:b/>
          <w:i/>
        </w:rPr>
        <w:t xml:space="preserve"> £14.8 billion </w:t>
      </w:r>
      <w:r>
        <w:t xml:space="preserve">and the funding was enhanced to </w:t>
      </w:r>
      <w:r>
        <w:rPr>
          <w:b/>
          <w:i/>
        </w:rPr>
        <w:t>£17.6 billion in 2018</w:t>
      </w:r>
      <w:r>
        <w:t xml:space="preserve"> (Crossr</w:t>
      </w:r>
      <w:r>
        <w:t>ail, 2022b). Additional funding was allocated to complete the important project. The project is complex and it has different complications that enhance the cost of the project. The activities of the project were not finished at the scheduled time due to th</w:t>
      </w:r>
      <w:r>
        <w:t xml:space="preserve">e computation and low productivity rate as compared to the estimation, and the delay in the project activity enhances the project cost. According to Pacagnella Jr </w:t>
      </w:r>
      <w:r>
        <w:rPr>
          <w:i/>
        </w:rPr>
        <w:t>et al.</w:t>
      </w:r>
      <w:r>
        <w:t xml:space="preserve"> (2019), resource estimation plays a significant role in project management, resource m</w:t>
      </w:r>
      <w:r>
        <w:t xml:space="preserve">ismanagement decreases the efficiency of the workforce and enhances the project competition time and, in turn, increases the project cost. </w:t>
      </w:r>
    </w:p>
    <w:p w14:paraId="0000000E" w14:textId="09AAFD24" w:rsidR="00266FEC" w:rsidRDefault="008C62B3" w:rsidP="002068BC">
      <w:r>
        <w:t xml:space="preserve">The Crossrail project needs further funding in order to finish the project and about </w:t>
      </w:r>
      <w:r>
        <w:rPr>
          <w:b/>
          <w:i/>
        </w:rPr>
        <w:t>£825 million</w:t>
      </w:r>
      <w:r>
        <w:t xml:space="preserve"> was provided in De</w:t>
      </w:r>
      <w:r>
        <w:t xml:space="preserve">cember 2020 to the Crossrail Programme. Further funding of </w:t>
      </w:r>
      <w:r>
        <w:rPr>
          <w:b/>
          <w:i/>
        </w:rPr>
        <w:t>£390 million</w:t>
      </w:r>
      <w:r>
        <w:t xml:space="preserve"> was provided to </w:t>
      </w:r>
      <w:r>
        <w:rPr>
          <w:b/>
          <w:i/>
        </w:rPr>
        <w:t>Network Rail in July 2020, and July 2019</w:t>
      </w:r>
      <w:r>
        <w:t xml:space="preserve"> and the increased cost of the project </w:t>
      </w:r>
      <w:r w:rsidR="002068BC">
        <w:t xml:space="preserve">became </w:t>
      </w:r>
      <w:r w:rsidR="002068BC">
        <w:rPr>
          <w:b/>
          <w:i/>
        </w:rPr>
        <w:t>£</w:t>
      </w:r>
      <w:r>
        <w:rPr>
          <w:b/>
          <w:i/>
        </w:rPr>
        <w:t xml:space="preserve">18.8 billion </w:t>
      </w:r>
      <w:r>
        <w:t>(Crossrail, 2022b). As per the TfL and “Department for Transport (Df</w:t>
      </w:r>
      <w:r>
        <w:t xml:space="preserve">T),” the commitment to the successful delivery of the project enhances the cost of the project. This huge amount of funds came from several stakeholders such as the funding amount of DfT and TfL is about </w:t>
      </w:r>
      <w:r>
        <w:rPr>
          <w:b/>
          <w:i/>
        </w:rPr>
        <w:t>£5110 million and £2050</w:t>
      </w:r>
      <w:r>
        <w:t xml:space="preserve"> million respectively (Crossr</w:t>
      </w:r>
      <w:r>
        <w:t xml:space="preserve">ail, 2022b). The Optimism bias is clearly evident in the Crossrail project, as it had in the initial estimated evolved funding of the project was </w:t>
      </w:r>
      <w:r>
        <w:rPr>
          <w:b/>
          <w:i/>
        </w:rPr>
        <w:t>£15.9 billion in 2007 and the budget was revised and “cut down to £14.8 billion in 2010”</w:t>
      </w:r>
      <w:r>
        <w:t>, the cost was further</w:t>
      </w:r>
      <w:r>
        <w:t xml:space="preserve"> enhanced in 2017 (Constructionproducts, 2020). This type of strategic mismanagement largely contributes to the delayed time of the project. The huge amount of funding from the government mainly comes from the tax collected by the Government from its peopl</w:t>
      </w:r>
      <w:r>
        <w:t xml:space="preserve">e. The recent Covid-19 pandemic has had a great influence on the increased budget of the project.                                      </w:t>
      </w:r>
    </w:p>
    <w:p w14:paraId="0000000F" w14:textId="77777777" w:rsidR="00266FEC" w:rsidRDefault="008C62B3" w:rsidP="002068BC">
      <w:r>
        <w:t xml:space="preserve">The Crossrail project was initiated in </w:t>
      </w:r>
      <w:r>
        <w:rPr>
          <w:b/>
          <w:i/>
        </w:rPr>
        <w:t xml:space="preserve">1974 </w:t>
      </w:r>
      <w:r>
        <w:t>and after several changes and complications in the funding the project was f</w:t>
      </w:r>
      <w:r>
        <w:t xml:space="preserve">inally initiated in 2009 and the tunnelling was started in 2012. The estimated scheduled compilation of the Crossrail project was in 2018, however, due to different causes, the project was delayed by three years and costs about </w:t>
      </w:r>
      <w:r>
        <w:rPr>
          <w:b/>
          <w:i/>
        </w:rPr>
        <w:t>£4 billion</w:t>
      </w:r>
      <w:r>
        <w:t xml:space="preserve"> more than the ini</w:t>
      </w:r>
      <w:r>
        <w:t>tial budget estimation (The Guardian, 2020). Delay in different government projects is the most common and concerning aspect. The delay in the completion is the main contributor to the increased project cost. According to Welde and Bukkestein (2022), the k</w:t>
      </w:r>
      <w:r>
        <w:t xml:space="preserve">ey aspect that contributed to the project delay is a </w:t>
      </w:r>
      <w:r>
        <w:rPr>
          <w:b/>
          <w:i/>
        </w:rPr>
        <w:t xml:space="preserve">lack of resources, optimism bias, technical challenges, complex constructions, lack of coordination among the superior body of the project, Strategic misinterpretation, </w:t>
      </w:r>
      <w:r>
        <w:t xml:space="preserve">and other. </w:t>
      </w:r>
    </w:p>
    <w:p w14:paraId="00000010" w14:textId="77777777" w:rsidR="00266FEC" w:rsidRDefault="008C62B3" w:rsidP="002068BC">
      <w:r>
        <w:t>In the case of the Crossrail project, a few such aspects have contributed to the delay. In the Crossrail project, the technical challenges and Strategic misinterpretation are evident. In terms of technical challenges, Crossrail is one of the largest and mo</w:t>
      </w:r>
      <w:r>
        <w:t>st advanced digitally advanced infrastructure projects in the world. An Underground station is a complicated place that restricts tunnelling access, one of the most complicated factors is the geometry of the project sites which is not regular orthogonal ho</w:t>
      </w:r>
      <w:r>
        <w:t xml:space="preserve">wever the structure is in the form of cylindrical with different diameters (The Engineer, 2022). </w:t>
      </w:r>
    </w:p>
    <w:p w14:paraId="00000011" w14:textId="77777777" w:rsidR="00266FEC" w:rsidRDefault="008C62B3" w:rsidP="002068BC">
      <w:r>
        <w:t>The audio-visual systems in the tunnelling system are also very sustainable, and the updated software system in the project for communication made it a more t</w:t>
      </w:r>
      <w:r>
        <w:t xml:space="preserve">echnically challenging project. Lobo and Abid (2020) indicated the major opposition from the public in the different regions of London like Chelsea and Wimbledon threatening the viability of the project for this reason and leading to project delay. In the </w:t>
      </w:r>
      <w:r>
        <w:t>last, the covid-19 pandemic also contributed to the delay of the project due to the social distancing measures and nationwide lockdown in 2020, it was not possible for the stockholders to continue the project at this time and it missed the 2020 deadline an</w:t>
      </w:r>
      <w:r>
        <w:t xml:space="preserve">d completed in 2022.                  </w:t>
      </w:r>
    </w:p>
    <w:p w14:paraId="00000012" w14:textId="77777777" w:rsidR="00266FEC" w:rsidRDefault="008C62B3" w:rsidP="002068BC">
      <w:r>
        <w:t>In terms of quality and scale the Crossrail project is an infrastructure marvel across the world. The project team of Crossrail took the</w:t>
      </w:r>
      <w:r>
        <w:rPr>
          <w:b/>
          <w:i/>
        </w:rPr>
        <w:t xml:space="preserve"> “Agile project management approach”</w:t>
      </w:r>
      <w:r>
        <w:t>, where each activity of the project is struc</w:t>
      </w:r>
      <w:r>
        <w:t>tured from the recent predecessors (Crossrail Learning Legacy, 2022). Quality management is at the heart of project planning and it adopted the industry-leading approach in order to improve and manage the quality of the overall project. The collaborative r</w:t>
      </w:r>
      <w:r>
        <w:t>elationship with the contractors and its extended supply chain management helped the</w:t>
      </w:r>
      <w:r>
        <w:rPr>
          <w:b/>
          <w:i/>
        </w:rPr>
        <w:t xml:space="preserve"> 54% </w:t>
      </w:r>
      <w:r>
        <w:t xml:space="preserve">performance improvement in the project (Crossrail Learning Legacy, 2022). These are achieved by tracking the progression of the project in terms of </w:t>
      </w:r>
      <w:r>
        <w:rPr>
          <w:b/>
          <w:i/>
        </w:rPr>
        <w:t>compliance, value-a</w:t>
      </w:r>
      <w:r>
        <w:rPr>
          <w:b/>
          <w:i/>
        </w:rPr>
        <w:t>dded, and world-class quality specification</w:t>
      </w:r>
      <w:r>
        <w:t xml:space="preserve">. The project team used </w:t>
      </w:r>
      <w:r>
        <w:rPr>
          <w:b/>
          <w:i/>
        </w:rPr>
        <w:t xml:space="preserve">“extensive physical prototyping” </w:t>
      </w:r>
      <w:r>
        <w:t>in the context of project control, risk reduction, and assured results of the project (APM, 2022). This strategy helped to maintain the quality of the proje</w:t>
      </w:r>
      <w:r>
        <w:t xml:space="preserve">ct. According to Muruganandan </w:t>
      </w:r>
      <w:r>
        <w:rPr>
          <w:i/>
        </w:rPr>
        <w:t>et al.</w:t>
      </w:r>
      <w:r>
        <w:t xml:space="preserve"> (2022), the process of system integration within a project like Crossrail acts as a balancing aspect in order to maintain stability, flexibility and adapted change within the project. The system integration enhances the</w:t>
      </w:r>
      <w:r>
        <w:t xml:space="preserve"> quality of a project with better control and balance. Environmental sustainability is at the heart of the quality management of the project. In order to maintain the project quality a </w:t>
      </w:r>
      <w:r>
        <w:rPr>
          <w:b/>
          <w:i/>
        </w:rPr>
        <w:t xml:space="preserve">“Performance Assurance Framework” </w:t>
      </w:r>
      <w:r>
        <w:t>was developed by focusing on six impo</w:t>
      </w:r>
      <w:r>
        <w:t>rtant delivery functions such as</w:t>
      </w:r>
      <w:r>
        <w:rPr>
          <w:b/>
          <w:i/>
        </w:rPr>
        <w:t xml:space="preserve"> “Health &amp; Safety”, commercials, environment, social sustainability, community development, and quality (Including technical advancement)</w:t>
      </w:r>
      <w:r>
        <w:t xml:space="preserve"> (Crossrail Learning Legacy, 2022). Different sustainable measures have been taken with</w:t>
      </w:r>
      <w:r>
        <w:t xml:space="preserve">in the Crossrail project that helps in order to increase the project quality. The key biodiversity focus of the project is habitat and wildlife protection. About </w:t>
      </w:r>
      <w:r>
        <w:rPr>
          <w:b/>
          <w:i/>
        </w:rPr>
        <w:t>“8 million tonnes of excavated material”</w:t>
      </w:r>
      <w:r>
        <w:t xml:space="preserve"> was developed as a part of the construction program a</w:t>
      </w:r>
      <w:r>
        <w:t>nd this was beneficial to restore landfill, and creating new habitats (Crossrail, 2022c). The recycling target of the project was exceeded by the project contractors by more than 92% of the construction and demolition wastes (AECOM, 2022). All these measur</w:t>
      </w:r>
      <w:r>
        <w:t xml:space="preserve">es are taken by the project team to help maintain and deliver quality projects.                                             </w:t>
      </w:r>
    </w:p>
    <w:p w14:paraId="00000013" w14:textId="394854E3" w:rsidR="00266FEC" w:rsidRDefault="008C62B3" w:rsidP="002068BC">
      <w:pPr>
        <w:rPr>
          <w:b/>
        </w:rPr>
      </w:pPr>
      <w:bookmarkStart w:id="4" w:name="_crvbji4xdpv9" w:colFirst="0" w:colLast="0"/>
      <w:bookmarkEnd w:id="4"/>
      <w:r>
        <w:t xml:space="preserve">As per the view of </w:t>
      </w:r>
      <w:r>
        <w:rPr>
          <w:color w:val="222222"/>
          <w:highlight w:val="white"/>
        </w:rPr>
        <w:t xml:space="preserve">Highsmith </w:t>
      </w:r>
      <w:r>
        <w:t>(2009), initial project planning can be beneficial for project management in terms of providing better opportunities like “securing essential approvals”, “approving the feasibility of the overall project team” and better control of the workforce as well. I</w:t>
      </w:r>
      <w:r>
        <w:t xml:space="preserve">n the case of better project planning, Crossline Construction has incorporated better project management methodologies like the “Agile” while incorporating </w:t>
      </w:r>
      <w:r w:rsidR="002068BC">
        <w:t>its “</w:t>
      </w:r>
      <w:r>
        <w:t xml:space="preserve">PPM learning legacy” and the “project development agreement with the joint-venture of “DfT and </w:t>
      </w:r>
      <w:r>
        <w:t xml:space="preserve">TfL” in the fiscal year 2007 (Crossrail, 2022e). Besides, the organisation has incorporated the “performance assurance framework in assuring a better performance tracking while emphasising its overall performance at around 54% throughout the project as </w:t>
      </w:r>
      <w:r w:rsidR="002068BC">
        <w:t>well (</w:t>
      </w:r>
      <w:r>
        <w:t xml:space="preserve">Crossrail, 2022e). </w:t>
      </w:r>
    </w:p>
    <w:p w14:paraId="00000014" w14:textId="77777777" w:rsidR="00266FEC" w:rsidRDefault="008C62B3" w:rsidP="002068BC">
      <w:pPr>
        <w:rPr>
          <w:b/>
        </w:rPr>
      </w:pPr>
      <w:bookmarkStart w:id="5" w:name="_wmgg1qvzaivn" w:colFirst="0" w:colLast="0"/>
      <w:bookmarkEnd w:id="5"/>
      <w:r>
        <w:t>In analysing specific factors related to increasing the overall project timeline, certain limitations of better project management planning can be recorded. In the case of budgetary overflow, inactive communication during the applica</w:t>
      </w:r>
      <w:r>
        <w:t>tion of HS1 guidelines can be recorded while preventing the project management to accomplish within a specific time while charging a significant number of investments at around 19 billion GBP in the fiscal year 2022(BBC, 2022). On the other hand, the imple</w:t>
      </w:r>
      <w:r>
        <w:t>mentation of the new project software like “performance improvement tracking progression” has actually created massive confusion related to the technology adoption among the employees as part of their agile management process while developing workplace dis</w:t>
      </w:r>
      <w:r>
        <w:t xml:space="preserve">putes during the project accomplishments (Crossrail, 2022e). </w:t>
      </w:r>
    </w:p>
    <w:p w14:paraId="00000015" w14:textId="72899361" w:rsidR="00266FEC" w:rsidRDefault="008C62B3" w:rsidP="002068BC">
      <w:r>
        <w:t xml:space="preserve">As per the view of </w:t>
      </w:r>
      <w:r>
        <w:rPr>
          <w:color w:val="222222"/>
          <w:highlight w:val="white"/>
        </w:rPr>
        <w:t xml:space="preserve">Larsson and Larsson </w:t>
      </w:r>
      <w:r>
        <w:t xml:space="preserve">(2020) in ensuring the requirements of the “joint”, “open”, “flexible” as well as “detailed negotiation of shaping process” certain involvement of the key </w:t>
      </w:r>
      <w:r>
        <w:t xml:space="preserve">stakeholders can be identified as a beneficial way for accomplishing any successful project. In the case of evaluating the stakeholders’ importance in the case of the Crossrail Elizabeth line project, certain involvement of the key stakeholders has helped </w:t>
      </w:r>
      <w:r>
        <w:t>to mitigate problematic situations like budgetary overflows, inaccurate project management planning and health-related safety during the project. For example, prior stakeholders in this project such as the Crossrail leadership team under the guidance of “J</w:t>
      </w:r>
      <w:r>
        <w:t xml:space="preserve">im Crawford” have adopted the “Inclusivity Policy” in the case of projecting better results in the Elizabeth line project in the fiscal year 2005 (Crossrail, 2022d). The project has seen another involvement of key stakeholders like “Transport </w:t>
      </w:r>
      <w:r w:rsidR="002068BC">
        <w:t>for</w:t>
      </w:r>
      <w:r>
        <w:t xml:space="preserve"> London (T</w:t>
      </w:r>
      <w:r>
        <w:t xml:space="preserve">fL) and </w:t>
      </w:r>
      <w:r>
        <w:rPr>
          <w:b/>
          <w:i/>
        </w:rPr>
        <w:t>“The Department for Transportation” (DFT)</w:t>
      </w:r>
      <w:r>
        <w:t xml:space="preserve"> under a particular joint scheme while having the advantage of collecting additional budgetary capital of around 4.1 billion GBP within the fiscal year 2019 respectively (Crossrail, 2022b). On the contrary, </w:t>
      </w:r>
      <w:r>
        <w:t>the involvement of various sponsors like “Heathrow Airport Limited”, “Network Rail” and “Greater London Authority” have developed critical situations like inner conflict in selecting better project management procedures and certain workforce conflicts thro</w:t>
      </w:r>
      <w:r>
        <w:t>ughout the initial stages of the project management as well. For instance, workers safety related issues related to the excavation of risky materials including 6 tonnes of earth and landfills have been recorded while forcing the workers to develop workplac</w:t>
      </w:r>
      <w:r>
        <w:t>e disputes during the project accomplishment (The Guardian, 2020). However, the sponsors have safeguarded this project management in resolving its problematic situation like cash overflows during the initial stages of accomplishment while contributing sign</w:t>
      </w:r>
      <w:r>
        <w:t>ificant investment to mitigate the problem. For example, sponsors like “Greater London Authority”, “Network rail” and “Heathrow Airport Limited” have contributed a significant amount of money around 825 million GBP in the fiscal year 2020 respectively (Cro</w:t>
      </w:r>
      <w:r>
        <w:t xml:space="preserve">ssrail, 2022b). </w:t>
      </w:r>
    </w:p>
    <w:p w14:paraId="00000016" w14:textId="77777777" w:rsidR="00266FEC" w:rsidRDefault="008C62B3" w:rsidP="002068BC">
      <w:r>
        <w:t xml:space="preserve">In evaluating particular risk factors for this project, high-risk drivers like rapid changes in a project environment, global pandemic issues and workplace conflicts can be observed. As per the view of </w:t>
      </w:r>
      <w:r>
        <w:rPr>
          <w:color w:val="222222"/>
          <w:highlight w:val="white"/>
        </w:rPr>
        <w:t xml:space="preserve">Burke </w:t>
      </w:r>
      <w:r>
        <w:t>(2013), risk drivers can be ide</w:t>
      </w:r>
      <w:r>
        <w:t>ntified as the problematic issues in developing several risk factors throughout a particular project while appearing as a major challenge in front of the project management. These risk drivers have created risk factors like inaccurate budgetary planning, i</w:t>
      </w:r>
      <w:r>
        <w:t>nappropriate project management techniques and worker conflicts due to their health and safety-related issues in the Elizabeth line project. For example, the workers have faced critical issues in tunnelling the central of London and adjoining “Liverpool” w</w:t>
      </w:r>
      <w:r>
        <w:t xml:space="preserve">ith “Charterhouse Square” while excavating “dozens of plague victim bodies” throughout the project accomplishment (BBC, 2022). Besides, risk factors like major cash overflows can be recorded due to inappropriate budget planning while increasing an overall </w:t>
      </w:r>
      <w:r>
        <w:t>budget to around 4.1 billion GBP in the accomplishment of the final project within the fiscal year 2022 (BBC, 2022). Delays in the project accomplishment can be recorded during the evaluation of the risk factors while reducing the reputational image of Cro</w:t>
      </w:r>
      <w:r>
        <w:t xml:space="preserve">ssrail construction and the TFL-DTL joint-venture scheme among the British people. </w:t>
      </w:r>
    </w:p>
    <w:p w14:paraId="00000017" w14:textId="77777777" w:rsidR="00266FEC" w:rsidRDefault="008C62B3">
      <w:pPr>
        <w:pStyle w:val="1"/>
      </w:pPr>
      <w:bookmarkStart w:id="6" w:name="_knm9wx3xt4sc" w:colFirst="0" w:colLast="0"/>
      <w:bookmarkStart w:id="7" w:name="_Toc121159962"/>
      <w:bookmarkEnd w:id="6"/>
      <w:r>
        <w:t>Conclusion</w:t>
      </w:r>
      <w:bookmarkEnd w:id="7"/>
    </w:p>
    <w:p w14:paraId="00000018" w14:textId="77777777" w:rsidR="00266FEC" w:rsidRDefault="008C62B3">
      <w:r>
        <w:t>The essay has incorporated the importance of better project management principles in the case of ensuring successful project management while highlighting a cert</w:t>
      </w:r>
      <w:r>
        <w:t xml:space="preserve">ain case of the Crossrail project of the Elizabeth line in the UK. In the case of developing a better project, the construction company has faced numerous problematic situations like workers' disputes, health and safety-related issues, budgetary overflows </w:t>
      </w:r>
      <w:r>
        <w:t>and the disruptive work-breakdown structure during the accomplishment of this particular project as well. Despite having problematic situations, this project also represented its importance in reducing the heavy traffic of London central while decreasing t</w:t>
      </w:r>
      <w:r>
        <w:t xml:space="preserve">he carbon emissions from public transportation at its introductory stage.  </w:t>
      </w:r>
    </w:p>
    <w:p w14:paraId="00000019" w14:textId="77777777" w:rsidR="00266FEC" w:rsidRDefault="008C62B3">
      <w:r>
        <w:t>It can be recommended to the project management including Crossrail and TfL-DTL joint venture in adopting a better project management methodology like “prince 2 approaches of chang</w:t>
      </w:r>
      <w:r>
        <w:t xml:space="preserve">e management” in their upcoming project. As per the view of </w:t>
      </w:r>
      <w:r>
        <w:rPr>
          <w:color w:val="222222"/>
          <w:highlight w:val="white"/>
        </w:rPr>
        <w:t xml:space="preserve">Hedeman and Seegers </w:t>
      </w:r>
      <w:r>
        <w:t>(2009), the prince 2 approach to change management can involve strategies like “configuration of management strategies”, “configuration of item records”, “product status accoun</w:t>
      </w:r>
      <w:r>
        <w:t>t” and “issue registers” in evaluating the risk factors. In applying this project management approach, Crossrail construction can be helpful in analysing project loopholes in its upcoming project while mitigating risk issues like workforce conflicts and bu</w:t>
      </w:r>
      <w:r>
        <w:t xml:space="preserve">dgetary overflows. </w:t>
      </w:r>
    </w:p>
    <w:p w14:paraId="0000001A" w14:textId="77777777" w:rsidR="00266FEC" w:rsidRDefault="008C62B3">
      <w:r>
        <w:t>It is also recommended to Crossrail and TfL in developing a certain strategy of providing better technical training to the workforce in enhancing their technological understanding while helping the project management in mitigating monet</w:t>
      </w:r>
      <w:r>
        <w:t xml:space="preserve">ary overflows during their upcoming project. Besides, this strategy can be helpful in enhancing the workforce capabilities during the project stages while helping the workers to bring flexibility in accomplishing a successful project. </w:t>
      </w:r>
      <w:r>
        <w:br w:type="page"/>
      </w:r>
    </w:p>
    <w:p w14:paraId="0000001B" w14:textId="77777777" w:rsidR="00266FEC" w:rsidRDefault="008C62B3">
      <w:pPr>
        <w:pStyle w:val="1"/>
      </w:pPr>
      <w:bookmarkStart w:id="8" w:name="_l9km6dmbqsk4" w:colFirst="0" w:colLast="0"/>
      <w:bookmarkStart w:id="9" w:name="_Toc121159963"/>
      <w:bookmarkEnd w:id="8"/>
      <w:r>
        <w:t>References</w:t>
      </w:r>
      <w:bookmarkEnd w:id="9"/>
      <w:r>
        <w:t xml:space="preserve"> </w:t>
      </w:r>
    </w:p>
    <w:p w14:paraId="0AD41414" w14:textId="77777777" w:rsidR="002068BC" w:rsidRDefault="008C62B3">
      <w:pPr>
        <w:spacing w:before="240" w:after="240"/>
      </w:pPr>
      <w:r>
        <w:t xml:space="preserve">AECOM, </w:t>
      </w:r>
      <w:r>
        <w:t xml:space="preserve">2022. </w:t>
      </w:r>
      <w:r>
        <w:rPr>
          <w:i/>
        </w:rPr>
        <w:t>Crossrail</w:t>
      </w:r>
      <w:r>
        <w:t xml:space="preserve">, </w:t>
      </w:r>
      <w:r>
        <w:rPr>
          <w:i/>
        </w:rPr>
        <w:t>AECOM</w:t>
      </w:r>
      <w:r>
        <w:t>. Available at: https://aecom.com/projects/crossrail/ [Accessed: 24 November 2022].</w:t>
      </w:r>
    </w:p>
    <w:p w14:paraId="0512F2A0" w14:textId="77777777" w:rsidR="002068BC" w:rsidRDefault="008C62B3">
      <w:pPr>
        <w:spacing w:before="240" w:after="240"/>
      </w:pPr>
      <w:r>
        <w:t xml:space="preserve">APM (2022) </w:t>
      </w:r>
      <w:r>
        <w:rPr>
          <w:i/>
        </w:rPr>
        <w:t>Crossrail: How prototyping led to Assured Outcomes and programme efficiencies</w:t>
      </w:r>
      <w:r>
        <w:t xml:space="preserve">, </w:t>
      </w:r>
      <w:r>
        <w:rPr>
          <w:i/>
        </w:rPr>
        <w:t>APM</w:t>
      </w:r>
      <w:r>
        <w:t>. Available at: https://www.apm.org.uk/crossrail-how-prot</w:t>
      </w:r>
      <w:r>
        <w:t>otyping-led-to-assured-outcomes-and-programme-efficiencies/#:~:text=On%20the%20%C2%A319bn%20Crossrail,development%2C%20procurement%20and%20construction%20phases. [Accessed: 24 November 2022].</w:t>
      </w:r>
    </w:p>
    <w:p w14:paraId="42F28FCF" w14:textId="77777777" w:rsidR="002068BC" w:rsidRDefault="008C62B3">
      <w:r>
        <w:t>BBC, 2022.</w:t>
      </w:r>
      <w:r>
        <w:rPr>
          <w:i/>
        </w:rPr>
        <w:t xml:space="preserve"> Elizabeth line: What is it and when will it fully ope</w:t>
      </w:r>
      <w:r>
        <w:rPr>
          <w:i/>
        </w:rPr>
        <w:t xml:space="preserve">n? </w:t>
      </w:r>
      <w:r>
        <w:t xml:space="preserve">[Online] Available at: https://www.bbc.com/news/uk-england-london-61505172 [Accessed 22 November 2022] </w:t>
      </w:r>
    </w:p>
    <w:p w14:paraId="6E83CE11" w14:textId="77777777" w:rsidR="002068BC" w:rsidRDefault="008C62B3">
      <w:pPr>
        <w:spacing w:before="240" w:after="240"/>
        <w:rPr>
          <w:color w:val="222222"/>
          <w:highlight w:val="white"/>
        </w:rPr>
      </w:pPr>
      <w:r>
        <w:rPr>
          <w:color w:val="222222"/>
          <w:highlight w:val="white"/>
        </w:rPr>
        <w:t xml:space="preserve">Burke, R., 2013. </w:t>
      </w:r>
      <w:r>
        <w:rPr>
          <w:i/>
          <w:color w:val="222222"/>
          <w:highlight w:val="white"/>
        </w:rPr>
        <w:t>Project management: planning and control techniques</w:t>
      </w:r>
      <w:r>
        <w:rPr>
          <w:color w:val="222222"/>
          <w:highlight w:val="white"/>
        </w:rPr>
        <w:t>. John Wiley &amp; Sons.</w:t>
      </w:r>
    </w:p>
    <w:p w14:paraId="51854228" w14:textId="77777777" w:rsidR="002068BC" w:rsidRDefault="008C62B3">
      <w:pPr>
        <w:spacing w:before="240" w:after="240"/>
      </w:pPr>
      <w:r>
        <w:t xml:space="preserve">Constructionproducts (2020) </w:t>
      </w:r>
      <w:r>
        <w:rPr>
          <w:i/>
        </w:rPr>
        <w:t>What causes delays and cost over</w:t>
      </w:r>
      <w:r>
        <w:rPr>
          <w:i/>
        </w:rPr>
        <w:t>runs on major infrastructure projects?</w:t>
      </w:r>
      <w:r>
        <w:t xml:space="preserve">, </w:t>
      </w:r>
      <w:r>
        <w:rPr>
          <w:i/>
        </w:rPr>
        <w:t>Construction Products Association</w:t>
      </w:r>
      <w:r>
        <w:t>. Available at: https://www.constructionproducts.org.uk/news-media-events/blog/2019/may/what-causes-delays-and-cost-overruns-on-major-infrastructure-projects/ [Accessed: 25 November 2</w:t>
      </w:r>
      <w:r>
        <w:t>022].</w:t>
      </w:r>
    </w:p>
    <w:p w14:paraId="0047EC99" w14:textId="77777777" w:rsidR="002068BC" w:rsidRDefault="008C62B3">
      <w:pPr>
        <w:spacing w:before="240" w:after="240"/>
      </w:pPr>
      <w:r>
        <w:t xml:space="preserve">Crossrail (2022c) </w:t>
      </w:r>
      <w:r>
        <w:rPr>
          <w:i/>
        </w:rPr>
        <w:t>Biodiversity</w:t>
      </w:r>
      <w:r>
        <w:t xml:space="preserve">, </w:t>
      </w:r>
      <w:r>
        <w:rPr>
          <w:i/>
        </w:rPr>
        <w:t>Crossrail</w:t>
      </w:r>
      <w:r>
        <w:t>. Available at: https://www.crossrail.co.uk/benefits/environmental-sustainability/wildlife-protection#:~:text=Over%208%20million%20tonnes%20of,and%20create%20a%20golf%20course. [Accessed: 27 November 2022].</w:t>
      </w:r>
    </w:p>
    <w:p w14:paraId="624C6AEB" w14:textId="77777777" w:rsidR="002068BC" w:rsidRDefault="008C62B3">
      <w:pPr>
        <w:spacing w:before="240" w:after="240"/>
      </w:pPr>
      <w:r>
        <w:t>Cr</w:t>
      </w:r>
      <w:r>
        <w:t xml:space="preserve">ossrail Learning Legacy (2022) </w:t>
      </w:r>
      <w:r>
        <w:rPr>
          <w:i/>
        </w:rPr>
        <w:t>Project and programme management</w:t>
      </w:r>
      <w:r>
        <w:t xml:space="preserve">, </w:t>
      </w:r>
      <w:r>
        <w:rPr>
          <w:i/>
        </w:rPr>
        <w:t>Crossrail Learning Legacy</w:t>
      </w:r>
      <w:r>
        <w:t>. Available at: https://learninglegacy.crossrail.co.uk/learning-legacy-themes/project-and-programme-management/ [Accessed: 26 November 2022].</w:t>
      </w:r>
    </w:p>
    <w:p w14:paraId="28AEA233" w14:textId="77777777" w:rsidR="002068BC" w:rsidRDefault="008C62B3">
      <w:pPr>
        <w:spacing w:before="240" w:after="240"/>
      </w:pPr>
      <w:r>
        <w:t xml:space="preserve">Crossrail, 2022a. </w:t>
      </w:r>
      <w:r>
        <w:rPr>
          <w:i/>
        </w:rPr>
        <w:t>The El</w:t>
      </w:r>
      <w:r>
        <w:rPr>
          <w:i/>
        </w:rPr>
        <w:t>izabeth line</w:t>
      </w:r>
      <w:r>
        <w:t xml:space="preserve">, </w:t>
      </w:r>
      <w:r>
        <w:rPr>
          <w:i/>
        </w:rPr>
        <w:t>Crossrail</w:t>
      </w:r>
      <w:r>
        <w:t>. Available at: https://www.crossrail.co.uk/theelizabethline/ [Accessed: 25 November 2022].</w:t>
      </w:r>
    </w:p>
    <w:p w14:paraId="4E9144CF" w14:textId="77777777" w:rsidR="002068BC" w:rsidRDefault="008C62B3">
      <w:pPr>
        <w:spacing w:before="240" w:after="240"/>
      </w:pPr>
      <w:r>
        <w:t xml:space="preserve">Crossrail, 2022b. </w:t>
      </w:r>
      <w:r>
        <w:rPr>
          <w:i/>
        </w:rPr>
        <w:t>Funding</w:t>
      </w:r>
      <w:r>
        <w:t xml:space="preserve">, </w:t>
      </w:r>
      <w:r>
        <w:rPr>
          <w:i/>
        </w:rPr>
        <w:t>Crossrail</w:t>
      </w:r>
      <w:r>
        <w:t>. Available at: https://www.crossrail.co.uk/about-us/funding [Accessed: 26 November 2022].</w:t>
      </w:r>
    </w:p>
    <w:p w14:paraId="3609A193" w14:textId="2E393BE1" w:rsidR="002068BC" w:rsidRDefault="008C62B3">
      <w:r>
        <w:t xml:space="preserve">Crossrail, 2022d. </w:t>
      </w:r>
      <w:r w:rsidR="00BA4533">
        <w:rPr>
          <w:i/>
        </w:rPr>
        <w:t xml:space="preserve">Inclusivity Policy </w:t>
      </w:r>
      <w:r>
        <w:t>[Online] Available at: https://www.crossrail.co.uk/about-us/inclusivity [Accessed 22 November 2022]</w:t>
      </w:r>
    </w:p>
    <w:p w14:paraId="2A885F38" w14:textId="4C051A9B" w:rsidR="002068BC" w:rsidRDefault="008C62B3">
      <w:r>
        <w:t xml:space="preserve">Crossrail, 2022e. </w:t>
      </w:r>
      <w:r w:rsidR="00BA4533">
        <w:rPr>
          <w:i/>
        </w:rPr>
        <w:t>Project And Programme Management</w:t>
      </w:r>
      <w:r>
        <w:rPr>
          <w:i/>
        </w:rPr>
        <w:t xml:space="preserve"> </w:t>
      </w:r>
      <w:r>
        <w:t>[Online] Available at: https://learninglegacy.crossrail.co.uk/learni</w:t>
      </w:r>
      <w:r>
        <w:t xml:space="preserve">ng-legacy-themes/project-and-programme-management/ [Accessed 22 November 2022] </w:t>
      </w:r>
    </w:p>
    <w:p w14:paraId="4CB9A083" w14:textId="63856184" w:rsidR="002068BC" w:rsidRDefault="008C62B3">
      <w:pPr>
        <w:spacing w:before="240" w:after="240"/>
        <w:rPr>
          <w:color w:val="222222"/>
          <w:highlight w:val="white"/>
        </w:rPr>
      </w:pPr>
      <w:r>
        <w:rPr>
          <w:color w:val="222222"/>
          <w:highlight w:val="white"/>
        </w:rPr>
        <w:t xml:space="preserve">Hedeman, B. and Seegers, R., 2009. </w:t>
      </w:r>
      <w:r w:rsidR="00BA4533">
        <w:rPr>
          <w:i/>
          <w:color w:val="222222"/>
          <w:highlight w:val="white"/>
        </w:rPr>
        <w:t>Prince2tm</w:t>
      </w:r>
      <w:r>
        <w:rPr>
          <w:i/>
          <w:color w:val="222222"/>
          <w:highlight w:val="white"/>
        </w:rPr>
        <w:t xml:space="preserve"> 2009 Edition-A Pocket Guide</w:t>
      </w:r>
      <w:r>
        <w:rPr>
          <w:color w:val="222222"/>
          <w:highlight w:val="white"/>
        </w:rPr>
        <w:t>. Van Haren.</w:t>
      </w:r>
    </w:p>
    <w:p w14:paraId="084FB223" w14:textId="77777777" w:rsidR="002068BC" w:rsidRDefault="008C62B3">
      <w:pPr>
        <w:spacing w:before="240" w:after="240"/>
        <w:rPr>
          <w:color w:val="222222"/>
          <w:highlight w:val="white"/>
        </w:rPr>
      </w:pPr>
      <w:r>
        <w:rPr>
          <w:color w:val="222222"/>
          <w:highlight w:val="white"/>
        </w:rPr>
        <w:t xml:space="preserve">Highsmith, J., 2009. </w:t>
      </w:r>
      <w:r>
        <w:rPr>
          <w:i/>
          <w:color w:val="222222"/>
          <w:highlight w:val="white"/>
        </w:rPr>
        <w:t>Agile project management: creating innovative products</w:t>
      </w:r>
      <w:r>
        <w:rPr>
          <w:color w:val="222222"/>
          <w:highlight w:val="white"/>
        </w:rPr>
        <w:t>. Pearson educat</w:t>
      </w:r>
      <w:r>
        <w:rPr>
          <w:color w:val="222222"/>
          <w:highlight w:val="white"/>
        </w:rPr>
        <w:t>ion.</w:t>
      </w:r>
    </w:p>
    <w:p w14:paraId="74719572" w14:textId="77777777" w:rsidR="002068BC" w:rsidRDefault="008C62B3">
      <w:r>
        <w:rPr>
          <w:color w:val="222222"/>
          <w:highlight w:val="white"/>
        </w:rPr>
        <w:t xml:space="preserve">Larsson, J. and Larsson, L., 2020. Integration, application and importance of collaboration in sustainable project management.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(2), p.585.</w:t>
      </w:r>
    </w:p>
    <w:p w14:paraId="447F211D" w14:textId="77777777" w:rsidR="002068BC" w:rsidRDefault="008C62B3">
      <w:pPr>
        <w:spacing w:before="240" w:after="240"/>
      </w:pPr>
      <w:r>
        <w:rPr>
          <w:color w:val="222222"/>
          <w:highlight w:val="white"/>
        </w:rPr>
        <w:t>Lobo, S. and Abid, A.F., 2020. The role of social media in intrastakeholder strategies to infl</w:t>
      </w:r>
      <w:r>
        <w:rPr>
          <w:color w:val="222222"/>
          <w:highlight w:val="white"/>
        </w:rPr>
        <w:t xml:space="preserve">uence decision making in a UK infrastructure megaproject: Crossrail 2. </w:t>
      </w:r>
      <w:r>
        <w:rPr>
          <w:i/>
        </w:rPr>
        <w:t>Project Management Journal</w:t>
      </w:r>
      <w:r>
        <w:t xml:space="preserve">, </w:t>
      </w:r>
      <w:r>
        <w:rPr>
          <w:i/>
        </w:rPr>
        <w:t>51</w:t>
      </w:r>
      <w:r>
        <w:t>(1), pp.96-119.</w:t>
      </w:r>
    </w:p>
    <w:p w14:paraId="5C26222F" w14:textId="77777777" w:rsidR="002068BC" w:rsidRDefault="008C62B3">
      <w:pPr>
        <w:spacing w:before="240" w:after="240"/>
      </w:pPr>
      <w:r>
        <w:rPr>
          <w:color w:val="222222"/>
          <w:highlight w:val="white"/>
        </w:rPr>
        <w:t>Muruganandan, K., Davies, A., Denicol, J. and Whyte, J., 2022. The dynamics of systems integration: Balancing stability and change on Londo</w:t>
      </w:r>
      <w:r>
        <w:rPr>
          <w:color w:val="222222"/>
          <w:highlight w:val="white"/>
        </w:rPr>
        <w:t xml:space="preserve">n's Crossrail project. </w:t>
      </w:r>
      <w:r>
        <w:rPr>
          <w:i/>
        </w:rPr>
        <w:t>International Journal of Project Management</w:t>
      </w:r>
      <w:r>
        <w:t xml:space="preserve">, </w:t>
      </w:r>
      <w:r>
        <w:rPr>
          <w:i/>
        </w:rPr>
        <w:t>40</w:t>
      </w:r>
      <w:r>
        <w:t>(6), pp.608-623.</w:t>
      </w:r>
    </w:p>
    <w:p w14:paraId="3DFA5E4F" w14:textId="77777777" w:rsidR="002068BC" w:rsidRDefault="008C62B3">
      <w:pPr>
        <w:spacing w:before="240" w:after="240"/>
      </w:pPr>
      <w:r>
        <w:t xml:space="preserve">Network Rail, 2022. </w:t>
      </w:r>
      <w:r>
        <w:rPr>
          <w:i/>
        </w:rPr>
        <w:t>Crossrail</w:t>
      </w:r>
      <w:r>
        <w:t xml:space="preserve">, </w:t>
      </w:r>
      <w:r>
        <w:rPr>
          <w:i/>
        </w:rPr>
        <w:t>Network Rail</w:t>
      </w:r>
      <w:r>
        <w:t xml:space="preserve">. Available at: </w:t>
      </w:r>
      <w:r>
        <w:t>https://www.networkrail.co.uk/running-the-railway/railway-upgrade-plan/key-projects/crossrail/ [Accessed: 26 November 2022].</w:t>
      </w:r>
    </w:p>
    <w:p w14:paraId="4900D27E" w14:textId="77777777" w:rsidR="002068BC" w:rsidRDefault="008C62B3">
      <w:pPr>
        <w:spacing w:before="240" w:after="240"/>
      </w:pPr>
      <w:r>
        <w:rPr>
          <w:color w:val="222222"/>
          <w:highlight w:val="white"/>
        </w:rPr>
        <w:t>Pacagnella Jr, A.C., da Silva, S.L., Pacífico, O., de Arruda Ignacio, P.S. and da Silva, A.L., 2019. Critical success factors for p</w:t>
      </w:r>
      <w:r>
        <w:rPr>
          <w:color w:val="222222"/>
          <w:highlight w:val="white"/>
        </w:rPr>
        <w:t xml:space="preserve">roject manufacturing environments. </w:t>
      </w:r>
      <w:r>
        <w:rPr>
          <w:i/>
        </w:rPr>
        <w:t>Project Management Journal</w:t>
      </w:r>
      <w:r>
        <w:t xml:space="preserve">, </w:t>
      </w:r>
      <w:r>
        <w:rPr>
          <w:i/>
        </w:rPr>
        <w:t>50</w:t>
      </w:r>
      <w:r>
        <w:t>(2), pp.243-258.</w:t>
      </w:r>
    </w:p>
    <w:p w14:paraId="3F9804CA" w14:textId="77777777" w:rsidR="002068BC" w:rsidRDefault="008C62B3">
      <w:pPr>
        <w:spacing w:before="240" w:after="240"/>
      </w:pPr>
      <w:r>
        <w:t xml:space="preserve">Parliament, 2022. </w:t>
      </w:r>
      <w:r>
        <w:rPr>
          <w:i/>
        </w:rPr>
        <w:t>Crossrail: A progress update - committee of public accounts</w:t>
      </w:r>
      <w:r>
        <w:t>. Available at: https://publications.parliament.uk/pa/cm5802/cmselect/cmpubacc/184/report.html [A</w:t>
      </w:r>
      <w:r>
        <w:t>ccessed: 25 November 2022].</w:t>
      </w:r>
    </w:p>
    <w:p w14:paraId="45FC8B21" w14:textId="77777777" w:rsidR="002068BC" w:rsidRDefault="008C62B3">
      <w:pPr>
        <w:spacing w:before="240" w:after="240"/>
      </w:pPr>
      <w:r>
        <w:t xml:space="preserve">The Engineer (2022) </w:t>
      </w:r>
      <w:r>
        <w:rPr>
          <w:i/>
        </w:rPr>
        <w:t>The engineering challenges of fitting out Crossrail's stations</w:t>
      </w:r>
      <w:r>
        <w:t xml:space="preserve">, </w:t>
      </w:r>
      <w:r>
        <w:rPr>
          <w:i/>
        </w:rPr>
        <w:t>The Engineer</w:t>
      </w:r>
      <w:r>
        <w:t>. Available at: https://www.theengineer.co.uk/content/in-depth/the-engineering-challenges-of-fitting-out-crossrail-s-stations/ [Acce</w:t>
      </w:r>
      <w:r>
        <w:t>ssed: 24 November 2022].</w:t>
      </w:r>
    </w:p>
    <w:p w14:paraId="0472515A" w14:textId="77777777" w:rsidR="002068BC" w:rsidRDefault="008C62B3">
      <w:pPr>
        <w:spacing w:before="240" w:after="240"/>
      </w:pPr>
      <w:r>
        <w:t xml:space="preserve">The Guardian, 2020. </w:t>
      </w:r>
      <w:r>
        <w:rPr>
          <w:i/>
        </w:rPr>
        <w:t>Crossrail delayed again until 2022 and another £450m over budget</w:t>
      </w:r>
      <w:r>
        <w:t xml:space="preserve">, </w:t>
      </w:r>
      <w:r>
        <w:rPr>
          <w:i/>
        </w:rPr>
        <w:t>The Guardian</w:t>
      </w:r>
      <w:r>
        <w:t>. Guardian News and Media. Available at: https://www.theguardian.com/uk-news/2020/aug/21/crossrail-delayed-again-until-2022-and-anoth</w:t>
      </w:r>
      <w:r>
        <w:t>er-450m-over-budget-tfl-covid-19 [Accessed: 27 November 2022].</w:t>
      </w:r>
    </w:p>
    <w:p w14:paraId="30A78D70" w14:textId="77777777" w:rsidR="002068BC" w:rsidRDefault="008C62B3">
      <w:pPr>
        <w:spacing w:before="240" w:after="240"/>
      </w:pPr>
      <w:r>
        <w:rPr>
          <w:color w:val="222222"/>
          <w:highlight w:val="white"/>
        </w:rPr>
        <w:t xml:space="preserve">Welde, M. and Bukkestein, I., 2022. Over time or on time? A study of delays in large government projects. </w:t>
      </w:r>
      <w:r>
        <w:rPr>
          <w:i/>
        </w:rPr>
        <w:t>Procedia Computer Science</w:t>
      </w:r>
      <w:r>
        <w:t xml:space="preserve">, </w:t>
      </w:r>
      <w:r>
        <w:rPr>
          <w:i/>
        </w:rPr>
        <w:t>196</w:t>
      </w:r>
      <w:r>
        <w:t>, pp.772-781.</w:t>
      </w:r>
    </w:p>
    <w:sectPr w:rsidR="002068BC" w:rsidSect="002068BC">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3A009" w14:textId="77777777" w:rsidR="007053AD" w:rsidRDefault="007053AD">
      <w:pPr>
        <w:spacing w:line="240" w:lineRule="auto"/>
      </w:pPr>
      <w:r>
        <w:separator/>
      </w:r>
    </w:p>
  </w:endnote>
  <w:endnote w:type="continuationSeparator" w:id="0">
    <w:p w14:paraId="735CCEB4" w14:textId="77777777" w:rsidR="007053AD" w:rsidRDefault="007053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7536506"/>
      <w:docPartObj>
        <w:docPartGallery w:val="Page Numbers (Bottom of Page)"/>
        <w:docPartUnique/>
      </w:docPartObj>
    </w:sdtPr>
    <w:sdtEndPr>
      <w:rPr>
        <w:noProof/>
        <w:sz w:val="20"/>
        <w:szCs w:val="20"/>
      </w:rPr>
    </w:sdtEndPr>
    <w:sdtContent>
      <w:p w14:paraId="03E314C5" w14:textId="5E6B0F56" w:rsidR="002068BC" w:rsidRPr="002068BC" w:rsidRDefault="008C62B3">
        <w:pPr>
          <w:pStyle w:val="ac"/>
          <w:jc w:val="right"/>
          <w:rPr>
            <w:sz w:val="20"/>
            <w:szCs w:val="20"/>
          </w:rPr>
        </w:pPr>
        <w:r w:rsidRPr="002068BC">
          <w:rPr>
            <w:sz w:val="20"/>
            <w:szCs w:val="20"/>
          </w:rPr>
          <w:fldChar w:fldCharType="begin"/>
        </w:r>
        <w:r w:rsidRPr="002068BC">
          <w:rPr>
            <w:sz w:val="20"/>
            <w:szCs w:val="20"/>
          </w:rPr>
          <w:instrText xml:space="preserve"> PAGE   \* MERGEFORMAT </w:instrText>
        </w:r>
        <w:r w:rsidRPr="002068BC">
          <w:rPr>
            <w:sz w:val="20"/>
            <w:szCs w:val="20"/>
          </w:rPr>
          <w:fldChar w:fldCharType="separate"/>
        </w:r>
        <w:r w:rsidRPr="002068BC">
          <w:rPr>
            <w:noProof/>
            <w:sz w:val="20"/>
            <w:szCs w:val="20"/>
          </w:rPr>
          <w:t>2</w:t>
        </w:r>
        <w:r w:rsidRPr="002068BC">
          <w:rPr>
            <w:noProof/>
            <w:sz w:val="20"/>
            <w:szCs w:val="20"/>
          </w:rPr>
          <w:fldChar w:fldCharType="end"/>
        </w:r>
      </w:p>
    </w:sdtContent>
  </w:sdt>
  <w:p w14:paraId="00B581D8" w14:textId="77777777" w:rsidR="002068BC" w:rsidRDefault="002068BC">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5FD88" w14:textId="77777777" w:rsidR="007053AD" w:rsidRDefault="007053AD">
      <w:pPr>
        <w:spacing w:line="240" w:lineRule="auto"/>
      </w:pPr>
      <w:r>
        <w:separator/>
      </w:r>
    </w:p>
  </w:footnote>
  <w:footnote w:type="continuationSeparator" w:id="0">
    <w:p w14:paraId="0D8E74BC" w14:textId="77777777" w:rsidR="007053AD" w:rsidRDefault="007053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FEC"/>
    <w:rsid w:val="00143429"/>
    <w:rsid w:val="002068BC"/>
    <w:rsid w:val="00266FEC"/>
    <w:rsid w:val="00401D18"/>
    <w:rsid w:val="006F1BF8"/>
    <w:rsid w:val="007053AD"/>
    <w:rsid w:val="007B2E88"/>
    <w:rsid w:val="008D4BE6"/>
    <w:rsid w:val="00A81BF1"/>
    <w:rsid w:val="00BA4533"/>
    <w:rsid w:val="00D134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004B0"/>
  <w15:docId w15:val="{ABDD07D5-02C4-465D-ADC3-13E762D67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outlineLvl w:val="0"/>
    </w:pPr>
    <w:rPr>
      <w:b/>
      <w:sz w:val="28"/>
      <w:szCs w:val="28"/>
    </w:rPr>
  </w:style>
  <w:style w:type="paragraph" w:styleId="2">
    <w:name w:val="heading 2"/>
    <w:basedOn w:val="a"/>
    <w:next w:val="a"/>
    <w:uiPriority w:val="9"/>
    <w:unhideWhenUsed/>
    <w:qFormat/>
    <w:pPr>
      <w:keepNext/>
      <w:keepLines/>
      <w:outlineLvl w:val="1"/>
    </w:pPr>
    <w:rPr>
      <w:b/>
      <w:sz w:val="26"/>
      <w:szCs w:val="26"/>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rPr>
  </w:style>
  <w:style w:type="paragraph" w:styleId="5">
    <w:name w:val="heading 5"/>
    <w:basedOn w:val="a"/>
    <w:next w:val="a"/>
    <w:uiPriority w:val="9"/>
    <w:semiHidden/>
    <w:unhideWhenUsed/>
    <w:qFormat/>
    <w:pPr>
      <w:keepNext/>
      <w:keepLines/>
      <w:spacing w:before="240" w:after="80"/>
      <w:outlineLvl w:val="4"/>
    </w:pPr>
    <w:rPr>
      <w:color w:val="666666"/>
      <w:sz w:val="22"/>
      <w:szCs w:val="22"/>
    </w:rPr>
  </w:style>
  <w:style w:type="paragraph" w:styleId="6">
    <w:name w:val="heading 6"/>
    <w:basedOn w:val="a"/>
    <w:next w:val="a"/>
    <w:uiPriority w:val="9"/>
    <w:semiHidden/>
    <w:unhideWhenUsed/>
    <w:qFormat/>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rFonts w:ascii="Arial" w:eastAsia="Arial" w:hAnsi="Arial" w:cs="Arial"/>
      <w:color w:val="666666"/>
      <w:sz w:val="30"/>
      <w:szCs w:val="30"/>
    </w:rPr>
  </w:style>
  <w:style w:type="paragraph" w:styleId="a5">
    <w:name w:val="annotation text"/>
    <w:basedOn w:val="a"/>
    <w:link w:val="a6"/>
    <w:uiPriority w:val="99"/>
    <w:semiHidden/>
    <w:unhideWhenUsed/>
    <w:pPr>
      <w:spacing w:line="240" w:lineRule="auto"/>
    </w:pPr>
    <w:rPr>
      <w:sz w:val="20"/>
      <w:szCs w:val="20"/>
    </w:rPr>
  </w:style>
  <w:style w:type="character" w:customStyle="1" w:styleId="a6">
    <w:name w:val="Текст примечания Знак"/>
    <w:basedOn w:val="a0"/>
    <w:link w:val="a5"/>
    <w:uiPriority w:val="99"/>
    <w:semiHidden/>
    <w:rPr>
      <w:sz w:val="20"/>
      <w:szCs w:val="20"/>
    </w:rPr>
  </w:style>
  <w:style w:type="character" w:styleId="a7">
    <w:name w:val="annotation reference"/>
    <w:basedOn w:val="a0"/>
    <w:uiPriority w:val="99"/>
    <w:semiHidden/>
    <w:unhideWhenUsed/>
    <w:rPr>
      <w:sz w:val="16"/>
      <w:szCs w:val="16"/>
    </w:rPr>
  </w:style>
  <w:style w:type="paragraph" w:styleId="a8">
    <w:name w:val="TOC Heading"/>
    <w:basedOn w:val="1"/>
    <w:next w:val="a"/>
    <w:uiPriority w:val="39"/>
    <w:unhideWhenUsed/>
    <w:qFormat/>
    <w:rsid w:val="002068B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2068BC"/>
    <w:pPr>
      <w:spacing w:after="100"/>
    </w:pPr>
  </w:style>
  <w:style w:type="paragraph" w:styleId="20">
    <w:name w:val="toc 2"/>
    <w:basedOn w:val="a"/>
    <w:next w:val="a"/>
    <w:autoRedefine/>
    <w:uiPriority w:val="39"/>
    <w:unhideWhenUsed/>
    <w:rsid w:val="002068BC"/>
    <w:pPr>
      <w:spacing w:after="100"/>
      <w:ind w:left="240"/>
    </w:pPr>
  </w:style>
  <w:style w:type="character" w:styleId="a9">
    <w:name w:val="Hyperlink"/>
    <w:basedOn w:val="a0"/>
    <w:uiPriority w:val="99"/>
    <w:unhideWhenUsed/>
    <w:rsid w:val="002068BC"/>
    <w:rPr>
      <w:color w:val="0000FF" w:themeColor="hyperlink"/>
      <w:u w:val="single"/>
    </w:rPr>
  </w:style>
  <w:style w:type="paragraph" w:styleId="aa">
    <w:name w:val="header"/>
    <w:basedOn w:val="a"/>
    <w:link w:val="ab"/>
    <w:uiPriority w:val="99"/>
    <w:unhideWhenUsed/>
    <w:rsid w:val="002068BC"/>
    <w:pPr>
      <w:tabs>
        <w:tab w:val="center" w:pos="4513"/>
        <w:tab w:val="right" w:pos="9026"/>
      </w:tabs>
      <w:spacing w:line="240" w:lineRule="auto"/>
    </w:pPr>
  </w:style>
  <w:style w:type="character" w:customStyle="1" w:styleId="ab">
    <w:name w:val="Верхний колонтитул Знак"/>
    <w:basedOn w:val="a0"/>
    <w:link w:val="aa"/>
    <w:uiPriority w:val="99"/>
    <w:rsid w:val="002068BC"/>
  </w:style>
  <w:style w:type="paragraph" w:styleId="ac">
    <w:name w:val="footer"/>
    <w:basedOn w:val="a"/>
    <w:link w:val="ad"/>
    <w:uiPriority w:val="99"/>
    <w:unhideWhenUsed/>
    <w:rsid w:val="002068BC"/>
    <w:pPr>
      <w:tabs>
        <w:tab w:val="center" w:pos="4513"/>
        <w:tab w:val="right" w:pos="9026"/>
      </w:tabs>
      <w:spacing w:line="240" w:lineRule="auto"/>
    </w:pPr>
  </w:style>
  <w:style w:type="character" w:customStyle="1" w:styleId="ad">
    <w:name w:val="Нижний колонтитул Знак"/>
    <w:basedOn w:val="a0"/>
    <w:link w:val="ac"/>
    <w:uiPriority w:val="99"/>
    <w:rsid w:val="002068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46A2BF-8E1C-4535-803D-6875A9601B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3183</Words>
  <Characters>18145</Characters>
  <Application>Microsoft Office Word</Application>
  <DocSecurity>0</DocSecurity>
  <Lines>151</Lines>
  <Paragraphs>42</Paragraphs>
  <ScaleCrop>false</ScaleCrop>
  <Company/>
  <LinksUpToDate>false</LinksUpToDate>
  <CharactersWithSpaces>21286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447405189374</cp:lastModifiedBy>
  <cp:revision>2</cp:revision>
  <dcterms:created xsi:type="dcterms:W3CDTF">2022-12-07T19:13:00Z</dcterms:created>
  <dcterms:modified xsi:type="dcterms:W3CDTF">2022-12-07T19:13:00Z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dbbd864c3762ba676518e1e881e46891277abe0eaa9cee6a8008e163737f2662</vt:lpwstr>
  </property>
</Properties>
</file>