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FDF4B5" w14:textId="77777777" w:rsidR="0038532F" w:rsidRPr="00FA4674" w:rsidRDefault="0038532F" w:rsidP="007F26BF">
      <w:pPr>
        <w:pStyle w:val="NoSpacing"/>
      </w:pPr>
      <w:r>
        <w:t xml:space="preserve">Damian Golina : </w:t>
      </w:r>
      <w:r>
        <w:rPr>
          <w:rFonts w:ascii="Source Sans Pro" w:eastAsia="Times New Roman" w:hAnsi="Source Sans Pro"/>
          <w:color w:val="242130"/>
          <w:sz w:val="21"/>
          <w:szCs w:val="21"/>
          <w:shd w:val="clear" w:color="auto" w:fill="FFFFFF"/>
        </w:rPr>
        <w:t>2210589</w:t>
      </w:r>
    </w:p>
    <w:p w14:paraId="2B512B7C" w14:textId="77777777" w:rsidR="0038532F" w:rsidRDefault="0038532F" w:rsidP="00B440B7">
      <w:pPr>
        <w:pStyle w:val="NoSpacing"/>
        <w:divId w:val="1865248439"/>
      </w:pPr>
    </w:p>
    <w:p w14:paraId="487EFD31" w14:textId="7B87FF11" w:rsidR="00877344" w:rsidRDefault="00877344" w:rsidP="00B440B7">
      <w:pPr>
        <w:pStyle w:val="NoSpacing"/>
        <w:divId w:val="1865248439"/>
      </w:pPr>
      <w:r w:rsidRPr="00FA4674">
        <w:t>Title: Exploring the Relationship Between Mens Rea and Criminal Liability: A Critical Analysis</w:t>
      </w:r>
    </w:p>
    <w:p w14:paraId="634DF5A7" w14:textId="77777777" w:rsidR="00174DEB" w:rsidRDefault="00174DEB" w:rsidP="00B440B7">
      <w:pPr>
        <w:pStyle w:val="NoSpacing"/>
        <w:divId w:val="1865248439"/>
      </w:pPr>
    </w:p>
    <w:p w14:paraId="4AC41E89" w14:textId="62BC0D0F" w:rsidR="00877344" w:rsidRPr="00FA4674" w:rsidRDefault="00877344" w:rsidP="00B440B7">
      <w:pPr>
        <w:pStyle w:val="NoSpacing"/>
        <w:divId w:val="1865248439"/>
      </w:pPr>
      <w:r w:rsidRPr="00FA4674">
        <w:t>Introduction:</w:t>
      </w:r>
    </w:p>
    <w:p w14:paraId="60D45086" w14:textId="77777777" w:rsidR="00877344" w:rsidRPr="00FA4674" w:rsidRDefault="00877344" w:rsidP="00B440B7">
      <w:pPr>
        <w:pStyle w:val="NoSpacing"/>
        <w:divId w:val="1865248439"/>
      </w:pPr>
      <w:r w:rsidRPr="00FA4674">
        <w:t xml:space="preserve">Criminal liability, often intertwined with the concept of Mens Rea, holds significant weight in legal discourse. This essay aims to delve into the nuanced relationship between Mens Rea and criminal liability, examining the complexities and implications inherent in their interplay. By </w:t>
      </w:r>
      <w:proofErr w:type="spellStart"/>
      <w:r w:rsidRPr="00FA4674">
        <w:t>analyzing</w:t>
      </w:r>
      <w:proofErr w:type="spellEnd"/>
      <w:r w:rsidRPr="00FA4674">
        <w:t xml:space="preserve"> relevant case law, particularly the landmark case of </w:t>
      </w:r>
      <w:proofErr w:type="spellStart"/>
      <w:r w:rsidRPr="00FA4674">
        <w:t>Woolin</w:t>
      </w:r>
      <w:proofErr w:type="spellEnd"/>
      <w:r w:rsidRPr="00FA4674">
        <w:t xml:space="preserve"> (1998), this essay seeks to elucidate the varying perspectives and arguments surrounding this issue.</w:t>
      </w:r>
    </w:p>
    <w:p w14:paraId="2069F64D" w14:textId="77777777" w:rsidR="0038532F" w:rsidRDefault="0038532F" w:rsidP="00B440B7">
      <w:pPr>
        <w:pStyle w:val="NoSpacing"/>
        <w:divId w:val="1865248439"/>
      </w:pPr>
    </w:p>
    <w:p w14:paraId="4C220DF4" w14:textId="23B2E0E2" w:rsidR="00877344" w:rsidRPr="00FA4674" w:rsidRDefault="00877344" w:rsidP="00B440B7">
      <w:pPr>
        <w:pStyle w:val="NoSpacing"/>
        <w:divId w:val="1865248439"/>
      </w:pPr>
      <w:r w:rsidRPr="00FA4674">
        <w:t>Main Body:</w:t>
      </w:r>
    </w:p>
    <w:p w14:paraId="517E2B59" w14:textId="77777777" w:rsidR="00877344" w:rsidRPr="00FA4674" w:rsidRDefault="00877344" w:rsidP="00B440B7">
      <w:pPr>
        <w:pStyle w:val="NoSpacing"/>
        <w:divId w:val="1865248439"/>
      </w:pPr>
      <w:r w:rsidRPr="00FA4674">
        <w:t xml:space="preserve">The foundation of criminal liability rests upon the principle of Mens Rea, which translates to "guilty mind" in Latin. It refers to the mental state or intention of the defendant at the time of committing the criminal act. Proponents of a strict interpretation of Mens Rea argue that it serves as a crucial element in ensuring justice and fairness within the legal system. They contend that without proof of Mens Rea, imposing criminal liability would be unjust, as it fails to account for the culpability of the individual. This perspective </w:t>
      </w:r>
      <w:proofErr w:type="spellStart"/>
      <w:r w:rsidRPr="00FA4674">
        <w:t>emphasizes</w:t>
      </w:r>
      <w:proofErr w:type="spellEnd"/>
      <w:r w:rsidRPr="00FA4674">
        <w:t xml:space="preserve"> the importance of establishing the defendant's subjective state of mind to determine their moral blameworthiness.</w:t>
      </w:r>
    </w:p>
    <w:p w14:paraId="7051C9C6" w14:textId="77777777" w:rsidR="00877344" w:rsidRPr="00FA4674" w:rsidRDefault="00877344" w:rsidP="00B440B7">
      <w:pPr>
        <w:pStyle w:val="NoSpacing"/>
        <w:divId w:val="1865248439"/>
      </w:pPr>
      <w:r w:rsidRPr="00FA4674">
        <w:t xml:space="preserve">Conversely, critics of a strict Mens Rea requirement advocate for a more flexible approach, </w:t>
      </w:r>
      <w:proofErr w:type="spellStart"/>
      <w:r w:rsidRPr="00FA4674">
        <w:t>emphasizing</w:t>
      </w:r>
      <w:proofErr w:type="spellEnd"/>
      <w:r w:rsidRPr="00FA4674">
        <w:t xml:space="preserve"> the importance of considering the circumstances and context surrounding the </w:t>
      </w:r>
      <w:proofErr w:type="spellStart"/>
      <w:r w:rsidRPr="00FA4674">
        <w:t>offense</w:t>
      </w:r>
      <w:proofErr w:type="spellEnd"/>
      <w:r w:rsidRPr="00FA4674">
        <w:t xml:space="preserve">. They argue that in certain cases, such as strict liability </w:t>
      </w:r>
      <w:proofErr w:type="spellStart"/>
      <w:r w:rsidRPr="00FA4674">
        <w:t>offenses</w:t>
      </w:r>
      <w:proofErr w:type="spellEnd"/>
      <w:r w:rsidRPr="00FA4674">
        <w:t xml:space="preserve"> or regulatory </w:t>
      </w:r>
      <w:proofErr w:type="spellStart"/>
      <w:r w:rsidRPr="00FA4674">
        <w:t>offenses</w:t>
      </w:r>
      <w:proofErr w:type="spellEnd"/>
      <w:r w:rsidRPr="00FA4674">
        <w:t>, adherence to a rigid Mens Rea standard may hinder the prosecution of individuals who pose a threat to public safety or welfare. This perspective highlights the need to balance individual accountability with broader societal interests and concerns.</w:t>
      </w:r>
    </w:p>
    <w:p w14:paraId="0CB6A5F9" w14:textId="77777777" w:rsidR="00877344" w:rsidRPr="00FA4674" w:rsidRDefault="00877344" w:rsidP="00B440B7">
      <w:pPr>
        <w:pStyle w:val="NoSpacing"/>
        <w:divId w:val="1865248439"/>
      </w:pPr>
      <w:r w:rsidRPr="00FA4674">
        <w:t xml:space="preserve">The case of </w:t>
      </w:r>
      <w:proofErr w:type="spellStart"/>
      <w:r w:rsidRPr="00FA4674">
        <w:t>Woolin</w:t>
      </w:r>
      <w:proofErr w:type="spellEnd"/>
      <w:r w:rsidRPr="00FA4674">
        <w:t xml:space="preserve"> (1998) exemplifies the ongoing debate surrounding Mens Rea and criminal liability. In this case, the defendant threw his three-month-old son against a wall, resulting in the infant's death. The central issue revolved around the interpretation of the term "intention" in the context of Mens Rea. The House of Lords held that the jury could infer intention if they were satisfied that death or serious bodily harm was a virtual certainty of the defendant's actions and that the defendant appreciated this fact.</w:t>
      </w:r>
    </w:p>
    <w:p w14:paraId="5609EA4B" w14:textId="77777777" w:rsidR="00877344" w:rsidRPr="00FA4674" w:rsidRDefault="00877344" w:rsidP="00B440B7">
      <w:pPr>
        <w:pStyle w:val="NoSpacing"/>
        <w:divId w:val="1865248439"/>
      </w:pPr>
      <w:r w:rsidRPr="00FA4674">
        <w:t xml:space="preserve">This decision sparked controversy, with critics arguing that it blurred the line between intention and recklessness, thereby expanding the scope of liability in criminal law. However, supporters of the ruling viewed it as a necessary clarification, ensuring that individuals who engage in highly dangerous conduct are held </w:t>
      </w:r>
      <w:r w:rsidRPr="00FA4674">
        <w:lastRenderedPageBreak/>
        <w:t xml:space="preserve">accountable for the foreseeable consequences of their actions. The </w:t>
      </w:r>
      <w:proofErr w:type="spellStart"/>
      <w:r w:rsidRPr="00FA4674">
        <w:t>Woolin</w:t>
      </w:r>
      <w:proofErr w:type="spellEnd"/>
      <w:r w:rsidRPr="00FA4674">
        <w:t xml:space="preserve"> case highlights the challenges inherent in defining and applying Mens Rea in cases involving serious harm or loss of life.</w:t>
      </w:r>
    </w:p>
    <w:p w14:paraId="556E18DC" w14:textId="77777777" w:rsidR="00877344" w:rsidRPr="00FA4674" w:rsidRDefault="00877344" w:rsidP="00B440B7">
      <w:pPr>
        <w:pStyle w:val="NoSpacing"/>
        <w:divId w:val="1865248439"/>
      </w:pPr>
      <w:r w:rsidRPr="00FA4674">
        <w:t xml:space="preserve">In </w:t>
      </w:r>
      <w:proofErr w:type="spellStart"/>
      <w:r w:rsidRPr="00FA4674">
        <w:t>analyzing</w:t>
      </w:r>
      <w:proofErr w:type="spellEnd"/>
      <w:r w:rsidRPr="00FA4674">
        <w:t xml:space="preserve"> the </w:t>
      </w:r>
      <w:proofErr w:type="spellStart"/>
      <w:r w:rsidRPr="00FA4674">
        <w:t>Woolin</w:t>
      </w:r>
      <w:proofErr w:type="spellEnd"/>
      <w:r w:rsidRPr="00FA4674">
        <w:t xml:space="preserve"> case, it becomes evident that the interpretation of Mens Rea is not a static concept but rather one that evolves in response to societal norms and legal precedent. While some may view the decision as a departure from traditional principles of criminal liability, others see it as a pragmatic approach to addressing complex moral and ethical dilemmas. The evolving nature of Mens Rea reflects society's changing attitudes towards issues of accountability, culpability, and justice.</w:t>
      </w:r>
    </w:p>
    <w:p w14:paraId="28F03F23" w14:textId="77777777" w:rsidR="0038532F" w:rsidRDefault="0038532F" w:rsidP="00B440B7">
      <w:pPr>
        <w:pStyle w:val="NoSpacing"/>
        <w:divId w:val="1865248439"/>
      </w:pPr>
    </w:p>
    <w:p w14:paraId="7BBC930C" w14:textId="57671728" w:rsidR="00877344" w:rsidRPr="00FA4674" w:rsidRDefault="00877344" w:rsidP="00B440B7">
      <w:pPr>
        <w:pStyle w:val="NoSpacing"/>
        <w:divId w:val="1865248439"/>
      </w:pPr>
      <w:r w:rsidRPr="00FA4674">
        <w:t>Conclusion:</w:t>
      </w:r>
    </w:p>
    <w:p w14:paraId="0C623F7B" w14:textId="77777777" w:rsidR="00877344" w:rsidRPr="00FA4674" w:rsidRDefault="00877344" w:rsidP="00B440B7">
      <w:pPr>
        <w:pStyle w:val="NoSpacing"/>
        <w:divId w:val="1865248439"/>
      </w:pPr>
      <w:r w:rsidRPr="00FA4674">
        <w:t xml:space="preserve">In conclusion, the relationship between Mens Rea and criminal liability is multifaceted, embodying a delicate balance between accountability and justice. Through the examination of case law, particularly the </w:t>
      </w:r>
      <w:proofErr w:type="spellStart"/>
      <w:r w:rsidRPr="00FA4674">
        <w:t>Woolin</w:t>
      </w:r>
      <w:proofErr w:type="spellEnd"/>
      <w:r w:rsidRPr="00FA4674">
        <w:t xml:space="preserve"> case, it is apparent that the interpretation of Mens Rea is subject to interpretation and debate. While adherence to a strict Mens Rea standard may uphold principles of fairness and individual culpability, there is also a recognition of the need for flexibility in certain circumstances. Ultimately, the evolution of legal doctrine surrounding Mens Rea reflects society's ongoing efforts to reconcile competing interests and values within the realm of criminal law.</w:t>
      </w:r>
    </w:p>
    <w:p w14:paraId="3029F86C" w14:textId="77777777" w:rsidR="00877344" w:rsidRPr="00877344" w:rsidRDefault="00877344" w:rsidP="00B440B7">
      <w:pPr>
        <w:pStyle w:val="NoSpacing"/>
        <w:divId w:val="1865248439"/>
      </w:pPr>
    </w:p>
    <w:p w14:paraId="552C1D8D" w14:textId="77777777" w:rsidR="00877344" w:rsidRPr="00FA4674" w:rsidRDefault="00877344" w:rsidP="00B440B7">
      <w:pPr>
        <w:pStyle w:val="NoSpacing"/>
        <w:divId w:val="461122696"/>
        <w:rPr>
          <w:rFonts w:eastAsia="Times New Roman"/>
        </w:rPr>
      </w:pPr>
      <w:proofErr w:type="spellStart"/>
      <w:r w:rsidRPr="00FA4674">
        <w:rPr>
          <w:rFonts w:eastAsia="Times New Roman"/>
        </w:rPr>
        <w:t>1.Ashworth</w:t>
      </w:r>
      <w:proofErr w:type="spellEnd"/>
      <w:r w:rsidRPr="00FA4674">
        <w:rPr>
          <w:rFonts w:eastAsia="Times New Roman"/>
        </w:rPr>
        <w:t>, A. (2006). Principles of criminal law. Oxford University Press.</w:t>
      </w:r>
    </w:p>
    <w:p w14:paraId="18768DA8" w14:textId="77777777" w:rsidR="00877344" w:rsidRPr="00877344" w:rsidRDefault="00877344" w:rsidP="00B440B7">
      <w:pPr>
        <w:pStyle w:val="NoSpacing"/>
        <w:divId w:val="461122696"/>
        <w:rPr>
          <w:rFonts w:eastAsia="Times New Roman"/>
        </w:rPr>
      </w:pPr>
    </w:p>
    <w:p w14:paraId="17251AEF" w14:textId="77777777" w:rsidR="00877344" w:rsidRPr="00FA4674" w:rsidRDefault="00877344" w:rsidP="00B440B7">
      <w:pPr>
        <w:pStyle w:val="NoSpacing"/>
        <w:divId w:val="461122696"/>
        <w:rPr>
          <w:rFonts w:eastAsia="Times New Roman"/>
        </w:rPr>
      </w:pPr>
      <w:r w:rsidRPr="00FA4674">
        <w:rPr>
          <w:rFonts w:eastAsia="Times New Roman"/>
        </w:rPr>
        <w:t xml:space="preserve">2.Beale, S. (2018). Mens </w:t>
      </w:r>
      <w:proofErr w:type="spellStart"/>
      <w:r w:rsidRPr="00FA4674">
        <w:rPr>
          <w:rFonts w:eastAsia="Times New Roman"/>
        </w:rPr>
        <w:t>rea</w:t>
      </w:r>
      <w:proofErr w:type="spellEnd"/>
      <w:r w:rsidRPr="00FA4674">
        <w:rPr>
          <w:rFonts w:eastAsia="Times New Roman"/>
        </w:rPr>
        <w:t>: A consideration of cognitive mechanisms. Criminal Law Review, 1, 20-35.</w:t>
      </w:r>
    </w:p>
    <w:p w14:paraId="0586FF72" w14:textId="77777777" w:rsidR="00877344" w:rsidRPr="00877344" w:rsidRDefault="00877344" w:rsidP="00B440B7">
      <w:pPr>
        <w:pStyle w:val="NoSpacing"/>
        <w:divId w:val="461122696"/>
        <w:rPr>
          <w:rFonts w:eastAsia="Times New Roman"/>
        </w:rPr>
      </w:pPr>
    </w:p>
    <w:p w14:paraId="270269DE" w14:textId="77777777" w:rsidR="00877344" w:rsidRPr="00FA4674" w:rsidRDefault="00877344" w:rsidP="00B440B7">
      <w:pPr>
        <w:pStyle w:val="NoSpacing"/>
        <w:divId w:val="461122696"/>
        <w:rPr>
          <w:rFonts w:eastAsia="Times New Roman"/>
        </w:rPr>
      </w:pPr>
      <w:r w:rsidRPr="00FA4674">
        <w:rPr>
          <w:rFonts w:eastAsia="Times New Roman"/>
        </w:rPr>
        <w:t>3. Gardner, J. (2008). Offences and defences: Selected essays in the philosophy of criminal law. Oxford University Press.</w:t>
      </w:r>
    </w:p>
    <w:p w14:paraId="22A43EFE" w14:textId="77777777" w:rsidR="00877344" w:rsidRPr="00877344" w:rsidRDefault="00877344" w:rsidP="00B440B7">
      <w:pPr>
        <w:pStyle w:val="NoSpacing"/>
        <w:divId w:val="461122696"/>
        <w:rPr>
          <w:rFonts w:eastAsia="Times New Roman"/>
        </w:rPr>
      </w:pPr>
    </w:p>
    <w:p w14:paraId="12116BD8" w14:textId="77777777" w:rsidR="00877344" w:rsidRPr="00FA4674" w:rsidRDefault="00877344" w:rsidP="00B440B7">
      <w:pPr>
        <w:pStyle w:val="NoSpacing"/>
        <w:divId w:val="461122696"/>
        <w:rPr>
          <w:rFonts w:eastAsia="Times New Roman"/>
        </w:rPr>
      </w:pPr>
      <w:r w:rsidRPr="00FA4674">
        <w:rPr>
          <w:rFonts w:eastAsia="Times New Roman"/>
        </w:rPr>
        <w:t>4.Hart, H. L. A. (1968). Punishment and responsibility: Essays in the philosophy of law. Oxford University Press.</w:t>
      </w:r>
    </w:p>
    <w:p w14:paraId="41630194" w14:textId="77777777" w:rsidR="00877344" w:rsidRPr="00877344" w:rsidRDefault="00877344" w:rsidP="00B440B7">
      <w:pPr>
        <w:pStyle w:val="NoSpacing"/>
        <w:divId w:val="461122696"/>
        <w:rPr>
          <w:rFonts w:eastAsia="Times New Roman"/>
        </w:rPr>
      </w:pPr>
    </w:p>
    <w:p w14:paraId="0E4068E1" w14:textId="77777777" w:rsidR="00877344" w:rsidRPr="00FA4674" w:rsidRDefault="00877344" w:rsidP="00B440B7">
      <w:pPr>
        <w:pStyle w:val="NoSpacing"/>
        <w:divId w:val="461122696"/>
        <w:rPr>
          <w:rFonts w:eastAsia="Times New Roman"/>
        </w:rPr>
      </w:pPr>
      <w:r w:rsidRPr="00FA4674">
        <w:rPr>
          <w:rFonts w:eastAsia="Times New Roman"/>
        </w:rPr>
        <w:t>5. Herring, J. (2018). Criminal law: Text, cases, and materials. Oxford University Press.</w:t>
      </w:r>
    </w:p>
    <w:p w14:paraId="5804389C" w14:textId="77777777" w:rsidR="00877344" w:rsidRPr="00877344" w:rsidRDefault="00877344" w:rsidP="00B440B7">
      <w:pPr>
        <w:pStyle w:val="NoSpacing"/>
        <w:divId w:val="461122696"/>
        <w:rPr>
          <w:rFonts w:eastAsia="Times New Roman"/>
        </w:rPr>
      </w:pPr>
    </w:p>
    <w:p w14:paraId="34FC8D58" w14:textId="77777777" w:rsidR="00877344" w:rsidRPr="00FA4674" w:rsidRDefault="00877344" w:rsidP="00B440B7">
      <w:pPr>
        <w:pStyle w:val="NoSpacing"/>
        <w:divId w:val="461122696"/>
        <w:rPr>
          <w:rFonts w:eastAsia="Times New Roman"/>
        </w:rPr>
      </w:pPr>
      <w:r w:rsidRPr="00FA4674">
        <w:rPr>
          <w:rFonts w:eastAsia="Times New Roman"/>
        </w:rPr>
        <w:t xml:space="preserve">6.Kessler, L., &amp; </w:t>
      </w:r>
      <w:proofErr w:type="spellStart"/>
      <w:r w:rsidRPr="00FA4674">
        <w:rPr>
          <w:rFonts w:eastAsia="Times New Roman"/>
        </w:rPr>
        <w:t>Gurr</w:t>
      </w:r>
      <w:proofErr w:type="spellEnd"/>
      <w:r w:rsidRPr="00FA4674">
        <w:rPr>
          <w:rFonts w:eastAsia="Times New Roman"/>
        </w:rPr>
        <w:t xml:space="preserve">, N. (2020). Mens </w:t>
      </w:r>
      <w:proofErr w:type="spellStart"/>
      <w:r w:rsidRPr="00FA4674">
        <w:rPr>
          <w:rFonts w:eastAsia="Times New Roman"/>
        </w:rPr>
        <w:t>rea</w:t>
      </w:r>
      <w:proofErr w:type="spellEnd"/>
      <w:r w:rsidRPr="00FA4674">
        <w:rPr>
          <w:rFonts w:eastAsia="Times New Roman"/>
        </w:rPr>
        <w:t xml:space="preserve"> in the age of artificial intelligence. Stanford Law Review, 72(4), 789-812.</w:t>
      </w:r>
    </w:p>
    <w:p w14:paraId="57C7262F" w14:textId="77777777" w:rsidR="00877344" w:rsidRPr="00877344" w:rsidRDefault="00877344" w:rsidP="00B440B7">
      <w:pPr>
        <w:pStyle w:val="NoSpacing"/>
        <w:divId w:val="461122696"/>
        <w:rPr>
          <w:rFonts w:eastAsia="Times New Roman"/>
        </w:rPr>
      </w:pPr>
    </w:p>
    <w:p w14:paraId="0E10C247" w14:textId="77777777" w:rsidR="00877344" w:rsidRPr="00FA4674" w:rsidRDefault="00877344" w:rsidP="00B440B7">
      <w:pPr>
        <w:pStyle w:val="NoSpacing"/>
        <w:divId w:val="461122696"/>
        <w:rPr>
          <w:rFonts w:eastAsia="Times New Roman"/>
        </w:rPr>
      </w:pPr>
      <w:r w:rsidRPr="00FA4674">
        <w:rPr>
          <w:rFonts w:eastAsia="Times New Roman"/>
        </w:rPr>
        <w:lastRenderedPageBreak/>
        <w:t>7..</w:t>
      </w:r>
      <w:proofErr w:type="spellStart"/>
      <w:r w:rsidRPr="00FA4674">
        <w:rPr>
          <w:rFonts w:eastAsia="Times New Roman"/>
        </w:rPr>
        <w:t>Simester</w:t>
      </w:r>
      <w:proofErr w:type="spellEnd"/>
      <w:r w:rsidRPr="00FA4674">
        <w:rPr>
          <w:rFonts w:eastAsia="Times New Roman"/>
        </w:rPr>
        <w:t>, A., &amp; Sullivan, G. (2007). Criminal law: Theory and doctrine. Hart Publishing.</w:t>
      </w:r>
    </w:p>
    <w:p w14:paraId="33F9D22B" w14:textId="77777777" w:rsidR="00877344" w:rsidRPr="00877344" w:rsidRDefault="00877344" w:rsidP="00B440B7">
      <w:pPr>
        <w:pStyle w:val="NoSpacing"/>
        <w:divId w:val="461122696"/>
        <w:rPr>
          <w:rFonts w:eastAsia="Times New Roman"/>
        </w:rPr>
      </w:pPr>
    </w:p>
    <w:p w14:paraId="12009431" w14:textId="77777777" w:rsidR="00877344" w:rsidRPr="00FA4674" w:rsidRDefault="00877344" w:rsidP="00B440B7">
      <w:pPr>
        <w:pStyle w:val="NoSpacing"/>
        <w:divId w:val="461122696"/>
        <w:rPr>
          <w:rFonts w:eastAsia="Times New Roman"/>
        </w:rPr>
      </w:pPr>
      <w:r w:rsidRPr="00FA4674">
        <w:rPr>
          <w:rFonts w:eastAsia="Times New Roman"/>
        </w:rPr>
        <w:t>8.Smith, J. C. (2015). Smith &amp; Hogan's essentials of criminal law. Oxford University Press.</w:t>
      </w:r>
    </w:p>
    <w:p w14:paraId="3B41C3BD" w14:textId="77777777" w:rsidR="00877344" w:rsidRPr="00877344" w:rsidRDefault="00877344" w:rsidP="00B440B7">
      <w:pPr>
        <w:pStyle w:val="NoSpacing"/>
        <w:divId w:val="461122696"/>
        <w:rPr>
          <w:rFonts w:eastAsia="Times New Roman"/>
        </w:rPr>
      </w:pPr>
    </w:p>
    <w:p w14:paraId="64FEFC61" w14:textId="77777777" w:rsidR="00877344" w:rsidRPr="00FA4674" w:rsidRDefault="00877344" w:rsidP="00B440B7">
      <w:pPr>
        <w:pStyle w:val="NoSpacing"/>
        <w:divId w:val="461122696"/>
        <w:rPr>
          <w:rFonts w:eastAsia="Times New Roman"/>
        </w:rPr>
      </w:pPr>
      <w:proofErr w:type="spellStart"/>
      <w:r w:rsidRPr="00FA4674">
        <w:rPr>
          <w:rFonts w:eastAsia="Times New Roman"/>
        </w:rPr>
        <w:t>9.Tadros</w:t>
      </w:r>
      <w:proofErr w:type="spellEnd"/>
      <w:r w:rsidRPr="00FA4674">
        <w:rPr>
          <w:rFonts w:eastAsia="Times New Roman"/>
        </w:rPr>
        <w:t>, V. (2016). The ends of harm: The moral foundations of criminal law. Oxford University Press.</w:t>
      </w:r>
    </w:p>
    <w:p w14:paraId="25250376" w14:textId="77777777" w:rsidR="00877344" w:rsidRPr="00877344" w:rsidRDefault="00877344" w:rsidP="00B440B7">
      <w:pPr>
        <w:pStyle w:val="NoSpacing"/>
        <w:divId w:val="461122696"/>
        <w:rPr>
          <w:rFonts w:eastAsia="Times New Roman"/>
        </w:rPr>
      </w:pPr>
    </w:p>
    <w:p w14:paraId="180280C3" w14:textId="77777777" w:rsidR="00877344" w:rsidRPr="00FA4674" w:rsidRDefault="00877344" w:rsidP="00B440B7">
      <w:pPr>
        <w:pStyle w:val="NoSpacing"/>
        <w:divId w:val="461122696"/>
        <w:rPr>
          <w:rFonts w:eastAsia="Times New Roman"/>
        </w:rPr>
      </w:pPr>
      <w:r w:rsidRPr="00FA4674">
        <w:rPr>
          <w:rFonts w:eastAsia="Times New Roman"/>
        </w:rPr>
        <w:t>10. Williams, G. (1983). Criminal law: The general part. Stevens &amp; Sons.</w:t>
      </w:r>
    </w:p>
    <w:p w14:paraId="331289D7" w14:textId="77777777" w:rsidR="00877344" w:rsidRPr="00877344" w:rsidRDefault="00877344" w:rsidP="00B440B7">
      <w:pPr>
        <w:pStyle w:val="NoSpacing"/>
        <w:divId w:val="1865248439"/>
        <w:rPr>
          <w:rFonts w:ascii="Times New Roman" w:eastAsia="Times New Roman" w:hAnsi="Times New Roman" w:cs="Times New Roman"/>
        </w:rPr>
      </w:pPr>
    </w:p>
    <w:p w14:paraId="76BDC8B4" w14:textId="77777777" w:rsidR="00877344" w:rsidRDefault="00877344"/>
    <w:sectPr w:rsidR="008773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Source Sans Pro">
    <w:panose1 w:val="020B0503030403020204"/>
    <w:charset w:val="00"/>
    <w:family w:val="swiss"/>
    <w:pitch w:val="variable"/>
    <w:sig w:usb0="600002F7" w:usb1="02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C7C17"/>
    <w:multiLevelType w:val="hybridMultilevel"/>
    <w:tmpl w:val="84D0C1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2F0A8C"/>
    <w:multiLevelType w:val="hybridMultilevel"/>
    <w:tmpl w:val="B3AA11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AD48B7"/>
    <w:multiLevelType w:val="hybridMultilevel"/>
    <w:tmpl w:val="D592F4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7BF6558"/>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6E77A81"/>
    <w:multiLevelType w:val="hybridMultilevel"/>
    <w:tmpl w:val="2B3AB074"/>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611010751">
    <w:abstractNumId w:val="3"/>
  </w:num>
  <w:num w:numId="2" w16cid:durableId="2132548592">
    <w:abstractNumId w:val="0"/>
  </w:num>
  <w:num w:numId="3" w16cid:durableId="1756902206">
    <w:abstractNumId w:val="1"/>
  </w:num>
  <w:num w:numId="4" w16cid:durableId="1660646438">
    <w:abstractNumId w:val="2"/>
  </w:num>
  <w:num w:numId="5" w16cid:durableId="181039633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7344"/>
    <w:rsid w:val="00174DEB"/>
    <w:rsid w:val="0038532F"/>
    <w:rsid w:val="00877344"/>
    <w:rsid w:val="00882386"/>
    <w:rsid w:val="00B440B7"/>
    <w:rsid w:val="00FA46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EC82D54"/>
  <w15:chartTrackingRefBased/>
  <w15:docId w15:val="{1F6D1EE9-E90A-8A4B-AC9A-13F12CEBE9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734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7734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7734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7734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7734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7734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7734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7734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7734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734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7734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7734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7734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7734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7734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7734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7734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77344"/>
    <w:rPr>
      <w:rFonts w:eastAsiaTheme="majorEastAsia" w:cstheme="majorBidi"/>
      <w:color w:val="272727" w:themeColor="text1" w:themeTint="D8"/>
    </w:rPr>
  </w:style>
  <w:style w:type="paragraph" w:styleId="Title">
    <w:name w:val="Title"/>
    <w:basedOn w:val="Normal"/>
    <w:next w:val="Normal"/>
    <w:link w:val="TitleChar"/>
    <w:uiPriority w:val="10"/>
    <w:qFormat/>
    <w:rsid w:val="0087734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7734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7734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773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77344"/>
    <w:pPr>
      <w:spacing w:before="160"/>
      <w:jc w:val="center"/>
    </w:pPr>
    <w:rPr>
      <w:i/>
      <w:iCs/>
      <w:color w:val="404040" w:themeColor="text1" w:themeTint="BF"/>
    </w:rPr>
  </w:style>
  <w:style w:type="character" w:customStyle="1" w:styleId="QuoteChar">
    <w:name w:val="Quote Char"/>
    <w:basedOn w:val="DefaultParagraphFont"/>
    <w:link w:val="Quote"/>
    <w:uiPriority w:val="29"/>
    <w:rsid w:val="00877344"/>
    <w:rPr>
      <w:i/>
      <w:iCs/>
      <w:color w:val="404040" w:themeColor="text1" w:themeTint="BF"/>
    </w:rPr>
  </w:style>
  <w:style w:type="paragraph" w:styleId="ListParagraph">
    <w:name w:val="List Paragraph"/>
    <w:basedOn w:val="Normal"/>
    <w:uiPriority w:val="34"/>
    <w:qFormat/>
    <w:rsid w:val="00877344"/>
    <w:pPr>
      <w:ind w:left="720"/>
      <w:contextualSpacing/>
    </w:pPr>
  </w:style>
  <w:style w:type="character" w:styleId="IntenseEmphasis">
    <w:name w:val="Intense Emphasis"/>
    <w:basedOn w:val="DefaultParagraphFont"/>
    <w:uiPriority w:val="21"/>
    <w:qFormat/>
    <w:rsid w:val="00877344"/>
    <w:rPr>
      <w:i/>
      <w:iCs/>
      <w:color w:val="0F4761" w:themeColor="accent1" w:themeShade="BF"/>
    </w:rPr>
  </w:style>
  <w:style w:type="paragraph" w:styleId="IntenseQuote">
    <w:name w:val="Intense Quote"/>
    <w:basedOn w:val="Normal"/>
    <w:next w:val="Normal"/>
    <w:link w:val="IntenseQuoteChar"/>
    <w:uiPriority w:val="30"/>
    <w:qFormat/>
    <w:rsid w:val="0087734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77344"/>
    <w:rPr>
      <w:i/>
      <w:iCs/>
      <w:color w:val="0F4761" w:themeColor="accent1" w:themeShade="BF"/>
    </w:rPr>
  </w:style>
  <w:style w:type="character" w:styleId="IntenseReference">
    <w:name w:val="Intense Reference"/>
    <w:basedOn w:val="DefaultParagraphFont"/>
    <w:uiPriority w:val="32"/>
    <w:qFormat/>
    <w:rsid w:val="00877344"/>
    <w:rPr>
      <w:b/>
      <w:bCs/>
      <w:smallCaps/>
      <w:color w:val="0F4761" w:themeColor="accent1" w:themeShade="BF"/>
      <w:spacing w:val="5"/>
    </w:rPr>
  </w:style>
  <w:style w:type="paragraph" w:styleId="NormalWeb">
    <w:name w:val="Normal (Web)"/>
    <w:basedOn w:val="Normal"/>
    <w:uiPriority w:val="99"/>
    <w:semiHidden/>
    <w:unhideWhenUsed/>
    <w:rsid w:val="00877344"/>
    <w:pPr>
      <w:spacing w:before="100" w:beforeAutospacing="1" w:after="100" w:afterAutospacing="1" w:line="240" w:lineRule="auto"/>
    </w:pPr>
    <w:rPr>
      <w:rFonts w:ascii="Times New Roman" w:hAnsi="Times New Roman" w:cs="Times New Roman"/>
      <w:kern w:val="0"/>
      <w14:ligatures w14:val="none"/>
    </w:rPr>
  </w:style>
  <w:style w:type="paragraph" w:styleId="NoSpacing">
    <w:name w:val="No Spacing"/>
    <w:uiPriority w:val="1"/>
    <w:qFormat/>
    <w:rsid w:val="00B440B7"/>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65248439">
      <w:bodyDiv w:val="1"/>
      <w:marLeft w:val="0"/>
      <w:marRight w:val="0"/>
      <w:marTop w:val="0"/>
      <w:marBottom w:val="0"/>
      <w:divBdr>
        <w:top w:val="none" w:sz="0" w:space="0" w:color="auto"/>
        <w:left w:val="none" w:sz="0" w:space="0" w:color="auto"/>
        <w:bottom w:val="none" w:sz="0" w:space="0" w:color="auto"/>
        <w:right w:val="none" w:sz="0" w:space="0" w:color="auto"/>
      </w:divBdr>
      <w:divsChild>
        <w:div w:id="46112269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752</Words>
  <Characters>4289</Characters>
  <Application>Microsoft Office Word</Application>
  <DocSecurity>0</DocSecurity>
  <Lines>35</Lines>
  <Paragraphs>10</Paragraphs>
  <ScaleCrop>false</ScaleCrop>
  <Company/>
  <LinksUpToDate>false</LinksUpToDate>
  <CharactersWithSpaces>5031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Damian Golina (2210589)</dc:creator>
  <cp:keywords/>
  <dc:description/>
  <cp:lastModifiedBy>Damian Golina (2210589)</cp:lastModifiedBy>
  <cp:revision>2</cp:revision>
  <dcterms:created xsi:type="dcterms:W3CDTF">2024-03-17T16:47:00Z</dcterms:created>
  <dcterms:modified xsi:type="dcterms:W3CDTF">2024-03-17T16:47:00Z</dcterms:modified>
</cp:coreProperties>
</file>