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2">
      <w:pPr>
        <w:rPr>
          <w:rFonts w:ascii="Times New Roman" w:cs="Times New Roman" w:eastAsia="Times New Roman" w:hAnsi="Times New Roman"/>
          <w:b w:val="1"/>
          <w:sz w:val="28"/>
          <w:szCs w:val="28"/>
        </w:rPr>
      </w:pPr>
      <w:r w:rsidDel="00000000" w:rsidR="00000000" w:rsidRPr="00000000">
        <w:rPr/>
        <w:drawing>
          <wp:inline distB="0" distT="0" distL="0" distR="0">
            <wp:extent cx="5711190" cy="2859405"/>
            <wp:effectExtent b="0" l="0" r="0" t="0"/>
            <wp:docPr descr="Prifysgol Cymru Y Drindod Dewi Sant | University of Wales Trinity Saint  David - NPLD" id="3" name="image2.png"/>
            <a:graphic>
              <a:graphicData uri="http://schemas.openxmlformats.org/drawingml/2006/picture">
                <pic:pic>
                  <pic:nvPicPr>
                    <pic:cNvPr descr="Prifysgol Cymru Y Drindod Dewi Sant | University of Wales Trinity Saint  David - NPLD" id="0" name="image2.png"/>
                    <pic:cNvPicPr preferRelativeResize="0"/>
                  </pic:nvPicPr>
                  <pic:blipFill>
                    <a:blip r:embed="rId6"/>
                    <a:srcRect b="0" l="0" r="0" t="0"/>
                    <a:stretch>
                      <a:fillRect/>
                    </a:stretch>
                  </pic:blipFill>
                  <pic:spPr>
                    <a:xfrm>
                      <a:off x="0" y="0"/>
                      <a:ext cx="5711190" cy="2859405"/>
                    </a:xfrm>
                    <a:prstGeom prst="rect"/>
                    <a:ln/>
                  </pic:spPr>
                </pic:pic>
              </a:graphicData>
            </a:graphic>
          </wp:inline>
        </w:drawing>
      </w: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sz w:val="28"/>
          <w:szCs w:val="28"/>
        </w:rPr>
      </w:pPr>
      <w:r w:rsidDel="00000000" w:rsidR="00000000" w:rsidRPr="00000000">
        <w:rPr>
          <w:rtl w:val="0"/>
        </w:rPr>
      </w:r>
    </w:p>
    <w:p w:rsidR="00000000" w:rsidDel="00000000" w:rsidP="00000000" w:rsidRDefault="00000000" w:rsidRPr="00000000" w14:paraId="00000004">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Module: Population Health and Digital Health Promotion</w:t>
      </w:r>
    </w:p>
    <w:p w:rsidR="00000000" w:rsidDel="00000000" w:rsidP="00000000" w:rsidRDefault="00000000" w:rsidRPr="00000000" w14:paraId="00000005">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Student Name: Khushboo Dadlani </w:t>
      </w:r>
    </w:p>
    <w:p w:rsidR="00000000" w:rsidDel="00000000" w:rsidP="00000000" w:rsidRDefault="00000000" w:rsidRPr="00000000" w14:paraId="00000006">
      <w:pPr>
        <w:jc w:val="center"/>
        <w:rPr>
          <w:rFonts w:ascii="Times New Roman" w:cs="Times New Roman" w:eastAsia="Times New Roman" w:hAnsi="Times New Roman"/>
          <w:b w:val="1"/>
          <w:sz w:val="36"/>
          <w:szCs w:val="36"/>
        </w:rPr>
      </w:pPr>
      <w:r w:rsidDel="00000000" w:rsidR="00000000" w:rsidRPr="00000000">
        <w:rPr>
          <w:rFonts w:ascii="Times New Roman" w:cs="Times New Roman" w:eastAsia="Times New Roman" w:hAnsi="Times New Roman"/>
          <w:b w:val="1"/>
          <w:sz w:val="36"/>
          <w:szCs w:val="36"/>
          <w:rtl w:val="0"/>
        </w:rPr>
        <w:t xml:space="preserve">Student ID: 2333435</w:t>
      </w:r>
    </w:p>
    <w:p w:rsidR="00000000" w:rsidDel="00000000" w:rsidP="00000000" w:rsidRDefault="00000000" w:rsidRPr="00000000" w14:paraId="00000007">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8">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9">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A">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B">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C">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D">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E">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0F">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0">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11">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gjdgxs">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Task 1: Blog Writing</w:t>
            </w:r>
          </w:hyperlink>
          <w:hyperlink w:anchor="_gjdgxs">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0j0zll">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Blog 1: How Continuous Glucose Monitors are Revolutionizing Diabetes Management</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Diabetes: A Global Public Health Crisis</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2</w:t>
            </w:r>
          </w:hyperlink>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Continuous Glucose Monitors (CGMs): The Power of Real-Time Data</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Are CGMs Effective in Managing Diabetes?</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The Pros and Cons of CGMs in Health Promotion</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Advantages:</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Challenges:</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Addressing CGM Limitations for Greater Impact</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Looking Forward</w:t>
            </w:r>
          </w:hyperlink>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Blog 2: Empowering Diabetes Care with GlucoGuide+: A Holistic Health Solution</w:t>
            </w:r>
          </w:hyperlink>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Introducing GlucoGuide+: A Comprehensive Digital Health Companion</w:t>
            </w:r>
          </w:hyperlink>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6in1rg">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How GlucoGuide+ Enhances Health Promotion</w:t>
            </w:r>
          </w:hyperlink>
          <w:hyperlink w:anchor="_26in1rg">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lnxbz9">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Impact of GlucoGuide+ on Diabetes Health Promotion</w:t>
            </w:r>
          </w:hyperlink>
          <w:hyperlink w:anchor="_lnxbz9">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5nkun2">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Advantages:</w:t>
            </w:r>
          </w:hyperlink>
          <w:hyperlink w:anchor="_35nkun2">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44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ksv4uv">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Shortfalls:</w:t>
            </w:r>
          </w:hyperlink>
          <w:hyperlink w:anchor="_1ksv4uv">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22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4sinio">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Addressing the Challenges</w:t>
            </w:r>
          </w:hyperlink>
          <w:hyperlink w:anchor="_44sinio">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jxsxqh">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Conclusion</w:t>
            </w:r>
          </w:hyperlink>
          <w:hyperlink w:anchor="_2jxsxqh">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Fonts w:ascii="Calibri" w:cs="Calibri" w:eastAsia="Calibri" w:hAnsi="Calibri"/>
              <w:b w:val="0"/>
              <w:i w:val="0"/>
              <w:smallCaps w:val="0"/>
              <w:strike w:val="0"/>
              <w:color w:val="0563c1"/>
              <w:sz w:val="22"/>
              <w:szCs w:val="22"/>
              <w:u w:val="single"/>
              <w:shd w:fill="auto" w:val="clear"/>
              <w:vertAlign w:val="baseline"/>
              <w:rtl w:val="0"/>
            </w:rPr>
            <w:br w:type="textWrapping"/>
          </w:r>
          <w:r w:rsidDel="00000000" w:rsidR="00000000" w:rsidRPr="00000000">
            <w:fldChar w:fldCharType="begin"/>
            <w:instrText xml:space="preserve"> PAGEREF _gjdgxs \h </w:instrText>
            <w:fldChar w:fldCharType="separate"/>
          </w:r>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Task 2: Poster</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z337ya">
            <w:r w:rsidDel="00000000" w:rsidR="00000000" w:rsidRPr="00000000">
              <w:rPr>
                <w:rFonts w:ascii="Times New Roman" w:cs="Times New Roman" w:eastAsia="Times New Roman" w:hAnsi="Times New Roman"/>
                <w:b w:val="1"/>
                <w:i w:val="0"/>
                <w:smallCaps w:val="0"/>
                <w:strike w:val="0"/>
                <w:color w:val="000000"/>
                <w:sz w:val="22"/>
                <w:szCs w:val="22"/>
                <w:u w:val="none"/>
                <w:shd w:fill="auto" w:val="clear"/>
                <w:vertAlign w:val="baseline"/>
                <w:rtl w:val="0"/>
              </w:rPr>
              <w:t xml:space="preserve">References</w:t>
            </w:r>
          </w:hyperlink>
          <w:hyperlink w:anchor="_z337ya">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14</w:t>
            </w:r>
          </w:hyperlink>
          <w:r w:rsidDel="00000000" w:rsidR="00000000" w:rsidRPr="00000000">
            <w:rPr>
              <w:rtl w:val="0"/>
            </w:rPr>
          </w:r>
        </w:p>
        <w:p w:rsidR="00000000" w:rsidDel="00000000" w:rsidP="00000000" w:rsidRDefault="00000000" w:rsidRPr="00000000" w14:paraId="00000025">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jc w:val="center"/>
        <w:rPr>
          <w:rFonts w:ascii="Times New Roman" w:cs="Times New Roman" w:eastAsia="Times New Roman" w:hAnsi="Times New Roman"/>
          <w:b w:val="1"/>
          <w:sz w:val="36"/>
          <w:szCs w:val="36"/>
        </w:rPr>
      </w:pPr>
      <w:r w:rsidDel="00000000" w:rsidR="00000000" w:rsidRPr="00000000">
        <w:rPr>
          <w:rtl w:val="0"/>
        </w:rPr>
      </w:r>
    </w:p>
    <w:p w:rsidR="00000000" w:rsidDel="00000000" w:rsidP="00000000" w:rsidRDefault="00000000" w:rsidRPr="00000000" w14:paraId="00000027">
      <w:pPr>
        <w:pStyle w:val="Heading1"/>
        <w:spacing w:line="360" w:lineRule="auto"/>
        <w:jc w:val="both"/>
        <w:rPr>
          <w:rFonts w:ascii="Times New Roman" w:cs="Times New Roman" w:eastAsia="Times New Roman" w:hAnsi="Times New Roman"/>
          <w:b w:val="1"/>
          <w:color w:val="000000"/>
          <w:sz w:val="24"/>
          <w:szCs w:val="24"/>
        </w:rPr>
      </w:pPr>
      <w:bookmarkStart w:colFirst="0" w:colLast="0" w:name="_gjdgxs" w:id="0"/>
      <w:bookmarkEnd w:id="0"/>
      <w:r w:rsidDel="00000000" w:rsidR="00000000" w:rsidRPr="00000000">
        <w:rPr>
          <w:rFonts w:ascii="Times New Roman" w:cs="Times New Roman" w:eastAsia="Times New Roman" w:hAnsi="Times New Roman"/>
          <w:b w:val="1"/>
          <w:color w:val="000000"/>
          <w:sz w:val="24"/>
          <w:szCs w:val="24"/>
          <w:rtl w:val="0"/>
        </w:rPr>
        <w:t xml:space="preserve">Task 1: Blog Writing </w:t>
      </w:r>
    </w:p>
    <w:p w:rsidR="00000000" w:rsidDel="00000000" w:rsidP="00000000" w:rsidRDefault="00000000" w:rsidRPr="00000000" w14:paraId="00000028">
      <w:pPr>
        <w:pStyle w:val="Heading1"/>
        <w:spacing w:line="360" w:lineRule="auto"/>
        <w:jc w:val="both"/>
        <w:rPr>
          <w:rFonts w:ascii="Times New Roman" w:cs="Times New Roman" w:eastAsia="Times New Roman" w:hAnsi="Times New Roman"/>
          <w:b w:val="1"/>
          <w:color w:val="000000"/>
          <w:sz w:val="24"/>
          <w:szCs w:val="24"/>
        </w:rPr>
      </w:pPr>
      <w:bookmarkStart w:colFirst="0" w:colLast="0" w:name="_30j0zll" w:id="1"/>
      <w:bookmarkEnd w:id="1"/>
      <w:r w:rsidDel="00000000" w:rsidR="00000000" w:rsidRPr="00000000">
        <w:rPr>
          <w:rFonts w:ascii="Times New Roman" w:cs="Times New Roman" w:eastAsia="Times New Roman" w:hAnsi="Times New Roman"/>
          <w:b w:val="1"/>
          <w:color w:val="000000"/>
          <w:sz w:val="24"/>
          <w:szCs w:val="24"/>
          <w:rtl w:val="0"/>
        </w:rPr>
        <w:t xml:space="preserve">Blog 1: How Continuous Glucose Monitors are Revolutionizing Diabetes Management</w:t>
      </w:r>
    </w:p>
    <w:p w:rsidR="00000000" w:rsidDel="00000000" w:rsidP="00000000" w:rsidRDefault="00000000" w:rsidRPr="00000000" w14:paraId="00000029">
      <w:pPr>
        <w:pStyle w:val="Heading2"/>
        <w:spacing w:line="360" w:lineRule="auto"/>
        <w:jc w:val="both"/>
        <w:rPr>
          <w:rFonts w:ascii="Times New Roman" w:cs="Times New Roman" w:eastAsia="Times New Roman" w:hAnsi="Times New Roman"/>
          <w:b w:val="1"/>
          <w:color w:val="000000"/>
          <w:sz w:val="24"/>
          <w:szCs w:val="24"/>
        </w:rPr>
      </w:pPr>
      <w:bookmarkStart w:colFirst="0" w:colLast="0" w:name="_1fob9te" w:id="2"/>
      <w:bookmarkEnd w:id="2"/>
      <w:r w:rsidDel="00000000" w:rsidR="00000000" w:rsidRPr="00000000">
        <w:rPr>
          <w:rFonts w:ascii="Times New Roman" w:cs="Times New Roman" w:eastAsia="Times New Roman" w:hAnsi="Times New Roman"/>
          <w:b w:val="1"/>
          <w:color w:val="000000"/>
          <w:sz w:val="24"/>
          <w:szCs w:val="24"/>
          <w:rtl w:val="0"/>
        </w:rPr>
        <w:t xml:space="preserve">Diabetes: A Global Public Health Crisis</w:t>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Diabetes has transformed into a global epidemic, impacting millions. In 1990, around 200 million people were living with diabetes. By 2022, that number had risen to an astounding 830 million, with most new cases appearing in low- and middle-income countries where healthcare access is limited. This condition’s toll is severe: unmanaged diabetes can lead to kidney failure, blindness, heart attacks, stroke, and even limb amputations </w:t>
      </w:r>
      <w:hyperlink r:id="rId7">
        <w:r w:rsidDel="00000000" w:rsidR="00000000" w:rsidRPr="00000000">
          <w:rPr>
            <w:rFonts w:ascii="Times New Roman" w:cs="Times New Roman" w:eastAsia="Times New Roman" w:hAnsi="Times New Roman"/>
            <w:color w:val="000000"/>
            <w:sz w:val="24"/>
            <w:szCs w:val="24"/>
            <w:u w:val="single"/>
            <w:rtl w:val="0"/>
          </w:rPr>
          <w:t xml:space="preserve">(World Health Organization, 2023)</w:t>
        </w:r>
      </w:hyperlink>
      <w:r w:rsidDel="00000000" w:rsidR="00000000" w:rsidRPr="00000000">
        <w:rPr>
          <w:rFonts w:ascii="Times New Roman" w:cs="Times New Roman" w:eastAsia="Times New Roman" w:hAnsi="Times New Roman"/>
          <w:sz w:val="24"/>
          <w:szCs w:val="24"/>
          <w:rtl w:val="0"/>
        </w:rPr>
        <w:t xml:space="preserve">. In 2021 alone, diabetes and related complications caused over 2 million deaths, with about 11% of cardiovascular deaths linked to high blood glucose. Effective management is vital, and continuous glucose monitors (CGMs) have emerged as a powerful tool in the fight against diabetes.</w:t>
      </w:r>
      <w:r w:rsidDel="00000000" w:rsidR="00000000" w:rsidRPr="00000000">
        <w:drawing>
          <wp:anchor allowOverlap="1" behindDoc="0" distB="0" distT="0" distL="114300" distR="114300" hidden="0" layoutInCell="1" locked="0" relativeHeight="0" simplePos="0">
            <wp:simplePos x="0" y="0"/>
            <wp:positionH relativeFrom="column">
              <wp:posOffset>-353290</wp:posOffset>
            </wp:positionH>
            <wp:positionV relativeFrom="paragraph">
              <wp:posOffset>2191501</wp:posOffset>
            </wp:positionV>
            <wp:extent cx="6800000" cy="3600000"/>
            <wp:effectExtent b="0" l="0" r="0" t="0"/>
            <wp:wrapSquare wrapText="bothSides" distB="0" distT="0" distL="114300" distR="114300"/>
            <wp:docPr id="2"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6800000" cy="3600000"/>
                    </a:xfrm>
                    <a:prstGeom prst="rect"/>
                    <a:ln/>
                  </pic:spPr>
                </pic:pic>
              </a:graphicData>
            </a:graphic>
          </wp:anchor>
        </w:drawing>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-353058</wp:posOffset>
                </wp:positionH>
                <wp:positionV relativeFrom="paragraph">
                  <wp:posOffset>5848350</wp:posOffset>
                </wp:positionV>
                <wp:extent cx="6799580" cy="635"/>
                <wp:effectExtent b="0" l="0" r="0" t="0"/>
                <wp:wrapSquare wrapText="bothSides" distB="0" distT="0" distL="114300" distR="114300"/>
                <wp:docPr id="1" name=""/>
                <a:graphic>
                  <a:graphicData uri="http://schemas.microsoft.com/office/word/2010/wordprocessingShape">
                    <wps:wsp>
                      <wps:cNvSpPr txBox="1"/>
                      <wps:spPr>
                        <a:xfrm>
                          <a:off x="0" y="0"/>
                          <a:ext cx="6799580" cy="635"/>
                        </a:xfrm>
                        <a:prstGeom prst="rect">
                          <a:avLst/>
                        </a:prstGeom>
                        <a:solidFill>
                          <a:prstClr val="white"/>
                        </a:solidFill>
                        <a:ln>
                          <a:noFill/>
                        </a:ln>
                      </wps:spPr>
                      <wps:txbx>
                        <w:txbxContent>
                          <w:p w:rsidR="00652B47" w:rsidDel="00000000" w:rsidP="00652B47" w:rsidRDefault="00652B47" w:rsidRPr="00465661" w14:paraId="2C8BCF17" w14:textId="3B65DE3C">
                            <w:pPr>
                              <w:pStyle w:val="Caption"/>
                              <w:jc w:val="center"/>
                              <w:rPr>
                                <w:rFonts w:ascii="Times New Roman" w:cs="Times New Roman" w:hAnsi="Times New Roman"/>
                                <w:b w:val="1"/>
                                <w:bCs w:val="1"/>
                                <w:i w:val="0"/>
                                <w:iCs w:val="0"/>
                                <w:color w:val="auto"/>
                                <w:sz w:val="24"/>
                                <w:szCs w:val="24"/>
                              </w:rPr>
                            </w:pPr>
                            <w:r w:rsidDel="00000000" w:rsidR="00000000" w:rsidRPr="00465661">
                              <w:rPr>
                                <w:rFonts w:ascii="Times New Roman" w:cs="Times New Roman" w:hAnsi="Times New Roman"/>
                                <w:b w:val="1"/>
                                <w:bCs w:val="1"/>
                                <w:i w:val="0"/>
                                <w:iCs w:val="0"/>
                                <w:color w:val="auto"/>
                                <w:sz w:val="24"/>
                                <w:szCs w:val="24"/>
                              </w:rPr>
                              <w:t xml:space="preserve">Figure </w:t>
                            </w:r>
                            <w:r w:rsidDel="00000000" w:rsidR="00000000" w:rsidRPr="00465661">
                              <w:rPr>
                                <w:rFonts w:ascii="Times New Roman" w:cs="Times New Roman" w:hAnsi="Times New Roman"/>
                                <w:b w:val="1"/>
                                <w:bCs w:val="1"/>
                                <w:i w:val="0"/>
                                <w:iCs w:val="0"/>
                                <w:color w:val="auto"/>
                                <w:sz w:val="24"/>
                                <w:szCs w:val="24"/>
                              </w:rPr>
                              <w:fldChar w:fldCharType="begin"/>
                            </w:r>
                            <w:r w:rsidDel="00000000" w:rsidR="00000000" w:rsidRPr="00465661">
                              <w:rPr>
                                <w:rFonts w:ascii="Times New Roman" w:cs="Times New Roman" w:hAnsi="Times New Roman"/>
                                <w:b w:val="1"/>
                                <w:bCs w:val="1"/>
                                <w:i w:val="0"/>
                                <w:iCs w:val="0"/>
                                <w:color w:val="auto"/>
                                <w:sz w:val="24"/>
                                <w:szCs w:val="24"/>
                              </w:rPr>
                              <w:instrText xml:space="preserve"> SEQ Figure \* ARABIC </w:instrText>
                            </w:r>
                            <w:r w:rsidDel="00000000" w:rsidR="00000000" w:rsidRPr="00465661">
                              <w:rPr>
                                <w:rFonts w:ascii="Times New Roman" w:cs="Times New Roman" w:hAnsi="Times New Roman"/>
                                <w:b w:val="1"/>
                                <w:bCs w:val="1"/>
                                <w:i w:val="0"/>
                                <w:iCs w:val="0"/>
                                <w:color w:val="auto"/>
                                <w:sz w:val="24"/>
                                <w:szCs w:val="24"/>
                              </w:rPr>
                              <w:fldChar w:fldCharType="separate"/>
                            </w:r>
                            <w:r w:rsidDel="00000000" w:rsidR="0014471B" w:rsidRPr="00000000">
                              <w:rPr>
                                <w:rFonts w:ascii="Times New Roman" w:cs="Times New Roman" w:hAnsi="Times New Roman"/>
                                <w:b w:val="1"/>
                                <w:bCs w:val="1"/>
                                <w:i w:val="0"/>
                                <w:iCs w:val="0"/>
                                <w:noProof w:val="1"/>
                                <w:color w:val="auto"/>
                                <w:sz w:val="24"/>
                                <w:szCs w:val="24"/>
                              </w:rPr>
                              <w:t>1</w:t>
                            </w:r>
                            <w:r w:rsidDel="00000000" w:rsidR="00000000" w:rsidRPr="00465661">
                              <w:rPr>
                                <w:rFonts w:ascii="Times New Roman" w:cs="Times New Roman" w:hAnsi="Times New Roman"/>
                                <w:b w:val="1"/>
                                <w:bCs w:val="1"/>
                                <w:i w:val="0"/>
                                <w:iCs w:val="0"/>
                                <w:color w:val="auto"/>
                                <w:sz w:val="24"/>
                                <w:szCs w:val="24"/>
                              </w:rPr>
                              <w:fldChar w:fldCharType="end"/>
                            </w:r>
                            <w:r w:rsidDel="00000000" w:rsidR="00000000" w:rsidRPr="00465661">
                              <w:rPr>
                                <w:rFonts w:ascii="Times New Roman" w:cs="Times New Roman" w:hAnsi="Times New Roman"/>
                                <w:b w:val="1"/>
                                <w:bCs w:val="1"/>
                                <w:i w:val="0"/>
                                <w:iCs w:val="0"/>
                                <w:color w:val="auto"/>
                                <w:sz w:val="24"/>
                                <w:szCs w:val="24"/>
                              </w:rPr>
                              <w:t xml:space="preserve"> Global diabetes cases rising sharply, highest growth projected in Africa, MENA.</w:t>
                            </w:r>
                          </w:p>
                          <w:p w:rsidR="00652B47" w:rsidDel="00000000" w:rsidP="00652B47" w:rsidRDefault="00652B47" w:rsidRPr="00465661" w14:paraId="0A9477DB" w14:textId="77777777">
                            <w:pPr>
                              <w:jc w:val="center"/>
                              <w:rPr>
                                <w:rFonts w:ascii="Times New Roman" w:cs="Times New Roman" w:hAnsi="Times New Roman"/>
                                <w:b w:val="1"/>
                                <w:bCs w:val="1"/>
                                <w:sz w:val="24"/>
                                <w:szCs w:val="24"/>
                                <w:lang w:val="en-US"/>
                              </w:rPr>
                            </w:pPr>
                            <w:r w:rsidDel="00000000" w:rsidR="00000000" w:rsidRPr="00465661">
                              <w:rPr>
                                <w:rFonts w:ascii="Times New Roman" w:cs="Times New Roman" w:hAnsi="Times New Roman"/>
                                <w:b w:val="1"/>
                                <w:bCs w:val="1"/>
                                <w:sz w:val="24"/>
                                <w:szCs w:val="24"/>
                              </w:rPr>
                              <w:t>Source:</w:t>
                            </w:r>
                            <w:r w:rsidDel="00000000" w:rsidR="00000000" w:rsidRPr="00465661">
                              <w:rPr>
                                <w:rFonts w:ascii="Times New Roman" w:cs="Times New Roman" w:eastAsia="Times New Roman" w:hAnsi="Times New Roman"/>
                                <w:b w:val="1"/>
                                <w:bCs w:val="1"/>
                                <w:kern w:val="0"/>
                                <w:sz w:val="24"/>
                                <w:szCs w:val="24"/>
                                <w:lang w:val="en-US"/>
                              </w:rPr>
                              <w:t xml:space="preserve"> </w:t>
                            </w:r>
                            <w:r w:rsidDel="00000000" w:rsidR="00000000" w:rsidRPr="00465661">
                              <w:rPr>
                                <w:rFonts w:ascii="Times New Roman" w:cs="Times New Roman" w:hAnsi="Times New Roman"/>
                                <w:b w:val="1"/>
                                <w:bCs w:val="1"/>
                                <w:sz w:val="24"/>
                                <w:szCs w:val="24"/>
                                <w:lang w:val="en-US"/>
                              </w:rPr>
                              <w:t>(International Diabetes Federation, 2024)</w:t>
                            </w:r>
                          </w:p>
                        </w:txbxContent>
                      </wps:txbx>
                      <wps:bodyPr anchorCtr="0" anchor="t" bIns="0" rtlCol="0" compatLnSpc="1" forceAA="0" fromWordArt="0" horzOverflow="overflow" lIns="0" numCol="1" spcFirstLastPara="0" rIns="0" rot="0" spcCol="0" vert="horz" wrap="square" tIns="0" vertOverflow="overflow">
                        <a:prstTxWarp prst="textNoShape">
                          <a:avLst/>
                        </a:prstTxWarp>
                        <a:sp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-353058</wp:posOffset>
                </wp:positionH>
                <wp:positionV relativeFrom="paragraph">
                  <wp:posOffset>5848350</wp:posOffset>
                </wp:positionV>
                <wp:extent cx="6799580" cy="635"/>
                <wp:effectExtent b="0" l="0" r="0" t="0"/>
                <wp:wrapSquare wrapText="bothSides" distB="0" distT="0" distL="114300" distR="114300"/>
                <wp:docPr id="1" name="image12.png"/>
                <a:graphic>
                  <a:graphicData uri="http://schemas.openxmlformats.org/drawingml/2006/picture">
                    <pic:pic>
                      <pic:nvPicPr>
                        <pic:cNvPr id="0" name="image12.png"/>
                        <pic:cNvPicPr preferRelativeResize="0"/>
                      </pic:nvPicPr>
                      <pic:blipFill>
                        <a:blip r:embed="rId9"/>
                        <a:srcRect b="0" l="0" r="0" t="0"/>
                        <a:stretch>
                          <a:fillRect/>
                        </a:stretch>
                      </pic:blipFill>
                      <pic:spPr>
                        <a:xfrm>
                          <a:off x="0" y="0"/>
                          <a:ext cx="6799580" cy="635"/>
                        </a:xfrm>
                        <a:prstGeom prst="rect"/>
                        <a:ln/>
                      </pic:spPr>
                    </pic:pic>
                  </a:graphicData>
                </a:graphic>
              </wp:anchor>
            </w:drawing>
          </mc:Fallback>
        </mc:AlternateConten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jc w:val="center"/>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D">
      <w:pPr>
        <w:pStyle w:val="Heading2"/>
        <w:spacing w:line="360" w:lineRule="auto"/>
        <w:jc w:val="both"/>
        <w:rPr>
          <w:rFonts w:ascii="Times New Roman" w:cs="Times New Roman" w:eastAsia="Times New Roman" w:hAnsi="Times New Roman"/>
          <w:b w:val="1"/>
          <w:color w:val="000000"/>
          <w:sz w:val="24"/>
          <w:szCs w:val="24"/>
        </w:rPr>
      </w:pPr>
      <w:bookmarkStart w:colFirst="0" w:colLast="0" w:name="_3znysh7" w:id="3"/>
      <w:bookmarkEnd w:id="3"/>
      <w:r w:rsidDel="00000000" w:rsidR="00000000" w:rsidRPr="00000000">
        <w:rPr>
          <w:rFonts w:ascii="Times New Roman" w:cs="Times New Roman" w:eastAsia="Times New Roman" w:hAnsi="Times New Roman"/>
          <w:b w:val="1"/>
          <w:color w:val="000000"/>
          <w:sz w:val="24"/>
          <w:szCs w:val="24"/>
          <w:rtl w:val="0"/>
        </w:rPr>
        <w:t xml:space="preserve">Continuous Glucose Monitors (CGMs): The Power of Real-Time Data</w:t>
      </w:r>
    </w:p>
    <w:p w:rsidR="00000000" w:rsidDel="00000000" w:rsidP="00000000" w:rsidRDefault="00000000" w:rsidRPr="00000000" w14:paraId="0000002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CGMs are wearable devices that monitor blood glucose levels in real time, providing an essential alternative to traditional “finger-prick” tests that offer only a single reading. Popular CGMs, like Dexcom’s G7 and Abbott’s FreeStyle Libre 3, send frequent glucose readings to a smartphone app, allowing users to monitor trends and make immediate adjustments. Today’s CGMs also offer improved accuracy, with a margin of error under 10%, and often don’t require frequent calibration through finger pricks. Some models even integrate with automated insulin delivery (AID) systems, creating a seamless experience for diabetes management </w:t>
      </w:r>
      <w:hyperlink r:id="rId10">
        <w:r w:rsidDel="00000000" w:rsidR="00000000" w:rsidRPr="00000000">
          <w:rPr>
            <w:rFonts w:ascii="Times New Roman" w:cs="Times New Roman" w:eastAsia="Times New Roman" w:hAnsi="Times New Roman"/>
            <w:color w:val="000000"/>
            <w:sz w:val="24"/>
            <w:szCs w:val="24"/>
            <w:u w:val="single"/>
            <w:rtl w:val="0"/>
          </w:rPr>
          <w:t xml:space="preserve">(Lacy et al., 2024)</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2F">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400000" cy="5400000"/>
            <wp:effectExtent b="0" l="0" r="0" t="0"/>
            <wp:docPr id="5"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5400000" cy="540000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pStyle w:val="Heading2"/>
        <w:spacing w:line="360" w:lineRule="auto"/>
        <w:jc w:val="both"/>
        <w:rPr>
          <w:rFonts w:ascii="Times New Roman" w:cs="Times New Roman" w:eastAsia="Times New Roman" w:hAnsi="Times New Roman"/>
          <w:b w:val="1"/>
          <w:color w:val="000000"/>
          <w:sz w:val="24"/>
          <w:szCs w:val="24"/>
        </w:rPr>
      </w:pPr>
      <w:bookmarkStart w:colFirst="0" w:colLast="0" w:name="_2et92p0" w:id="4"/>
      <w:bookmarkEnd w:id="4"/>
      <w:r w:rsidDel="00000000" w:rsidR="00000000" w:rsidRPr="00000000">
        <w:rPr>
          <w:rFonts w:ascii="Times New Roman" w:cs="Times New Roman" w:eastAsia="Times New Roman" w:hAnsi="Times New Roman"/>
          <w:b w:val="1"/>
          <w:color w:val="000000"/>
          <w:sz w:val="24"/>
          <w:szCs w:val="24"/>
          <w:rtl w:val="0"/>
        </w:rPr>
        <w:t xml:space="preserve">Are CGMs Effective in Managing Diabetes?</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impact of CGMs on diabetes care is backed by solid evidence. More than 9 million people worldwide use CGMs, and studies show that users benefit from improved blood sugar control, fewer dangerous glucose spikes and dips, and, ultimately, fewer hospital visits. Research further indicates that CGM users experience better glucose stability, reducing the risk of complications and improving quality of life. Imagine receiving an alert when your glucose level is dropping, enabling you to act immediately—this is life-changing for many </w:t>
      </w:r>
      <w:hyperlink r:id="rId12">
        <w:r w:rsidDel="00000000" w:rsidR="00000000" w:rsidRPr="00000000">
          <w:rPr>
            <w:rFonts w:ascii="Times New Roman" w:cs="Times New Roman" w:eastAsia="Times New Roman" w:hAnsi="Times New Roman"/>
            <w:color w:val="000000"/>
            <w:sz w:val="24"/>
            <w:szCs w:val="24"/>
            <w:u w:val="single"/>
            <w:rtl w:val="0"/>
          </w:rPr>
          <w:t xml:space="preserve">(Manov et al., 2023)</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32">
      <w:pPr>
        <w:pStyle w:val="Heading2"/>
        <w:spacing w:line="360" w:lineRule="auto"/>
        <w:jc w:val="both"/>
        <w:rPr>
          <w:rFonts w:ascii="Times New Roman" w:cs="Times New Roman" w:eastAsia="Times New Roman" w:hAnsi="Times New Roman"/>
          <w:b w:val="1"/>
          <w:color w:val="000000"/>
          <w:sz w:val="24"/>
          <w:szCs w:val="24"/>
        </w:rPr>
      </w:pPr>
      <w:bookmarkStart w:colFirst="0" w:colLast="0" w:name="_tyjcwt" w:id="5"/>
      <w:bookmarkEnd w:id="5"/>
      <w:r w:rsidDel="00000000" w:rsidR="00000000" w:rsidRPr="00000000">
        <w:rPr>
          <w:rFonts w:ascii="Times New Roman" w:cs="Times New Roman" w:eastAsia="Times New Roman" w:hAnsi="Times New Roman"/>
          <w:b w:val="1"/>
          <w:color w:val="000000"/>
          <w:sz w:val="24"/>
          <w:szCs w:val="24"/>
          <w:rtl w:val="0"/>
        </w:rPr>
        <w:t xml:space="preserve">The Pros and Cons of CGMs in Health Promotion</w:t>
      </w:r>
    </w:p>
    <w:p w:rsidR="00000000" w:rsidDel="00000000" w:rsidP="00000000" w:rsidRDefault="00000000" w:rsidRPr="00000000" w14:paraId="00000033">
      <w:pPr>
        <w:pStyle w:val="Heading3"/>
        <w:spacing w:line="360" w:lineRule="auto"/>
        <w:jc w:val="both"/>
        <w:rPr>
          <w:rFonts w:ascii="Times New Roman" w:cs="Times New Roman" w:eastAsia="Times New Roman" w:hAnsi="Times New Roman"/>
          <w:b w:val="1"/>
          <w:color w:val="000000"/>
        </w:rPr>
      </w:pPr>
      <w:bookmarkStart w:colFirst="0" w:colLast="0" w:name="_3dy6vkm" w:id="6"/>
      <w:bookmarkEnd w:id="6"/>
      <w:r w:rsidDel="00000000" w:rsidR="00000000" w:rsidRPr="00000000">
        <w:rPr>
          <w:rFonts w:ascii="Times New Roman" w:cs="Times New Roman" w:eastAsia="Times New Roman" w:hAnsi="Times New Roman"/>
          <w:b w:val="1"/>
          <w:color w:val="000000"/>
          <w:rtl w:val="0"/>
        </w:rPr>
        <w:t xml:space="preserve">Advantages:</w:t>
      </w:r>
    </w:p>
    <w:p w:rsidR="00000000" w:rsidDel="00000000" w:rsidP="00000000" w:rsidRDefault="00000000" w:rsidRPr="00000000" w14:paraId="00000034">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24/7 Monitoring: CGMs provide constant glucose tracking, empowering users to take quick, informed action.</w:t>
      </w:r>
    </w:p>
    <w:p w:rsidR="00000000" w:rsidDel="00000000" w:rsidP="00000000" w:rsidRDefault="00000000" w:rsidRPr="00000000" w14:paraId="00000035">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Glycemic Control: Studies show that users achieve greater blood glucose stability, reducing risks like cardiovascular issues.</w:t>
      </w:r>
    </w:p>
    <w:p w:rsidR="00000000" w:rsidDel="00000000" w:rsidP="00000000" w:rsidRDefault="00000000" w:rsidRPr="00000000" w14:paraId="00000036">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Convenience: Unlike finger-prick tests, CGMs are a painless, hassle-free option.</w:t>
      </w:r>
    </w:p>
    <w:p w:rsidR="00000000" w:rsidDel="00000000" w:rsidP="00000000" w:rsidRDefault="00000000" w:rsidRPr="00000000" w14:paraId="00000037">
      <w:pPr>
        <w:numPr>
          <w:ilvl w:val="0"/>
          <w:numId w:val="1"/>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Integrated Data: Most CGMs sync with smartphone apps, enabling users and healthcare providers to track long-term trends.</w:t>
      </w:r>
    </w:p>
    <w:p w:rsidR="00000000" w:rsidDel="00000000" w:rsidP="00000000" w:rsidRDefault="00000000" w:rsidRPr="00000000" w14:paraId="00000038">
      <w:pPr>
        <w:keepNext w:val="1"/>
        <w:spacing w:line="360" w:lineRule="auto"/>
        <w:jc w:val="center"/>
        <w:rPr/>
      </w:pPr>
      <w:r w:rsidDel="00000000" w:rsidR="00000000" w:rsidRPr="00000000">
        <w:rPr>
          <w:rFonts w:ascii="Times New Roman" w:cs="Times New Roman" w:eastAsia="Times New Roman" w:hAnsi="Times New Roman"/>
          <w:sz w:val="24"/>
          <w:szCs w:val="24"/>
        </w:rPr>
        <w:drawing>
          <wp:inline distB="0" distT="0" distL="0" distR="0">
            <wp:extent cx="5570982" cy="3240000"/>
            <wp:effectExtent b="0" l="0" r="0" t="0"/>
            <wp:docPr descr="Mindmap of Advantages of CGMs" id="4" name="image3.png"/>
            <a:graphic>
              <a:graphicData uri="http://schemas.openxmlformats.org/drawingml/2006/picture">
                <pic:pic>
                  <pic:nvPicPr>
                    <pic:cNvPr descr="Mindmap of Advantages of CGMs" id="0" name="image3.png"/>
                    <pic:cNvPicPr preferRelativeResize="0"/>
                  </pic:nvPicPr>
                  <pic:blipFill>
                    <a:blip r:embed="rId13"/>
                    <a:srcRect b="0" l="0" r="0" t="0"/>
                    <a:stretch>
                      <a:fillRect/>
                    </a:stretch>
                  </pic:blipFill>
                  <pic:spPr>
                    <a:xfrm>
                      <a:off x="0" y="0"/>
                      <a:ext cx="5570982" cy="3240000"/>
                    </a:xfrm>
                    <a:prstGeom prst="rect"/>
                    <a:ln/>
                  </pic:spPr>
                </pic:pic>
              </a:graphicData>
            </a:graphic>
          </wp:inline>
        </w:drawing>
      </w:r>
      <w:r w:rsidDel="00000000" w:rsidR="00000000" w:rsidRPr="00000000">
        <w:rPr>
          <w:rtl w:val="0"/>
        </w:rPr>
      </w:r>
    </w:p>
    <w:p w:rsidR="00000000" w:rsidDel="00000000" w:rsidP="00000000" w:rsidRDefault="00000000" w:rsidRPr="00000000" w14:paraId="00000039">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2 Created by the learner</w:t>
      </w:r>
    </w:p>
    <w:p w:rsidR="00000000" w:rsidDel="00000000" w:rsidP="00000000" w:rsidRDefault="00000000" w:rsidRPr="00000000" w14:paraId="0000003A">
      <w:pPr>
        <w:pStyle w:val="Heading3"/>
        <w:spacing w:line="360" w:lineRule="auto"/>
        <w:jc w:val="both"/>
        <w:rPr>
          <w:rFonts w:ascii="Times New Roman" w:cs="Times New Roman" w:eastAsia="Times New Roman" w:hAnsi="Times New Roman"/>
          <w:b w:val="1"/>
          <w:color w:val="000000"/>
        </w:rPr>
      </w:pPr>
      <w:bookmarkStart w:colFirst="0" w:colLast="0" w:name="_1t3h5sf" w:id="7"/>
      <w:bookmarkEnd w:id="7"/>
      <w:r w:rsidDel="00000000" w:rsidR="00000000" w:rsidRPr="00000000">
        <w:rPr>
          <w:rFonts w:ascii="Times New Roman" w:cs="Times New Roman" w:eastAsia="Times New Roman" w:hAnsi="Times New Roman"/>
          <w:b w:val="1"/>
          <w:color w:val="000000"/>
          <w:rtl w:val="0"/>
        </w:rPr>
        <w:t xml:space="preserve">Challenges:</w:t>
      </w:r>
    </w:p>
    <w:p w:rsidR="00000000" w:rsidDel="00000000" w:rsidP="00000000" w:rsidRDefault="00000000" w:rsidRPr="00000000" w14:paraId="0000003B">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 CGMs remain expensive and aren’t universally covered by insurance, making them inaccessible for many, especially in low-income regions.</w:t>
      </w:r>
    </w:p>
    <w:p w:rsidR="00000000" w:rsidDel="00000000" w:rsidP="00000000" w:rsidRDefault="00000000" w:rsidRPr="00000000" w14:paraId="0000003C">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Limited Accessibility: While CGMs are common in high-income countries, they are scarce in low- and middle-income areas, where diabetes is rising fastest.</w:t>
      </w:r>
    </w:p>
    <w:p w:rsidR="00000000" w:rsidDel="00000000" w:rsidP="00000000" w:rsidRDefault="00000000" w:rsidRPr="00000000" w14:paraId="0000003D">
      <w:pPr>
        <w:numPr>
          <w:ilvl w:val="0"/>
          <w:numId w:val="2"/>
        </w:numPr>
        <w:spacing w:line="360" w:lineRule="auto"/>
        <w:ind w:left="720" w:hanging="360"/>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Technical Glitches: Some users report connectivity issues and occasional inaccuracies, though newer models are improving on these fronts.</w:t>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F">
      <w:pPr>
        <w:keepNext w:val="1"/>
        <w:spacing w:line="360" w:lineRule="auto"/>
        <w:jc w:val="both"/>
        <w:rPr/>
      </w:pPr>
      <w:r w:rsidDel="00000000" w:rsidR="00000000" w:rsidRPr="00000000">
        <w:rPr>
          <w:rFonts w:ascii="Times New Roman" w:cs="Times New Roman" w:eastAsia="Times New Roman" w:hAnsi="Times New Roman"/>
          <w:sz w:val="24"/>
          <w:szCs w:val="24"/>
        </w:rPr>
        <w:drawing>
          <wp:inline distB="0" distT="0" distL="0" distR="0">
            <wp:extent cx="5943600" cy="3950970"/>
            <wp:effectExtent b="0" l="0" r="0" t="0"/>
            <wp:docPr descr="Mindmap of CGMs Pros and Cons" id="7" name="image6.png"/>
            <a:graphic>
              <a:graphicData uri="http://schemas.openxmlformats.org/drawingml/2006/picture">
                <pic:pic>
                  <pic:nvPicPr>
                    <pic:cNvPr descr="Mindmap of CGMs Pros and Cons" id="0" name="image6.png"/>
                    <pic:cNvPicPr preferRelativeResize="0"/>
                  </pic:nvPicPr>
                  <pic:blipFill>
                    <a:blip r:embed="rId14"/>
                    <a:srcRect b="0" l="0" r="0" t="0"/>
                    <a:stretch>
                      <a:fillRect/>
                    </a:stretch>
                  </pic:blipFill>
                  <pic:spPr>
                    <a:xfrm>
                      <a:off x="0" y="0"/>
                      <a:ext cx="5943600" cy="3950970"/>
                    </a:xfrm>
                    <a:prstGeom prst="rect"/>
                    <a:ln/>
                  </pic:spPr>
                </pic:pic>
              </a:graphicData>
            </a:graphic>
          </wp:inline>
        </w:drawing>
      </w:r>
      <w:r w:rsidDel="00000000" w:rsidR="00000000" w:rsidRPr="00000000">
        <w:rPr>
          <w:rtl w:val="0"/>
        </w:rPr>
      </w:r>
    </w:p>
    <w:p w:rsidR="00000000" w:rsidDel="00000000" w:rsidP="00000000" w:rsidRDefault="00000000" w:rsidRPr="00000000" w14:paraId="00000040">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1"/>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Figure 3 Created by the Learner</w:t>
      </w:r>
    </w:p>
    <w:p w:rsidR="00000000" w:rsidDel="00000000" w:rsidP="00000000" w:rsidRDefault="00000000" w:rsidRPr="00000000" w14:paraId="00000041">
      <w:pPr>
        <w:pStyle w:val="Heading2"/>
        <w:spacing w:line="360" w:lineRule="auto"/>
        <w:jc w:val="both"/>
        <w:rPr>
          <w:rFonts w:ascii="Times New Roman" w:cs="Times New Roman" w:eastAsia="Times New Roman" w:hAnsi="Times New Roman"/>
          <w:b w:val="1"/>
          <w:color w:val="000000"/>
          <w:sz w:val="24"/>
          <w:szCs w:val="24"/>
        </w:rPr>
      </w:pPr>
      <w:bookmarkStart w:colFirst="0" w:colLast="0" w:name="_4d34og8" w:id="8"/>
      <w:bookmarkEnd w:id="8"/>
      <w:r w:rsidDel="00000000" w:rsidR="00000000" w:rsidRPr="00000000">
        <w:rPr>
          <w:rFonts w:ascii="Times New Roman" w:cs="Times New Roman" w:eastAsia="Times New Roman" w:hAnsi="Times New Roman"/>
          <w:b w:val="1"/>
          <w:color w:val="000000"/>
          <w:sz w:val="24"/>
          <w:szCs w:val="24"/>
          <w:rtl w:val="0"/>
        </w:rPr>
        <w:t xml:space="preserve">Addressing CGM Limitations for Greater Impact</w:t>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maximize CGMs’ impact, lowering costs and expanding access are essential steps. Manufacturers and policymakers can work together to make these devices more affordable, especially for those in resource-poor areas. Abbott is already innovating with combined glucose and ketone monitoring, planned for release in 2024, which could benefit patients at risk for ketoacidosis. The integration of CGMs with AID systems also holds promise for enhancing diabetes management.</w:t>
      </w:r>
    </w:p>
    <w:p w:rsidR="00000000" w:rsidDel="00000000" w:rsidP="00000000" w:rsidRDefault="00000000" w:rsidRPr="00000000" w14:paraId="00000043">
      <w:pPr>
        <w:pStyle w:val="Heading2"/>
        <w:spacing w:line="360" w:lineRule="auto"/>
        <w:jc w:val="both"/>
        <w:rPr>
          <w:rFonts w:ascii="Times New Roman" w:cs="Times New Roman" w:eastAsia="Times New Roman" w:hAnsi="Times New Roman"/>
          <w:b w:val="1"/>
          <w:color w:val="000000"/>
          <w:sz w:val="24"/>
          <w:szCs w:val="24"/>
        </w:rPr>
      </w:pPr>
      <w:bookmarkStart w:colFirst="0" w:colLast="0" w:name="_2s8eyo1" w:id="9"/>
      <w:bookmarkEnd w:id="9"/>
      <w:r w:rsidDel="00000000" w:rsidR="00000000" w:rsidRPr="00000000">
        <w:rPr>
          <w:rFonts w:ascii="Times New Roman" w:cs="Times New Roman" w:eastAsia="Times New Roman" w:hAnsi="Times New Roman"/>
          <w:b w:val="1"/>
          <w:color w:val="000000"/>
          <w:sz w:val="24"/>
          <w:szCs w:val="24"/>
          <w:rtl w:val="0"/>
        </w:rPr>
        <w:t xml:space="preserve">Looking Forward</w:t>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CGMs are empowering millions to manage diabetes with greater ease and control. While barriers remain, these technologies offer a promising future in diabetes care, allowing individuals worldwide to lead healthier, fuller lives.</w:t>
      </w:r>
    </w:p>
    <w:p w:rsidR="00000000" w:rsidDel="00000000" w:rsidP="00000000" w:rsidRDefault="00000000" w:rsidRPr="00000000" w14:paraId="00000045">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3600000" cy="3600000"/>
            <wp:effectExtent b="0" l="0" r="0" t="0"/>
            <wp:docPr id="6"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3600000" cy="360000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7">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9">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B">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D">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4F">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0">
      <w:pPr>
        <w:spacing w:line="360" w:lineRule="auto"/>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51">
      <w:pPr>
        <w:pStyle w:val="Heading1"/>
        <w:spacing w:line="360" w:lineRule="auto"/>
        <w:rPr>
          <w:rFonts w:ascii="Times New Roman" w:cs="Times New Roman" w:eastAsia="Times New Roman" w:hAnsi="Times New Roman"/>
          <w:b w:val="1"/>
          <w:color w:val="000000"/>
          <w:sz w:val="24"/>
          <w:szCs w:val="24"/>
        </w:rPr>
      </w:pPr>
      <w:bookmarkStart w:colFirst="0" w:colLast="0" w:name="_17dp8vu" w:id="10"/>
      <w:bookmarkEnd w:id="10"/>
      <w:r w:rsidDel="00000000" w:rsidR="00000000" w:rsidRPr="00000000">
        <w:rPr>
          <w:rFonts w:ascii="Times New Roman" w:cs="Times New Roman" w:eastAsia="Times New Roman" w:hAnsi="Times New Roman"/>
          <w:b w:val="1"/>
          <w:color w:val="000000"/>
          <w:sz w:val="24"/>
          <w:szCs w:val="24"/>
          <w:rtl w:val="0"/>
        </w:rPr>
        <w:t xml:space="preserve">Blog 2: Empowering Diabetes Care with GlucoGuide+: A Holistic Health Solution</w:t>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Diabetes is an ever-emerging world problem and it is gradually taking a leading role modifying the demographics of healthcare all over the world. In such developing countries with poor health care, more than fifty percent of diagnosed diabetics are not treated. According to </w:t>
      </w:r>
      <w:hyperlink r:id="rId16">
        <w:r w:rsidDel="00000000" w:rsidR="00000000" w:rsidRPr="00000000">
          <w:rPr>
            <w:rFonts w:ascii="Times New Roman" w:cs="Times New Roman" w:eastAsia="Times New Roman" w:hAnsi="Times New Roman"/>
            <w:color w:val="000000"/>
            <w:sz w:val="24"/>
            <w:szCs w:val="24"/>
            <w:u w:val="single"/>
            <w:rtl w:val="0"/>
          </w:rPr>
          <w:t xml:space="preserve">Md. Jamal Hossain et al. (2024)</w:t>
        </w:r>
      </w:hyperlink>
      <w:r w:rsidDel="00000000" w:rsidR="00000000" w:rsidRPr="00000000">
        <w:rPr>
          <w:rFonts w:ascii="Times New Roman" w:cs="Times New Roman" w:eastAsia="Times New Roman" w:hAnsi="Times New Roman"/>
          <w:sz w:val="24"/>
          <w:szCs w:val="24"/>
          <w:rtl w:val="0"/>
        </w:rPr>
        <w:t xml:space="preserve">, in 2022, 59% of booths, adults over 30 with diabetes were in no way receiving medications, therefore at the risk of developing complications including blindness, kidney failure, and nerve disorders. That is why satisfying these needs requires an innovative approach that does not limit itself to glucose measurement for overall health and prevention.</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6156493" cy="5783339"/>
            <wp:effectExtent b="0" l="0" r="0" t="0"/>
            <wp:docPr id="9" name="image8.png"/>
            <a:graphic>
              <a:graphicData uri="http://schemas.openxmlformats.org/drawingml/2006/picture">
                <pic:pic>
                  <pic:nvPicPr>
                    <pic:cNvPr id="0" name="image8.png"/>
                    <pic:cNvPicPr preferRelativeResize="0"/>
                  </pic:nvPicPr>
                  <pic:blipFill>
                    <a:blip r:embed="rId17"/>
                    <a:srcRect b="0" l="0" r="0" t="0"/>
                    <a:stretch>
                      <a:fillRect/>
                    </a:stretch>
                  </pic:blipFill>
                  <pic:spPr>
                    <a:xfrm>
                      <a:off x="0" y="0"/>
                      <a:ext cx="6156493" cy="5783339"/>
                    </a:xfrm>
                    <a:prstGeom prst="rect"/>
                    <a:ln/>
                  </pic:spPr>
                </pic:pic>
              </a:graphicData>
            </a:graphic>
          </wp:inline>
        </w:drawing>
      </w:r>
      <w:r w:rsidDel="00000000" w:rsidR="00000000" w:rsidRPr="00000000">
        <w:rPr>
          <w:rtl w:val="0"/>
        </w:rPr>
      </w:r>
    </w:p>
    <w:p w:rsidR="00000000" w:rsidDel="00000000" w:rsidP="00000000" w:rsidRDefault="00000000" w:rsidRPr="00000000" w14:paraId="00000054">
      <w:pPr>
        <w:pStyle w:val="Heading2"/>
        <w:spacing w:line="360" w:lineRule="auto"/>
        <w:rPr>
          <w:rFonts w:ascii="Times New Roman" w:cs="Times New Roman" w:eastAsia="Times New Roman" w:hAnsi="Times New Roman"/>
          <w:b w:val="1"/>
          <w:color w:val="000000"/>
          <w:sz w:val="24"/>
          <w:szCs w:val="24"/>
        </w:rPr>
      </w:pPr>
      <w:bookmarkStart w:colFirst="0" w:colLast="0" w:name="_3rdcrjn" w:id="11"/>
      <w:bookmarkEnd w:id="11"/>
      <w:r w:rsidDel="00000000" w:rsidR="00000000" w:rsidRPr="00000000">
        <w:rPr>
          <w:rFonts w:ascii="Times New Roman" w:cs="Times New Roman" w:eastAsia="Times New Roman" w:hAnsi="Times New Roman"/>
          <w:b w:val="1"/>
          <w:color w:val="000000"/>
          <w:sz w:val="24"/>
          <w:szCs w:val="24"/>
          <w:rtl w:val="0"/>
        </w:rPr>
        <w:t xml:space="preserve">Introducing GlucoGuide+: A Comprehensive Digital Health Companion</w:t>
      </w:r>
    </w:p>
    <w:p w:rsidR="00000000" w:rsidDel="00000000" w:rsidP="00000000" w:rsidRDefault="00000000" w:rsidRPr="00000000" w14:paraId="0000005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GlucoGuide+ is the future generation digital health solution aimed at revolutionizing diabetes care. While the GlucoGuide+ glucose monitor also provides all the basic attributes of other existing monitors it comes with added features that promote lifestyle management, telehealth support, and health advisories; novel features that can help make diabetes conscious healthier for especially minority and low-income individuals.</w:t>
      </w:r>
    </w:p>
    <w:p w:rsidR="00000000" w:rsidDel="00000000" w:rsidP="00000000" w:rsidRDefault="00000000" w:rsidRPr="00000000" w14:paraId="00000056">
      <w:pPr>
        <w:spacing w:line="360" w:lineRule="auto"/>
        <w:jc w:val="center"/>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857442" cy="6307361"/>
            <wp:effectExtent b="0" l="0" r="0" t="0"/>
            <wp:docPr id="8" name="image7.png"/>
            <a:graphic>
              <a:graphicData uri="http://schemas.openxmlformats.org/drawingml/2006/picture">
                <pic:pic>
                  <pic:nvPicPr>
                    <pic:cNvPr id="0" name="image7.png"/>
                    <pic:cNvPicPr preferRelativeResize="0"/>
                  </pic:nvPicPr>
                  <pic:blipFill>
                    <a:blip r:embed="rId18"/>
                    <a:srcRect b="0" l="0" r="0" t="0"/>
                    <a:stretch>
                      <a:fillRect/>
                    </a:stretch>
                  </pic:blipFill>
                  <pic:spPr>
                    <a:xfrm>
                      <a:off x="0" y="0"/>
                      <a:ext cx="5857442" cy="6307361"/>
                    </a:xfrm>
                    <a:prstGeom prst="rect"/>
                    <a:ln/>
                  </pic:spPr>
                </pic:pic>
              </a:graphicData>
            </a:graphic>
          </wp:inline>
        </w:drawing>
      </w:r>
      <w:r w:rsidDel="00000000" w:rsidR="00000000" w:rsidRPr="00000000">
        <w:rPr>
          <w:rtl w:val="0"/>
        </w:rPr>
      </w:r>
    </w:p>
    <w:p w:rsidR="00000000" w:rsidDel="00000000" w:rsidP="00000000" w:rsidRDefault="00000000" w:rsidRPr="00000000" w14:paraId="00000057">
      <w:pPr>
        <w:pStyle w:val="Heading2"/>
        <w:spacing w:line="360" w:lineRule="auto"/>
        <w:rPr>
          <w:rFonts w:ascii="Times New Roman" w:cs="Times New Roman" w:eastAsia="Times New Roman" w:hAnsi="Times New Roman"/>
          <w:b w:val="1"/>
          <w:color w:val="000000"/>
          <w:sz w:val="24"/>
          <w:szCs w:val="24"/>
        </w:rPr>
      </w:pPr>
      <w:bookmarkStart w:colFirst="0" w:colLast="0" w:name="_26in1rg" w:id="12"/>
      <w:bookmarkEnd w:id="12"/>
      <w:r w:rsidDel="00000000" w:rsidR="00000000" w:rsidRPr="00000000">
        <w:rPr>
          <w:rFonts w:ascii="Times New Roman" w:cs="Times New Roman" w:eastAsia="Times New Roman" w:hAnsi="Times New Roman"/>
          <w:b w:val="1"/>
          <w:color w:val="000000"/>
          <w:sz w:val="24"/>
          <w:szCs w:val="24"/>
          <w:rtl w:val="0"/>
        </w:rPr>
        <w:t xml:space="preserve">How GlucoGuide+ Enhances Health Promotion</w:t>
      </w:r>
    </w:p>
    <w:p w:rsidR="00000000" w:rsidDel="00000000" w:rsidP="00000000" w:rsidRDefault="00000000" w:rsidRPr="00000000" w14:paraId="00000058">
      <w:pPr>
        <w:spacing w:line="36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0" distT="0" distL="0" distR="0">
            <wp:extent cx="5935345" cy="4148455"/>
            <wp:effectExtent b="0" l="0" r="0" t="0"/>
            <wp:docPr id="12" name="image11.png"/>
            <a:graphic>
              <a:graphicData uri="http://schemas.openxmlformats.org/drawingml/2006/picture">
                <pic:pic>
                  <pic:nvPicPr>
                    <pic:cNvPr id="0" name="image11.png"/>
                    <pic:cNvPicPr preferRelativeResize="0"/>
                  </pic:nvPicPr>
                  <pic:blipFill>
                    <a:blip r:embed="rId19"/>
                    <a:srcRect b="0" l="0" r="0" t="0"/>
                    <a:stretch>
                      <a:fillRect/>
                    </a:stretch>
                  </pic:blipFill>
                  <pic:spPr>
                    <a:xfrm>
                      <a:off x="0" y="0"/>
                      <a:ext cx="5935345" cy="4148455"/>
                    </a:xfrm>
                    <a:prstGeom prst="rect"/>
                    <a:ln/>
                  </pic:spPr>
                </pic:pic>
              </a:graphicData>
            </a:graphic>
          </wp:inline>
        </w:drawing>
      </w:r>
      <w:r w:rsidDel="00000000" w:rsidR="00000000" w:rsidRPr="00000000">
        <w:rPr>
          <w:rtl w:val="0"/>
        </w:rPr>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pStyle w:val="Heading2"/>
        <w:spacing w:line="360" w:lineRule="auto"/>
        <w:rPr>
          <w:rFonts w:ascii="Times New Roman" w:cs="Times New Roman" w:eastAsia="Times New Roman" w:hAnsi="Times New Roman"/>
          <w:b w:val="1"/>
          <w:color w:val="000000"/>
          <w:sz w:val="24"/>
          <w:szCs w:val="24"/>
        </w:rPr>
      </w:pPr>
      <w:bookmarkStart w:colFirst="0" w:colLast="0" w:name="_lnxbz9" w:id="13"/>
      <w:bookmarkEnd w:id="13"/>
      <w:r w:rsidDel="00000000" w:rsidR="00000000" w:rsidRPr="00000000">
        <w:rPr>
          <w:rFonts w:ascii="Times New Roman" w:cs="Times New Roman" w:eastAsia="Times New Roman" w:hAnsi="Times New Roman"/>
          <w:b w:val="1"/>
          <w:color w:val="000000"/>
          <w:sz w:val="24"/>
          <w:szCs w:val="24"/>
          <w:rtl w:val="0"/>
        </w:rPr>
        <w:t xml:space="preserve">Impact of GlucoGuide+ on Diabetes Health Promotion</w:t>
      </w:r>
    </w:p>
    <w:p w:rsidR="00000000" w:rsidDel="00000000" w:rsidP="00000000" w:rsidRDefault="00000000" w:rsidRPr="00000000" w14:paraId="0000005B">
      <w:pPr>
        <w:pStyle w:val="Heading3"/>
        <w:spacing w:line="360" w:lineRule="auto"/>
        <w:rPr>
          <w:rFonts w:ascii="Times New Roman" w:cs="Times New Roman" w:eastAsia="Times New Roman" w:hAnsi="Times New Roman"/>
          <w:b w:val="1"/>
          <w:color w:val="000000"/>
        </w:rPr>
      </w:pPr>
      <w:bookmarkStart w:colFirst="0" w:colLast="0" w:name="_35nkun2" w:id="14"/>
      <w:bookmarkEnd w:id="14"/>
      <w:r w:rsidDel="00000000" w:rsidR="00000000" w:rsidRPr="00000000">
        <w:rPr>
          <w:rFonts w:ascii="Times New Roman" w:cs="Times New Roman" w:eastAsia="Times New Roman" w:hAnsi="Times New Roman"/>
          <w:b w:val="1"/>
          <w:color w:val="000000"/>
          <w:rtl w:val="0"/>
        </w:rPr>
        <w:t xml:space="preserve">Advantages:</w:t>
      </w:r>
    </w:p>
    <w:p w:rsidR="00000000" w:rsidDel="00000000" w:rsidP="00000000" w:rsidRDefault="00000000" w:rsidRPr="00000000" w14:paraId="0000005C">
      <w:pPr>
        <w:numPr>
          <w:ilvl w:val="0"/>
          <w:numId w:val="3"/>
        </w:numP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Empowers Self-Management: GlucoGuide+ puts diabetes care directly in the user’s hands, enabling informed, data-driven health decisions without the need for frequent clinical visits </w:t>
      </w:r>
      <w:hyperlink r:id="rId20">
        <w:r w:rsidDel="00000000" w:rsidR="00000000" w:rsidRPr="00000000">
          <w:rPr>
            <w:rFonts w:ascii="Times New Roman" w:cs="Times New Roman" w:eastAsia="Times New Roman" w:hAnsi="Times New Roman"/>
            <w:color w:val="000000"/>
            <w:sz w:val="24"/>
            <w:szCs w:val="24"/>
            <w:u w:val="single"/>
            <w:rtl w:val="0"/>
          </w:rPr>
          <w:t xml:space="preserve">(Lee et al., 2019)</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D">
      <w:pPr>
        <w:numPr>
          <w:ilvl w:val="0"/>
          <w:numId w:val="3"/>
        </w:numP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Boosts Long-Term Engagement: The app’s gamified features encourage consistent interaction, helping users stay motivated in reaching health goals </w:t>
      </w:r>
      <w:hyperlink r:id="rId21">
        <w:r w:rsidDel="00000000" w:rsidR="00000000" w:rsidRPr="00000000">
          <w:rPr>
            <w:rFonts w:ascii="Times New Roman" w:cs="Times New Roman" w:eastAsia="Times New Roman" w:hAnsi="Times New Roman"/>
            <w:color w:val="000000"/>
            <w:sz w:val="24"/>
            <w:szCs w:val="24"/>
            <w:u w:val="single"/>
            <w:rtl w:val="0"/>
          </w:rPr>
          <w:t xml:space="preserve">(Patil, 2024)</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E">
      <w:pPr>
        <w:numPr>
          <w:ilvl w:val="0"/>
          <w:numId w:val="3"/>
        </w:numP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Offers Comprehensive Support: Beyond glucose monitoring, GlucoGuide+ provides a holistic approach that integrates diet, activity, and mental wellness, supporting well-rounded diabetes management </w:t>
      </w:r>
      <w:hyperlink r:id="rId22">
        <w:r w:rsidDel="00000000" w:rsidR="00000000" w:rsidRPr="00000000">
          <w:rPr>
            <w:rFonts w:ascii="Times New Roman" w:cs="Times New Roman" w:eastAsia="Times New Roman" w:hAnsi="Times New Roman"/>
            <w:color w:val="000000"/>
            <w:sz w:val="24"/>
            <w:szCs w:val="24"/>
            <w:u w:val="single"/>
            <w:rtl w:val="0"/>
          </w:rPr>
          <w:t xml:space="preserve">(Laura Cipullo, 2024)</w:t>
        </w:r>
      </w:hyperlink>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5F">
      <w:pPr>
        <w:numPr>
          <w:ilvl w:val="0"/>
          <w:numId w:val="3"/>
        </w:numPr>
        <w:spacing w:line="360" w:lineRule="auto"/>
        <w:ind w:left="720" w:hanging="360"/>
        <w:jc w:val="both"/>
        <w:rPr/>
      </w:pPr>
      <w:r w:rsidDel="00000000" w:rsidR="00000000" w:rsidRPr="00000000">
        <w:rPr>
          <w:rtl w:val="0"/>
        </w:rPr>
        <w:t xml:space="preserve">GlucoGuide+ empowers patients by providing real-time health data and personalized insights, enabling them to make informed decisions and take proactive steps in their diabetes care. The app's gamified features and holistic health management tools encourage active engagement, fostering better self-management and improved outcomes.</w:t>
      </w:r>
      <w:r w:rsidDel="00000000" w:rsidR="00000000" w:rsidRPr="00000000">
        <w:rPr>
          <w:rtl w:val="0"/>
        </w:rPr>
      </w:r>
    </w:p>
    <w:p w:rsidR="00000000" w:rsidDel="00000000" w:rsidP="00000000" w:rsidRDefault="00000000" w:rsidRPr="00000000" w14:paraId="00000060">
      <w:pPr>
        <w:pStyle w:val="Heading3"/>
        <w:spacing w:line="360" w:lineRule="auto"/>
        <w:rPr>
          <w:rFonts w:ascii="Times New Roman" w:cs="Times New Roman" w:eastAsia="Times New Roman" w:hAnsi="Times New Roman"/>
          <w:b w:val="1"/>
          <w:color w:val="000000"/>
        </w:rPr>
      </w:pPr>
      <w:bookmarkStart w:colFirst="0" w:colLast="0" w:name="_1ksv4uv" w:id="15"/>
      <w:bookmarkEnd w:id="15"/>
      <w:r w:rsidDel="00000000" w:rsidR="00000000" w:rsidRPr="00000000">
        <w:rPr>
          <w:rFonts w:ascii="Times New Roman" w:cs="Times New Roman" w:eastAsia="Times New Roman" w:hAnsi="Times New Roman"/>
          <w:b w:val="1"/>
          <w:color w:val="000000"/>
          <w:rtl w:val="0"/>
        </w:rPr>
        <w:t xml:space="preserve">Shortfalls:</w:t>
      </w:r>
    </w:p>
    <w:p w:rsidR="00000000" w:rsidDel="00000000" w:rsidP="00000000" w:rsidRDefault="00000000" w:rsidRPr="00000000" w14:paraId="00000061">
      <w:pPr>
        <w:numPr>
          <w:ilvl w:val="0"/>
          <w:numId w:val="4"/>
        </w:numP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Data Privacy Concerns: Handling sensitive health information requires robust privacy measures. GlucoGuide+ addresses this by using high-level encryption and giving users control over data-sharing settings.</w:t>
      </w:r>
    </w:p>
    <w:p w:rsidR="00000000" w:rsidDel="00000000" w:rsidP="00000000" w:rsidRDefault="00000000" w:rsidRPr="00000000" w14:paraId="00000062">
      <w:pPr>
        <w:numPr>
          <w:ilvl w:val="0"/>
          <w:numId w:val="4"/>
        </w:numP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Cost and Accessibility: Advanced features like AI coaching and telehealth can increase costs, potentially limiting access for low-income users.</w:t>
      </w:r>
    </w:p>
    <w:p w:rsidR="00000000" w:rsidDel="00000000" w:rsidP="00000000" w:rsidRDefault="00000000" w:rsidRPr="00000000" w14:paraId="00000063">
      <w:pPr>
        <w:numPr>
          <w:ilvl w:val="0"/>
          <w:numId w:val="4"/>
        </w:numPr>
        <w:spacing w:line="360" w:lineRule="auto"/>
        <w:ind w:left="720" w:hanging="360"/>
        <w:jc w:val="both"/>
        <w:rPr/>
      </w:pPr>
      <w:r w:rsidDel="00000000" w:rsidR="00000000" w:rsidRPr="00000000">
        <w:rPr>
          <w:rFonts w:ascii="Times New Roman" w:cs="Times New Roman" w:eastAsia="Times New Roman" w:hAnsi="Times New Roman"/>
          <w:sz w:val="24"/>
          <w:szCs w:val="24"/>
          <w:rtl w:val="0"/>
        </w:rPr>
        <w:t xml:space="preserve">Digital Literacy Gaps: While GlucoGuide+ is designed to be user-friendly, those less familiar with technology may find it challenging, particularly older adults or those with limited digital skills.</w:t>
      </w:r>
    </w:p>
    <w:p w:rsidR="00000000" w:rsidDel="00000000" w:rsidP="00000000" w:rsidRDefault="00000000" w:rsidRPr="00000000" w14:paraId="00000064">
      <w:pPr>
        <w:keepNext w:val="1"/>
        <w:spacing w:line="360" w:lineRule="auto"/>
        <w:jc w:val="both"/>
        <w:rPr/>
      </w:pPr>
      <w:r w:rsidDel="00000000" w:rsidR="00000000" w:rsidRPr="00000000">
        <w:rPr>
          <w:rFonts w:ascii="Times New Roman" w:cs="Times New Roman" w:eastAsia="Times New Roman" w:hAnsi="Times New Roman"/>
          <w:sz w:val="24"/>
          <w:szCs w:val="24"/>
        </w:rPr>
        <w:drawing>
          <wp:inline distB="0" distT="0" distL="0" distR="0">
            <wp:extent cx="5943600" cy="3983355"/>
            <wp:effectExtent b="0" l="0" r="0" t="0"/>
            <wp:docPr descr="Impact of GlucoGuide+ on Diabetes Health Promotion" id="10" name="image9.png"/>
            <a:graphic>
              <a:graphicData uri="http://schemas.openxmlformats.org/drawingml/2006/picture">
                <pic:pic>
                  <pic:nvPicPr>
                    <pic:cNvPr descr="Impact of GlucoGuide+ on Diabetes Health Promotion" id="0" name="image9.png"/>
                    <pic:cNvPicPr preferRelativeResize="0"/>
                  </pic:nvPicPr>
                  <pic:blipFill>
                    <a:blip r:embed="rId23"/>
                    <a:srcRect b="0" l="0" r="0" t="0"/>
                    <a:stretch>
                      <a:fillRect/>
                    </a:stretch>
                  </pic:blipFill>
                  <pic:spPr>
                    <a:xfrm>
                      <a:off x="0" y="0"/>
                      <a:ext cx="5943600" cy="3983355"/>
                    </a:xfrm>
                    <a:prstGeom prst="rect"/>
                    <a:ln/>
                  </pic:spPr>
                </pic:pic>
              </a:graphicData>
            </a:graphic>
          </wp:inline>
        </w:drawing>
      </w:r>
      <w:r w:rsidDel="00000000" w:rsidR="00000000" w:rsidRPr="00000000">
        <w:rPr>
          <w:rtl w:val="0"/>
        </w:rPr>
      </w:r>
    </w:p>
    <w:p w:rsidR="00000000" w:rsidDel="00000000" w:rsidP="00000000" w:rsidRDefault="00000000" w:rsidRPr="00000000" w14:paraId="00000065">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Figure 4 Created by the Learner</w:t>
      </w:r>
    </w:p>
    <w:p w:rsidR="00000000" w:rsidDel="00000000" w:rsidP="00000000" w:rsidRDefault="00000000" w:rsidRPr="00000000" w14:paraId="0000006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7">
      <w:pPr>
        <w:pStyle w:val="Heading2"/>
        <w:spacing w:line="360" w:lineRule="auto"/>
        <w:rPr>
          <w:rFonts w:ascii="Times New Roman" w:cs="Times New Roman" w:eastAsia="Times New Roman" w:hAnsi="Times New Roman"/>
          <w:b w:val="1"/>
          <w:color w:val="000000"/>
          <w:sz w:val="24"/>
          <w:szCs w:val="24"/>
        </w:rPr>
      </w:pPr>
      <w:bookmarkStart w:colFirst="0" w:colLast="0" w:name="_44sinio" w:id="16"/>
      <w:bookmarkEnd w:id="16"/>
      <w:r w:rsidDel="00000000" w:rsidR="00000000" w:rsidRPr="00000000">
        <w:rPr>
          <w:rFonts w:ascii="Times New Roman" w:cs="Times New Roman" w:eastAsia="Times New Roman" w:hAnsi="Times New Roman"/>
          <w:b w:val="1"/>
          <w:color w:val="000000"/>
          <w:sz w:val="24"/>
          <w:szCs w:val="24"/>
          <w:rtl w:val="0"/>
        </w:rPr>
        <w:t xml:space="preserve">Addressing the Challenges</w:t>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expand access, GlucoGuide+ is building partnerships with public health organizations to subsidize app costs, especially in resource-limited areas. In-app tutorials, multilingual support, and simplified navigation further ensure the platform is accessible to diverse demographics.</w:t>
      </w:r>
    </w:p>
    <w:p w:rsidR="00000000" w:rsidDel="00000000" w:rsidP="00000000" w:rsidRDefault="00000000" w:rsidRPr="00000000" w14:paraId="00000069">
      <w:pPr>
        <w:pStyle w:val="Heading2"/>
        <w:spacing w:line="360" w:lineRule="auto"/>
        <w:rPr>
          <w:rFonts w:ascii="Times New Roman" w:cs="Times New Roman" w:eastAsia="Times New Roman" w:hAnsi="Times New Roman"/>
          <w:b w:val="1"/>
          <w:color w:val="000000"/>
          <w:sz w:val="24"/>
          <w:szCs w:val="24"/>
        </w:rPr>
      </w:pPr>
      <w:bookmarkStart w:colFirst="0" w:colLast="0" w:name="_2jxsxqh" w:id="17"/>
      <w:bookmarkEnd w:id="17"/>
      <w:r w:rsidDel="00000000" w:rsidR="00000000" w:rsidRPr="00000000">
        <w:rPr>
          <w:rFonts w:ascii="Times New Roman" w:cs="Times New Roman" w:eastAsia="Times New Roman" w:hAnsi="Times New Roman"/>
          <w:b w:val="1"/>
          <w:color w:val="000000"/>
          <w:sz w:val="24"/>
          <w:szCs w:val="24"/>
          <w:rtl w:val="0"/>
        </w:rPr>
        <w:t xml:space="preserve">Conclusion</w:t>
      </w:r>
    </w:p>
    <w:p w:rsidR="00000000" w:rsidDel="00000000" w:rsidP="00000000" w:rsidRDefault="00000000" w:rsidRPr="00000000" w14:paraId="0000006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GlucoGuide+ is more than a glucose monitor; it’s a health partner that empowers individuals to manage their diabetes through real-time support, culturally relevant guidance, and accessible healthcare. By combining technology and empathy, GlucoGuide+ addresses the complexities of diabetes care, aiming to build a healthier future for millions worldwide.</w:t>
      </w:r>
    </w:p>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sectPr>
          <w:headerReference r:id="rId24" w:type="default"/>
          <w:pgSz w:h="15840" w:w="12240" w:orient="portrait"/>
          <w:pgMar w:bottom="1440" w:top="1440" w:left="1440" w:right="1440" w:header="708" w:footer="708"/>
          <w:pgNumType w:start="1"/>
        </w:sectPr>
      </w:pPr>
      <w:r w:rsidDel="00000000" w:rsidR="00000000" w:rsidRPr="00000000">
        <w:rPr>
          <w:rtl w:val="0"/>
        </w:rPr>
      </w:r>
    </w:p>
    <w:p w:rsidR="00000000" w:rsidDel="00000000" w:rsidP="00000000" w:rsidRDefault="00000000" w:rsidRPr="00000000" w14:paraId="0000007A">
      <w:pPr>
        <w:spacing w:line="360" w:lineRule="auto"/>
        <w:jc w:val="both"/>
        <w:rPr>
          <w:rFonts w:ascii="Times New Roman" w:cs="Times New Roman" w:eastAsia="Times New Roman" w:hAnsi="Times New Roman"/>
          <w:sz w:val="24"/>
          <w:szCs w:val="24"/>
        </w:rPr>
        <w:sectPr>
          <w:type w:val="nextPage"/>
          <w:pgSz w:h="12240" w:w="15840" w:orient="landscape"/>
          <w:pgMar w:bottom="1440" w:top="1440" w:left="1440" w:right="1440" w:header="709" w:footer="709"/>
        </w:sectPr>
      </w:pPr>
      <w:r w:rsidDel="00000000" w:rsidR="00000000" w:rsidRPr="00000000">
        <w:rPr/>
        <w:drawing>
          <wp:inline distB="0" distT="0" distL="0" distR="0">
            <wp:extent cx="9082369" cy="6151268"/>
            <wp:effectExtent b="0" l="0" r="0" t="0"/>
            <wp:docPr id="11" name="image10.png"/>
            <a:graphic>
              <a:graphicData uri="http://schemas.openxmlformats.org/drawingml/2006/picture">
                <pic:pic>
                  <pic:nvPicPr>
                    <pic:cNvPr id="0" name="image10.png"/>
                    <pic:cNvPicPr preferRelativeResize="0"/>
                  </pic:nvPicPr>
                  <pic:blipFill>
                    <a:blip r:embed="rId25"/>
                    <a:srcRect b="0" l="2797" r="2958" t="0"/>
                    <a:stretch>
                      <a:fillRect/>
                    </a:stretch>
                  </pic:blipFill>
                  <pic:spPr>
                    <a:xfrm>
                      <a:off x="0" y="0"/>
                      <a:ext cx="9082369" cy="6151268"/>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pStyle w:val="Heading1"/>
        <w:rPr>
          <w:rFonts w:ascii="Times New Roman" w:cs="Times New Roman" w:eastAsia="Times New Roman" w:hAnsi="Times New Roman"/>
          <w:b w:val="1"/>
          <w:color w:val="000000"/>
          <w:sz w:val="24"/>
          <w:szCs w:val="24"/>
        </w:rPr>
      </w:pPr>
      <w:bookmarkStart w:colFirst="0" w:colLast="0" w:name="_z337ya" w:id="18"/>
      <w:bookmarkEnd w:id="18"/>
      <w:r w:rsidDel="00000000" w:rsidR="00000000" w:rsidRPr="00000000">
        <w:rPr>
          <w:rFonts w:ascii="Times New Roman" w:cs="Times New Roman" w:eastAsia="Times New Roman" w:hAnsi="Times New Roman"/>
          <w:b w:val="1"/>
          <w:color w:val="000000"/>
          <w:sz w:val="24"/>
          <w:szCs w:val="24"/>
          <w:rtl w:val="0"/>
        </w:rPr>
        <w:t xml:space="preserve">References</w:t>
      </w:r>
    </w:p>
    <w:p w:rsidR="00000000" w:rsidDel="00000000" w:rsidP="00000000" w:rsidRDefault="00000000" w:rsidRPr="00000000" w14:paraId="0000007C">
      <w:pPr>
        <w:rPr/>
      </w:pPr>
      <w:r w:rsidDel="00000000" w:rsidR="00000000" w:rsidRPr="00000000">
        <w:rPr>
          <w:rtl w:val="0"/>
        </w:rPr>
      </w:r>
    </w:p>
    <w:p w:rsidR="00000000" w:rsidDel="00000000" w:rsidP="00000000" w:rsidRDefault="00000000" w:rsidRPr="00000000" w14:paraId="0000007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Banerjee, A. (2020). Equity and Quality of Health-care Access: Where Do We Stand and the Way Forward?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Indian Journal of Community Medicine: Official Publication of Indian Association of Preventive &amp; Social Medicine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45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4–7. https://doi.org/10.4103/ijcm.IJCM_183_19</w:t>
      </w:r>
    </w:p>
    <w:p w:rsidR="00000000" w:rsidDel="00000000" w:rsidP="00000000" w:rsidRDefault="00000000" w:rsidRPr="00000000" w14:paraId="0000007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IHME. (2023, June 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Global Diabetes Cases to Soar from 529 Million to 1.3 Billion by 2050 | the Institute for Health Metrics and Evaluation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Www.healthdata.org. https://www.healthdata.org/news-events/newsroom/news-releases/global-diabetes-cases-soar-529-million-13-billion-2050</w:t>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International Diabetes Federation. (2024).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Diabetes Facts &amp; figures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International Diabetes Federation. https://idf.org/about-diabetes/diabetes-facts-figures/</w:t>
      </w:r>
    </w:p>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Kumar, S., &amp; Preetha, G. (2012). Health promotion: an Effective Tool for Global Health.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Indian Journal of Community Medicine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5–12. https://doi.org/10.4103/0970-0218.94009</w:t>
      </w:r>
    </w:p>
    <w:p w:rsidR="00000000" w:rsidDel="00000000" w:rsidP="00000000" w:rsidRDefault="00000000" w:rsidRPr="00000000" w14:paraId="0000008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Lacy, M. E., Lee, K. E., Atac, O., Heier, K., Fowlkes, J., Kucharska-Newton, A., &amp; Moga, D. C. (2024). Patterns and Trends in Continuous Glucose Monitoring Utilization Among Commercially Insured Individuals With Type 1 Diabetes: 2010–2013 to 2016–2019.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Clinical Diabetes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https://doi.org/10.2337/cd23-0051</w:t>
      </w:r>
    </w:p>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Laura Cipullo. (2024, July 30).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Blood Sugar Control Diet &amp; Continuous Glucose Monitoring</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Laura Cipullo. https://lauracipullo.com/blood-sugar-control-diet-with-continuous-glucose-monitoring/</w:t>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Lee, A. A., Piette, J. D., Heisler, M., Janevic, M. R., &amp; Rosland, A.-M. (2019). Diabetes self-management and glycemic control: The role of autonomy support from informal health supporters.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Health Psychology</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38</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(2), 122–132. https://doi.org/10.1037/hea0000710</w:t>
      </w:r>
    </w:p>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Manov, A. E., Chauhan, S., Dhillon, G., Dhaliwal, A., Antonio, S., Donepudi, A., Jalal, Y. N., Nazha, J., Banal, M., House, J., Manov, A. E., Chauhan, S., Dhillon, G. S., Dhaliwal, A., Antonio, S., Donepudi, A., Jalal, Y. N., Nazha, J., Banal, M., &amp; House, J. (2023). The Effectiveness of Continuous Glucose Monitoring Devices in Managing Uncontrolled Diabetes Mellitus: A Retrospective Study.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Cureus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15</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(7). https://doi.org/10.7759/cureus.42545</w:t>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Md. Jamal Hossain, Md. Al‐Mamun, &amp; Md. Rabiul Islam. (2024). Diabetes mellitus, the fastest growing global public health concern: Early detection should be focused.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Health Science Reports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7</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(3). https://doi.org/10.1002/hsr2.2004</w:t>
      </w:r>
    </w:p>
    <w:p w:rsidR="00000000" w:rsidDel="00000000" w:rsidP="00000000" w:rsidRDefault="00000000" w:rsidRPr="00000000" w14:paraId="0000008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3j2qqm3" w:id="19"/>
      <w:bookmarkEnd w:id="19"/>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Patel, R., &amp; Keyes, D. (2022).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Lifestyle Modification For Diabetes And Heart Disease Prevention</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PubMed; StatPearls Publishing. https://www.ncbi.nlm.nih.gov/books/NBK585052/</w:t>
      </w:r>
    </w:p>
    <w:p w:rsidR="00000000" w:rsidDel="00000000" w:rsidP="00000000" w:rsidRDefault="00000000" w:rsidRPr="00000000" w14:paraId="0000008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Patil, G. (2024, February 13).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Benefits Of Gamification In Healthcare App</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IdeaUsher. https://ideausher.com/blog/gamification-in-healthcare/</w:t>
      </w:r>
    </w:p>
    <w:p w:rsidR="00000000" w:rsidDel="00000000" w:rsidP="00000000" w:rsidRDefault="00000000" w:rsidRPr="00000000" w14:paraId="0000008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Tveiten, S. (2021).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Empowerment and Health Promotion in Hospitals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(G. Haugan &amp; M. Eriksson, Eds.). PubMed; Springer. https://www.ncbi.nlm.nih.gov/books/NBK585651/</w:t>
      </w:r>
    </w:p>
    <w:p w:rsidR="00000000" w:rsidDel="00000000" w:rsidP="00000000" w:rsidRDefault="00000000" w:rsidRPr="00000000" w14:paraId="0000008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1y810tw" w:id="20"/>
      <w:bookmarkEnd w:id="2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Vijay, K., Neuen, B. L., &amp; Lerma, E. V. (2021). When Heart Failure Collides with Diabetes and Chronic Kidney Disease: Challenges and Opportunities.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Cardiorenal Medicine</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12</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(1). https://doi.org/10.1159/000520909</w:t>
      </w:r>
    </w:p>
    <w:p w:rsidR="00000000" w:rsidDel="00000000" w:rsidP="00000000" w:rsidRDefault="00000000" w:rsidRPr="00000000" w14:paraId="0000008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480" w:lineRule="auto"/>
        <w:ind w:left="720" w:right="0" w:hanging="720"/>
        <w:jc w:val="left"/>
        <w:rPr>
          <w:rFonts w:ascii="Times New Roman" w:cs="Times New Roman" w:eastAsia="Times New Roman" w:hAnsi="Times New Roman"/>
          <w:b w:val="0"/>
          <w:i w:val="0"/>
          <w:smallCaps w:val="0"/>
          <w:strike w:val="0"/>
          <w:color w:val="000000"/>
          <w:sz w:val="24"/>
          <w:szCs w:val="24"/>
          <w:u w:val="none"/>
          <w:shd w:fill="auto" w:val="clear"/>
          <w:vertAlign w:val="baseline"/>
        </w:rPr>
        <w:sectPr>
          <w:type w:val="nextPage"/>
          <w:pgSz w:h="15840" w:w="12240" w:orient="portrait"/>
          <w:pgMar w:bottom="1440" w:top="1440" w:left="1440" w:right="1440" w:header="709" w:footer="709"/>
        </w:sect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World Health Organization. (2023, April 5). </w:t>
      </w:r>
      <w:r w:rsidDel="00000000" w:rsidR="00000000" w:rsidRPr="00000000">
        <w:rPr>
          <w:rFonts w:ascii="Times New Roman" w:cs="Times New Roman" w:eastAsia="Times New Roman" w:hAnsi="Times New Roman"/>
          <w:b w:val="0"/>
          <w:i w:val="1"/>
          <w:smallCaps w:val="0"/>
          <w:strike w:val="0"/>
          <w:color w:val="000000"/>
          <w:sz w:val="24"/>
          <w:szCs w:val="24"/>
          <w:u w:val="none"/>
          <w:shd w:fill="auto" w:val="clear"/>
          <w:vertAlign w:val="baseline"/>
          <w:rtl w:val="0"/>
        </w:rPr>
        <w:t xml:space="preserve">DIABETES</w:t>
      </w: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 World Health Organisation; WHO. https://www.who.int/news-room/fact-sheets/detail/diabetes</w:t>
      </w:r>
    </w:p>
    <w:p w:rsidR="00000000" w:rsidDel="00000000" w:rsidP="00000000" w:rsidRDefault="00000000" w:rsidRPr="00000000" w14:paraId="0000008B">
      <w:pPr>
        <w:tabs>
          <w:tab w:val="left" w:leader="none" w:pos="3563"/>
        </w:tabs>
        <w:rPr/>
      </w:pPr>
      <w:r w:rsidDel="00000000" w:rsidR="00000000" w:rsidRPr="00000000">
        <w:rPr>
          <w:rtl w:val="0"/>
        </w:rPr>
      </w:r>
    </w:p>
    <w:sectPr>
      <w:type w:val="nextPage"/>
      <w:pgSz w:h="12240" w:w="15840" w:orient="landscape"/>
      <w:pgMar w:bottom="1440" w:top="1440"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Noto Sans Symbols"/>
  <w:font w:name="Courier New"/>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C">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680"/>
        <w:tab w:val="right" w:leader="none"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f5496"/>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0" Type="http://schemas.openxmlformats.org/officeDocument/2006/relationships/hyperlink" Target="https://pmc.ncbi.nlm.nih.gov/articles/PMC6442463/" TargetMode="External"/><Relationship Id="rId22" Type="http://schemas.openxmlformats.org/officeDocument/2006/relationships/hyperlink" Target="https://lauracipullo.com/blood-sugar-control-diet-with-continuous-glucose-monitoring/" TargetMode="External"/><Relationship Id="rId21" Type="http://schemas.openxmlformats.org/officeDocument/2006/relationships/hyperlink" Target="https://ideausher.com/blog/gamification-in-healthcare/#:~:text=Enhanced%20Patient%20Engagement.%20In%20the%20realm%20of,through%20elements%20like%20competition%2C%20rewards%2C%20and%20achievements." TargetMode="External"/><Relationship Id="rId24" Type="http://schemas.openxmlformats.org/officeDocument/2006/relationships/header" Target="header1.xml"/><Relationship Id="rId23" Type="http://schemas.openxmlformats.org/officeDocument/2006/relationships/image" Target="media/image9.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2.png"/><Relationship Id="rId25" Type="http://schemas.openxmlformats.org/officeDocument/2006/relationships/image" Target="media/image10.png"/><Relationship Id="rId5" Type="http://schemas.openxmlformats.org/officeDocument/2006/relationships/styles" Target="styles.xml"/><Relationship Id="rId6" Type="http://schemas.openxmlformats.org/officeDocument/2006/relationships/image" Target="media/image2.png"/><Relationship Id="rId7" Type="http://schemas.openxmlformats.org/officeDocument/2006/relationships/hyperlink" Target="https://www.who.int/news-room/fact-sheets/detail/diabetes" TargetMode="External"/><Relationship Id="rId8" Type="http://schemas.openxmlformats.org/officeDocument/2006/relationships/image" Target="media/image1.png"/><Relationship Id="rId11" Type="http://schemas.openxmlformats.org/officeDocument/2006/relationships/image" Target="media/image4.png"/><Relationship Id="rId10" Type="http://schemas.openxmlformats.org/officeDocument/2006/relationships/hyperlink" Target="https://diabetesjournals.org/clinical/article/42/3/388/154160/Patterns-and-Trends-in-Continuous-Glucose" TargetMode="External"/><Relationship Id="rId13" Type="http://schemas.openxmlformats.org/officeDocument/2006/relationships/image" Target="media/image3.png"/><Relationship Id="rId12" Type="http://schemas.openxmlformats.org/officeDocument/2006/relationships/hyperlink" Target="https://pmc.ncbi.nlm.nih.gov/articles/PMC10460137/" TargetMode="External"/><Relationship Id="rId15" Type="http://schemas.openxmlformats.org/officeDocument/2006/relationships/image" Target="media/image5.png"/><Relationship Id="rId14" Type="http://schemas.openxmlformats.org/officeDocument/2006/relationships/image" Target="media/image6.png"/><Relationship Id="rId17" Type="http://schemas.openxmlformats.org/officeDocument/2006/relationships/image" Target="media/image8.png"/><Relationship Id="rId16" Type="http://schemas.openxmlformats.org/officeDocument/2006/relationships/hyperlink" Target="https://pubmed.ncbi.nlm.nih.gov/38524769/" TargetMode="External"/><Relationship Id="rId19" Type="http://schemas.openxmlformats.org/officeDocument/2006/relationships/image" Target="media/image11.png"/><Relationship Id="rId1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