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FBA9DB" w14:textId="77777777"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2848E3CA" wp14:editId="0F5771A9">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592C5B96"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60F2FCD0"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2848E3CA"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592C5B96"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60F2FCD0"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28B0197E" wp14:editId="06CEB9FD">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0A894423"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4F079B53"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28B0197E"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0A894423"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4F079B53"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20AFFD4B" w14:textId="77777777"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43C1CFC3" wp14:editId="7D4C5629">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06353C34" w14:textId="77777777" w:rsidR="00530E16" w:rsidRDefault="004468F8">
                            <w:pPr>
                              <w:spacing w:after="0" w:line="240" w:lineRule="auto"/>
                              <w:textDirection w:val="btLr"/>
                            </w:pPr>
                            <w:r>
                              <w:rPr>
                                <w:rFonts w:ascii="Play" w:eastAsia="Play" w:hAnsi="Play" w:cs="Play"/>
                                <w:color w:val="262626"/>
                                <w:sz w:val="72"/>
                              </w:rPr>
                              <w:t>Individual Report</w:t>
                            </w:r>
                          </w:p>
                          <w:p w14:paraId="43535528" w14:textId="43609E9E" w:rsidR="00530E16" w:rsidRDefault="004468F8">
                            <w:pPr>
                              <w:spacing w:before="120" w:line="277" w:lineRule="auto"/>
                              <w:textDirection w:val="btLr"/>
                            </w:pPr>
                            <w:r>
                              <w:rPr>
                                <w:color w:val="404040"/>
                                <w:sz w:val="36"/>
                              </w:rPr>
                              <w:t xml:space="preserve">Module Name: </w:t>
                            </w:r>
                            <w:r w:rsidR="00AD22A0">
                              <w:rPr>
                                <w:color w:val="404040"/>
                                <w:sz w:val="36"/>
                              </w:rPr>
                              <w:t>INTRODUCTION TO HEALTH AND SOCIAL CARE</w:t>
                            </w:r>
                          </w:p>
                          <w:p w14:paraId="6EF6B732" w14:textId="2D0F37BD" w:rsidR="00530E16" w:rsidRDefault="004468F8">
                            <w:pPr>
                              <w:spacing w:before="120" w:line="277" w:lineRule="auto"/>
                              <w:textDirection w:val="btLr"/>
                            </w:pPr>
                            <w:r>
                              <w:rPr>
                                <w:color w:val="404040"/>
                                <w:sz w:val="36"/>
                              </w:rPr>
                              <w:t xml:space="preserve">Module </w:t>
                            </w:r>
                            <w:r w:rsidR="00AD22A0">
                              <w:rPr>
                                <w:color w:val="404040"/>
                                <w:sz w:val="36"/>
                              </w:rPr>
                              <w:t xml:space="preserve">Code: </w:t>
                            </w:r>
                            <w:r w:rsidR="00AD22A0">
                              <w:rPr>
                                <w:color w:val="404040"/>
                                <w:sz w:val="36"/>
                              </w:rPr>
                              <w:t>[LCHS 4003-LON]</w:t>
                            </w:r>
                          </w:p>
                          <w:p w14:paraId="09DEE6F0" w14:textId="3F1C95AA" w:rsidR="00530E16" w:rsidRDefault="004468F8">
                            <w:pPr>
                              <w:spacing w:before="120" w:line="277" w:lineRule="auto"/>
                              <w:textDirection w:val="btLr"/>
                            </w:pPr>
                            <w:r>
                              <w:rPr>
                                <w:color w:val="404040"/>
                                <w:sz w:val="36"/>
                              </w:rPr>
                              <w:t xml:space="preserve">Student name: </w:t>
                            </w:r>
                            <w:r w:rsidR="00AD22A0">
                              <w:rPr>
                                <w:color w:val="404040"/>
                                <w:sz w:val="36"/>
                              </w:rPr>
                              <w:t>JANET LARKO KORLETEY</w:t>
                            </w:r>
                          </w:p>
                          <w:p w14:paraId="474E3CB6" w14:textId="3415EFEE" w:rsidR="00530E16" w:rsidRDefault="004468F8">
                            <w:pPr>
                              <w:spacing w:before="120" w:line="277" w:lineRule="auto"/>
                              <w:textDirection w:val="btLr"/>
                            </w:pPr>
                            <w:r>
                              <w:rPr>
                                <w:color w:val="404040"/>
                                <w:sz w:val="36"/>
                              </w:rPr>
                              <w:t>Student ID:</w:t>
                            </w:r>
                            <w:r w:rsidR="00AD22A0">
                              <w:rPr>
                                <w:color w:val="404040"/>
                                <w:sz w:val="36"/>
                              </w:rPr>
                              <w:t>2442969</w:t>
                            </w:r>
                          </w:p>
                          <w:p w14:paraId="1F7BDC73" w14:textId="60680B27" w:rsidR="00530E16" w:rsidRDefault="004468F8">
                            <w:pPr>
                              <w:spacing w:before="120" w:line="277" w:lineRule="auto"/>
                              <w:textDirection w:val="btLr"/>
                            </w:pPr>
                            <w:r>
                              <w:rPr>
                                <w:color w:val="404040"/>
                                <w:sz w:val="36"/>
                              </w:rPr>
                              <w:t>Lecturer’s Name:</w:t>
                            </w:r>
                            <w:r w:rsidR="00AD22A0">
                              <w:rPr>
                                <w:color w:val="404040"/>
                                <w:sz w:val="36"/>
                              </w:rPr>
                              <w:t xml:space="preserve"> MUHAMMAD ALIYU</w:t>
                            </w:r>
                            <w:r>
                              <w:rPr>
                                <w:color w:val="404040"/>
                                <w:sz w:val="36"/>
                              </w:rPr>
                              <w:t xml:space="preserve"> </w:t>
                            </w:r>
                          </w:p>
                        </w:txbxContent>
                      </wps:txbx>
                      <wps:bodyPr spcFirstLastPara="1" wrap="square" lIns="0" tIns="0" rIns="0" bIns="0" anchor="t" anchorCtr="0">
                        <a:noAutofit/>
                      </wps:bodyPr>
                    </wps:wsp>
                  </a:graphicData>
                </a:graphic>
              </wp:anchor>
            </w:drawing>
          </mc:Choice>
          <mc:Fallback>
            <w:pict>
              <v:rect w14:anchorId="43C1CFC3" id="Rectangle 33" o:spid="_x0000_s1056" style="position:absolute;margin-left:87.4pt;margin-top:220.9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Hg5ZtgEAAFIDAAAOAAAAZHJzL2Uyb0RvYy54bWysU9tu2zAMfR+wfxD0vthOZjc14hTDigwD&#10;ii1Auw9QZCkWYEsaqcTO349SkmaXt2Iv8hF1cMhD0quHaejZUQEaZxtezHLOlJWuNXbf8B8vmw9L&#10;zjAI24reWdXwk0L+sH7/bjX6Ws1d5/pWASMRi/XoG96F4OssQ9mpQeDMeWXpUTsYRKAr7LMWxEjq&#10;Q5/N87zKRgetBycVIkUfz498nfS1VjJ81xpVYH3DqbaQTkjnLp7ZeiXqPQjfGXkpQ7yhikEYS0lf&#10;pR5FEOwA5h+pwUhw6HSYSTdkTmsjVfJAbor8LzfPnfAqeaHmoH9tE/4/Wfnt+Oy3QG0YPdZIMLqY&#10;NAzxS/WxqeHzj2VZVAvOToTni+q+vDROTYFJIpR3y6K6KzmTxFjky6rIEyO7SXnA8EW5gUXQcKDJ&#10;pIaJ4xMGSk/UKyVmtm5j+j5Np7d/BIgYI9mt3ojCtJuYaSl7HGmM7Fx72gJDLzeGUj4JDFsBNNyC&#10;s5EG3nD8eRCgOOu/Wupo3I4rgCvYXYGwsnO0N4GzM/wc0hadS/t0CE6bZOOW+lIjDS65uyxZ3Izf&#10;74l1+xXWvwAAAP//AwBQSwMEFAAGAAgAAAAhAAUJ8WHiAAAADAEAAA8AAABkcnMvZG93bnJldi54&#10;bWxMj81OwzAQhO9IvIO1SNyo0xKVJMSpKn5UjqVFantzkyWJsNdR7DaBp2d7gtuMdjT7Tb4YrRFn&#10;7H3rSMF0EoFAKl3VUq3gY/t6l4DwQVOljSNU8I0eFsX1Va6zyg30judNqAWXkM+0giaELpPSlw1a&#10;7SeuQ+Lbp+utDmz7Wla9HrjcGjmLorm0uiX+0OgOnxosvzYnq2CVdMv9m/sZavNyWO3Wu/R5mwal&#10;bm/G5SOIgGP4C8MFn9GhYKajO1HlhWH/EDN6UBDHUxaXRJTMWR0VpLP0HmSRy/8jil8AAAD//wMA&#10;UEsBAi0AFAAGAAgAAAAhALaDOJL+AAAA4QEAABMAAAAAAAAAAAAAAAAAAAAAAFtDb250ZW50X1R5&#10;cGVzXS54bWxQSwECLQAUAAYACAAAACEAOP0h/9YAAACUAQAACwAAAAAAAAAAAAAAAAAvAQAAX3Jl&#10;bHMvLnJlbHNQSwECLQAUAAYACAAAACEAuR4OWbYBAABSAwAADgAAAAAAAAAAAAAAAAAuAgAAZHJz&#10;L2Uyb0RvYy54bWxQSwECLQAUAAYACAAAACEABQnxYeIAAAAMAQAADwAAAAAAAAAAAAAAAAAQBAAA&#10;ZHJzL2Rvd25yZXYueG1sUEsFBgAAAAAEAAQA8wAAAB8FAAAAAA==&#10;" filled="f" stroked="f">
                <v:textbox inset="0,0,0,0">
                  <w:txbxContent>
                    <w:p w14:paraId="06353C34" w14:textId="77777777" w:rsidR="00530E16" w:rsidRDefault="004468F8">
                      <w:pPr>
                        <w:spacing w:after="0" w:line="240" w:lineRule="auto"/>
                        <w:textDirection w:val="btLr"/>
                      </w:pPr>
                      <w:r>
                        <w:rPr>
                          <w:rFonts w:ascii="Play" w:eastAsia="Play" w:hAnsi="Play" w:cs="Play"/>
                          <w:color w:val="262626"/>
                          <w:sz w:val="72"/>
                        </w:rPr>
                        <w:t>Individual Report</w:t>
                      </w:r>
                    </w:p>
                    <w:p w14:paraId="43535528" w14:textId="43609E9E" w:rsidR="00530E16" w:rsidRDefault="004468F8">
                      <w:pPr>
                        <w:spacing w:before="120" w:line="277" w:lineRule="auto"/>
                        <w:textDirection w:val="btLr"/>
                      </w:pPr>
                      <w:r>
                        <w:rPr>
                          <w:color w:val="404040"/>
                          <w:sz w:val="36"/>
                        </w:rPr>
                        <w:t xml:space="preserve">Module Name: </w:t>
                      </w:r>
                      <w:r w:rsidR="00AD22A0">
                        <w:rPr>
                          <w:color w:val="404040"/>
                          <w:sz w:val="36"/>
                        </w:rPr>
                        <w:t>INTRODUCTION TO HEALTH AND SOCIAL CARE</w:t>
                      </w:r>
                    </w:p>
                    <w:p w14:paraId="6EF6B732" w14:textId="2D0F37BD" w:rsidR="00530E16" w:rsidRDefault="004468F8">
                      <w:pPr>
                        <w:spacing w:before="120" w:line="277" w:lineRule="auto"/>
                        <w:textDirection w:val="btLr"/>
                      </w:pPr>
                      <w:r>
                        <w:rPr>
                          <w:color w:val="404040"/>
                          <w:sz w:val="36"/>
                        </w:rPr>
                        <w:t xml:space="preserve">Module </w:t>
                      </w:r>
                      <w:r w:rsidR="00AD22A0">
                        <w:rPr>
                          <w:color w:val="404040"/>
                          <w:sz w:val="36"/>
                        </w:rPr>
                        <w:t xml:space="preserve">Code: </w:t>
                      </w:r>
                      <w:r w:rsidR="00AD22A0">
                        <w:rPr>
                          <w:color w:val="404040"/>
                          <w:sz w:val="36"/>
                        </w:rPr>
                        <w:t>[LCHS 4003-LON]</w:t>
                      </w:r>
                    </w:p>
                    <w:p w14:paraId="09DEE6F0" w14:textId="3F1C95AA" w:rsidR="00530E16" w:rsidRDefault="004468F8">
                      <w:pPr>
                        <w:spacing w:before="120" w:line="277" w:lineRule="auto"/>
                        <w:textDirection w:val="btLr"/>
                      </w:pPr>
                      <w:r>
                        <w:rPr>
                          <w:color w:val="404040"/>
                          <w:sz w:val="36"/>
                        </w:rPr>
                        <w:t xml:space="preserve">Student name: </w:t>
                      </w:r>
                      <w:r w:rsidR="00AD22A0">
                        <w:rPr>
                          <w:color w:val="404040"/>
                          <w:sz w:val="36"/>
                        </w:rPr>
                        <w:t>JANET LARKO KORLETEY</w:t>
                      </w:r>
                    </w:p>
                    <w:p w14:paraId="474E3CB6" w14:textId="3415EFEE" w:rsidR="00530E16" w:rsidRDefault="004468F8">
                      <w:pPr>
                        <w:spacing w:before="120" w:line="277" w:lineRule="auto"/>
                        <w:textDirection w:val="btLr"/>
                      </w:pPr>
                      <w:r>
                        <w:rPr>
                          <w:color w:val="404040"/>
                          <w:sz w:val="36"/>
                        </w:rPr>
                        <w:t>Student ID:</w:t>
                      </w:r>
                      <w:r w:rsidR="00AD22A0">
                        <w:rPr>
                          <w:color w:val="404040"/>
                          <w:sz w:val="36"/>
                        </w:rPr>
                        <w:t>2442969</w:t>
                      </w:r>
                    </w:p>
                    <w:p w14:paraId="1F7BDC73" w14:textId="60680B27" w:rsidR="00530E16" w:rsidRDefault="004468F8">
                      <w:pPr>
                        <w:spacing w:before="120" w:line="277" w:lineRule="auto"/>
                        <w:textDirection w:val="btLr"/>
                      </w:pPr>
                      <w:r>
                        <w:rPr>
                          <w:color w:val="404040"/>
                          <w:sz w:val="36"/>
                        </w:rPr>
                        <w:t>Lecturer’s Name:</w:t>
                      </w:r>
                      <w:r w:rsidR="00AD22A0">
                        <w:rPr>
                          <w:color w:val="404040"/>
                          <w:sz w:val="36"/>
                        </w:rPr>
                        <w:t xml:space="preserve"> MUHAMMAD ALIYU</w:t>
                      </w:r>
                      <w:r>
                        <w:rPr>
                          <w:color w:val="404040"/>
                          <w:sz w:val="36"/>
                        </w:rPr>
                        <w:t xml:space="preserve"> </w:t>
                      </w:r>
                    </w:p>
                  </w:txbxContent>
                </v:textbox>
                <w10:wrap anchorx="page" anchory="page"/>
              </v:rect>
            </w:pict>
          </mc:Fallback>
        </mc:AlternateContent>
      </w:r>
      <w:r>
        <w:br w:type="page"/>
      </w:r>
    </w:p>
    <w:p w14:paraId="1A94EBB5" w14:textId="77777777" w:rsidR="00530E16" w:rsidRDefault="00530E16">
      <w:pPr>
        <w:rPr>
          <w:rFonts w:ascii="Arial" w:eastAsia="Arial" w:hAnsi="Arial" w:cs="Arial"/>
        </w:rPr>
      </w:pPr>
    </w:p>
    <w:p w14:paraId="5E2340D7"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Content>
        <w:p w14:paraId="097B59E4" w14:textId="4BAD250B" w:rsidR="00DB181C" w:rsidRDefault="004468F8">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\h \u \z \t "Heading 1,1,Heading 2,2,Heading 3,3,"</w:instrText>
          </w:r>
          <w:r>
            <w:fldChar w:fldCharType="separate"/>
          </w:r>
          <w:hyperlink w:anchor="_Toc213674530" w:history="1">
            <w:r w:rsidR="00DB181C" w:rsidRPr="005D132F">
              <w:rPr>
                <w:rStyle w:val="Hyperlink"/>
                <w:noProof/>
              </w:rPr>
              <w:t>Research Topic:</w:t>
            </w:r>
            <w:r w:rsidR="00DB181C">
              <w:rPr>
                <w:noProof/>
                <w:webHidden/>
              </w:rPr>
              <w:tab/>
            </w:r>
            <w:r w:rsidR="00DB181C">
              <w:rPr>
                <w:noProof/>
                <w:webHidden/>
              </w:rPr>
              <w:fldChar w:fldCharType="begin"/>
            </w:r>
            <w:r w:rsidR="00DB181C">
              <w:rPr>
                <w:noProof/>
                <w:webHidden/>
              </w:rPr>
              <w:instrText xml:space="preserve"> PAGEREF _Toc213674530 \h </w:instrText>
            </w:r>
            <w:r w:rsidR="00DB181C">
              <w:rPr>
                <w:noProof/>
                <w:webHidden/>
              </w:rPr>
            </w:r>
            <w:r w:rsidR="00DB181C">
              <w:rPr>
                <w:noProof/>
                <w:webHidden/>
              </w:rPr>
              <w:fldChar w:fldCharType="separate"/>
            </w:r>
            <w:r w:rsidR="00DB181C">
              <w:rPr>
                <w:noProof/>
                <w:webHidden/>
              </w:rPr>
              <w:t>2</w:t>
            </w:r>
            <w:r w:rsidR="00DB181C">
              <w:rPr>
                <w:noProof/>
                <w:webHidden/>
              </w:rPr>
              <w:fldChar w:fldCharType="end"/>
            </w:r>
          </w:hyperlink>
        </w:p>
        <w:p w14:paraId="5C3434E0" w14:textId="77777777"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31" w:history="1">
            <w:r w:rsidRPr="005D132F">
              <w:rPr>
                <w:rStyle w:val="Hyperlink"/>
                <w:noProof/>
              </w:rPr>
              <w:t>Introduction</w:t>
            </w:r>
            <w:r>
              <w:rPr>
                <w:noProof/>
                <w:webHidden/>
              </w:rPr>
              <w:tab/>
            </w:r>
            <w:r>
              <w:rPr>
                <w:noProof/>
                <w:webHidden/>
              </w:rPr>
              <w:fldChar w:fldCharType="begin"/>
            </w:r>
            <w:r>
              <w:rPr>
                <w:noProof/>
                <w:webHidden/>
              </w:rPr>
              <w:instrText xml:space="preserve"> PAGEREF _Toc213674531 \h </w:instrText>
            </w:r>
            <w:r>
              <w:rPr>
                <w:noProof/>
                <w:webHidden/>
              </w:rPr>
            </w:r>
            <w:r>
              <w:rPr>
                <w:noProof/>
                <w:webHidden/>
              </w:rPr>
              <w:fldChar w:fldCharType="separate"/>
            </w:r>
            <w:r>
              <w:rPr>
                <w:noProof/>
                <w:webHidden/>
              </w:rPr>
              <w:t>2</w:t>
            </w:r>
            <w:r>
              <w:rPr>
                <w:noProof/>
                <w:webHidden/>
              </w:rPr>
              <w:fldChar w:fldCharType="end"/>
            </w:r>
          </w:hyperlink>
        </w:p>
        <w:p w14:paraId="59DD664A" w14:textId="203A9C1E" w:rsidR="00DB181C" w:rsidRDefault="00DB181C" w:rsidP="00550150">
          <w:pPr>
            <w:pStyle w:val="TOC2"/>
            <w:tabs>
              <w:tab w:val="right" w:leader="dot" w:pos="9016"/>
            </w:tabs>
            <w:ind w:left="0"/>
            <w:rPr>
              <w:rFonts w:asciiTheme="minorHAnsi" w:eastAsiaTheme="minorEastAsia" w:hAnsiTheme="minorHAnsi" w:cstheme="minorBidi"/>
              <w:noProof/>
              <w:sz w:val="22"/>
              <w:szCs w:val="22"/>
            </w:rPr>
          </w:pPr>
          <w:hyperlink w:anchor="_Toc213674532" w:history="1">
            <w:r>
              <w:rPr>
                <w:noProof/>
                <w:webHidden/>
              </w:rPr>
              <w:tab/>
            </w:r>
            <w:r>
              <w:rPr>
                <w:noProof/>
                <w:webHidden/>
              </w:rPr>
              <w:fldChar w:fldCharType="begin"/>
            </w:r>
            <w:r>
              <w:rPr>
                <w:noProof/>
                <w:webHidden/>
              </w:rPr>
              <w:instrText xml:space="preserve"> PAGEREF _Toc213674532 \h </w:instrText>
            </w:r>
            <w:r>
              <w:rPr>
                <w:noProof/>
                <w:webHidden/>
              </w:rPr>
            </w:r>
            <w:r>
              <w:rPr>
                <w:noProof/>
                <w:webHidden/>
              </w:rPr>
              <w:fldChar w:fldCharType="separate"/>
            </w:r>
            <w:r>
              <w:rPr>
                <w:noProof/>
                <w:webHidden/>
              </w:rPr>
              <w:t>2</w:t>
            </w:r>
            <w:r>
              <w:rPr>
                <w:noProof/>
                <w:webHidden/>
              </w:rPr>
              <w:fldChar w:fldCharType="end"/>
            </w:r>
          </w:hyperlink>
        </w:p>
        <w:p w14:paraId="1DAA1AD3" w14:textId="3831DBCD" w:rsidR="00DB181C" w:rsidRDefault="00DB181C" w:rsidP="00550150">
          <w:pPr>
            <w:pStyle w:val="TOC2"/>
            <w:tabs>
              <w:tab w:val="right" w:leader="dot" w:pos="9016"/>
            </w:tabs>
            <w:ind w:left="0"/>
            <w:rPr>
              <w:rFonts w:asciiTheme="minorHAnsi" w:eastAsiaTheme="minorEastAsia" w:hAnsiTheme="minorHAnsi" w:cstheme="minorBidi"/>
              <w:noProof/>
              <w:sz w:val="22"/>
              <w:szCs w:val="22"/>
            </w:rPr>
          </w:pPr>
          <w:hyperlink w:anchor="_Toc213674533" w:history="1">
            <w:r>
              <w:rPr>
                <w:noProof/>
                <w:webHidden/>
              </w:rPr>
              <w:tab/>
            </w:r>
            <w:r>
              <w:rPr>
                <w:noProof/>
                <w:webHidden/>
              </w:rPr>
              <w:fldChar w:fldCharType="begin"/>
            </w:r>
            <w:r>
              <w:rPr>
                <w:noProof/>
                <w:webHidden/>
              </w:rPr>
              <w:instrText xml:space="preserve"> PAGEREF _Toc213674533 \h </w:instrText>
            </w:r>
            <w:r>
              <w:rPr>
                <w:noProof/>
                <w:webHidden/>
              </w:rPr>
            </w:r>
            <w:r>
              <w:rPr>
                <w:noProof/>
                <w:webHidden/>
              </w:rPr>
              <w:fldChar w:fldCharType="separate"/>
            </w:r>
            <w:r>
              <w:rPr>
                <w:noProof/>
                <w:webHidden/>
              </w:rPr>
              <w:t>2</w:t>
            </w:r>
            <w:r>
              <w:rPr>
                <w:noProof/>
                <w:webHidden/>
              </w:rPr>
              <w:fldChar w:fldCharType="end"/>
            </w:r>
          </w:hyperlink>
        </w:p>
        <w:p w14:paraId="188C16DA" w14:textId="77777777"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41" w:history="1">
            <w:r w:rsidRPr="005D132F">
              <w:rPr>
                <w:rStyle w:val="Hyperlink"/>
                <w:noProof/>
              </w:rPr>
              <w:t>Conclusion</w:t>
            </w:r>
            <w:r>
              <w:rPr>
                <w:noProof/>
                <w:webHidden/>
              </w:rPr>
              <w:tab/>
            </w:r>
            <w:r>
              <w:rPr>
                <w:noProof/>
                <w:webHidden/>
              </w:rPr>
              <w:fldChar w:fldCharType="begin"/>
            </w:r>
            <w:r>
              <w:rPr>
                <w:noProof/>
                <w:webHidden/>
              </w:rPr>
              <w:instrText xml:space="preserve"> PAGEREF _Toc213674541 \h </w:instrText>
            </w:r>
            <w:r>
              <w:rPr>
                <w:noProof/>
                <w:webHidden/>
              </w:rPr>
            </w:r>
            <w:r>
              <w:rPr>
                <w:noProof/>
                <w:webHidden/>
              </w:rPr>
              <w:fldChar w:fldCharType="separate"/>
            </w:r>
            <w:r>
              <w:rPr>
                <w:noProof/>
                <w:webHidden/>
              </w:rPr>
              <w:t>3</w:t>
            </w:r>
            <w:r>
              <w:rPr>
                <w:noProof/>
                <w:webHidden/>
              </w:rPr>
              <w:fldChar w:fldCharType="end"/>
            </w:r>
          </w:hyperlink>
        </w:p>
        <w:p w14:paraId="5155637D" w14:textId="77777777"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42" w:history="1">
            <w:r w:rsidRPr="005D132F">
              <w:rPr>
                <w:rStyle w:val="Hyperlink"/>
                <w:noProof/>
              </w:rPr>
              <w:t>References</w:t>
            </w:r>
            <w:r>
              <w:rPr>
                <w:noProof/>
                <w:webHidden/>
              </w:rPr>
              <w:tab/>
            </w:r>
            <w:r>
              <w:rPr>
                <w:noProof/>
                <w:webHidden/>
              </w:rPr>
              <w:fldChar w:fldCharType="begin"/>
            </w:r>
            <w:r>
              <w:rPr>
                <w:noProof/>
                <w:webHidden/>
              </w:rPr>
              <w:instrText xml:space="preserve"> PAGEREF _Toc213674542 \h </w:instrText>
            </w:r>
            <w:r>
              <w:rPr>
                <w:noProof/>
                <w:webHidden/>
              </w:rPr>
            </w:r>
            <w:r>
              <w:rPr>
                <w:noProof/>
                <w:webHidden/>
              </w:rPr>
              <w:fldChar w:fldCharType="separate"/>
            </w:r>
            <w:r>
              <w:rPr>
                <w:noProof/>
                <w:webHidden/>
              </w:rPr>
              <w:t>3</w:t>
            </w:r>
            <w:r>
              <w:rPr>
                <w:noProof/>
                <w:webHidden/>
              </w:rPr>
              <w:fldChar w:fldCharType="end"/>
            </w:r>
          </w:hyperlink>
        </w:p>
        <w:p w14:paraId="53D69863" w14:textId="77777777" w:rsidR="00530E16" w:rsidRPr="00CF650B" w:rsidRDefault="004468F8">
          <w:r>
            <w:fldChar w:fldCharType="end"/>
          </w:r>
        </w:p>
      </w:sdtContent>
    </w:sdt>
    <w:p w14:paraId="6AA0EFF8" w14:textId="77777777" w:rsidR="00530E16" w:rsidRDefault="00530E16">
      <w:pPr>
        <w:rPr>
          <w:rFonts w:ascii="Arial" w:eastAsia="Arial" w:hAnsi="Arial" w:cs="Arial"/>
        </w:rPr>
      </w:pPr>
    </w:p>
    <w:p w14:paraId="3B22ED69" w14:textId="77777777" w:rsidR="00530E16" w:rsidRDefault="00530E16">
      <w:pPr>
        <w:rPr>
          <w:rFonts w:ascii="Arial" w:eastAsia="Arial" w:hAnsi="Arial" w:cs="Arial"/>
        </w:rPr>
      </w:pPr>
    </w:p>
    <w:p w14:paraId="45FAB9B3" w14:textId="77777777" w:rsidR="00530E16" w:rsidRDefault="00530E16">
      <w:pPr>
        <w:rPr>
          <w:rFonts w:ascii="Arial" w:eastAsia="Arial" w:hAnsi="Arial" w:cs="Arial"/>
        </w:rPr>
      </w:pPr>
    </w:p>
    <w:p w14:paraId="3EB2D8BA" w14:textId="77777777" w:rsidR="00530E16" w:rsidRDefault="00530E16">
      <w:pPr>
        <w:rPr>
          <w:rFonts w:ascii="Arial" w:eastAsia="Arial" w:hAnsi="Arial" w:cs="Arial"/>
        </w:rPr>
      </w:pPr>
    </w:p>
    <w:p w14:paraId="6E312318" w14:textId="77777777" w:rsidR="00530E16" w:rsidRDefault="00530E16">
      <w:pPr>
        <w:rPr>
          <w:rFonts w:ascii="Arial" w:eastAsia="Arial" w:hAnsi="Arial" w:cs="Arial"/>
        </w:rPr>
      </w:pPr>
    </w:p>
    <w:p w14:paraId="6E1C5384" w14:textId="77777777" w:rsidR="00530E16" w:rsidRDefault="00530E16">
      <w:pPr>
        <w:rPr>
          <w:rFonts w:ascii="Arial" w:eastAsia="Arial" w:hAnsi="Arial" w:cs="Arial"/>
        </w:rPr>
      </w:pPr>
    </w:p>
    <w:p w14:paraId="4FBCDC46" w14:textId="77777777" w:rsidR="00530E16" w:rsidRDefault="00530E16">
      <w:pPr>
        <w:rPr>
          <w:rFonts w:ascii="Arial" w:eastAsia="Arial" w:hAnsi="Arial" w:cs="Arial"/>
        </w:rPr>
      </w:pPr>
    </w:p>
    <w:p w14:paraId="1B5B43DF" w14:textId="77777777" w:rsidR="00530E16" w:rsidRDefault="00530E16">
      <w:pPr>
        <w:rPr>
          <w:rFonts w:ascii="Arial" w:eastAsia="Arial" w:hAnsi="Arial" w:cs="Arial"/>
        </w:rPr>
      </w:pPr>
    </w:p>
    <w:p w14:paraId="17477EB5" w14:textId="77777777" w:rsidR="00530E16" w:rsidRDefault="00530E16">
      <w:pPr>
        <w:rPr>
          <w:rFonts w:ascii="Arial" w:eastAsia="Arial" w:hAnsi="Arial" w:cs="Arial"/>
        </w:rPr>
      </w:pPr>
    </w:p>
    <w:p w14:paraId="2CD49E2D" w14:textId="77777777" w:rsidR="00530E16" w:rsidRDefault="00530E16">
      <w:pPr>
        <w:rPr>
          <w:rFonts w:ascii="Arial" w:eastAsia="Arial" w:hAnsi="Arial" w:cs="Arial"/>
        </w:rPr>
      </w:pPr>
    </w:p>
    <w:p w14:paraId="73C4F591" w14:textId="77777777" w:rsidR="00530E16" w:rsidRDefault="00530E16">
      <w:pPr>
        <w:rPr>
          <w:rFonts w:ascii="Arial" w:eastAsia="Arial" w:hAnsi="Arial" w:cs="Arial"/>
        </w:rPr>
      </w:pPr>
    </w:p>
    <w:p w14:paraId="4E4ADD6E" w14:textId="77777777" w:rsidR="002A1842" w:rsidRDefault="002A1842">
      <w:pPr>
        <w:rPr>
          <w:rFonts w:ascii="Arial" w:eastAsia="Arial" w:hAnsi="Arial" w:cs="Arial"/>
        </w:rPr>
      </w:pPr>
    </w:p>
    <w:p w14:paraId="7213FC9D" w14:textId="77777777" w:rsidR="00550150" w:rsidRDefault="00550150">
      <w:pPr>
        <w:rPr>
          <w:rFonts w:ascii="Arial" w:eastAsia="Arial" w:hAnsi="Arial" w:cs="Arial"/>
        </w:rPr>
      </w:pPr>
    </w:p>
    <w:p w14:paraId="38CBCC39" w14:textId="77777777" w:rsidR="00550150" w:rsidRDefault="00550150">
      <w:pPr>
        <w:rPr>
          <w:rFonts w:ascii="Arial" w:eastAsia="Arial" w:hAnsi="Arial" w:cs="Arial"/>
        </w:rPr>
      </w:pPr>
    </w:p>
    <w:p w14:paraId="5F0DFBA9" w14:textId="77777777" w:rsidR="00550150" w:rsidRDefault="00550150">
      <w:pPr>
        <w:rPr>
          <w:rFonts w:ascii="Arial" w:eastAsia="Arial" w:hAnsi="Arial" w:cs="Arial"/>
        </w:rPr>
      </w:pPr>
    </w:p>
    <w:p w14:paraId="5F21567B" w14:textId="77777777" w:rsidR="00550150" w:rsidRDefault="00550150">
      <w:pPr>
        <w:rPr>
          <w:rFonts w:ascii="Arial" w:eastAsia="Arial" w:hAnsi="Arial" w:cs="Arial"/>
        </w:rPr>
      </w:pPr>
    </w:p>
    <w:p w14:paraId="135F82C4" w14:textId="77777777" w:rsidR="00550150" w:rsidRDefault="00550150">
      <w:pPr>
        <w:rPr>
          <w:rFonts w:ascii="Arial" w:eastAsia="Arial" w:hAnsi="Arial" w:cs="Arial"/>
        </w:rPr>
      </w:pPr>
    </w:p>
    <w:p w14:paraId="714027CA" w14:textId="77777777" w:rsidR="00550150" w:rsidRDefault="00550150">
      <w:pPr>
        <w:rPr>
          <w:rFonts w:ascii="Arial" w:eastAsia="Arial" w:hAnsi="Arial" w:cs="Arial"/>
        </w:rPr>
      </w:pPr>
    </w:p>
    <w:p w14:paraId="481D7269" w14:textId="77777777" w:rsidR="00550150" w:rsidRDefault="00550150">
      <w:pPr>
        <w:rPr>
          <w:rFonts w:ascii="Arial" w:eastAsia="Arial" w:hAnsi="Arial" w:cs="Arial"/>
        </w:rPr>
      </w:pPr>
    </w:p>
    <w:p w14:paraId="1D03D7D5" w14:textId="77777777" w:rsidR="00550150" w:rsidRDefault="00550150">
      <w:pPr>
        <w:rPr>
          <w:rFonts w:ascii="Arial" w:eastAsia="Arial" w:hAnsi="Arial" w:cs="Arial"/>
        </w:rPr>
      </w:pPr>
    </w:p>
    <w:p w14:paraId="3A9CF1EE" w14:textId="77777777" w:rsidR="00550150" w:rsidRPr="00550150" w:rsidRDefault="00550150" w:rsidP="00550150">
      <w:pPr>
        <w:rPr>
          <w:rFonts w:ascii="Arial" w:eastAsia="Arial" w:hAnsi="Arial" w:cs="Arial"/>
          <w:b/>
          <w:bCs/>
        </w:rPr>
      </w:pPr>
      <w:r w:rsidRPr="00550150">
        <w:rPr>
          <w:rFonts w:ascii="Arial" w:eastAsia="Arial" w:hAnsi="Arial" w:cs="Arial"/>
          <w:b/>
          <w:bCs/>
        </w:rPr>
        <w:lastRenderedPageBreak/>
        <w:t>CASE STUDY OF MRS MANN</w:t>
      </w:r>
    </w:p>
    <w:p w14:paraId="31FA1905" w14:textId="77777777" w:rsidR="00550150" w:rsidRPr="00550150" w:rsidRDefault="00550150" w:rsidP="00550150">
      <w:pPr>
        <w:rPr>
          <w:rFonts w:ascii="Arial" w:eastAsia="Arial" w:hAnsi="Arial" w:cs="Arial"/>
          <w:b/>
          <w:bCs/>
        </w:rPr>
      </w:pPr>
      <w:r w:rsidRPr="00550150">
        <w:rPr>
          <w:rFonts w:ascii="Arial" w:eastAsia="Arial" w:hAnsi="Arial" w:cs="Arial"/>
          <w:b/>
          <w:bCs/>
        </w:rPr>
        <w:t>CONTENT TABLE</w:t>
      </w:r>
    </w:p>
    <w:p w14:paraId="629E9B52" w14:textId="77777777" w:rsidR="00550150" w:rsidRPr="00550150" w:rsidRDefault="00550150" w:rsidP="00550150">
      <w:pPr>
        <w:rPr>
          <w:rFonts w:ascii="Arial" w:eastAsia="Arial" w:hAnsi="Arial" w:cs="Arial"/>
        </w:rPr>
      </w:pPr>
    </w:p>
    <w:p w14:paraId="79B99611" w14:textId="77777777" w:rsidR="00550150" w:rsidRPr="00550150" w:rsidRDefault="00550150" w:rsidP="00550150">
      <w:pPr>
        <w:rPr>
          <w:rFonts w:ascii="Arial" w:eastAsia="Arial" w:hAnsi="Arial" w:cs="Arial"/>
          <w:b/>
          <w:bCs/>
        </w:rPr>
      </w:pPr>
      <w:r w:rsidRPr="00550150">
        <w:rPr>
          <w:rFonts w:ascii="Arial" w:eastAsia="Arial" w:hAnsi="Arial" w:cs="Arial"/>
          <w:b/>
          <w:bCs/>
        </w:rPr>
        <w:t>Introduction</w:t>
      </w:r>
    </w:p>
    <w:p w14:paraId="5FBEFEFD" w14:textId="77777777" w:rsidR="00550150" w:rsidRPr="00550150" w:rsidRDefault="00550150" w:rsidP="00550150">
      <w:pPr>
        <w:jc w:val="both"/>
        <w:rPr>
          <w:rFonts w:ascii="Arial" w:eastAsia="Arial" w:hAnsi="Arial" w:cs="Arial"/>
        </w:rPr>
      </w:pPr>
      <w:r w:rsidRPr="00550150">
        <w:rPr>
          <w:rFonts w:ascii="Arial" w:eastAsia="Arial" w:hAnsi="Arial" w:cs="Arial"/>
        </w:rPr>
        <w:t>In the UK, person-centred assistance, equity, partnership working, and safe, accountable practice are the cornerstones of health and social care services Health and Social Care Act 2012. When assisting vulnerable seniors with complex needs, like Mrs. Mann, a 72-year-old woman recuperating from hip replacement surgery who receives multi-agency care input at home, these concepts are especially crucial. Her case brings to light a number of important issues in the practice of health and social care, such as the necessity of good communication, strong administrative and record-keeping abilities, and cooperative collaboration among various professions. Using policy frameworks, communication theory, and laws like the Data Protection Act of 2018 and the Equality Act of 2010, this paper investigates each of these topics in regard to Mrs. Mann's situation. By doing this, the study shows how coordinated, high-quality care may be provided and how poor documentation or communication can put patient safety at risk, as demonstrated by the delayed medication adjustment (Care Quality Commission (CQC), 2021).</w:t>
      </w:r>
    </w:p>
    <w:p w14:paraId="3D4910A5" w14:textId="77777777" w:rsidR="00550150" w:rsidRPr="00550150" w:rsidRDefault="00550150" w:rsidP="00550150">
      <w:pPr>
        <w:rPr>
          <w:rFonts w:ascii="Arial" w:eastAsia="Arial" w:hAnsi="Arial" w:cs="Arial"/>
          <w:b/>
          <w:bCs/>
        </w:rPr>
      </w:pPr>
      <w:r w:rsidRPr="00550150">
        <w:rPr>
          <w:rFonts w:ascii="Arial" w:eastAsia="Arial" w:hAnsi="Arial" w:cs="Arial"/>
          <w:b/>
          <w:bCs/>
        </w:rPr>
        <w:t>IMPORTANCE OF EFFECTIVE COMMUNICATION IN MRS MANN’S CARE</w:t>
      </w:r>
    </w:p>
    <w:p w14:paraId="37105086" w14:textId="77777777" w:rsidR="00550150" w:rsidRPr="00550150" w:rsidRDefault="00550150" w:rsidP="00550150">
      <w:pPr>
        <w:jc w:val="both"/>
        <w:rPr>
          <w:rFonts w:ascii="Arial" w:eastAsia="Arial" w:hAnsi="Arial" w:cs="Arial"/>
        </w:rPr>
      </w:pPr>
      <w:r w:rsidRPr="00550150">
        <w:rPr>
          <w:rFonts w:ascii="Arial" w:eastAsia="Arial" w:hAnsi="Arial" w:cs="Arial"/>
        </w:rPr>
        <w:t>In order to guarantee that health and social care services satisfy people's requirements, uphold their rights, and encourage favourable results, effective communication is crucial (Egan, 2002). Given Mrs. Mann's weak English proficiency and preference for Urdu, communication is particularly crucial in her situation. Her health, safety, and well-being could be jeopardised by miscommunications about her treatment plan, medication schedule, and rehabilitation activities due to this language barrier. Services must offer reasonable accommodations to prevent people from being disadvantaged due to protected characteristics, such as age, disability, or even in Mrs. Mann's case, race and language issues in accordance with the Equality Act of 2010. Reasonable modifications that support equality and person-centred care include ensuring culturally sensitive communication, offering interpreters, and making information available. The Act upholds the importance of non-discriminatory behaviour and advances the principles of inclusion, respect, and dignity.</w:t>
      </w:r>
    </w:p>
    <w:p w14:paraId="07EE0292" w14:textId="77777777" w:rsidR="00550150" w:rsidRPr="00550150" w:rsidRDefault="00550150" w:rsidP="00550150">
      <w:pPr>
        <w:jc w:val="both"/>
        <w:rPr>
          <w:rFonts w:ascii="Arial" w:eastAsia="Arial" w:hAnsi="Arial" w:cs="Arial"/>
        </w:rPr>
      </w:pPr>
      <w:r w:rsidRPr="00550150">
        <w:rPr>
          <w:rFonts w:ascii="Arial" w:eastAsia="Arial" w:hAnsi="Arial" w:cs="Arial"/>
        </w:rPr>
        <w:t xml:space="preserve">Practitioners should avoid medical jargon, use straightforward language, and often verify understanding in order to interact with Mrs Mann and her family (Nursing and Midwifery Council, 2018). It is advised to hire professional translators instead of depending only on family members because this promotes accuracy, confidentiality, and moral behaviour. However, if permission is acquired and professional limits are upheld, using her daughter as a casual interpreter might still be beneficial for fostering comfort and trust. SOLER, created by (Egan, 2002), is a helpful communication model from the module that emphasises nonverbal interaction and active listening. When </w:t>
      </w:r>
      <w:r w:rsidRPr="00550150">
        <w:rPr>
          <w:rFonts w:ascii="Arial" w:eastAsia="Arial" w:hAnsi="Arial" w:cs="Arial"/>
        </w:rPr>
        <w:lastRenderedPageBreak/>
        <w:t>using SOLER, carers should: sit squarely in front of Mrs Mann, adopt an open posture, lean slightly towards her, maintain appropriate eye contact, and relax to establish a calm and encouraging environment.</w:t>
      </w:r>
    </w:p>
    <w:p w14:paraId="50E53F01" w14:textId="3FF25BB9" w:rsidR="00550150" w:rsidRPr="00550150" w:rsidRDefault="00550150" w:rsidP="00550150">
      <w:pPr>
        <w:jc w:val="both"/>
        <w:rPr>
          <w:rFonts w:ascii="Arial" w:eastAsia="Arial" w:hAnsi="Arial" w:cs="Arial"/>
        </w:rPr>
      </w:pPr>
      <w:r w:rsidRPr="00550150">
        <w:rPr>
          <w:rFonts w:ascii="Arial" w:eastAsia="Arial" w:hAnsi="Arial" w:cs="Arial"/>
        </w:rPr>
        <w:t>Building rapport can be facilitated by using SOLER, particularly when language barriers prevent spoken communication (Egan, 2002). The Health and Social Care Act of 2012's person-centred practice principles are supported by active listening, which guarantees that Mrs Mann feels heard and participated in her care (Health and Social Care Act 2012,). Equally crucial is communication within the larger care team. Communication breakdowns can compromise patient safety, as seen by the recent event with inconsistent documentation and a missed medication update (Care Quality Commission (CQC), 2021). Therefore, coordinating Mrs Mann's care among several providers requires accurate, timely, and clear verbal and written communication.</w:t>
      </w:r>
    </w:p>
    <w:p w14:paraId="05AEEA66" w14:textId="77777777" w:rsidR="00550150" w:rsidRPr="00550150" w:rsidRDefault="00550150" w:rsidP="00550150">
      <w:pPr>
        <w:rPr>
          <w:rFonts w:ascii="Arial" w:eastAsia="Arial" w:hAnsi="Arial" w:cs="Arial"/>
        </w:rPr>
      </w:pPr>
    </w:p>
    <w:p w14:paraId="22630726" w14:textId="77777777" w:rsidR="00550150" w:rsidRPr="00550150" w:rsidRDefault="00550150" w:rsidP="00550150">
      <w:pPr>
        <w:rPr>
          <w:rFonts w:ascii="Arial" w:eastAsia="Arial" w:hAnsi="Arial" w:cs="Arial"/>
          <w:b/>
          <w:bCs/>
        </w:rPr>
      </w:pPr>
      <w:r w:rsidRPr="00550150">
        <w:rPr>
          <w:rFonts w:ascii="Arial" w:eastAsia="Arial" w:hAnsi="Arial" w:cs="Arial"/>
          <w:b/>
          <w:bCs/>
        </w:rPr>
        <w:t>IMPORTANCE OF GOOD ADMINISTRATIVE AND RECORD-KEEPING SKILLS</w:t>
      </w:r>
    </w:p>
    <w:p w14:paraId="4C160A35" w14:textId="77777777" w:rsidR="00550150" w:rsidRPr="00550150" w:rsidRDefault="00550150" w:rsidP="00550150">
      <w:pPr>
        <w:jc w:val="both"/>
        <w:rPr>
          <w:rFonts w:ascii="Arial" w:eastAsia="Arial" w:hAnsi="Arial" w:cs="Arial"/>
        </w:rPr>
      </w:pPr>
      <w:r w:rsidRPr="00550150">
        <w:rPr>
          <w:rFonts w:ascii="Arial" w:eastAsia="Arial" w:hAnsi="Arial" w:cs="Arial"/>
        </w:rPr>
        <w:t>An essential component of professional practice in health and social care is maintaining excellent records. Records improve decision-making, lower risks, guarantee continuity between various experts, and give a thorough account of a person's care. The internal assessment of Mrs Mann's case, which was brought on by inconsistent documentation and a missed medication adjustment, serves as an example of the possible repercussions of subpar administrative practice, such as treatment delays and potential injury. The legal standards for handling personal data are outlined in the Data Protection Act 2018, which incorporates the UK GDPR (Department of Health and Social Care, 2018). Carers need to make sure that the data they have about Mrs Mann is processed in a transparent and legal manner, precise and current, safely stored, shared suitably and only with those who are responsible for her care, and only kept for as long as required (Department of Health and Social Care, 2018).</w:t>
      </w:r>
    </w:p>
    <w:p w14:paraId="04925F16" w14:textId="77777777" w:rsidR="00550150" w:rsidRPr="00550150" w:rsidRDefault="00550150" w:rsidP="00550150">
      <w:pPr>
        <w:jc w:val="both"/>
        <w:rPr>
          <w:rFonts w:ascii="Arial" w:eastAsia="Arial" w:hAnsi="Arial" w:cs="Arial"/>
        </w:rPr>
      </w:pPr>
      <w:r w:rsidRPr="00550150">
        <w:rPr>
          <w:rFonts w:ascii="Arial" w:eastAsia="Arial" w:hAnsi="Arial" w:cs="Arial"/>
        </w:rPr>
        <w:t>Confidentiality is a legal, moral, and professional obligation. Ensuring the security of records, whether they are digital or paper-based, preserves Mrs Mann's rights and privacy. The data minimisation principle must be adhered to when sharing information with other professionals, such as her physiotherapist or general practitioner; only pertinent information should be given (Department of Health and Social Care, 2018). Making sure that documents are truthful, understandable, and devoid of jargon is another aspect of administrative abilities. The NMC (2018) Code and CQC standards are two examples of professional groups' guidelines that highlight the need for entries to be dated, signed, and written as soon as treatment is provided. Maintaining correct records guarantees that all team members have accurate information to direct practice, facilitates audits, and encourages accountability.</w:t>
      </w:r>
    </w:p>
    <w:p w14:paraId="56CF932A" w14:textId="1031FA79" w:rsidR="00550150" w:rsidRPr="00550150" w:rsidRDefault="00550150" w:rsidP="00550150">
      <w:pPr>
        <w:jc w:val="both"/>
        <w:rPr>
          <w:rFonts w:ascii="Arial" w:eastAsia="Arial" w:hAnsi="Arial" w:cs="Arial"/>
        </w:rPr>
      </w:pPr>
      <w:r w:rsidRPr="00550150">
        <w:rPr>
          <w:rFonts w:ascii="Arial" w:eastAsia="Arial" w:hAnsi="Arial" w:cs="Arial"/>
        </w:rPr>
        <w:t xml:space="preserve">Because of the complexity of Mrs Mann's care, which includes medication monitoring, rehabilitation, and mobility support, consistent documentation is particularly crucial. </w:t>
      </w:r>
      <w:r w:rsidRPr="00550150">
        <w:rPr>
          <w:rFonts w:ascii="Arial" w:eastAsia="Arial" w:hAnsi="Arial" w:cs="Arial"/>
        </w:rPr>
        <w:lastRenderedPageBreak/>
        <w:t>Her progress, any worries, changes in her condition, and correspondence with other professionals must all be documented in her daily notes. Human error can be decreased, and consistency can be increased by employing an organised method, such as electronic care management systems or templates. Information management in health and social care is further guided by policy frameworks such as the Caldicott Principles, which emphasise necessity, proportionality, and the obligation to communicate information when necessary for safe care. The lack of communication around medication emphasises the importance of both good information exchange and confidentiality. There can be major consequences if essential updates are not shared.</w:t>
      </w:r>
      <w:r>
        <w:rPr>
          <w:rFonts w:ascii="Arial" w:eastAsia="Arial" w:hAnsi="Arial" w:cs="Arial"/>
        </w:rPr>
        <w:t xml:space="preserve"> </w:t>
      </w:r>
      <w:r w:rsidRPr="00550150">
        <w:rPr>
          <w:rFonts w:ascii="Arial" w:eastAsia="Arial" w:hAnsi="Arial" w:cs="Arial"/>
        </w:rPr>
        <w:t>Therefore, strong administrative practices guarantee accountability, continuity of care, and protection of the rights of service users. For people like Mrs Mann, it provides a vital basis for secure and efficient assistance.</w:t>
      </w:r>
    </w:p>
    <w:p w14:paraId="744D874C" w14:textId="77777777" w:rsidR="00550150" w:rsidRPr="00550150" w:rsidRDefault="00550150" w:rsidP="00550150">
      <w:pPr>
        <w:rPr>
          <w:rFonts w:ascii="Arial" w:eastAsia="Arial" w:hAnsi="Arial" w:cs="Arial"/>
          <w:b/>
          <w:bCs/>
        </w:rPr>
      </w:pPr>
      <w:r w:rsidRPr="00550150">
        <w:rPr>
          <w:rFonts w:ascii="Arial" w:eastAsia="Arial" w:hAnsi="Arial" w:cs="Arial"/>
          <w:b/>
          <w:bCs/>
        </w:rPr>
        <w:t>IMPORTANCE OF COLLABORATIVE WORKING</w:t>
      </w:r>
    </w:p>
    <w:p w14:paraId="5D4C7507" w14:textId="77777777" w:rsidR="00550150" w:rsidRPr="00550150" w:rsidRDefault="00550150" w:rsidP="00550150">
      <w:pPr>
        <w:jc w:val="both"/>
        <w:rPr>
          <w:rFonts w:ascii="Arial" w:eastAsia="Arial" w:hAnsi="Arial" w:cs="Arial"/>
        </w:rPr>
      </w:pPr>
      <w:r w:rsidRPr="00550150">
        <w:rPr>
          <w:rFonts w:ascii="Arial" w:eastAsia="Arial" w:hAnsi="Arial" w:cs="Arial"/>
        </w:rPr>
        <w:t>In order to provide integrated, person-centred care, collaborative working is essential, particularly when several professionals are involved in supporting one individual (NHS England, 2019). In Mrs Mann’s case, her general practitioner, physiotherapist, domiciliary care staff, and family members all contribute to her recovery following hip replacement surgery. Effective collaboration between these parties ensures that her daily personal care, medication administration, rehabilitation exercises, and mobility support are delivered consistently and safely, reducing the risk of fragmented or duplicated care. When professionals work together with a shared understanding of goals, Mrs Mann is more likely to experience improved outcomes and a smoother recovery process.</w:t>
      </w:r>
    </w:p>
    <w:p w14:paraId="593288A6" w14:textId="77777777" w:rsidR="00550150" w:rsidRPr="00550150" w:rsidRDefault="00550150" w:rsidP="00550150">
      <w:pPr>
        <w:jc w:val="both"/>
        <w:rPr>
          <w:rFonts w:ascii="Arial" w:eastAsia="Arial" w:hAnsi="Arial" w:cs="Arial"/>
        </w:rPr>
      </w:pPr>
      <w:r w:rsidRPr="00550150">
        <w:rPr>
          <w:rFonts w:ascii="Arial" w:eastAsia="Arial" w:hAnsi="Arial" w:cs="Arial"/>
        </w:rPr>
        <w:t>Joint review meetings, shared care planning, and regular interdisciplinary communication are key strategies that strengthen teamwork and coordination. The use of structured communication tools such as SBAR (Situation, Background, Assessment, Recommendation) supports clarity and consistency when information is exchanged between professionals. This approach minimises misunderstandings and ensures that critical updates, including changes to medication, pain levels, or mobility status, are communicated accurately and promptly (Care Quality Commission (CQC), 2021). Effective use of such frameworks promotes patient safety and accountability across services.</w:t>
      </w:r>
    </w:p>
    <w:p w14:paraId="02B132DB" w14:textId="77777777" w:rsidR="00550150" w:rsidRPr="00550150" w:rsidRDefault="00550150" w:rsidP="00550150">
      <w:pPr>
        <w:jc w:val="both"/>
        <w:rPr>
          <w:rFonts w:ascii="Arial" w:eastAsia="Arial" w:hAnsi="Arial" w:cs="Arial"/>
        </w:rPr>
      </w:pPr>
      <w:r w:rsidRPr="00550150">
        <w:rPr>
          <w:rFonts w:ascii="Arial" w:eastAsia="Arial" w:hAnsi="Arial" w:cs="Arial"/>
        </w:rPr>
        <w:t xml:space="preserve">Recognising family members as partners in care is another vital aspect of collaborative working. Mrs Mann’s daughter plays a significant role in understanding her mother’s preferences, cultural needs, and emotional well-being. Involving her appropriately in discussions and care decisions enhances trust, reassurance, and continuity, while also supporting person-centred practice. Despite its benefits, multi-agency working can present challenges, including differences in organisational priorities, communication barriers, unclear roles, and inconsistent documentation. To address these challenges, professionals must engage in open communication, respect each other’s expertise, and establish clear responsibilities. The use of shared digital records </w:t>
      </w:r>
      <w:r w:rsidRPr="00550150">
        <w:rPr>
          <w:rFonts w:ascii="Arial" w:eastAsia="Arial" w:hAnsi="Arial" w:cs="Arial"/>
        </w:rPr>
        <w:lastRenderedPageBreak/>
        <w:t>agreed communication pathways, and regular case reviews can help prevent errors such as the delayed medication adjustment experienced in Mrs Mann’s care and support safer, more coordinated practice.</w:t>
      </w:r>
    </w:p>
    <w:p w14:paraId="62F8BA46" w14:textId="77777777" w:rsidR="00550150" w:rsidRPr="00550150" w:rsidRDefault="00550150" w:rsidP="00550150">
      <w:pPr>
        <w:rPr>
          <w:rFonts w:ascii="Arial" w:eastAsia="Arial" w:hAnsi="Arial" w:cs="Arial"/>
          <w:b/>
          <w:bCs/>
        </w:rPr>
      </w:pPr>
      <w:r w:rsidRPr="00550150">
        <w:rPr>
          <w:rFonts w:ascii="Arial" w:eastAsia="Arial" w:hAnsi="Arial" w:cs="Arial"/>
          <w:b/>
          <w:bCs/>
        </w:rPr>
        <w:t>CONCLUSION</w:t>
      </w:r>
    </w:p>
    <w:p w14:paraId="7B0EEA8B" w14:textId="77777777" w:rsidR="00550150" w:rsidRPr="00550150" w:rsidRDefault="00550150" w:rsidP="00550150">
      <w:pPr>
        <w:jc w:val="both"/>
        <w:rPr>
          <w:rFonts w:ascii="Arial" w:eastAsia="Arial" w:hAnsi="Arial" w:cs="Arial"/>
        </w:rPr>
      </w:pPr>
      <w:r w:rsidRPr="00550150">
        <w:rPr>
          <w:rFonts w:ascii="Arial" w:eastAsia="Arial" w:hAnsi="Arial" w:cs="Arial"/>
        </w:rPr>
        <w:t>In the context of health and social care practice, Mrs Mann's example emphasises the interdependence of good communication, precise record-keeping, and teamwork. Meeting her linguistic and cultural needs requires clear, person-centred communication that is directed by equality legislation and supported by models like SOLER. Strong administrative abilities and compliance with the Data Protection Act of 2018 guarantee that her data is handled securely and that correct documentation promotes continuity of care. Lastly, a coordinated and all-encompassing approach to her rehabilitation is encouraged by productive collaboration between her family, care team, physiotherapist, and general practitioner. Serious hazards can result from failures in any of these areas, as seen by the missing medication adjustment (NHS England, 2019).</w:t>
      </w:r>
    </w:p>
    <w:p w14:paraId="0648C28C" w14:textId="77777777" w:rsidR="00550150" w:rsidRPr="00550150" w:rsidRDefault="00550150" w:rsidP="00550150">
      <w:pPr>
        <w:rPr>
          <w:rFonts w:ascii="Arial" w:eastAsia="Arial" w:hAnsi="Arial" w:cs="Arial"/>
        </w:rPr>
      </w:pPr>
    </w:p>
    <w:p w14:paraId="305C25A4" w14:textId="77777777" w:rsidR="00550150" w:rsidRPr="00550150" w:rsidRDefault="00550150" w:rsidP="00550150">
      <w:pPr>
        <w:rPr>
          <w:rFonts w:ascii="Arial" w:eastAsia="Arial" w:hAnsi="Arial" w:cs="Arial"/>
          <w:b/>
          <w:bCs/>
        </w:rPr>
      </w:pPr>
      <w:r w:rsidRPr="00550150">
        <w:rPr>
          <w:rFonts w:ascii="Arial" w:eastAsia="Arial" w:hAnsi="Arial" w:cs="Arial"/>
          <w:b/>
          <w:bCs/>
        </w:rPr>
        <w:t>REFERENCES</w:t>
      </w:r>
    </w:p>
    <w:p w14:paraId="5A1CC192" w14:textId="77777777" w:rsidR="00550150" w:rsidRPr="00550150" w:rsidRDefault="00550150" w:rsidP="00550150">
      <w:pPr>
        <w:rPr>
          <w:rFonts w:ascii="Arial" w:eastAsia="Arial" w:hAnsi="Arial" w:cs="Arial"/>
        </w:rPr>
      </w:pPr>
      <w:r w:rsidRPr="00550150">
        <w:rPr>
          <w:rFonts w:ascii="Arial" w:eastAsia="Arial" w:hAnsi="Arial" w:cs="Arial"/>
        </w:rPr>
        <w:t xml:space="preserve">Caldicott, F. (2013) </w:t>
      </w:r>
      <w:r w:rsidRPr="00550150">
        <w:rPr>
          <w:rFonts w:ascii="Arial" w:eastAsia="Arial" w:hAnsi="Arial" w:cs="Arial"/>
          <w:i/>
          <w:iCs/>
        </w:rPr>
        <w:t>Information: To share or not to share? The Information Governance Review</w:t>
      </w:r>
      <w:r w:rsidRPr="00550150">
        <w:rPr>
          <w:rFonts w:ascii="Arial" w:eastAsia="Arial" w:hAnsi="Arial" w:cs="Arial"/>
        </w:rPr>
        <w:t>. London: Department of Health. Available at:</w:t>
      </w:r>
      <w:r w:rsidRPr="00550150">
        <w:rPr>
          <w:rFonts w:ascii="Arial" w:eastAsia="Arial" w:hAnsi="Arial" w:cs="Arial"/>
        </w:rPr>
        <w:br/>
      </w:r>
      <w:hyperlink r:id="rId9" w:tgtFrame="_new" w:history="1">
        <w:r w:rsidRPr="00550150">
          <w:rPr>
            <w:rStyle w:val="Hyperlink"/>
            <w:rFonts w:ascii="Arial" w:eastAsia="Arial" w:hAnsi="Arial" w:cs="Arial"/>
          </w:rPr>
          <w:t>https://www.gov.uk/government/publications/the-information-governance-review</w:t>
        </w:r>
      </w:hyperlink>
    </w:p>
    <w:p w14:paraId="1C3AD256" w14:textId="77777777" w:rsidR="00550150" w:rsidRDefault="00550150" w:rsidP="00550150">
      <w:pPr>
        <w:rPr>
          <w:rFonts w:ascii="Arial" w:eastAsia="Arial" w:hAnsi="Arial" w:cs="Arial"/>
        </w:rPr>
      </w:pPr>
      <w:r w:rsidRPr="00550150">
        <w:rPr>
          <w:rFonts w:ascii="Arial" w:eastAsia="Arial" w:hAnsi="Arial" w:cs="Arial"/>
        </w:rPr>
        <w:t xml:space="preserve">Care Quality Commission (CQC) (2021) </w:t>
      </w:r>
      <w:r w:rsidRPr="00550150">
        <w:rPr>
          <w:rFonts w:ascii="Arial" w:eastAsia="Arial" w:hAnsi="Arial" w:cs="Arial"/>
          <w:i/>
          <w:iCs/>
        </w:rPr>
        <w:t>Regulation 12: Safe care and treatment</w:t>
      </w:r>
      <w:r w:rsidRPr="00550150">
        <w:rPr>
          <w:rFonts w:ascii="Arial" w:eastAsia="Arial" w:hAnsi="Arial" w:cs="Arial"/>
        </w:rPr>
        <w:t>. Available at:</w:t>
      </w:r>
      <w:r w:rsidRPr="00550150">
        <w:rPr>
          <w:rFonts w:ascii="Arial" w:eastAsia="Arial" w:hAnsi="Arial" w:cs="Arial"/>
        </w:rPr>
        <w:br/>
        <w:t>https://www.cqc.org.uk/guidance-providers/regulations-enforcement/regulation-12-safe-care-treatment</w:t>
      </w:r>
    </w:p>
    <w:p w14:paraId="04DD2622" w14:textId="53F6CBB5" w:rsidR="009713EA" w:rsidRPr="00550150" w:rsidRDefault="009713EA" w:rsidP="00550150">
      <w:pPr>
        <w:rPr>
          <w:rFonts w:ascii="Arial" w:eastAsia="Arial" w:hAnsi="Arial" w:cs="Arial"/>
        </w:rPr>
      </w:pPr>
      <w:r w:rsidRPr="009713EA">
        <w:rPr>
          <w:rFonts w:ascii="Arial" w:eastAsia="Arial" w:hAnsi="Arial" w:cs="Arial"/>
        </w:rPr>
        <w:t xml:space="preserve">National Health Service [NHS] (2022) Eating a balanced diet. Available at: https://www.nhs. </w:t>
      </w:r>
      <w:proofErr w:type="spellStart"/>
      <w:r w:rsidRPr="009713EA">
        <w:rPr>
          <w:rFonts w:ascii="Arial" w:eastAsia="Arial" w:hAnsi="Arial" w:cs="Arial"/>
        </w:rPr>
        <w:t>uk</w:t>
      </w:r>
      <w:proofErr w:type="spellEnd"/>
      <w:r w:rsidRPr="009713EA">
        <w:rPr>
          <w:rFonts w:ascii="Arial" w:eastAsia="Arial" w:hAnsi="Arial" w:cs="Arial"/>
        </w:rPr>
        <w:t>/live-well/eat-well/how-to-eat-a-balanced diet/eating-a-balanced-diet/ (Accessed: 12 January 2023)</w:t>
      </w:r>
    </w:p>
    <w:p w14:paraId="17A3EDFC" w14:textId="77777777" w:rsidR="00550150" w:rsidRPr="00550150" w:rsidRDefault="00550150" w:rsidP="00550150">
      <w:pPr>
        <w:rPr>
          <w:rFonts w:ascii="Arial" w:eastAsia="Arial" w:hAnsi="Arial" w:cs="Arial"/>
        </w:rPr>
      </w:pPr>
      <w:r w:rsidRPr="00550150">
        <w:rPr>
          <w:rFonts w:ascii="Arial" w:eastAsia="Arial" w:hAnsi="Arial" w:cs="Arial"/>
        </w:rPr>
        <w:t xml:space="preserve">Department of Health and Social Care (2018) </w:t>
      </w:r>
      <w:r w:rsidRPr="00550150">
        <w:rPr>
          <w:rFonts w:ascii="Arial" w:eastAsia="Arial" w:hAnsi="Arial" w:cs="Arial"/>
          <w:i/>
          <w:iCs/>
        </w:rPr>
        <w:t>Data Protection Act 2018</w:t>
      </w:r>
      <w:r w:rsidRPr="00550150">
        <w:rPr>
          <w:rFonts w:ascii="Arial" w:eastAsia="Arial" w:hAnsi="Arial" w:cs="Arial"/>
        </w:rPr>
        <w:t>. London: The Stationery Office. Available at:</w:t>
      </w:r>
      <w:r w:rsidRPr="00550150">
        <w:rPr>
          <w:rFonts w:ascii="Arial" w:eastAsia="Arial" w:hAnsi="Arial" w:cs="Arial"/>
        </w:rPr>
        <w:br/>
      </w:r>
      <w:hyperlink r:id="rId10" w:tgtFrame="_new" w:history="1">
        <w:r w:rsidRPr="00550150">
          <w:rPr>
            <w:rStyle w:val="Hyperlink"/>
            <w:rFonts w:ascii="Arial" w:eastAsia="Arial" w:hAnsi="Arial" w:cs="Arial"/>
          </w:rPr>
          <w:t>https://www.legislation.gov.uk/ukpga/2018/12/contents</w:t>
        </w:r>
      </w:hyperlink>
    </w:p>
    <w:p w14:paraId="06ED8DA1" w14:textId="77777777" w:rsidR="00550150" w:rsidRPr="00550150" w:rsidRDefault="00550150" w:rsidP="00550150">
      <w:pPr>
        <w:rPr>
          <w:rFonts w:ascii="Arial" w:eastAsia="Arial" w:hAnsi="Arial" w:cs="Arial"/>
        </w:rPr>
      </w:pPr>
      <w:r w:rsidRPr="00550150">
        <w:rPr>
          <w:rFonts w:ascii="Arial" w:eastAsia="Arial" w:hAnsi="Arial" w:cs="Arial"/>
        </w:rPr>
        <w:t xml:space="preserve">Egan, G. (2002) </w:t>
      </w:r>
      <w:r w:rsidRPr="00550150">
        <w:rPr>
          <w:rFonts w:ascii="Arial" w:eastAsia="Arial" w:hAnsi="Arial" w:cs="Arial"/>
          <w:i/>
          <w:iCs/>
        </w:rPr>
        <w:t>The Skilled Helper: A Problem-Management and Opportunity-Development Approach to Helping</w:t>
      </w:r>
      <w:r w:rsidRPr="00550150">
        <w:rPr>
          <w:rFonts w:ascii="Arial" w:eastAsia="Arial" w:hAnsi="Arial" w:cs="Arial"/>
        </w:rPr>
        <w:t>. 7th edn. Pacific Grove, CA: Brooks/Cole.</w:t>
      </w:r>
    </w:p>
    <w:p w14:paraId="625F0BFD" w14:textId="77777777" w:rsidR="00550150" w:rsidRPr="00550150" w:rsidRDefault="00550150" w:rsidP="00550150">
      <w:pPr>
        <w:rPr>
          <w:rFonts w:ascii="Arial" w:eastAsia="Arial" w:hAnsi="Arial" w:cs="Arial"/>
        </w:rPr>
      </w:pPr>
      <w:r w:rsidRPr="00550150">
        <w:rPr>
          <w:rFonts w:ascii="Arial" w:eastAsia="Arial" w:hAnsi="Arial" w:cs="Arial"/>
        </w:rPr>
        <w:t>Equality Act 2010. London: The Stationery Office. Available at:</w:t>
      </w:r>
      <w:r w:rsidRPr="00550150">
        <w:rPr>
          <w:rFonts w:ascii="Arial" w:eastAsia="Arial" w:hAnsi="Arial" w:cs="Arial"/>
        </w:rPr>
        <w:br/>
      </w:r>
      <w:hyperlink r:id="rId11" w:tgtFrame="_new" w:history="1">
        <w:r w:rsidRPr="00550150">
          <w:rPr>
            <w:rStyle w:val="Hyperlink"/>
            <w:rFonts w:ascii="Arial" w:eastAsia="Arial" w:hAnsi="Arial" w:cs="Arial"/>
          </w:rPr>
          <w:t>https://www.legislation.gov.uk/ukpga/2010/15/contents</w:t>
        </w:r>
      </w:hyperlink>
    </w:p>
    <w:p w14:paraId="735BD315" w14:textId="77777777" w:rsidR="00550150" w:rsidRPr="00550150" w:rsidRDefault="00550150" w:rsidP="00550150">
      <w:pPr>
        <w:rPr>
          <w:rFonts w:ascii="Arial" w:eastAsia="Arial" w:hAnsi="Arial" w:cs="Arial"/>
        </w:rPr>
      </w:pPr>
      <w:r w:rsidRPr="00550150">
        <w:rPr>
          <w:rFonts w:ascii="Arial" w:eastAsia="Arial" w:hAnsi="Arial" w:cs="Arial"/>
        </w:rPr>
        <w:t>Health and Social Care Act 2012. London: The Stationery Office. Available at:</w:t>
      </w:r>
      <w:r w:rsidRPr="00550150">
        <w:rPr>
          <w:rFonts w:ascii="Arial" w:eastAsia="Arial" w:hAnsi="Arial" w:cs="Arial"/>
        </w:rPr>
        <w:br/>
      </w:r>
      <w:hyperlink r:id="rId12" w:tgtFrame="_new" w:history="1">
        <w:r w:rsidRPr="00550150">
          <w:rPr>
            <w:rStyle w:val="Hyperlink"/>
            <w:rFonts w:ascii="Arial" w:eastAsia="Arial" w:hAnsi="Arial" w:cs="Arial"/>
          </w:rPr>
          <w:t>https://www.legislation.gov.uk/ukpga/2012/7/contents</w:t>
        </w:r>
      </w:hyperlink>
    </w:p>
    <w:p w14:paraId="24BDB53B" w14:textId="77777777" w:rsidR="00550150" w:rsidRPr="00550150" w:rsidRDefault="00550150" w:rsidP="00550150">
      <w:pPr>
        <w:rPr>
          <w:rFonts w:ascii="Arial" w:eastAsia="Arial" w:hAnsi="Arial" w:cs="Arial"/>
        </w:rPr>
      </w:pPr>
      <w:r w:rsidRPr="00550150">
        <w:rPr>
          <w:rFonts w:ascii="Arial" w:eastAsia="Arial" w:hAnsi="Arial" w:cs="Arial"/>
        </w:rPr>
        <w:lastRenderedPageBreak/>
        <w:t xml:space="preserve">NHS England (2019) </w:t>
      </w:r>
      <w:r w:rsidRPr="00550150">
        <w:rPr>
          <w:rFonts w:ascii="Arial" w:eastAsia="Arial" w:hAnsi="Arial" w:cs="Arial"/>
          <w:i/>
          <w:iCs/>
        </w:rPr>
        <w:t>The NHS Long Term Plan</w:t>
      </w:r>
      <w:r w:rsidRPr="00550150">
        <w:rPr>
          <w:rFonts w:ascii="Arial" w:eastAsia="Arial" w:hAnsi="Arial" w:cs="Arial"/>
        </w:rPr>
        <w:t>. Available at:</w:t>
      </w:r>
      <w:r w:rsidRPr="00550150">
        <w:rPr>
          <w:rFonts w:ascii="Arial" w:eastAsia="Arial" w:hAnsi="Arial" w:cs="Arial"/>
        </w:rPr>
        <w:br/>
      </w:r>
      <w:hyperlink r:id="rId13" w:tgtFrame="_new" w:history="1">
        <w:r w:rsidRPr="00550150">
          <w:rPr>
            <w:rStyle w:val="Hyperlink"/>
            <w:rFonts w:ascii="Arial" w:eastAsia="Arial" w:hAnsi="Arial" w:cs="Arial"/>
          </w:rPr>
          <w:t>https://www.longtermplan.nhs.uk</w:t>
        </w:r>
      </w:hyperlink>
    </w:p>
    <w:p w14:paraId="1CDE61CA" w14:textId="77777777" w:rsidR="00550150" w:rsidRPr="00550150" w:rsidRDefault="00550150" w:rsidP="00550150">
      <w:pPr>
        <w:rPr>
          <w:rFonts w:ascii="Arial" w:eastAsia="Arial" w:hAnsi="Arial" w:cs="Arial"/>
        </w:rPr>
      </w:pPr>
      <w:r w:rsidRPr="00550150">
        <w:rPr>
          <w:rFonts w:ascii="Arial" w:eastAsia="Arial" w:hAnsi="Arial" w:cs="Arial"/>
        </w:rPr>
        <w:t xml:space="preserve">Nursing and Midwifery Council (NMC) (2018) </w:t>
      </w:r>
      <w:r w:rsidRPr="00550150">
        <w:rPr>
          <w:rFonts w:ascii="Arial" w:eastAsia="Arial" w:hAnsi="Arial" w:cs="Arial"/>
          <w:i/>
          <w:iCs/>
        </w:rPr>
        <w:t>The Code: Professional standards of practice and behaviour for nurses, midwives and nursing associates</w:t>
      </w:r>
      <w:r w:rsidRPr="00550150">
        <w:rPr>
          <w:rFonts w:ascii="Arial" w:eastAsia="Arial" w:hAnsi="Arial" w:cs="Arial"/>
        </w:rPr>
        <w:t>. London: NMC. Available at:</w:t>
      </w:r>
      <w:r w:rsidRPr="00550150">
        <w:rPr>
          <w:rFonts w:ascii="Arial" w:eastAsia="Arial" w:hAnsi="Arial" w:cs="Arial"/>
        </w:rPr>
        <w:br/>
      </w:r>
      <w:hyperlink r:id="rId14" w:tgtFrame="_new" w:history="1">
        <w:r w:rsidRPr="00550150">
          <w:rPr>
            <w:rStyle w:val="Hyperlink"/>
            <w:rFonts w:ascii="Arial" w:eastAsia="Arial" w:hAnsi="Arial" w:cs="Arial"/>
          </w:rPr>
          <w:t>https://www.nmc.org.uk/standards/code/</w:t>
        </w:r>
      </w:hyperlink>
    </w:p>
    <w:p w14:paraId="1A5A558E" w14:textId="77777777" w:rsidR="00550150" w:rsidRPr="00550150" w:rsidRDefault="00550150" w:rsidP="00550150">
      <w:pPr>
        <w:rPr>
          <w:rFonts w:ascii="Arial" w:eastAsia="Arial" w:hAnsi="Arial" w:cs="Arial"/>
        </w:rPr>
      </w:pPr>
    </w:p>
    <w:p w14:paraId="246A0C22" w14:textId="77777777" w:rsidR="00550150" w:rsidRDefault="00550150">
      <w:pPr>
        <w:rPr>
          <w:rFonts w:ascii="Arial" w:eastAsia="Arial" w:hAnsi="Arial" w:cs="Arial"/>
        </w:rPr>
      </w:pPr>
    </w:p>
    <w:p w14:paraId="6CF2CA05" w14:textId="77777777" w:rsidR="00550150" w:rsidRDefault="00550150">
      <w:pPr>
        <w:rPr>
          <w:rFonts w:ascii="Arial" w:eastAsia="Arial" w:hAnsi="Arial" w:cs="Arial"/>
        </w:rPr>
      </w:pPr>
    </w:p>
    <w:p w14:paraId="7574F7D8" w14:textId="77777777" w:rsidR="00550150" w:rsidRDefault="00550150">
      <w:pPr>
        <w:rPr>
          <w:rFonts w:ascii="Arial" w:eastAsia="Arial" w:hAnsi="Arial" w:cs="Arial"/>
        </w:rPr>
      </w:pPr>
    </w:p>
    <w:p w14:paraId="11D2584D" w14:textId="77777777" w:rsidR="00550150" w:rsidRDefault="00550150">
      <w:pPr>
        <w:rPr>
          <w:rFonts w:ascii="Arial" w:eastAsia="Arial" w:hAnsi="Arial" w:cs="Arial"/>
        </w:rPr>
      </w:pPr>
    </w:p>
    <w:p w14:paraId="7FDF4E81" w14:textId="77777777" w:rsidR="00550150" w:rsidRDefault="00550150">
      <w:pPr>
        <w:rPr>
          <w:rFonts w:ascii="Arial" w:eastAsia="Arial" w:hAnsi="Arial" w:cs="Arial"/>
        </w:rPr>
      </w:pPr>
    </w:p>
    <w:p w14:paraId="3872CE58" w14:textId="77777777" w:rsidR="00550150" w:rsidRDefault="00550150">
      <w:pPr>
        <w:rPr>
          <w:rFonts w:ascii="Arial" w:eastAsia="Arial" w:hAnsi="Arial" w:cs="Arial"/>
        </w:rPr>
        <w:sectPr w:rsidR="00550150">
          <w:footerReference w:type="default" r:id="rId15"/>
          <w:pgSz w:w="11906" w:h="16838"/>
          <w:pgMar w:top="1440" w:right="1440" w:bottom="1440" w:left="1440" w:header="708" w:footer="708" w:gutter="0"/>
          <w:pgNumType w:start="0"/>
          <w:cols w:space="720"/>
          <w:titlePg/>
        </w:sectPr>
      </w:pPr>
    </w:p>
    <w:p w14:paraId="77879AC1" w14:textId="399A1272" w:rsidR="00530E16" w:rsidRPr="007637E9" w:rsidRDefault="00530E16">
      <w:pPr>
        <w:rPr>
          <w:rFonts w:ascii="Arial" w:eastAsia="Arial" w:hAnsi="Arial" w:cs="Arial"/>
          <w:color w:val="FF0000"/>
          <w:sz w:val="22"/>
          <w:szCs w:val="22"/>
        </w:rPr>
      </w:pPr>
    </w:p>
    <w:sectPr w:rsidR="00530E16" w:rsidRPr="007637E9" w:rsidSect="00722EFE">
      <w:footerReference w:type="first" r:id="rId16"/>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9815FB" w14:textId="77777777" w:rsidR="001E32EA" w:rsidRDefault="001E32EA" w:rsidP="002A1842">
      <w:pPr>
        <w:spacing w:after="0" w:line="240" w:lineRule="auto"/>
      </w:pPr>
      <w:r>
        <w:separator/>
      </w:r>
    </w:p>
  </w:endnote>
  <w:endnote w:type="continuationSeparator" w:id="0">
    <w:p w14:paraId="6B6F55ED" w14:textId="77777777" w:rsidR="001E32EA" w:rsidRDefault="001E32EA"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144FBED1" w14:textId="77777777" w:rsidR="00722EFE" w:rsidRDefault="00722EFE">
        <w:pPr>
          <w:pStyle w:val="Footer"/>
          <w:jc w:val="center"/>
        </w:pPr>
        <w:r>
          <w:fldChar w:fldCharType="begin"/>
        </w:r>
        <w:r>
          <w:instrText xml:space="preserve"> PAGE   \* MERGEFORMAT </w:instrText>
        </w:r>
        <w:r>
          <w:fldChar w:fldCharType="separate"/>
        </w:r>
        <w:r w:rsidR="00DB181C">
          <w:rPr>
            <w:noProof/>
          </w:rPr>
          <w:t>3</w:t>
        </w:r>
        <w:r>
          <w:rPr>
            <w:noProof/>
          </w:rPr>
          <w:fldChar w:fldCharType="end"/>
        </w:r>
      </w:p>
    </w:sdtContent>
  </w:sdt>
  <w:p w14:paraId="525823D4"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6FE46419" w14:textId="77777777" w:rsidR="00722EFE" w:rsidRDefault="00722EFE">
        <w:pPr>
          <w:pStyle w:val="Footer"/>
          <w:jc w:val="center"/>
        </w:pPr>
        <w:r>
          <w:fldChar w:fldCharType="begin"/>
        </w:r>
        <w:r>
          <w:instrText xml:space="preserve"> PAGE   \* MERGEFORMAT </w:instrText>
        </w:r>
        <w:r>
          <w:fldChar w:fldCharType="separate"/>
        </w:r>
        <w:r w:rsidR="00CF650B">
          <w:rPr>
            <w:noProof/>
          </w:rPr>
          <w:t>1</w:t>
        </w:r>
        <w:r>
          <w:rPr>
            <w:noProof/>
          </w:rPr>
          <w:fldChar w:fldCharType="end"/>
        </w:r>
      </w:p>
    </w:sdtContent>
  </w:sdt>
  <w:p w14:paraId="27E10EB7"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D0EFCB" w14:textId="77777777" w:rsidR="001E32EA" w:rsidRDefault="001E32EA" w:rsidP="002A1842">
      <w:pPr>
        <w:spacing w:after="0" w:line="240" w:lineRule="auto"/>
      </w:pPr>
      <w:r>
        <w:separator/>
      </w:r>
    </w:p>
  </w:footnote>
  <w:footnote w:type="continuationSeparator" w:id="0">
    <w:p w14:paraId="348E5FA5" w14:textId="77777777" w:rsidR="001E32EA" w:rsidRDefault="001E32EA"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1664434333">
    <w:abstractNumId w:val="5"/>
  </w:num>
  <w:num w:numId="2" w16cid:durableId="980381696">
    <w:abstractNumId w:val="3"/>
  </w:num>
  <w:num w:numId="3" w16cid:durableId="586768235">
    <w:abstractNumId w:val="2"/>
  </w:num>
  <w:num w:numId="4" w16cid:durableId="700326099">
    <w:abstractNumId w:val="1"/>
  </w:num>
  <w:num w:numId="5" w16cid:durableId="1475295289">
    <w:abstractNumId w:val="4"/>
  </w:num>
  <w:num w:numId="6" w16cid:durableId="1783724178">
    <w:abstractNumId w:val="0"/>
  </w:num>
  <w:num w:numId="7" w16cid:durableId="777716808">
    <w:abstractNumId w:val="7"/>
  </w:num>
  <w:num w:numId="8" w16cid:durableId="204925992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445CB"/>
    <w:rsid w:val="00172AD1"/>
    <w:rsid w:val="00172CFD"/>
    <w:rsid w:val="001813E7"/>
    <w:rsid w:val="001E32EA"/>
    <w:rsid w:val="00203BEE"/>
    <w:rsid w:val="0027251C"/>
    <w:rsid w:val="002A1842"/>
    <w:rsid w:val="004468F8"/>
    <w:rsid w:val="00530E16"/>
    <w:rsid w:val="00550150"/>
    <w:rsid w:val="00722EFE"/>
    <w:rsid w:val="007637E9"/>
    <w:rsid w:val="008E7834"/>
    <w:rsid w:val="009713EA"/>
    <w:rsid w:val="009F60D1"/>
    <w:rsid w:val="00A75B15"/>
    <w:rsid w:val="00AD22A0"/>
    <w:rsid w:val="00AE06EA"/>
    <w:rsid w:val="00B65ED6"/>
    <w:rsid w:val="00BA0043"/>
    <w:rsid w:val="00CF650B"/>
    <w:rsid w:val="00D62A9C"/>
    <w:rsid w:val="00DB181C"/>
    <w:rsid w:val="00F618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871F14"/>
  <w15:docId w15:val="{9761AA29-190D-48A1-B665-4ADA871DB0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 w:type="character" w:styleId="UnresolvedMention">
    <w:name w:val="Unresolved Mention"/>
    <w:basedOn w:val="DefaultParagraphFont"/>
    <w:uiPriority w:val="99"/>
    <w:semiHidden/>
    <w:unhideWhenUsed/>
    <w:rsid w:val="0055015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longtermplan.nhs.uk" TargetMode="Externa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legislation.gov.uk/ukpga/2012/7/contents"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legislation.gov.uk/ukpga/2010/15/contents" TargetMode="External"/><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hyperlink" Target="https://www.legislation.gov.uk/ukpga/2018/12/contents" TargetMode="External"/><Relationship Id="rId4" Type="http://schemas.openxmlformats.org/officeDocument/2006/relationships/styles" Target="styles.xml"/><Relationship Id="rId9" Type="http://schemas.openxmlformats.org/officeDocument/2006/relationships/hyperlink" Target="https://www.gov.uk/government/publications/the-information-governance-review" TargetMode="External"/><Relationship Id="rId14" Type="http://schemas.openxmlformats.org/officeDocument/2006/relationships/hyperlink" Target="https://www.nmc.org.uk/standards/co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08EDDE3B-5547-47AB-A2B0-D976164ABA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7</Pages>
  <Words>1770</Words>
  <Characters>10943</Characters>
  <Application>Microsoft Office Word</Application>
  <DocSecurity>0</DocSecurity>
  <Lines>223</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University of Wales Trinity Saint David</dc:creator>
  <cp:keywords/>
  <dc:description/>
  <cp:lastModifiedBy>Janet Larko Korletey (2442969)</cp:lastModifiedBy>
  <cp:revision>2</cp:revision>
  <dcterms:created xsi:type="dcterms:W3CDTF">2025-11-10T13:20:00Z</dcterms:created>
  <dcterms:modified xsi:type="dcterms:W3CDTF">2025-12-18T18:59:00Z</dcterms:modified>
</cp:coreProperties>
</file>