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B18F6" w14:textId="22EE9C2C" w:rsidR="00280953" w:rsidRPr="002E6E2C" w:rsidRDefault="002E6E2C" w:rsidP="00577BDC">
      <w:pPr>
        <w:rPr>
          <w:sz w:val="36"/>
          <w:szCs w:val="36"/>
          <w:lang w:val="en-US"/>
        </w:rPr>
      </w:pPr>
      <w:r>
        <w:rPr>
          <w:sz w:val="36"/>
          <w:szCs w:val="36"/>
          <w:lang w:val="en-US"/>
        </w:rPr>
        <w:t xml:space="preserve">EU </w:t>
      </w:r>
      <w:r w:rsidR="00577BDC" w:rsidRPr="00577BDC">
        <w:rPr>
          <w:sz w:val="36"/>
          <w:szCs w:val="36"/>
          <w:lang w:val="en-US"/>
        </w:rPr>
        <w:t>assignment</w:t>
      </w:r>
    </w:p>
    <w:p w14:paraId="6320D6A1" w14:textId="36145100" w:rsidR="00E777C1" w:rsidRPr="00E777C1" w:rsidRDefault="00280953" w:rsidP="00577BDC">
      <w:pPr>
        <w:rPr>
          <w:sz w:val="28"/>
          <w:szCs w:val="28"/>
          <w:lang w:val="en-US"/>
        </w:rPr>
      </w:pPr>
      <w:r>
        <w:rPr>
          <w:sz w:val="28"/>
          <w:szCs w:val="28"/>
          <w:lang w:val="en-US"/>
        </w:rPr>
        <w:t>D</w:t>
      </w:r>
      <w:r w:rsidRPr="00280953">
        <w:rPr>
          <w:sz w:val="28"/>
          <w:szCs w:val="28"/>
          <w:lang w:val="en-US"/>
        </w:rPr>
        <w:t>emocratic deficit in the EU refers to the absence of or discrepancy between "what is" and "what ought to be" in terms of democracy in the EU; democratic deficit in the EU refers to the lack of or discrepancy between "what is" and "what ought to be" in terms of democracy in the EU. David Marquand was the first to introduce the term "democratic deficit" in a historical context. In the 1970s, Marquand coined the term "democratic deficit" to define the European Community institutions' democratic credibility.</w:t>
      </w:r>
      <w:r w:rsidR="00577BDC">
        <w:rPr>
          <w:sz w:val="28"/>
          <w:szCs w:val="28"/>
        </w:rPr>
        <w:t xml:space="preserve"> (Azman, 2011).</w:t>
      </w:r>
      <w:r w:rsidR="006830BD">
        <w:rPr>
          <w:sz w:val="28"/>
          <w:szCs w:val="28"/>
        </w:rPr>
        <w:t xml:space="preserve"> </w:t>
      </w:r>
    </w:p>
    <w:p w14:paraId="58B7B880" w14:textId="77777777" w:rsidR="00E777C1" w:rsidRPr="00E777C1" w:rsidRDefault="00E777C1" w:rsidP="00E777C1">
      <w:pPr>
        <w:rPr>
          <w:sz w:val="28"/>
          <w:szCs w:val="28"/>
        </w:rPr>
      </w:pPr>
      <w:r w:rsidRPr="00E777C1">
        <w:rPr>
          <w:sz w:val="28"/>
          <w:szCs w:val="28"/>
        </w:rPr>
        <w:t xml:space="preserve">According to Article 10 (3) TEU, "Every person shall have the right to participate in the democratic life of the union." Decisions should be made as plainly and transparently as </w:t>
      </w:r>
      <w:proofErr w:type="spellStart"/>
      <w:proofErr w:type="gramStart"/>
      <w:r w:rsidRPr="00E777C1">
        <w:rPr>
          <w:sz w:val="28"/>
          <w:szCs w:val="28"/>
        </w:rPr>
        <w:t>possible.However</w:t>
      </w:r>
      <w:proofErr w:type="spellEnd"/>
      <w:proofErr w:type="gramEnd"/>
      <w:r w:rsidRPr="00E777C1">
        <w:rPr>
          <w:sz w:val="28"/>
          <w:szCs w:val="28"/>
        </w:rPr>
        <w:t xml:space="preserve">, according to </w:t>
      </w:r>
      <w:proofErr w:type="spellStart"/>
      <w:r w:rsidRPr="00E777C1">
        <w:rPr>
          <w:sz w:val="28"/>
          <w:szCs w:val="28"/>
        </w:rPr>
        <w:t>Warliegh</w:t>
      </w:r>
      <w:proofErr w:type="spellEnd"/>
      <w:r w:rsidRPr="00E777C1">
        <w:rPr>
          <w:sz w:val="28"/>
          <w:szCs w:val="28"/>
        </w:rPr>
        <w:t xml:space="preserve"> (2003), </w:t>
      </w:r>
      <w:proofErr w:type="spellStart"/>
      <w:r w:rsidRPr="00E777C1">
        <w:rPr>
          <w:sz w:val="28"/>
          <w:szCs w:val="28"/>
        </w:rPr>
        <w:t>Nenwtich</w:t>
      </w:r>
      <w:proofErr w:type="spellEnd"/>
      <w:r w:rsidRPr="00E777C1">
        <w:rPr>
          <w:sz w:val="28"/>
          <w:szCs w:val="28"/>
        </w:rPr>
        <w:t xml:space="preserve"> believes that while there are many and growing political opportunity structures accessible to EU individuals interested in engaging in Union politics, the majority of these ways are both informal and restricted in their prospective influence (</w:t>
      </w:r>
      <w:proofErr w:type="spellStart"/>
      <w:r w:rsidRPr="00E777C1">
        <w:rPr>
          <w:sz w:val="28"/>
          <w:szCs w:val="28"/>
        </w:rPr>
        <w:t>Nentwich</w:t>
      </w:r>
      <w:proofErr w:type="spellEnd"/>
      <w:r w:rsidRPr="00E777C1">
        <w:rPr>
          <w:sz w:val="28"/>
          <w:szCs w:val="28"/>
        </w:rPr>
        <w:t xml:space="preserve"> 1998). In order to fully engage with Union members from civil society, the EU must have more of an impact on openness and transparency than it has been able to do thus far. According to </w:t>
      </w:r>
      <w:proofErr w:type="spellStart"/>
      <w:r w:rsidRPr="00E777C1">
        <w:rPr>
          <w:sz w:val="28"/>
          <w:szCs w:val="28"/>
        </w:rPr>
        <w:t>Warliegh</w:t>
      </w:r>
      <w:proofErr w:type="spellEnd"/>
      <w:r w:rsidRPr="00E777C1">
        <w:rPr>
          <w:sz w:val="28"/>
          <w:szCs w:val="28"/>
        </w:rPr>
        <w:t xml:space="preserve"> (2003), While the Union has little experience with public consultations, it does have a great deal of experience in allowing private interests to influence the political process. Article 11(2) of the EU Treaty is founded on the belief that such participation by interested and affected parties could help to realise the democratic principle. </w:t>
      </w:r>
      <w:proofErr w:type="spellStart"/>
      <w:r w:rsidRPr="00E777C1">
        <w:rPr>
          <w:sz w:val="28"/>
          <w:szCs w:val="28"/>
        </w:rPr>
        <w:t>Bogdandy</w:t>
      </w:r>
      <w:proofErr w:type="spellEnd"/>
      <w:r w:rsidRPr="00E777C1">
        <w:rPr>
          <w:sz w:val="28"/>
          <w:szCs w:val="28"/>
        </w:rPr>
        <w:t>, (2012). Article 12 TEU comes under the human rights act and states that "National Parliaments contribute actively to the good functioning of the Union."</w:t>
      </w:r>
    </w:p>
    <w:p w14:paraId="16D13707" w14:textId="77777777" w:rsidR="00AF5471" w:rsidRDefault="00E777C1" w:rsidP="00AF5471">
      <w:pPr>
        <w:rPr>
          <w:sz w:val="28"/>
          <w:szCs w:val="28"/>
        </w:rPr>
      </w:pPr>
      <w:r w:rsidRPr="00E777C1">
        <w:rPr>
          <w:sz w:val="28"/>
          <w:szCs w:val="28"/>
        </w:rPr>
        <w:t>The European Union itself is a supernational organisation and sits above all member states as the higher authority. Art. 13 TEU gives a list of the 7 main institutions.</w:t>
      </w:r>
      <w:r w:rsidR="00461E40" w:rsidRPr="00461E40">
        <w:t xml:space="preserve"> </w:t>
      </w:r>
      <w:r w:rsidR="00461E40" w:rsidRPr="00461E40">
        <w:rPr>
          <w:sz w:val="28"/>
          <w:szCs w:val="28"/>
        </w:rPr>
        <w:t>The Nice7 Inter-Governmental Conference (IGC) in December 2000 recognised "the need to develop and evaluate the Union's democratic legitimacy and openness in order to bring them closer to the populations of the Member States."</w:t>
      </w:r>
      <w:r w:rsidR="00461E40">
        <w:rPr>
          <w:sz w:val="28"/>
          <w:szCs w:val="28"/>
        </w:rPr>
        <w:t xml:space="preserve"> </w:t>
      </w:r>
    </w:p>
    <w:p w14:paraId="76151CBF" w14:textId="215D63FA" w:rsidR="00AF5471" w:rsidRPr="00AF5471" w:rsidRDefault="00AF5471" w:rsidP="00AF5471">
      <w:pPr>
        <w:rPr>
          <w:sz w:val="28"/>
          <w:szCs w:val="28"/>
        </w:rPr>
      </w:pPr>
      <w:r w:rsidRPr="00AF5471">
        <w:rPr>
          <w:sz w:val="28"/>
          <w:szCs w:val="28"/>
        </w:rPr>
        <w:t>Article 17(2) TEU states that the European Commission's responsibility is to design policies and propose new EU treaty laws. The commission's major roles are to guarantee that the treaties' main provisions are followed by the MS, to initiate EU legislation, and to operate as the EU's executive, administering and executing common laws.</w:t>
      </w:r>
    </w:p>
    <w:p w14:paraId="22FCCD9D" w14:textId="77777777" w:rsidR="00AF5471" w:rsidRPr="00AF5471" w:rsidRDefault="00AF5471" w:rsidP="00AF5471">
      <w:pPr>
        <w:rPr>
          <w:sz w:val="28"/>
          <w:szCs w:val="28"/>
        </w:rPr>
      </w:pPr>
      <w:r w:rsidRPr="00AF5471">
        <w:rPr>
          <w:sz w:val="28"/>
          <w:szCs w:val="28"/>
        </w:rPr>
        <w:lastRenderedPageBreak/>
        <w:t>Art. 258, TFEU</w:t>
      </w:r>
    </w:p>
    <w:p w14:paraId="790EC9AF" w14:textId="27396CC1" w:rsidR="00AF5471" w:rsidRPr="00AF5471" w:rsidRDefault="00AF5471" w:rsidP="00AF5471">
      <w:pPr>
        <w:rPr>
          <w:sz w:val="28"/>
          <w:szCs w:val="28"/>
        </w:rPr>
      </w:pPr>
      <w:proofErr w:type="spellStart"/>
      <w:r w:rsidRPr="00AF5471">
        <w:rPr>
          <w:sz w:val="28"/>
          <w:szCs w:val="28"/>
        </w:rPr>
        <w:t>Omoshebi</w:t>
      </w:r>
      <w:proofErr w:type="spellEnd"/>
      <w:r w:rsidRPr="00AF5471">
        <w:rPr>
          <w:sz w:val="28"/>
          <w:szCs w:val="28"/>
        </w:rPr>
        <w:t xml:space="preserve"> (2022) If the Commission believes a Member State has failed to meet a duty under the Treaty,</w:t>
      </w:r>
      <w:r w:rsidRPr="00AF5471">
        <w:rPr>
          <w:rFonts w:ascii="Times New Roman" w:eastAsia="Times New Roman" w:hAnsi="Times New Roman" w:cs="Times New Roman"/>
          <w:sz w:val="24"/>
          <w:szCs w:val="24"/>
          <w:lang w:eastAsia="en-GB"/>
        </w:rPr>
        <w:t xml:space="preserve"> </w:t>
      </w:r>
      <w:r w:rsidRPr="00AF5471">
        <w:rPr>
          <w:sz w:val="28"/>
          <w:szCs w:val="28"/>
        </w:rPr>
        <w:t>Commissioners are appointed by one member from each member state. They appoint someone to represent them for 6 years (article 19 TEU).</w:t>
      </w:r>
      <w:r w:rsidR="005B1D58">
        <w:rPr>
          <w:sz w:val="28"/>
          <w:szCs w:val="28"/>
        </w:rPr>
        <w:t xml:space="preserve"> </w:t>
      </w:r>
      <w:r w:rsidRPr="00AF5471">
        <w:rPr>
          <w:sz w:val="28"/>
          <w:szCs w:val="28"/>
        </w:rPr>
        <w:t>Each member state nominates a commissioner, but the European Parliament must approve the choices. The European Commission must also be approved by the European Parliament</w:t>
      </w:r>
      <w:r w:rsidR="005B1D58">
        <w:rPr>
          <w:sz w:val="28"/>
          <w:szCs w:val="28"/>
        </w:rPr>
        <w:t xml:space="preserve">, </w:t>
      </w:r>
      <w:r w:rsidRPr="00AF5471">
        <w:rPr>
          <w:sz w:val="28"/>
          <w:szCs w:val="28"/>
        </w:rPr>
        <w:t>Article 17 TEU.</w:t>
      </w:r>
    </w:p>
    <w:p w14:paraId="475C45E5" w14:textId="77777777" w:rsidR="00AF5471" w:rsidRPr="00AF5471" w:rsidRDefault="00AF5471" w:rsidP="00AF5471">
      <w:pPr>
        <w:rPr>
          <w:sz w:val="28"/>
          <w:szCs w:val="28"/>
        </w:rPr>
      </w:pPr>
      <w:r w:rsidRPr="00AF5471">
        <w:rPr>
          <w:sz w:val="28"/>
          <w:szCs w:val="28"/>
        </w:rPr>
        <w:t>to standardise the laws governing the free movement of architects within the EU. Following the Court of Justice's Cassis de Dijon ruling, the Commission proposed a "Fresh Approach to Technical Harmonization and Standardization" in 1985, in which the EU would only define accordance with the general requirements for safety, health, and the like, leaving technical specifications to standards organisations.</w:t>
      </w:r>
    </w:p>
    <w:p w14:paraId="702C92F3" w14:textId="77777777" w:rsidR="008B7023" w:rsidRDefault="00AF5471" w:rsidP="005B1D58">
      <w:pPr>
        <w:rPr>
          <w:sz w:val="28"/>
          <w:szCs w:val="28"/>
        </w:rPr>
      </w:pPr>
      <w:r w:rsidRPr="00AF5471">
        <w:rPr>
          <w:sz w:val="28"/>
          <w:szCs w:val="28"/>
        </w:rPr>
        <w:t>Alternatives include having commissioners directly elected in Member States and/or holding them accountable to the public through their individual national parliaments for their votes in the Commission and the European Parliament for their handling of their European portfolios (</w:t>
      </w:r>
      <w:proofErr w:type="spellStart"/>
      <w:r w:rsidRPr="00AF5471">
        <w:rPr>
          <w:sz w:val="28"/>
          <w:szCs w:val="28"/>
        </w:rPr>
        <w:t>Bonde</w:t>
      </w:r>
      <w:proofErr w:type="spellEnd"/>
      <w:r w:rsidRPr="00AF5471">
        <w:rPr>
          <w:sz w:val="28"/>
          <w:szCs w:val="28"/>
        </w:rPr>
        <w:t xml:space="preserve"> 2011).</w:t>
      </w:r>
      <w:r w:rsidR="00320127" w:rsidRPr="00320127">
        <w:rPr>
          <w:sz w:val="28"/>
          <w:szCs w:val="28"/>
        </w:rPr>
        <w:t xml:space="preserve"> </w:t>
      </w:r>
    </w:p>
    <w:p w14:paraId="3ABE726E" w14:textId="46E8E882" w:rsidR="000A3572" w:rsidRPr="005B1D58" w:rsidRDefault="008B7023" w:rsidP="005B1D58">
      <w:pPr>
        <w:rPr>
          <w:sz w:val="28"/>
          <w:szCs w:val="28"/>
        </w:rPr>
      </w:pPr>
      <w:r w:rsidRPr="008B7023">
        <w:rPr>
          <w:sz w:val="28"/>
          <w:szCs w:val="28"/>
        </w:rPr>
        <w:t xml:space="preserve">Moving on to parliament: since 1975, representatives of the European parliament have been elected based on population size, which means that the member state with the most people </w:t>
      </w:r>
      <w:proofErr w:type="gramStart"/>
      <w:r w:rsidRPr="008B7023">
        <w:rPr>
          <w:sz w:val="28"/>
          <w:szCs w:val="28"/>
        </w:rPr>
        <w:t>has</w:t>
      </w:r>
      <w:proofErr w:type="gramEnd"/>
      <w:r w:rsidRPr="008B7023">
        <w:rPr>
          <w:sz w:val="28"/>
          <w:szCs w:val="28"/>
        </w:rPr>
        <w:t xml:space="preserve"> the most members of the European parliament. The fact that the European Parliament is directly elected by EU voters contributes to the European law's democratic deficit. However, this is not proportional to population size; for example, Germany has 96 MEPs, equating to one MEP representative for every 850,000 residents, whilst Malta has six seats. This one MEP delegate for every 67 people is known as "digressive proportional representation."</w:t>
      </w:r>
      <w:r>
        <w:rPr>
          <w:sz w:val="28"/>
          <w:szCs w:val="28"/>
        </w:rPr>
        <w:t xml:space="preserve"> </w:t>
      </w:r>
    </w:p>
    <w:p w14:paraId="49B1F230" w14:textId="77777777" w:rsidR="005B1D58" w:rsidRDefault="005B1D58" w:rsidP="00320127">
      <w:pPr>
        <w:rPr>
          <w:sz w:val="28"/>
          <w:szCs w:val="28"/>
        </w:rPr>
      </w:pPr>
    </w:p>
    <w:p w14:paraId="5B6DB826" w14:textId="77777777" w:rsidR="008B7023" w:rsidRDefault="000A3572" w:rsidP="008B7023">
      <w:pPr>
        <w:rPr>
          <w:rFonts w:ascii="Times New Roman" w:eastAsia="Times New Roman" w:hAnsi="Times New Roman" w:cs="Times New Roman"/>
          <w:sz w:val="28"/>
          <w:szCs w:val="28"/>
          <w:lang w:eastAsia="en-GB"/>
        </w:rPr>
      </w:pPr>
      <w:r w:rsidRPr="000A3572">
        <w:rPr>
          <w:sz w:val="28"/>
          <w:szCs w:val="28"/>
        </w:rPr>
        <w:t>Even though they initially only had limited powers due to their lack of equality with the European Council, the European Parliament is elected by citizens and ensures that the EU is democratic and accountable to its citizens.</w:t>
      </w:r>
      <w:r w:rsidR="00140ADB" w:rsidRPr="00140ADB">
        <w:t xml:space="preserve"> </w:t>
      </w:r>
      <w:r w:rsidR="00140ADB" w:rsidRPr="00140ADB">
        <w:rPr>
          <w:sz w:val="28"/>
          <w:szCs w:val="28"/>
        </w:rPr>
        <w:t>Insofar as the European parliament is a body elected by European citizens, the Lisbon Treaty boosts the influence of the European parliament in 19 areas at the expense of the council of ministers. This might be considered democratic progress.</w:t>
      </w:r>
      <w:r w:rsidR="00140ADB" w:rsidRPr="00140ADB">
        <w:t xml:space="preserve"> </w:t>
      </w:r>
      <w:r w:rsidR="00140ADB" w:rsidRPr="00140ADB">
        <w:rPr>
          <w:sz w:val="28"/>
          <w:szCs w:val="28"/>
        </w:rPr>
        <w:t xml:space="preserve">In 49 new policy areas, power has been transferred from the national parliament, where voters have the last say since MPs are directly elected, to the upper EU </w:t>
      </w:r>
      <w:r w:rsidR="00140ADB" w:rsidRPr="00140ADB">
        <w:rPr>
          <w:sz w:val="28"/>
          <w:szCs w:val="28"/>
        </w:rPr>
        <w:lastRenderedPageBreak/>
        <w:t>level, where citizens have no say. As a result, the overall result is a widening democratic deficit</w:t>
      </w:r>
      <w:r w:rsidR="00140ADB">
        <w:rPr>
          <w:sz w:val="28"/>
          <w:szCs w:val="28"/>
        </w:rPr>
        <w:t xml:space="preserve">, </w:t>
      </w:r>
      <w:proofErr w:type="spellStart"/>
      <w:r w:rsidR="00B27D91">
        <w:rPr>
          <w:rFonts w:ascii="Times New Roman" w:eastAsia="Times New Roman" w:hAnsi="Times New Roman" w:cs="Times New Roman"/>
          <w:sz w:val="28"/>
          <w:szCs w:val="28"/>
          <w:lang w:eastAsia="en-GB"/>
        </w:rPr>
        <w:t>Bonde</w:t>
      </w:r>
      <w:proofErr w:type="spellEnd"/>
      <w:r w:rsidR="00B27D91">
        <w:rPr>
          <w:rFonts w:ascii="Times New Roman" w:eastAsia="Times New Roman" w:hAnsi="Times New Roman" w:cs="Times New Roman"/>
          <w:sz w:val="28"/>
          <w:szCs w:val="28"/>
          <w:lang w:eastAsia="en-GB"/>
        </w:rPr>
        <w:t xml:space="preserve"> (2011)</w:t>
      </w:r>
      <w:r w:rsidR="00140ADB">
        <w:rPr>
          <w:rFonts w:ascii="Times New Roman" w:eastAsia="Times New Roman" w:hAnsi="Times New Roman" w:cs="Times New Roman"/>
          <w:sz w:val="28"/>
          <w:szCs w:val="28"/>
          <w:lang w:eastAsia="en-GB"/>
        </w:rPr>
        <w:t>.</w:t>
      </w:r>
      <w:r w:rsidR="00B27D91">
        <w:rPr>
          <w:rFonts w:ascii="Times New Roman" w:eastAsia="Times New Roman" w:hAnsi="Times New Roman" w:cs="Times New Roman"/>
          <w:sz w:val="28"/>
          <w:szCs w:val="28"/>
          <w:lang w:eastAsia="en-GB"/>
        </w:rPr>
        <w:t xml:space="preserve"> </w:t>
      </w:r>
    </w:p>
    <w:p w14:paraId="7FF72094" w14:textId="3FC3F3D3" w:rsidR="008B7023" w:rsidRPr="008B7023" w:rsidRDefault="008B7023" w:rsidP="008B7023">
      <w:pPr>
        <w:rPr>
          <w:rFonts w:ascii="Times New Roman" w:eastAsia="Times New Roman" w:hAnsi="Times New Roman" w:cs="Times New Roman"/>
          <w:sz w:val="28"/>
          <w:szCs w:val="28"/>
          <w:lang w:eastAsia="en-GB"/>
        </w:rPr>
      </w:pPr>
      <w:r w:rsidRPr="008B7023">
        <w:rPr>
          <w:rFonts w:ascii="Times New Roman" w:eastAsia="Times New Roman" w:hAnsi="Times New Roman" w:cs="Times New Roman"/>
          <w:sz w:val="28"/>
          <w:szCs w:val="28"/>
          <w:lang w:eastAsia="en-GB"/>
        </w:rPr>
        <w:t>People were allowed to vote for the first time in 1979 in European Parliament elections, although they had previously been unable to do so. According to Crum (2005), a parliament's legislative responsibilities are reinforced by executive control. Despite the fact that the centre of political power in complex modern nations has shifted from legislative to executive functions, parliament's legal veto power over legislation has not changed. Simultaneously, as more powers are assigned to the executive branch, legislative monitoring of these powers has grown increasingly vital.</w:t>
      </w:r>
    </w:p>
    <w:p w14:paraId="35BAFA3E" w14:textId="77777777" w:rsidR="008B7023" w:rsidRDefault="008B7023" w:rsidP="004F1EC4">
      <w:pPr>
        <w:rPr>
          <w:rFonts w:ascii="Times New Roman" w:eastAsia="Times New Roman" w:hAnsi="Times New Roman" w:cs="Times New Roman"/>
          <w:sz w:val="28"/>
          <w:szCs w:val="28"/>
          <w:lang w:eastAsia="en-GB"/>
        </w:rPr>
      </w:pPr>
      <w:r w:rsidRPr="008B7023">
        <w:rPr>
          <w:rFonts w:ascii="Times New Roman" w:eastAsia="Times New Roman" w:hAnsi="Times New Roman" w:cs="Times New Roman"/>
          <w:sz w:val="28"/>
          <w:szCs w:val="28"/>
          <w:lang w:eastAsia="en-GB"/>
        </w:rPr>
        <w:t>In their review of literature (Bol et al. 2008), art. 14 specifies the number of seats (2). Participants were asked if they believed it was a good idea for transnational party lists to compete in European elections. Only 59 percent of the 1116 people polled said it was enjoyable, while 23 percent said it was not. Even if a majority of Europeans support the proposal, it is vital to predict how voters will react in order to fully grasp the significance of the change. If national issues have a major influence on their vote, there are good reasons to anticipate that the pan-European district's ability to remedy Europe's democratic deficit will be threatened.</w:t>
      </w:r>
    </w:p>
    <w:p w14:paraId="11CC8ACC" w14:textId="77777777" w:rsidR="008E20E1" w:rsidRDefault="004F1EC4" w:rsidP="004F1EC4">
      <w:proofErr w:type="spellStart"/>
      <w:r>
        <w:rPr>
          <w:sz w:val="28"/>
          <w:szCs w:val="28"/>
        </w:rPr>
        <w:t>Bonde</w:t>
      </w:r>
      <w:proofErr w:type="spellEnd"/>
      <w:r>
        <w:rPr>
          <w:sz w:val="28"/>
          <w:szCs w:val="28"/>
        </w:rPr>
        <w:t xml:space="preserve"> (2011) </w:t>
      </w:r>
      <w:r w:rsidR="008B402D" w:rsidRPr="008B402D">
        <w:rPr>
          <w:sz w:val="28"/>
          <w:szCs w:val="28"/>
        </w:rPr>
        <w:t>Instead of a tired politician or an internal rival they want to get rid of, political parties and movements would submit their best candidates for the office in a direct election. It will increase the Commissioners' credibility and quality. Furthermore, because the European Parliament elections will be more important, voter turnout will increase, and the person-</w:t>
      </w:r>
      <w:proofErr w:type="spellStart"/>
      <w:r w:rsidR="008B402D" w:rsidRPr="008B402D">
        <w:rPr>
          <w:sz w:val="28"/>
          <w:szCs w:val="28"/>
        </w:rPr>
        <w:t>centered</w:t>
      </w:r>
      <w:proofErr w:type="spellEnd"/>
      <w:r w:rsidR="008B402D" w:rsidRPr="008B402D">
        <w:rPr>
          <w:sz w:val="28"/>
          <w:szCs w:val="28"/>
        </w:rPr>
        <w:t xml:space="preserve"> choice of commissioner will encourage voter engagement, much like the "election" of the Prime Minister does in national general elections.</w:t>
      </w:r>
      <w:r w:rsidR="008E20E1" w:rsidRPr="008E20E1">
        <w:t xml:space="preserve"> </w:t>
      </w:r>
    </w:p>
    <w:p w14:paraId="71E6CC08" w14:textId="77777777" w:rsidR="00882ED1" w:rsidRDefault="008E20E1" w:rsidP="004F1EC4">
      <w:r w:rsidRPr="008E20E1">
        <w:rPr>
          <w:sz w:val="28"/>
          <w:szCs w:val="28"/>
        </w:rPr>
        <w:t xml:space="preserve">Moving on to the European Council, the European Council shares the executive role with the commission. The members of the European Council were formalised as the EU commission by the Lisbon Treaties in 2007, and the governing position is in art. 15 TEU. It consists of the leaders of each member state, as well as the commission's president, who is currently Charles Michelle, who became a member in the office in 2019 art. 15 (6) TEU and is also the commission's president. The European Council's job would be to set the EU's overall political direction as well as address any budget, sovereign, or debt crises. The president's responsibility is to chair meetings where the European Council's work is shared and advanced, and it is shared with the commission. On the other hand, Article 15 (3) TEU, on the other hand, deprives the </w:t>
      </w:r>
      <w:r w:rsidRPr="008E20E1">
        <w:rPr>
          <w:sz w:val="28"/>
          <w:szCs w:val="28"/>
        </w:rPr>
        <w:lastRenderedPageBreak/>
        <w:t>commission and the council of legislative authority. The European Council meets every six months and is presided over by the president of the European Union (Charles Michelle). The meetings are important and regularly attract media attention. The European Parliament and the European Council share financial management authority, allowing them to control expenses by accepting or refusing budget proposals as well as overseeing and monitoring the budget.</w:t>
      </w:r>
      <w:r w:rsidR="00882ED1" w:rsidRPr="00882ED1">
        <w:t xml:space="preserve"> </w:t>
      </w:r>
    </w:p>
    <w:p w14:paraId="0DDCDD19" w14:textId="3A434EC8" w:rsidR="008B402D" w:rsidRPr="008B7023" w:rsidRDefault="00882ED1" w:rsidP="004F1EC4">
      <w:pPr>
        <w:rPr>
          <w:rFonts w:ascii="Times New Roman" w:eastAsia="Times New Roman" w:hAnsi="Times New Roman" w:cs="Times New Roman"/>
          <w:sz w:val="28"/>
          <w:szCs w:val="28"/>
          <w:lang w:eastAsia="en-GB"/>
        </w:rPr>
      </w:pPr>
      <w:r w:rsidRPr="00882ED1">
        <w:rPr>
          <w:sz w:val="28"/>
          <w:szCs w:val="28"/>
        </w:rPr>
        <w:t xml:space="preserve">More personalised votes would increase citizen engagement, which would be beneficial to EU democracy. </w:t>
      </w:r>
      <w:proofErr w:type="spellStart"/>
      <w:r w:rsidRPr="00882ED1">
        <w:rPr>
          <w:sz w:val="28"/>
          <w:szCs w:val="28"/>
        </w:rPr>
        <w:t>Follesdal</w:t>
      </w:r>
      <w:proofErr w:type="spellEnd"/>
      <w:r w:rsidRPr="00882ED1">
        <w:rPr>
          <w:sz w:val="28"/>
          <w:szCs w:val="28"/>
        </w:rPr>
        <w:t xml:space="preserve"> and Hix (2006) also advocate for a stronger EU opposition and increased competitiveness, which would increase EU citizens' awareness of and involvement in EU politics. The emergence of a larger number of European and national parties that focus their campaigns on EU concerns rather than domestic matters should help to increase citizen involvement. (European Studies, 2012). Despite the fact that the Council is not generally accountable to any other institution in a political rather than a legislative sense, members of the Council are, at least in theory, personally accountable to domestic legislatures. In practise, however, keeping sufficient control over individual members is difficult because the council meets in secret and acts as a collective. It's hard to know how or why a particular minister voted in the Council (</w:t>
      </w:r>
      <w:proofErr w:type="spellStart"/>
      <w:r w:rsidRPr="00882ED1">
        <w:rPr>
          <w:sz w:val="28"/>
          <w:szCs w:val="28"/>
        </w:rPr>
        <w:t>Cygan</w:t>
      </w:r>
      <w:proofErr w:type="spellEnd"/>
      <w:r w:rsidRPr="00882ED1">
        <w:rPr>
          <w:sz w:val="28"/>
          <w:szCs w:val="28"/>
        </w:rPr>
        <w:t>, 2003).</w:t>
      </w:r>
      <w:r w:rsidR="00862818" w:rsidRPr="00862818">
        <w:t xml:space="preserve"> </w:t>
      </w:r>
      <w:r w:rsidR="00862818" w:rsidRPr="00862818">
        <w:rPr>
          <w:sz w:val="28"/>
          <w:szCs w:val="28"/>
        </w:rPr>
        <w:t xml:space="preserve">Finally, moving on to the Court of European Justice According to Article 251 TFEU, each member state is represented by one judge in the courts of justice, who sits in grand chambers of 15 judges and chambers of 3 or 5 judges. The court is also aided by an advocate general, whose job it is to present public opinion on issues that have been brought before the court. The judges' mission is to ensure that EU legislation is understood and enforced consistently throughout the EU, ensuring that the law is applied equally to all citizens. They also ensure that national courts rule in the same way on similar matters and that the European Union follows the law. The courts are in charge of resolving legal disputes. According to Lewis (2021), legislation is usually a rule of legislation, which means that courts can make legally justified decisions based on statutory law. This means that courts can use statutory law to make legally justifiable </w:t>
      </w:r>
      <w:proofErr w:type="spellStart"/>
      <w:proofErr w:type="gramStart"/>
      <w:r w:rsidR="00862818" w:rsidRPr="00862818">
        <w:rPr>
          <w:sz w:val="28"/>
          <w:szCs w:val="28"/>
        </w:rPr>
        <w:t>decisions.Things</w:t>
      </w:r>
      <w:proofErr w:type="spellEnd"/>
      <w:proofErr w:type="gramEnd"/>
      <w:r w:rsidR="00862818" w:rsidRPr="00862818">
        <w:rPr>
          <w:sz w:val="28"/>
          <w:szCs w:val="28"/>
        </w:rPr>
        <w:t xml:space="preserve"> get a little more difficult when it comes to "case law." In the legal system, judicial rulings are frequently given legal standing, which implies that courts can acquire legally defensible decisions by applying case law to the dispute at hand. Courts are bound by precedent, and precedent might be regarded as part of the law. When this is the case, any court with the power to set precedent also has the </w:t>
      </w:r>
      <w:r w:rsidR="00862818" w:rsidRPr="00862818">
        <w:rPr>
          <w:sz w:val="28"/>
          <w:szCs w:val="28"/>
        </w:rPr>
        <w:lastRenderedPageBreak/>
        <w:t>potential power to change the law's content. Parliament makes the law and the judges interpret it.</w:t>
      </w:r>
      <w:r w:rsidR="00862818">
        <w:rPr>
          <w:sz w:val="28"/>
          <w:szCs w:val="28"/>
        </w:rPr>
        <w:t xml:space="preserve"> </w:t>
      </w:r>
    </w:p>
    <w:p w14:paraId="7CE7EFFB" w14:textId="1CF358FD" w:rsidR="00577BDC" w:rsidRPr="00577BDC" w:rsidRDefault="00577BDC" w:rsidP="00577BDC">
      <w:pPr>
        <w:spacing w:after="0" w:line="240" w:lineRule="auto"/>
        <w:contextualSpacing/>
        <w:rPr>
          <w:rFonts w:ascii="Times New Roman" w:eastAsia="Times New Roman" w:hAnsi="Times New Roman" w:cs="Times New Roman"/>
          <w:sz w:val="28"/>
          <w:szCs w:val="28"/>
          <w:u w:val="single"/>
          <w:lang w:eastAsia="en-GB"/>
        </w:rPr>
      </w:pPr>
    </w:p>
    <w:p w14:paraId="1722426E" w14:textId="77777777" w:rsidR="00FA5496" w:rsidRDefault="00FA5496" w:rsidP="00577BDC">
      <w:pPr>
        <w:spacing w:after="0" w:line="240" w:lineRule="auto"/>
        <w:contextualSpacing/>
        <w:rPr>
          <w:rFonts w:ascii="Times New Roman" w:eastAsia="Times New Roman" w:hAnsi="Times New Roman" w:cs="Times New Roman"/>
          <w:sz w:val="28"/>
          <w:szCs w:val="28"/>
          <w:lang w:eastAsia="en-GB"/>
        </w:rPr>
      </w:pPr>
    </w:p>
    <w:p w14:paraId="764A5B33" w14:textId="7B255866" w:rsidR="00E32FB2" w:rsidRDefault="00E32FB2" w:rsidP="00577BDC">
      <w:pPr>
        <w:spacing w:after="0" w:line="240" w:lineRule="auto"/>
        <w:contextualSpacing/>
        <w:rPr>
          <w:rFonts w:ascii="Times New Roman" w:eastAsia="Times New Roman" w:hAnsi="Times New Roman" w:cs="Times New Roman"/>
          <w:sz w:val="28"/>
          <w:szCs w:val="28"/>
          <w:lang w:eastAsia="en-GB"/>
        </w:rPr>
      </w:pPr>
    </w:p>
    <w:p w14:paraId="64587D29" w14:textId="19920A76" w:rsidR="00577BDC" w:rsidRDefault="00577BDC">
      <w:pPr>
        <w:rPr>
          <w:sz w:val="36"/>
          <w:szCs w:val="36"/>
          <w:lang w:val="en-US"/>
        </w:rPr>
      </w:pPr>
    </w:p>
    <w:p w14:paraId="12A80E89" w14:textId="5442640D" w:rsidR="006830BD" w:rsidRDefault="006830BD">
      <w:pPr>
        <w:rPr>
          <w:sz w:val="36"/>
          <w:szCs w:val="36"/>
          <w:lang w:val="en-US"/>
        </w:rPr>
      </w:pPr>
    </w:p>
    <w:p w14:paraId="12052F1A" w14:textId="6BECACE5" w:rsidR="006830BD" w:rsidRDefault="006830BD">
      <w:pPr>
        <w:rPr>
          <w:sz w:val="36"/>
          <w:szCs w:val="36"/>
          <w:lang w:val="en-US"/>
        </w:rPr>
      </w:pPr>
    </w:p>
    <w:p w14:paraId="71B1ACB9" w14:textId="483C25D3" w:rsidR="006830BD" w:rsidRDefault="006830BD">
      <w:pPr>
        <w:rPr>
          <w:sz w:val="36"/>
          <w:szCs w:val="36"/>
          <w:lang w:val="en-US"/>
        </w:rPr>
      </w:pPr>
    </w:p>
    <w:p w14:paraId="4683E9CA" w14:textId="4DACD7ED" w:rsidR="006830BD" w:rsidRDefault="006830BD">
      <w:pPr>
        <w:rPr>
          <w:sz w:val="36"/>
          <w:szCs w:val="36"/>
          <w:lang w:val="en-US"/>
        </w:rPr>
      </w:pPr>
    </w:p>
    <w:p w14:paraId="7EF73800" w14:textId="77777777" w:rsidR="00626DC7" w:rsidRDefault="00626DC7" w:rsidP="006830BD">
      <w:pPr>
        <w:rPr>
          <w:sz w:val="36"/>
          <w:szCs w:val="36"/>
          <w:lang w:val="en-US"/>
        </w:rPr>
      </w:pPr>
    </w:p>
    <w:p w14:paraId="197AFCBF" w14:textId="77777777" w:rsidR="002E0C47" w:rsidRDefault="002E0C47" w:rsidP="006830BD">
      <w:pPr>
        <w:rPr>
          <w:sz w:val="28"/>
          <w:szCs w:val="28"/>
        </w:rPr>
      </w:pPr>
    </w:p>
    <w:p w14:paraId="3ABB3D62" w14:textId="77777777" w:rsidR="00A037B9" w:rsidRDefault="00A037B9" w:rsidP="006830BD">
      <w:pPr>
        <w:rPr>
          <w:sz w:val="28"/>
          <w:szCs w:val="28"/>
        </w:rPr>
      </w:pPr>
    </w:p>
    <w:p w14:paraId="64F0DCB2" w14:textId="77777777" w:rsidR="00A037B9" w:rsidRDefault="00A037B9" w:rsidP="006830BD">
      <w:pPr>
        <w:rPr>
          <w:sz w:val="28"/>
          <w:szCs w:val="28"/>
        </w:rPr>
      </w:pPr>
    </w:p>
    <w:p w14:paraId="133273A0" w14:textId="77777777" w:rsidR="00A037B9" w:rsidRDefault="00A037B9" w:rsidP="006830BD">
      <w:pPr>
        <w:rPr>
          <w:sz w:val="28"/>
          <w:szCs w:val="28"/>
        </w:rPr>
      </w:pPr>
    </w:p>
    <w:p w14:paraId="09E9CFA0" w14:textId="77777777" w:rsidR="00A037B9" w:rsidRDefault="00A037B9" w:rsidP="006830BD">
      <w:pPr>
        <w:rPr>
          <w:sz w:val="28"/>
          <w:szCs w:val="28"/>
        </w:rPr>
      </w:pPr>
    </w:p>
    <w:p w14:paraId="02E47BBA" w14:textId="77777777" w:rsidR="00862818" w:rsidRDefault="00862818" w:rsidP="006830BD">
      <w:pPr>
        <w:rPr>
          <w:sz w:val="28"/>
          <w:szCs w:val="28"/>
        </w:rPr>
      </w:pPr>
    </w:p>
    <w:p w14:paraId="3755FD98" w14:textId="77777777" w:rsidR="00862818" w:rsidRDefault="00862818" w:rsidP="006830BD">
      <w:pPr>
        <w:rPr>
          <w:sz w:val="28"/>
          <w:szCs w:val="28"/>
        </w:rPr>
      </w:pPr>
    </w:p>
    <w:p w14:paraId="7363E569" w14:textId="77777777" w:rsidR="00862818" w:rsidRDefault="00862818" w:rsidP="006830BD">
      <w:pPr>
        <w:rPr>
          <w:sz w:val="28"/>
          <w:szCs w:val="28"/>
        </w:rPr>
      </w:pPr>
    </w:p>
    <w:p w14:paraId="6AA7DB76" w14:textId="77777777" w:rsidR="00862818" w:rsidRDefault="00862818" w:rsidP="006830BD">
      <w:pPr>
        <w:rPr>
          <w:sz w:val="28"/>
          <w:szCs w:val="28"/>
        </w:rPr>
      </w:pPr>
    </w:p>
    <w:p w14:paraId="0D64E6DE" w14:textId="77777777" w:rsidR="00862818" w:rsidRDefault="00862818" w:rsidP="006830BD">
      <w:pPr>
        <w:rPr>
          <w:sz w:val="28"/>
          <w:szCs w:val="28"/>
        </w:rPr>
      </w:pPr>
    </w:p>
    <w:p w14:paraId="6BBA92DA" w14:textId="77777777" w:rsidR="00862818" w:rsidRDefault="00862818" w:rsidP="006830BD">
      <w:pPr>
        <w:rPr>
          <w:sz w:val="28"/>
          <w:szCs w:val="28"/>
        </w:rPr>
      </w:pPr>
    </w:p>
    <w:p w14:paraId="018FF07F" w14:textId="77777777" w:rsidR="00862818" w:rsidRDefault="00862818" w:rsidP="006830BD">
      <w:pPr>
        <w:rPr>
          <w:sz w:val="28"/>
          <w:szCs w:val="28"/>
        </w:rPr>
      </w:pPr>
    </w:p>
    <w:p w14:paraId="3BB19FEA" w14:textId="77777777" w:rsidR="00862818" w:rsidRDefault="00862818" w:rsidP="006830BD">
      <w:pPr>
        <w:rPr>
          <w:sz w:val="28"/>
          <w:szCs w:val="28"/>
        </w:rPr>
      </w:pPr>
    </w:p>
    <w:p w14:paraId="1B3AA9AD" w14:textId="77777777" w:rsidR="00373B54" w:rsidRDefault="00373B54" w:rsidP="006830BD">
      <w:pPr>
        <w:rPr>
          <w:sz w:val="28"/>
          <w:szCs w:val="28"/>
        </w:rPr>
      </w:pPr>
    </w:p>
    <w:p w14:paraId="7BAF2792" w14:textId="77777777" w:rsidR="00373B54" w:rsidRDefault="00373B54" w:rsidP="006830BD">
      <w:pPr>
        <w:rPr>
          <w:sz w:val="28"/>
          <w:szCs w:val="28"/>
        </w:rPr>
      </w:pPr>
    </w:p>
    <w:p w14:paraId="276A6FDD" w14:textId="77777777" w:rsidR="00373B54" w:rsidRDefault="00373B54" w:rsidP="006830BD">
      <w:pPr>
        <w:rPr>
          <w:sz w:val="28"/>
          <w:szCs w:val="28"/>
        </w:rPr>
      </w:pPr>
    </w:p>
    <w:p w14:paraId="43DDC85D" w14:textId="098DFE88" w:rsidR="006830BD" w:rsidRDefault="006830BD" w:rsidP="006830BD">
      <w:pPr>
        <w:rPr>
          <w:sz w:val="28"/>
          <w:szCs w:val="28"/>
        </w:rPr>
      </w:pPr>
      <w:r>
        <w:rPr>
          <w:sz w:val="28"/>
          <w:szCs w:val="28"/>
        </w:rPr>
        <w:lastRenderedPageBreak/>
        <w:t>REFERENCES</w:t>
      </w:r>
    </w:p>
    <w:p w14:paraId="2E5C6CD5" w14:textId="200E5099" w:rsidR="006830BD" w:rsidRDefault="006830BD" w:rsidP="006830BD">
      <w:pPr>
        <w:rPr>
          <w:sz w:val="28"/>
          <w:szCs w:val="28"/>
        </w:rPr>
      </w:pPr>
      <w:r>
        <w:rPr>
          <w:sz w:val="28"/>
          <w:szCs w:val="28"/>
        </w:rPr>
        <w:t>Azman, D. K. (2011) ‘</w:t>
      </w:r>
      <w:r w:rsidRPr="00DD091D">
        <w:rPr>
          <w:sz w:val="28"/>
          <w:szCs w:val="28"/>
        </w:rPr>
        <w:t>The Problem of “Democratic Deficit” in the European Union</w:t>
      </w:r>
      <w:r>
        <w:rPr>
          <w:sz w:val="28"/>
          <w:szCs w:val="28"/>
        </w:rPr>
        <w:t xml:space="preserve">’, international journal of humanities and social science, p.244. Available at: </w:t>
      </w:r>
      <w:hyperlink r:id="rId5" w:history="1">
        <w:r w:rsidRPr="00F313E2">
          <w:rPr>
            <w:rStyle w:val="Hyperlink"/>
            <w:sz w:val="28"/>
            <w:szCs w:val="28"/>
          </w:rPr>
          <w:t>https://www.ijhssnet.com/journals/Vol._1_No._5;_May_2011/27.pdf</w:t>
        </w:r>
      </w:hyperlink>
      <w:r>
        <w:rPr>
          <w:sz w:val="28"/>
          <w:szCs w:val="28"/>
        </w:rPr>
        <w:t xml:space="preserve"> (Accessed 21February 2022)</w:t>
      </w:r>
    </w:p>
    <w:p w14:paraId="6036B075" w14:textId="7B9821C8" w:rsidR="001351B2" w:rsidRDefault="001351B2" w:rsidP="006830BD">
      <w:pPr>
        <w:rPr>
          <w:sz w:val="28"/>
          <w:szCs w:val="28"/>
        </w:rPr>
      </w:pPr>
      <w:proofErr w:type="spellStart"/>
      <w:r>
        <w:rPr>
          <w:sz w:val="28"/>
          <w:szCs w:val="28"/>
        </w:rPr>
        <w:t>Bogdandy</w:t>
      </w:r>
      <w:proofErr w:type="spellEnd"/>
      <w:r>
        <w:rPr>
          <w:sz w:val="28"/>
          <w:szCs w:val="28"/>
        </w:rPr>
        <w:t xml:space="preserve"> </w:t>
      </w:r>
      <w:r w:rsidR="00C82FB5">
        <w:rPr>
          <w:sz w:val="28"/>
          <w:szCs w:val="28"/>
        </w:rPr>
        <w:t xml:space="preserve">A. V. </w:t>
      </w:r>
      <w:r>
        <w:rPr>
          <w:sz w:val="28"/>
          <w:szCs w:val="28"/>
        </w:rPr>
        <w:t>(2012)</w:t>
      </w:r>
      <w:r w:rsidR="00C82FB5" w:rsidRPr="00C82FB5">
        <w:t xml:space="preserve"> </w:t>
      </w:r>
      <w:r w:rsidR="00C82FB5" w:rsidRPr="00C82FB5">
        <w:rPr>
          <w:i/>
          <w:iCs/>
          <w:sz w:val="28"/>
          <w:szCs w:val="28"/>
        </w:rPr>
        <w:t>The European Lesson for International Democracy: The Significance of Articles 9 to 12 EU Treaty for International Organizations</w:t>
      </w:r>
      <w:r w:rsidR="00C82FB5">
        <w:rPr>
          <w:sz w:val="28"/>
          <w:szCs w:val="28"/>
        </w:rPr>
        <w:t xml:space="preserve">. Available at: </w:t>
      </w:r>
      <w:hyperlink r:id="rId6" w:history="1">
        <w:r w:rsidR="00C82FB5" w:rsidRPr="00172F7D">
          <w:rPr>
            <w:rStyle w:val="Hyperlink"/>
            <w:sz w:val="28"/>
            <w:szCs w:val="28"/>
          </w:rPr>
          <w:t>https://academic.oup.com/ejil/article/23/2/315/487261</w:t>
        </w:r>
      </w:hyperlink>
      <w:r w:rsidR="00C82FB5">
        <w:rPr>
          <w:sz w:val="28"/>
          <w:szCs w:val="28"/>
        </w:rPr>
        <w:t xml:space="preserve"> (Accessed 4 March 2022).</w:t>
      </w:r>
    </w:p>
    <w:p w14:paraId="2AC7E113" w14:textId="77777777" w:rsidR="006830BD" w:rsidRDefault="006830BD" w:rsidP="006830BD">
      <w:pPr>
        <w:rPr>
          <w:sz w:val="28"/>
          <w:szCs w:val="28"/>
        </w:rPr>
      </w:pPr>
      <w:r>
        <w:rPr>
          <w:sz w:val="28"/>
          <w:szCs w:val="28"/>
        </w:rPr>
        <w:t>Bol, D. et al. (2016) ‘</w:t>
      </w:r>
      <w:r w:rsidRPr="00560F44">
        <w:rPr>
          <w:sz w:val="28"/>
          <w:szCs w:val="28"/>
        </w:rPr>
        <w:t>Addressing Europe’s democratic deficit: An experimental evaluation of the pan-European district proposal</w:t>
      </w:r>
      <w:r>
        <w:rPr>
          <w:sz w:val="28"/>
          <w:szCs w:val="28"/>
        </w:rPr>
        <w:t xml:space="preserve">’ Available at: </w:t>
      </w:r>
      <w:hyperlink r:id="rId7" w:history="1">
        <w:r w:rsidRPr="00F313E2">
          <w:rPr>
            <w:rStyle w:val="Hyperlink"/>
            <w:sz w:val="28"/>
            <w:szCs w:val="28"/>
          </w:rPr>
          <w:t>https://journals-sagepub-com.ezproxy.uwtsd.ac.uk/doi/pdf/10.1177/1465116516630151</w:t>
        </w:r>
      </w:hyperlink>
      <w:r>
        <w:rPr>
          <w:sz w:val="28"/>
          <w:szCs w:val="28"/>
        </w:rPr>
        <w:t xml:space="preserve"> (Accessed 20 February 2022). </w:t>
      </w:r>
    </w:p>
    <w:p w14:paraId="51126A7F" w14:textId="77777777" w:rsidR="006830BD" w:rsidRDefault="006830BD" w:rsidP="006830BD">
      <w:pPr>
        <w:rPr>
          <w:sz w:val="28"/>
          <w:szCs w:val="28"/>
        </w:rPr>
      </w:pPr>
      <w:proofErr w:type="spellStart"/>
      <w:r>
        <w:rPr>
          <w:sz w:val="28"/>
          <w:szCs w:val="28"/>
        </w:rPr>
        <w:t>Bondes</w:t>
      </w:r>
      <w:proofErr w:type="spellEnd"/>
      <w:r>
        <w:rPr>
          <w:sz w:val="28"/>
          <w:szCs w:val="28"/>
        </w:rPr>
        <w:t>, Jen Peter. (2011) ‘</w:t>
      </w:r>
      <w:r w:rsidRPr="002102E7">
        <w:rPr>
          <w:sz w:val="28"/>
          <w:szCs w:val="28"/>
        </w:rPr>
        <w:t>The European Union’s Democratic Deficit:</w:t>
      </w:r>
      <w:proofErr w:type="gramStart"/>
      <w:r>
        <w:rPr>
          <w:sz w:val="28"/>
          <w:szCs w:val="28"/>
        </w:rPr>
        <w:t>’ ,The</w:t>
      </w:r>
      <w:proofErr w:type="gramEnd"/>
      <w:r>
        <w:rPr>
          <w:sz w:val="28"/>
          <w:szCs w:val="28"/>
        </w:rPr>
        <w:t xml:space="preserve"> Brown Journal of world affairs, p.160. Available at: </w:t>
      </w:r>
      <w:hyperlink r:id="rId8" w:history="1">
        <w:r w:rsidRPr="00F313E2">
          <w:rPr>
            <w:rStyle w:val="Hyperlink"/>
            <w:sz w:val="28"/>
            <w:szCs w:val="28"/>
          </w:rPr>
          <w:t>https://web-p-ebscohost-com.ezproxy.uwtsd.ac.uk/ehost/pdfviewer/pdfviewer?vid=1&amp;sid=6583bdda-82a3-4f20-b429-bcd48c6a6bc0%40redis</w:t>
        </w:r>
      </w:hyperlink>
      <w:r>
        <w:rPr>
          <w:sz w:val="28"/>
          <w:szCs w:val="28"/>
        </w:rPr>
        <w:t xml:space="preserve"> (Accessed 20 February 2022).</w:t>
      </w:r>
    </w:p>
    <w:p w14:paraId="4A8C66BF" w14:textId="23A4B524" w:rsidR="006830BD" w:rsidRDefault="006830BD" w:rsidP="006830BD">
      <w:pPr>
        <w:rPr>
          <w:sz w:val="28"/>
          <w:szCs w:val="28"/>
        </w:rPr>
      </w:pPr>
      <w:r>
        <w:rPr>
          <w:sz w:val="28"/>
          <w:szCs w:val="28"/>
        </w:rPr>
        <w:t>Crum, Ben. (2005) ‘</w:t>
      </w:r>
      <w:r w:rsidRPr="002660FC">
        <w:rPr>
          <w:sz w:val="28"/>
          <w:szCs w:val="28"/>
        </w:rPr>
        <w:t>Tailoring Representative Democracy to the European Union: Does the European Constitution Reduce the Democratic Deficit</w:t>
      </w:r>
      <w:r>
        <w:rPr>
          <w:sz w:val="28"/>
          <w:szCs w:val="28"/>
        </w:rPr>
        <w:t xml:space="preserve">’ ,European Law, p. 460 Available at: </w:t>
      </w:r>
      <w:hyperlink r:id="rId9" w:history="1">
        <w:r w:rsidRPr="00F313E2">
          <w:rPr>
            <w:rStyle w:val="Hyperlink"/>
            <w:sz w:val="28"/>
            <w:szCs w:val="28"/>
          </w:rPr>
          <w:t>https://web-s-ebscohost-com.ezproxy.uwtsd.ac.uk/ehost/pdfviewer/pdfviewer?vid=1&amp;sid=53cc6e69-f808-4ab5-aa85-c2c31f9781ca%40redis</w:t>
        </w:r>
      </w:hyperlink>
      <w:r>
        <w:rPr>
          <w:sz w:val="28"/>
          <w:szCs w:val="28"/>
        </w:rPr>
        <w:t xml:space="preserve"> (Accessed 20 February 2022)</w:t>
      </w:r>
    </w:p>
    <w:p w14:paraId="00C5F469" w14:textId="1037AFC0" w:rsidR="009F6BDC" w:rsidRDefault="009F6BDC" w:rsidP="006830BD">
      <w:pPr>
        <w:rPr>
          <w:sz w:val="28"/>
          <w:szCs w:val="28"/>
        </w:rPr>
      </w:pPr>
      <w:proofErr w:type="spellStart"/>
      <w:r>
        <w:rPr>
          <w:sz w:val="28"/>
          <w:szCs w:val="28"/>
        </w:rPr>
        <w:t>Cygan</w:t>
      </w:r>
      <w:proofErr w:type="spellEnd"/>
      <w:r>
        <w:rPr>
          <w:sz w:val="28"/>
          <w:szCs w:val="28"/>
        </w:rPr>
        <w:t>, A. (2003)</w:t>
      </w:r>
      <w:r w:rsidRPr="009F6BDC">
        <w:rPr>
          <w:sz w:val="28"/>
          <w:szCs w:val="28"/>
        </w:rPr>
        <w:t xml:space="preserve"> </w:t>
      </w:r>
      <w:r>
        <w:rPr>
          <w:sz w:val="28"/>
          <w:szCs w:val="28"/>
        </w:rPr>
        <w:t>Democracy and Accountability in the European Union</w:t>
      </w:r>
      <w:r w:rsidR="00397DE8">
        <w:rPr>
          <w:sz w:val="28"/>
          <w:szCs w:val="28"/>
        </w:rPr>
        <w:t xml:space="preserve"> ¬The View from the House of Commons.</w:t>
      </w:r>
      <w:r>
        <w:rPr>
          <w:sz w:val="28"/>
          <w:szCs w:val="28"/>
        </w:rPr>
        <w:t xml:space="preserve"> </w:t>
      </w:r>
      <w:r w:rsidR="00A91439" w:rsidRPr="00A91439">
        <w:rPr>
          <w:sz w:val="28"/>
          <w:szCs w:val="28"/>
        </w:rPr>
        <w:t>Centre for European Law and Integration, Faculty of Law, University of Leicester</w:t>
      </w:r>
      <w:r w:rsidR="00A91439">
        <w:rPr>
          <w:sz w:val="28"/>
          <w:szCs w:val="28"/>
        </w:rPr>
        <w:t>. (Accessed4 March 2022).</w:t>
      </w:r>
    </w:p>
    <w:p w14:paraId="435E20E8" w14:textId="194B1241" w:rsidR="00FB62FD" w:rsidRDefault="00FB62FD" w:rsidP="006830BD">
      <w:pPr>
        <w:rPr>
          <w:sz w:val="28"/>
          <w:szCs w:val="28"/>
        </w:rPr>
      </w:pPr>
      <w:r>
        <w:rPr>
          <w:sz w:val="28"/>
          <w:szCs w:val="28"/>
        </w:rPr>
        <w:t>European studies (2012) The EU and its democratic deficit: problems and (possible) solutions. (Accessed 4 March 2022).</w:t>
      </w:r>
    </w:p>
    <w:p w14:paraId="074E9AB6" w14:textId="2CD9DD72" w:rsidR="006830BD" w:rsidRDefault="006830BD" w:rsidP="006830BD">
      <w:pPr>
        <w:rPr>
          <w:sz w:val="28"/>
          <w:szCs w:val="28"/>
        </w:rPr>
      </w:pPr>
      <w:proofErr w:type="gramStart"/>
      <w:r>
        <w:rPr>
          <w:sz w:val="28"/>
          <w:szCs w:val="28"/>
        </w:rPr>
        <w:t>Lewis  s.</w:t>
      </w:r>
      <w:proofErr w:type="gramEnd"/>
      <w:r>
        <w:rPr>
          <w:sz w:val="28"/>
          <w:szCs w:val="28"/>
        </w:rPr>
        <w:t xml:space="preserve"> (2021) ‘</w:t>
      </w:r>
      <w:r w:rsidRPr="00B2579C">
        <w:rPr>
          <w:sz w:val="28"/>
          <w:szCs w:val="28"/>
        </w:rPr>
        <w:t>Precedent and the Rule of Law</w:t>
      </w:r>
      <w:r>
        <w:rPr>
          <w:sz w:val="28"/>
          <w:szCs w:val="28"/>
        </w:rPr>
        <w:t xml:space="preserve">’ Available at: </w:t>
      </w:r>
      <w:bookmarkStart w:id="0" w:name="_Hlk96279112"/>
      <w:r w:rsidRPr="009D32C2">
        <w:t xml:space="preserve"> </w:t>
      </w:r>
      <w:bookmarkEnd w:id="0"/>
      <w:r>
        <w:rPr>
          <w:sz w:val="28"/>
          <w:szCs w:val="28"/>
        </w:rPr>
        <w:fldChar w:fldCharType="begin"/>
      </w:r>
      <w:r>
        <w:rPr>
          <w:sz w:val="28"/>
          <w:szCs w:val="28"/>
        </w:rPr>
        <w:instrText xml:space="preserve"> HYPERLINK "</w:instrText>
      </w:r>
      <w:r w:rsidRPr="009D32C2">
        <w:rPr>
          <w:sz w:val="28"/>
          <w:szCs w:val="28"/>
        </w:rPr>
        <w:instrText>https://doi.org/10.1093/ojls/gqab007</w:instrText>
      </w:r>
      <w:r>
        <w:rPr>
          <w:sz w:val="28"/>
          <w:szCs w:val="28"/>
        </w:rPr>
        <w:instrText xml:space="preserve">" </w:instrText>
      </w:r>
      <w:r>
        <w:rPr>
          <w:sz w:val="28"/>
          <w:szCs w:val="28"/>
        </w:rPr>
        <w:fldChar w:fldCharType="separate"/>
      </w:r>
      <w:r w:rsidRPr="00F313E2">
        <w:rPr>
          <w:rStyle w:val="Hyperlink"/>
          <w:sz w:val="28"/>
          <w:szCs w:val="28"/>
        </w:rPr>
        <w:t>https://doi.org/10.1093/ojls/gqab007</w:t>
      </w:r>
      <w:r>
        <w:rPr>
          <w:sz w:val="28"/>
          <w:szCs w:val="28"/>
        </w:rPr>
        <w:fldChar w:fldCharType="end"/>
      </w:r>
      <w:r>
        <w:rPr>
          <w:sz w:val="28"/>
          <w:szCs w:val="28"/>
        </w:rPr>
        <w:t xml:space="preserve"> (</w:t>
      </w:r>
      <w:r w:rsidRPr="00A91439">
        <w:rPr>
          <w:sz w:val="28"/>
          <w:szCs w:val="28"/>
        </w:rPr>
        <w:t>Accessed 20 February 2022</w:t>
      </w:r>
      <w:r>
        <w:rPr>
          <w:sz w:val="28"/>
          <w:szCs w:val="28"/>
        </w:rPr>
        <w:t xml:space="preserve">). </w:t>
      </w:r>
    </w:p>
    <w:p w14:paraId="3D113482" w14:textId="6B22D7E6" w:rsidR="00FF77DC" w:rsidRDefault="00FF77DC" w:rsidP="006830BD">
      <w:pPr>
        <w:rPr>
          <w:sz w:val="28"/>
          <w:szCs w:val="28"/>
        </w:rPr>
      </w:pPr>
      <w:proofErr w:type="spellStart"/>
      <w:r>
        <w:rPr>
          <w:sz w:val="28"/>
          <w:szCs w:val="28"/>
        </w:rPr>
        <w:t>Omoshebi</w:t>
      </w:r>
      <w:proofErr w:type="spellEnd"/>
      <w:r>
        <w:rPr>
          <w:sz w:val="28"/>
          <w:szCs w:val="28"/>
        </w:rPr>
        <w:t xml:space="preserve">, K. (2022) Available at: </w:t>
      </w:r>
      <w:hyperlink r:id="rId10" w:history="1">
        <w:r w:rsidRPr="00C74986">
          <w:rPr>
            <w:rStyle w:val="Hyperlink"/>
            <w:sz w:val="28"/>
            <w:szCs w:val="28"/>
          </w:rPr>
          <w:t>https://www.studocu.com/en-gb/document/university-of-bristol/law-and-policy-of-the-european-union-i/article-258-tfeu-state-liability/13909441</w:t>
        </w:r>
      </w:hyperlink>
      <w:r>
        <w:rPr>
          <w:sz w:val="28"/>
          <w:szCs w:val="28"/>
        </w:rPr>
        <w:t xml:space="preserve"> Accessed 24 February 2022).</w:t>
      </w:r>
    </w:p>
    <w:p w14:paraId="6D91EC1D" w14:textId="77777777" w:rsidR="006830BD" w:rsidRPr="00560190" w:rsidRDefault="006830BD" w:rsidP="006830BD">
      <w:pPr>
        <w:rPr>
          <w:sz w:val="28"/>
          <w:szCs w:val="28"/>
          <w:lang w:val="en-US"/>
        </w:rPr>
      </w:pPr>
      <w:proofErr w:type="spellStart"/>
      <w:r>
        <w:rPr>
          <w:sz w:val="28"/>
          <w:szCs w:val="28"/>
        </w:rPr>
        <w:lastRenderedPageBreak/>
        <w:t>Warliegh</w:t>
      </w:r>
      <w:proofErr w:type="spellEnd"/>
      <w:r>
        <w:rPr>
          <w:sz w:val="28"/>
          <w:szCs w:val="28"/>
        </w:rPr>
        <w:t xml:space="preserve">, A. (2003) </w:t>
      </w:r>
      <w:r w:rsidRPr="00560190">
        <w:rPr>
          <w:sz w:val="28"/>
          <w:szCs w:val="28"/>
        </w:rPr>
        <w:t>Democracy and the European Un</w:t>
      </w:r>
      <w:r>
        <w:rPr>
          <w:sz w:val="28"/>
          <w:szCs w:val="28"/>
        </w:rPr>
        <w:t>ion, Available at:</w:t>
      </w:r>
      <w:r w:rsidRPr="00560190">
        <w:t xml:space="preserve"> </w:t>
      </w:r>
      <w:hyperlink r:id="rId11" w:history="1">
        <w:r w:rsidRPr="007D4E6E">
          <w:rPr>
            <w:rStyle w:val="Hyperlink"/>
            <w:sz w:val="28"/>
            <w:szCs w:val="28"/>
          </w:rPr>
          <w:t>https://whelf-uwtsd.alma.exlibrisgroup.com/leganto/readinglist/citation/7510973290002421?institute=44WHELF_UWTSD&amp;auth=SAML</w:t>
        </w:r>
      </w:hyperlink>
      <w:r>
        <w:rPr>
          <w:sz w:val="28"/>
          <w:szCs w:val="28"/>
        </w:rPr>
        <w:t xml:space="preserve"> (Accessed 24 February 2022).</w:t>
      </w:r>
    </w:p>
    <w:p w14:paraId="01D7E392" w14:textId="121C16FD" w:rsidR="006830BD" w:rsidRPr="00577BDC" w:rsidRDefault="006830BD">
      <w:pPr>
        <w:rPr>
          <w:sz w:val="36"/>
          <w:szCs w:val="36"/>
          <w:lang w:val="en-US"/>
        </w:rPr>
      </w:pPr>
      <w:r>
        <w:rPr>
          <w:sz w:val="36"/>
          <w:szCs w:val="36"/>
          <w:lang w:val="en-US"/>
        </w:rPr>
        <w:t xml:space="preserve"> </w:t>
      </w:r>
    </w:p>
    <w:sectPr w:rsidR="006830BD" w:rsidRPr="00577B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E2E69"/>
    <w:multiLevelType w:val="hybridMultilevel"/>
    <w:tmpl w:val="A1666F88"/>
    <w:lvl w:ilvl="0" w:tplc="CD3E3D06">
      <w:start w:val="200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BDC"/>
    <w:rsid w:val="0002455E"/>
    <w:rsid w:val="000A3572"/>
    <w:rsid w:val="0013391C"/>
    <w:rsid w:val="001351B2"/>
    <w:rsid w:val="00140ADB"/>
    <w:rsid w:val="00145058"/>
    <w:rsid w:val="0017261C"/>
    <w:rsid w:val="0018376C"/>
    <w:rsid w:val="001839B6"/>
    <w:rsid w:val="00192CEC"/>
    <w:rsid w:val="001D76A8"/>
    <w:rsid w:val="00203043"/>
    <w:rsid w:val="00260B84"/>
    <w:rsid w:val="002711A5"/>
    <w:rsid w:val="00280953"/>
    <w:rsid w:val="002A652C"/>
    <w:rsid w:val="002B544D"/>
    <w:rsid w:val="002E0C47"/>
    <w:rsid w:val="002E0EF8"/>
    <w:rsid w:val="002E6E2C"/>
    <w:rsid w:val="003027A5"/>
    <w:rsid w:val="00320127"/>
    <w:rsid w:val="00326E04"/>
    <w:rsid w:val="00373B54"/>
    <w:rsid w:val="00397DE8"/>
    <w:rsid w:val="003A2F12"/>
    <w:rsid w:val="00461E40"/>
    <w:rsid w:val="004A258A"/>
    <w:rsid w:val="004F1EC4"/>
    <w:rsid w:val="00555925"/>
    <w:rsid w:val="00577BDC"/>
    <w:rsid w:val="005918CB"/>
    <w:rsid w:val="00597F34"/>
    <w:rsid w:val="005B1D58"/>
    <w:rsid w:val="00612CF2"/>
    <w:rsid w:val="00620FA7"/>
    <w:rsid w:val="00626DC7"/>
    <w:rsid w:val="00651DA4"/>
    <w:rsid w:val="0068145B"/>
    <w:rsid w:val="006830BD"/>
    <w:rsid w:val="006F54F9"/>
    <w:rsid w:val="006F6A39"/>
    <w:rsid w:val="00850223"/>
    <w:rsid w:val="00862818"/>
    <w:rsid w:val="00882ED1"/>
    <w:rsid w:val="008B402D"/>
    <w:rsid w:val="008B7023"/>
    <w:rsid w:val="008E20E1"/>
    <w:rsid w:val="00905B43"/>
    <w:rsid w:val="009951A7"/>
    <w:rsid w:val="009F034C"/>
    <w:rsid w:val="009F6BDC"/>
    <w:rsid w:val="00A037B9"/>
    <w:rsid w:val="00A11061"/>
    <w:rsid w:val="00A15AA7"/>
    <w:rsid w:val="00A73726"/>
    <w:rsid w:val="00A91439"/>
    <w:rsid w:val="00AC5D53"/>
    <w:rsid w:val="00AF5471"/>
    <w:rsid w:val="00B27D91"/>
    <w:rsid w:val="00C76797"/>
    <w:rsid w:val="00C82FB5"/>
    <w:rsid w:val="00CD590E"/>
    <w:rsid w:val="00D30F60"/>
    <w:rsid w:val="00D52127"/>
    <w:rsid w:val="00E31441"/>
    <w:rsid w:val="00E32FB2"/>
    <w:rsid w:val="00E777C1"/>
    <w:rsid w:val="00E81D50"/>
    <w:rsid w:val="00F827B5"/>
    <w:rsid w:val="00FA2B2A"/>
    <w:rsid w:val="00FA5496"/>
    <w:rsid w:val="00FB62FD"/>
    <w:rsid w:val="00FF7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51CAA"/>
  <w15:chartTrackingRefBased/>
  <w15:docId w15:val="{BEB12816-252A-4B0E-824C-8F7B10044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55925"/>
    <w:rPr>
      <w:sz w:val="16"/>
      <w:szCs w:val="16"/>
    </w:rPr>
  </w:style>
  <w:style w:type="paragraph" w:styleId="CommentText">
    <w:name w:val="annotation text"/>
    <w:basedOn w:val="Normal"/>
    <w:link w:val="CommentTextChar"/>
    <w:uiPriority w:val="99"/>
    <w:semiHidden/>
    <w:unhideWhenUsed/>
    <w:rsid w:val="00555925"/>
    <w:pPr>
      <w:spacing w:line="240" w:lineRule="auto"/>
    </w:pPr>
    <w:rPr>
      <w:sz w:val="20"/>
      <w:szCs w:val="20"/>
    </w:rPr>
  </w:style>
  <w:style w:type="character" w:customStyle="1" w:styleId="CommentTextChar">
    <w:name w:val="Comment Text Char"/>
    <w:basedOn w:val="DefaultParagraphFont"/>
    <w:link w:val="CommentText"/>
    <w:uiPriority w:val="99"/>
    <w:semiHidden/>
    <w:rsid w:val="00555925"/>
    <w:rPr>
      <w:sz w:val="20"/>
      <w:szCs w:val="20"/>
    </w:rPr>
  </w:style>
  <w:style w:type="character" w:styleId="Hyperlink">
    <w:name w:val="Hyperlink"/>
    <w:basedOn w:val="DefaultParagraphFont"/>
    <w:uiPriority w:val="99"/>
    <w:unhideWhenUsed/>
    <w:rsid w:val="006830BD"/>
    <w:rPr>
      <w:color w:val="0563C1" w:themeColor="hyperlink"/>
      <w:u w:val="single"/>
    </w:rPr>
  </w:style>
  <w:style w:type="character" w:styleId="UnresolvedMention">
    <w:name w:val="Unresolved Mention"/>
    <w:basedOn w:val="DefaultParagraphFont"/>
    <w:uiPriority w:val="99"/>
    <w:semiHidden/>
    <w:unhideWhenUsed/>
    <w:rsid w:val="00FF77DC"/>
    <w:rPr>
      <w:color w:val="605E5C"/>
      <w:shd w:val="clear" w:color="auto" w:fill="E1DFDD"/>
    </w:rPr>
  </w:style>
  <w:style w:type="character" w:styleId="FollowedHyperlink">
    <w:name w:val="FollowedHyperlink"/>
    <w:basedOn w:val="DefaultParagraphFont"/>
    <w:uiPriority w:val="99"/>
    <w:semiHidden/>
    <w:unhideWhenUsed/>
    <w:rsid w:val="00905B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02609">
      <w:bodyDiv w:val="1"/>
      <w:marLeft w:val="0"/>
      <w:marRight w:val="0"/>
      <w:marTop w:val="0"/>
      <w:marBottom w:val="0"/>
      <w:divBdr>
        <w:top w:val="none" w:sz="0" w:space="0" w:color="auto"/>
        <w:left w:val="none" w:sz="0" w:space="0" w:color="auto"/>
        <w:bottom w:val="none" w:sz="0" w:space="0" w:color="auto"/>
        <w:right w:val="none" w:sz="0" w:space="0" w:color="auto"/>
      </w:divBdr>
    </w:div>
    <w:div w:id="709450575">
      <w:bodyDiv w:val="1"/>
      <w:marLeft w:val="0"/>
      <w:marRight w:val="0"/>
      <w:marTop w:val="0"/>
      <w:marBottom w:val="0"/>
      <w:divBdr>
        <w:top w:val="none" w:sz="0" w:space="0" w:color="auto"/>
        <w:left w:val="none" w:sz="0" w:space="0" w:color="auto"/>
        <w:bottom w:val="none" w:sz="0" w:space="0" w:color="auto"/>
        <w:right w:val="none" w:sz="0" w:space="0" w:color="auto"/>
      </w:divBdr>
    </w:div>
    <w:div w:id="1227376335">
      <w:bodyDiv w:val="1"/>
      <w:marLeft w:val="0"/>
      <w:marRight w:val="0"/>
      <w:marTop w:val="0"/>
      <w:marBottom w:val="0"/>
      <w:divBdr>
        <w:top w:val="none" w:sz="0" w:space="0" w:color="auto"/>
        <w:left w:val="none" w:sz="0" w:space="0" w:color="auto"/>
        <w:bottom w:val="none" w:sz="0" w:space="0" w:color="auto"/>
        <w:right w:val="none" w:sz="0" w:space="0" w:color="auto"/>
      </w:divBdr>
    </w:div>
    <w:div w:id="1340161196">
      <w:bodyDiv w:val="1"/>
      <w:marLeft w:val="0"/>
      <w:marRight w:val="0"/>
      <w:marTop w:val="0"/>
      <w:marBottom w:val="0"/>
      <w:divBdr>
        <w:top w:val="none" w:sz="0" w:space="0" w:color="auto"/>
        <w:left w:val="none" w:sz="0" w:space="0" w:color="auto"/>
        <w:bottom w:val="none" w:sz="0" w:space="0" w:color="auto"/>
        <w:right w:val="none" w:sz="0" w:space="0" w:color="auto"/>
      </w:divBdr>
    </w:div>
    <w:div w:id="185325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p-ebscohost-com.ezproxy.uwtsd.ac.uk/ehost/pdfviewer/pdfviewer?vid=1&amp;sid=6583bdda-82a3-4f20-b429-bcd48c6a6bc0%40redi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ournals-sagepub-com.ezproxy.uwtsd.ac.uk/doi/pdf/10.1177/146511651663015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ademic.oup.com/ejil/article/23/2/315/487261" TargetMode="External"/><Relationship Id="rId11" Type="http://schemas.openxmlformats.org/officeDocument/2006/relationships/hyperlink" Target="https://whelf-uwtsd.alma.exlibrisgroup.com/leganto/readinglist/citation/7510973290002421?institute=44WHELF_UWTSD&amp;auth=SAML" TargetMode="External"/><Relationship Id="rId5" Type="http://schemas.openxmlformats.org/officeDocument/2006/relationships/hyperlink" Target="https://www.ijhssnet.com/journals/Vol._1_No._5;_May_2011/27.pdf" TargetMode="External"/><Relationship Id="rId10" Type="http://schemas.openxmlformats.org/officeDocument/2006/relationships/hyperlink" Target="https://www.studocu.com/en-gb/document/university-of-bristol/law-and-policy-of-the-european-union-i/article-258-tfeu-state-liability/13909441" TargetMode="External"/><Relationship Id="rId4" Type="http://schemas.openxmlformats.org/officeDocument/2006/relationships/webSettings" Target="webSettings.xml"/><Relationship Id="rId9" Type="http://schemas.openxmlformats.org/officeDocument/2006/relationships/hyperlink" Target="https://web-s-ebscohost-com.ezproxy.uwtsd.ac.uk/ehost/pdfviewer/pdfviewer?vid=1&amp;sid=53cc6e69-f808-4ab5-aa85-c2c31f9781ca%40red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392</TotalTime>
  <Pages>7</Pages>
  <Words>2034</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12</cp:revision>
  <dcterms:created xsi:type="dcterms:W3CDTF">2022-03-04T11:34:00Z</dcterms:created>
  <dcterms:modified xsi:type="dcterms:W3CDTF">2022-03-05T08:15:00Z</dcterms:modified>
</cp:coreProperties>
</file>