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7700" w:rsidRDefault="00C54A84" w:rsidP="00C54A84">
      <w:pPr>
        <w:jc w:val="center"/>
      </w:pPr>
      <w:r>
        <w:t xml:space="preserve">What light do the medieval Welsh law texts associated with Hywel </w:t>
      </w:r>
      <w:proofErr w:type="spellStart"/>
      <w:r>
        <w:t>Dda</w:t>
      </w:r>
      <w:proofErr w:type="spellEnd"/>
      <w:r>
        <w:t xml:space="preserve"> shed on rape and divorce in Medieval Wales?</w:t>
      </w:r>
    </w:p>
    <w:p w:rsidR="00B33578" w:rsidRPr="00DA5D27" w:rsidRDefault="00324576" w:rsidP="00C54A84">
      <w:pPr>
        <w:jc w:val="both"/>
        <w:rPr>
          <w:sz w:val="20"/>
        </w:rPr>
      </w:pPr>
      <w:r w:rsidRPr="00DA5D27">
        <w:rPr>
          <w:sz w:val="20"/>
        </w:rPr>
        <w:t>Hy</w:t>
      </w:r>
      <w:r w:rsidR="004B67D1" w:rsidRPr="00DA5D27">
        <w:rPr>
          <w:sz w:val="20"/>
        </w:rPr>
        <w:t xml:space="preserve">wel </w:t>
      </w:r>
      <w:proofErr w:type="spellStart"/>
      <w:r w:rsidR="004B67D1" w:rsidRPr="00DA5D27">
        <w:rPr>
          <w:sz w:val="20"/>
        </w:rPr>
        <w:t>Dda</w:t>
      </w:r>
      <w:proofErr w:type="spellEnd"/>
      <w:r w:rsidR="004B67D1" w:rsidRPr="00DA5D27">
        <w:rPr>
          <w:sz w:val="20"/>
        </w:rPr>
        <w:t xml:space="preserve"> (Hywel the good) or Hywel </w:t>
      </w:r>
      <w:proofErr w:type="spellStart"/>
      <w:r w:rsidR="004B67D1" w:rsidRPr="00DA5D27">
        <w:rPr>
          <w:sz w:val="20"/>
        </w:rPr>
        <w:t>ap</w:t>
      </w:r>
      <w:proofErr w:type="spellEnd"/>
      <w:r w:rsidR="004B67D1" w:rsidRPr="00DA5D27">
        <w:rPr>
          <w:sz w:val="20"/>
        </w:rPr>
        <w:t xml:space="preserve"> </w:t>
      </w:r>
      <w:proofErr w:type="spellStart"/>
      <w:r w:rsidR="004B67D1" w:rsidRPr="00DA5D27">
        <w:rPr>
          <w:sz w:val="20"/>
        </w:rPr>
        <w:t>Cadell</w:t>
      </w:r>
      <w:proofErr w:type="spellEnd"/>
      <w:r w:rsidR="009B00F7" w:rsidRPr="00DA5D27">
        <w:rPr>
          <w:sz w:val="20"/>
        </w:rPr>
        <w:t xml:space="preserve"> </w:t>
      </w:r>
      <w:r w:rsidR="004B67D1" w:rsidRPr="00DA5D27">
        <w:rPr>
          <w:sz w:val="20"/>
        </w:rPr>
        <w:t xml:space="preserve">was </w:t>
      </w:r>
      <w:r w:rsidR="009B00F7" w:rsidRPr="00DA5D27">
        <w:rPr>
          <w:sz w:val="20"/>
        </w:rPr>
        <w:t>born c.880</w:t>
      </w:r>
      <w:r w:rsidRPr="00DA5D27">
        <w:rPr>
          <w:sz w:val="20"/>
        </w:rPr>
        <w:t xml:space="preserve"> </w:t>
      </w:r>
      <w:r w:rsidR="004B67D1" w:rsidRPr="00DA5D27">
        <w:rPr>
          <w:sz w:val="20"/>
        </w:rPr>
        <w:t>and died in 950.</w:t>
      </w:r>
      <w:r w:rsidR="00FB38FB" w:rsidRPr="00DA5D27">
        <w:rPr>
          <w:sz w:val="20"/>
        </w:rPr>
        <w:t xml:space="preserve"> Being remembered as “the good”</w:t>
      </w:r>
      <w:r w:rsidR="00997962" w:rsidRPr="00DA5D27">
        <w:rPr>
          <w:sz w:val="20"/>
        </w:rPr>
        <w:t xml:space="preserve"> is</w:t>
      </w:r>
      <w:r w:rsidR="00FB38FB" w:rsidRPr="00DA5D27">
        <w:rPr>
          <w:sz w:val="20"/>
        </w:rPr>
        <w:t xml:space="preserve"> unusual considering his ties to the English and his admiration and obedience to them</w:t>
      </w:r>
      <w:r w:rsidR="00997962" w:rsidRPr="00DA5D27">
        <w:rPr>
          <w:sz w:val="20"/>
        </w:rPr>
        <w:t xml:space="preserve"> when this was a time the Welsh continually contested English overlordship.</w:t>
      </w:r>
      <w:r w:rsidR="00911E10" w:rsidRPr="00DA5D27">
        <w:rPr>
          <w:sz w:val="20"/>
        </w:rPr>
        <w:t xml:space="preserve"> As </w:t>
      </w:r>
      <w:r w:rsidR="00FB0ADF" w:rsidRPr="00DA5D27">
        <w:rPr>
          <w:sz w:val="20"/>
        </w:rPr>
        <w:t>Kirby notes ‘Hywel’s presumed excessive pro-</w:t>
      </w:r>
      <w:proofErr w:type="spellStart"/>
      <w:r w:rsidR="00FB0ADF" w:rsidRPr="00DA5D27">
        <w:rPr>
          <w:sz w:val="20"/>
        </w:rPr>
        <w:t>saxon</w:t>
      </w:r>
      <w:proofErr w:type="spellEnd"/>
      <w:r w:rsidR="00FB0ADF" w:rsidRPr="00DA5D27">
        <w:rPr>
          <w:sz w:val="20"/>
        </w:rPr>
        <w:t xml:space="preserve"> outlook could hardly have commended itself to his subjects’</w:t>
      </w:r>
      <w:r w:rsidR="00E00713" w:rsidRPr="00DA5D27">
        <w:rPr>
          <w:rStyle w:val="FootnoteReference"/>
          <w:sz w:val="20"/>
        </w:rPr>
        <w:footnoteReference w:id="1"/>
      </w:r>
      <w:r w:rsidR="00FB0ADF" w:rsidRPr="00DA5D27">
        <w:rPr>
          <w:sz w:val="20"/>
        </w:rPr>
        <w:t xml:space="preserve"> and so the “good” may well have more to do with</w:t>
      </w:r>
      <w:r w:rsidR="00AE6DC1">
        <w:rPr>
          <w:sz w:val="20"/>
        </w:rPr>
        <w:t xml:space="preserve"> the laws than the man himself. </w:t>
      </w:r>
      <w:r w:rsidR="00C10B66" w:rsidRPr="00DA5D27">
        <w:rPr>
          <w:sz w:val="20"/>
        </w:rPr>
        <w:t xml:space="preserve">Although Hywel is associated with the laws his reign shows that he himself was willing to bend the rules of his native lands to achieve his own ends. Later Welsh Princes would follow suit. The association of Hywel </w:t>
      </w:r>
      <w:proofErr w:type="spellStart"/>
      <w:r w:rsidR="00C10B66" w:rsidRPr="00DA5D27">
        <w:rPr>
          <w:sz w:val="20"/>
        </w:rPr>
        <w:t>Dda</w:t>
      </w:r>
      <w:proofErr w:type="spellEnd"/>
      <w:r w:rsidR="00C10B66" w:rsidRPr="00DA5D27">
        <w:rPr>
          <w:sz w:val="20"/>
        </w:rPr>
        <w:t xml:space="preserve"> with the laws come from the prologues preceding the law manuscripts. They carry a tradition that Hywel arranged a conference at </w:t>
      </w:r>
      <w:proofErr w:type="spellStart"/>
      <w:r w:rsidR="00C10B66" w:rsidRPr="00DA5D27">
        <w:rPr>
          <w:sz w:val="20"/>
        </w:rPr>
        <w:t>Whitland</w:t>
      </w:r>
      <w:proofErr w:type="spellEnd"/>
      <w:r w:rsidR="00C10B66" w:rsidRPr="00DA5D27">
        <w:rPr>
          <w:sz w:val="20"/>
        </w:rPr>
        <w:t xml:space="preserve"> whereupon the laws were first drawn together by many legal experts There is no evidence that this meeting took place and is assumed to be a later story composed to give a more authoritative voice to the native laws.</w:t>
      </w:r>
      <w:r w:rsidRPr="00DA5D27">
        <w:rPr>
          <w:sz w:val="20"/>
        </w:rPr>
        <w:t xml:space="preserve"> </w:t>
      </w:r>
    </w:p>
    <w:p w:rsidR="00A87844" w:rsidRPr="00DA5D27" w:rsidRDefault="00FE4F71" w:rsidP="00C54A84">
      <w:pPr>
        <w:jc w:val="both"/>
        <w:rPr>
          <w:sz w:val="20"/>
        </w:rPr>
      </w:pPr>
      <w:r w:rsidRPr="00DA5D27">
        <w:rPr>
          <w:sz w:val="20"/>
        </w:rPr>
        <w:t xml:space="preserve">The Welsh law texts associated with Hywel </w:t>
      </w:r>
      <w:proofErr w:type="spellStart"/>
      <w:r w:rsidRPr="00DA5D27">
        <w:rPr>
          <w:sz w:val="20"/>
        </w:rPr>
        <w:t>Dda</w:t>
      </w:r>
      <w:proofErr w:type="spellEnd"/>
      <w:r w:rsidR="00324576" w:rsidRPr="00DA5D27">
        <w:rPr>
          <w:sz w:val="20"/>
        </w:rPr>
        <w:t xml:space="preserve"> comprise of medieval welsh law gained from </w:t>
      </w:r>
      <w:r w:rsidR="001B3BC1" w:rsidRPr="00DA5D27">
        <w:rPr>
          <w:sz w:val="20"/>
        </w:rPr>
        <w:t>many</w:t>
      </w:r>
      <w:r w:rsidR="00324576" w:rsidRPr="00DA5D27">
        <w:rPr>
          <w:sz w:val="20"/>
        </w:rPr>
        <w:t xml:space="preserve"> manuscripts</w:t>
      </w:r>
      <w:r w:rsidR="009F2D53" w:rsidRPr="00DA5D27">
        <w:rPr>
          <w:sz w:val="20"/>
        </w:rPr>
        <w:t>.</w:t>
      </w:r>
      <w:r w:rsidR="00A11A27" w:rsidRPr="00DA5D27">
        <w:rPr>
          <w:sz w:val="20"/>
        </w:rPr>
        <w:t xml:space="preserve"> The earliest of these is </w:t>
      </w:r>
      <w:proofErr w:type="spellStart"/>
      <w:r w:rsidR="00A11A27" w:rsidRPr="00DA5D27">
        <w:rPr>
          <w:sz w:val="20"/>
        </w:rPr>
        <w:t>Peniarth</w:t>
      </w:r>
      <w:proofErr w:type="spellEnd"/>
      <w:r w:rsidR="00A11A27" w:rsidRPr="00DA5D27">
        <w:rPr>
          <w:sz w:val="20"/>
        </w:rPr>
        <w:t xml:space="preserve"> 28, </w:t>
      </w:r>
      <w:r w:rsidR="00A3781F" w:rsidRPr="00DA5D27">
        <w:rPr>
          <w:sz w:val="20"/>
        </w:rPr>
        <w:t>dates from some time in the</w:t>
      </w:r>
      <w:r w:rsidR="00A11A27" w:rsidRPr="00DA5D27">
        <w:rPr>
          <w:sz w:val="20"/>
        </w:rPr>
        <w:t xml:space="preserve"> thirteenth century and is written in Latin</w:t>
      </w:r>
      <w:r w:rsidR="00A3781F" w:rsidRPr="00DA5D27">
        <w:rPr>
          <w:sz w:val="20"/>
        </w:rPr>
        <w:t xml:space="preserve"> although thought to be a translation of a Welsh version</w:t>
      </w:r>
      <w:r w:rsidR="00A11A27" w:rsidRPr="00DA5D27">
        <w:rPr>
          <w:sz w:val="20"/>
        </w:rPr>
        <w:t>.</w:t>
      </w:r>
      <w:r w:rsidR="008E3176" w:rsidRPr="00DA5D27">
        <w:rPr>
          <w:sz w:val="20"/>
        </w:rPr>
        <w:t xml:space="preserve"> There are three redactions: </w:t>
      </w:r>
      <w:proofErr w:type="spellStart"/>
      <w:r w:rsidR="008E3176" w:rsidRPr="00DA5D27">
        <w:rPr>
          <w:sz w:val="20"/>
        </w:rPr>
        <w:t>Cyfnerth</w:t>
      </w:r>
      <w:proofErr w:type="spellEnd"/>
      <w:r w:rsidR="008E3176" w:rsidRPr="00DA5D27">
        <w:rPr>
          <w:sz w:val="20"/>
        </w:rPr>
        <w:t xml:space="preserve">, </w:t>
      </w:r>
      <w:proofErr w:type="spellStart"/>
      <w:r w:rsidR="008E3176" w:rsidRPr="00DA5D27">
        <w:rPr>
          <w:sz w:val="20"/>
        </w:rPr>
        <w:t>Blegywryd</w:t>
      </w:r>
      <w:proofErr w:type="spellEnd"/>
      <w:r w:rsidR="008E3176" w:rsidRPr="00DA5D27">
        <w:rPr>
          <w:sz w:val="20"/>
        </w:rPr>
        <w:t xml:space="preserve"> and </w:t>
      </w:r>
      <w:proofErr w:type="spellStart"/>
      <w:r w:rsidR="008E3176" w:rsidRPr="00DA5D27">
        <w:rPr>
          <w:sz w:val="20"/>
        </w:rPr>
        <w:t>Iorwerth</w:t>
      </w:r>
      <w:proofErr w:type="spellEnd"/>
      <w:r w:rsidR="008E3176" w:rsidRPr="00DA5D27">
        <w:rPr>
          <w:sz w:val="20"/>
        </w:rPr>
        <w:t xml:space="preserve"> and each are commonly linked to different areas of Wales. Some texts show little development whereas some show influence from the church which is not surprising concerning the differing opinions on divorce and legitimacy regarding inheritance. </w:t>
      </w:r>
      <w:r w:rsidR="00D52669" w:rsidRPr="00DA5D27">
        <w:rPr>
          <w:sz w:val="20"/>
        </w:rPr>
        <w:t>No manuscripts survive from Hywel’s time and the common presumption of the association comes from the propaganda spread by later Welsh princes who wished to give their versions of the welsh law legitimacy by associating it wit</w:t>
      </w:r>
      <w:r w:rsidR="00321450" w:rsidRPr="00DA5D27">
        <w:rPr>
          <w:sz w:val="20"/>
        </w:rPr>
        <w:t xml:space="preserve">h a highly esteemed welsh ruler by the “meeting at </w:t>
      </w:r>
      <w:proofErr w:type="spellStart"/>
      <w:r w:rsidR="00321450" w:rsidRPr="00DA5D27">
        <w:rPr>
          <w:sz w:val="20"/>
        </w:rPr>
        <w:t>Whitland</w:t>
      </w:r>
      <w:proofErr w:type="spellEnd"/>
      <w:r w:rsidR="00321450" w:rsidRPr="00DA5D27">
        <w:rPr>
          <w:sz w:val="20"/>
        </w:rPr>
        <w:t>”.</w:t>
      </w:r>
      <w:r w:rsidR="00B33578" w:rsidRPr="00DA5D27">
        <w:rPr>
          <w:sz w:val="20"/>
        </w:rPr>
        <w:t xml:space="preserve"> </w:t>
      </w:r>
      <w:r w:rsidR="009D26DA" w:rsidRPr="00DA5D27">
        <w:rPr>
          <w:sz w:val="20"/>
        </w:rPr>
        <w:t xml:space="preserve">The </w:t>
      </w:r>
      <w:r w:rsidR="00B33578" w:rsidRPr="00DA5D27">
        <w:rPr>
          <w:sz w:val="20"/>
        </w:rPr>
        <w:t xml:space="preserve">section of the law texts that focuses on rape and divorce is within “The Laws of Women”. This section is not divided up, first entailing the laws associated with rape and then with divorce and then the rights of selling or lending items. Rather the laws are jumbled together giving an appearance of having been added to on a need by need basis. In </w:t>
      </w:r>
      <w:proofErr w:type="spellStart"/>
      <w:r w:rsidR="00B33578" w:rsidRPr="00DA5D27">
        <w:rPr>
          <w:sz w:val="20"/>
        </w:rPr>
        <w:t>Dafydd</w:t>
      </w:r>
      <w:proofErr w:type="spellEnd"/>
      <w:r w:rsidR="00B33578" w:rsidRPr="00DA5D27">
        <w:rPr>
          <w:sz w:val="20"/>
        </w:rPr>
        <w:t xml:space="preserve"> Jenkins’ translation less than twenty pages make up the Laws of Women. There are no “Laws of Men”, rather the rest of the book, although it is not specified belongs to the laws of men. The laws of women focus on the compensation due to a woman and in what circumstances she may</w:t>
      </w:r>
      <w:r w:rsidR="003328F9" w:rsidRPr="00DA5D27">
        <w:rPr>
          <w:sz w:val="20"/>
        </w:rPr>
        <w:t xml:space="preserve"> or may not be entitled to it. </w:t>
      </w:r>
    </w:p>
    <w:p w:rsidR="00671DA6" w:rsidRPr="00DA5D27" w:rsidRDefault="00573611" w:rsidP="00C54A84">
      <w:pPr>
        <w:jc w:val="both"/>
        <w:rPr>
          <w:sz w:val="20"/>
        </w:rPr>
      </w:pPr>
      <w:r w:rsidRPr="00DA5D27">
        <w:rPr>
          <w:sz w:val="20"/>
        </w:rPr>
        <w:t xml:space="preserve">The Laws of Hywel </w:t>
      </w:r>
      <w:proofErr w:type="spellStart"/>
      <w:r w:rsidRPr="00DA5D27">
        <w:rPr>
          <w:sz w:val="20"/>
        </w:rPr>
        <w:t>Dda</w:t>
      </w:r>
      <w:proofErr w:type="spellEnd"/>
      <w:r w:rsidRPr="00DA5D27">
        <w:rPr>
          <w:sz w:val="20"/>
        </w:rPr>
        <w:t xml:space="preserve"> concerning rape seem few considering what we call a heinous crime. When we deal with such a case today the first thing to be determined is whether </w:t>
      </w:r>
      <w:r w:rsidR="003A09B0" w:rsidRPr="00DA5D27">
        <w:rPr>
          <w:sz w:val="20"/>
        </w:rPr>
        <w:t xml:space="preserve">the event happened, upon the result of this the appropriate parties are punished and compensation may be sought by the injured parties. In the thirteenth century, common law was different and like today differed from country to country. In England, the focus of a crime was upon punishing the guilty parties, however Welsh medieval law instead is heavily influenced by compensation and this includes for women. In the law texts, the largest section concerning this topic covers the compensation received by the woman, her husband or kin (depending on whether she was married) and her Lord. </w:t>
      </w:r>
    </w:p>
    <w:p w:rsidR="006A7EBF" w:rsidRPr="00DA5D27" w:rsidRDefault="003A09B0" w:rsidP="00C54A84">
      <w:pPr>
        <w:jc w:val="both"/>
        <w:rPr>
          <w:sz w:val="20"/>
        </w:rPr>
      </w:pPr>
      <w:r w:rsidRPr="00DA5D27">
        <w:rPr>
          <w:sz w:val="20"/>
        </w:rPr>
        <w:t xml:space="preserve">The compensation differs on whether she is married or yet unmarried and presumably a virgin. The laws of Hywel </w:t>
      </w:r>
      <w:proofErr w:type="spellStart"/>
      <w:r w:rsidRPr="00DA5D27">
        <w:rPr>
          <w:sz w:val="20"/>
        </w:rPr>
        <w:t>Dda</w:t>
      </w:r>
      <w:proofErr w:type="spellEnd"/>
      <w:r w:rsidRPr="00DA5D27">
        <w:rPr>
          <w:sz w:val="20"/>
        </w:rPr>
        <w:t xml:space="preserve"> state that if a man denies the charge of rape he may ‘give the oath of fifty men without aliens and without designated men’</w:t>
      </w:r>
      <w:r w:rsidR="002E5AD0" w:rsidRPr="00DA5D27">
        <w:rPr>
          <w:rStyle w:val="FootnoteReference"/>
          <w:sz w:val="20"/>
        </w:rPr>
        <w:footnoteReference w:id="2"/>
      </w:r>
      <w:r w:rsidR="002E5AD0" w:rsidRPr="00DA5D27">
        <w:rPr>
          <w:sz w:val="20"/>
        </w:rPr>
        <w:t>.</w:t>
      </w:r>
      <w:r w:rsidR="00FE1C59" w:rsidRPr="00DA5D27">
        <w:rPr>
          <w:sz w:val="20"/>
        </w:rPr>
        <w:t xml:space="preserve"> A later part of the text also states that of the fifty men ‘three of them being under vows that they will not take a wife and will not eat meat and will not ride horses ever’</w:t>
      </w:r>
      <w:r w:rsidR="00FE1C59" w:rsidRPr="00DA5D27">
        <w:rPr>
          <w:rStyle w:val="FootnoteReference"/>
          <w:sz w:val="20"/>
        </w:rPr>
        <w:footnoteReference w:id="3"/>
      </w:r>
      <w:r w:rsidR="00FE1C59" w:rsidRPr="00DA5D27">
        <w:rPr>
          <w:sz w:val="20"/>
        </w:rPr>
        <w:t xml:space="preserve">. This quote references vows with the word indicating men of the church and the vows represent common vows undertaken by monks. This shows signs of influence of the church upon the Welsh native law and that the good character of the accused man needing the support of the church to clear his name. </w:t>
      </w:r>
      <w:r w:rsidR="002E5AD0" w:rsidRPr="00DA5D27">
        <w:rPr>
          <w:sz w:val="20"/>
        </w:rPr>
        <w:t xml:space="preserve">If a legal charge is made by the woman then she </w:t>
      </w:r>
      <w:r w:rsidR="003F7D76" w:rsidRPr="00DA5D27">
        <w:rPr>
          <w:sz w:val="20"/>
        </w:rPr>
        <w:t>must</w:t>
      </w:r>
      <w:r w:rsidR="002E5AD0" w:rsidRPr="00DA5D27">
        <w:rPr>
          <w:sz w:val="20"/>
        </w:rPr>
        <w:t xml:space="preserve"> give an oath by ‘take[</w:t>
      </w:r>
      <w:proofErr w:type="spellStart"/>
      <w:r w:rsidR="002E5AD0" w:rsidRPr="00DA5D27">
        <w:rPr>
          <w:sz w:val="20"/>
        </w:rPr>
        <w:t>ing</w:t>
      </w:r>
      <w:proofErr w:type="spellEnd"/>
      <w:r w:rsidR="002E5AD0" w:rsidRPr="00DA5D27">
        <w:rPr>
          <w:sz w:val="20"/>
        </w:rPr>
        <w:t xml:space="preserve">] the man’s member in her left hand, with her right hand on the relic, and let her swear by the relic that that member had connexion with her by force and that blemish and </w:t>
      </w:r>
      <w:proofErr w:type="spellStart"/>
      <w:r w:rsidR="002E5AD0" w:rsidRPr="00DA5D27">
        <w:rPr>
          <w:sz w:val="20"/>
        </w:rPr>
        <w:t>sarhaed</w:t>
      </w:r>
      <w:proofErr w:type="spellEnd"/>
      <w:r w:rsidR="002E5AD0" w:rsidRPr="00DA5D27">
        <w:rPr>
          <w:sz w:val="20"/>
        </w:rPr>
        <w:t xml:space="preserve"> were done to her and to her kin and to her lord’</w:t>
      </w:r>
      <w:r w:rsidR="002E5AD0" w:rsidRPr="00DA5D27">
        <w:rPr>
          <w:rStyle w:val="FootnoteReference"/>
          <w:sz w:val="20"/>
        </w:rPr>
        <w:footnoteReference w:id="4"/>
      </w:r>
      <w:r w:rsidR="002E5AD0" w:rsidRPr="00DA5D27">
        <w:rPr>
          <w:sz w:val="20"/>
        </w:rPr>
        <w:t>.</w:t>
      </w:r>
      <w:r w:rsidR="003F7D76" w:rsidRPr="00DA5D27">
        <w:rPr>
          <w:sz w:val="20"/>
        </w:rPr>
        <w:t xml:space="preserve"> </w:t>
      </w:r>
      <w:r w:rsidR="00EE56FC" w:rsidRPr="00DA5D27">
        <w:rPr>
          <w:sz w:val="20"/>
        </w:rPr>
        <w:t>Presumably the “blemish” refers to the shame done her whilst the “</w:t>
      </w:r>
      <w:proofErr w:type="spellStart"/>
      <w:r w:rsidR="00EE56FC" w:rsidRPr="00DA5D27">
        <w:rPr>
          <w:sz w:val="20"/>
        </w:rPr>
        <w:t>sarhaed</w:t>
      </w:r>
      <w:proofErr w:type="spellEnd"/>
      <w:r w:rsidR="00EE56FC" w:rsidRPr="00DA5D27">
        <w:rPr>
          <w:sz w:val="20"/>
        </w:rPr>
        <w:t xml:space="preserve">” is </w:t>
      </w:r>
      <w:r w:rsidR="00EE56FC" w:rsidRPr="00DA5D27">
        <w:rPr>
          <w:sz w:val="20"/>
        </w:rPr>
        <w:lastRenderedPageBreak/>
        <w:t xml:space="preserve">the injury price she receives from the offending man. </w:t>
      </w:r>
      <w:r w:rsidR="003F7D76" w:rsidRPr="00DA5D27">
        <w:rPr>
          <w:sz w:val="20"/>
        </w:rPr>
        <w:t>A man may simply find “x” amount of men and he can be “cleared of all charges” so to speak although the text does not specify the outcome if both oaths are given by man and woman. Only that ‘Some of the justices do not allow denial against that: the law however says that it is right to allow denial as we have said above.’</w:t>
      </w:r>
      <w:r w:rsidR="003F7D76" w:rsidRPr="00DA5D27">
        <w:rPr>
          <w:rStyle w:val="FootnoteReference"/>
          <w:sz w:val="20"/>
        </w:rPr>
        <w:footnoteReference w:id="5"/>
      </w:r>
      <w:r w:rsidR="003F7D76" w:rsidRPr="00DA5D27">
        <w:rPr>
          <w:sz w:val="20"/>
        </w:rPr>
        <w:t xml:space="preserve"> The “denial against that”</w:t>
      </w:r>
      <w:r w:rsidR="006A7EBF" w:rsidRPr="00DA5D27">
        <w:rPr>
          <w:sz w:val="20"/>
        </w:rPr>
        <w:t xml:space="preserve"> is referencing</w:t>
      </w:r>
      <w:r w:rsidR="003F7D76" w:rsidRPr="00DA5D27">
        <w:rPr>
          <w:sz w:val="20"/>
        </w:rPr>
        <w:t xml:space="preserve"> the oath given by the woman, as she is swearing on a holy relic presumably then her being untruthful is out of the question in the eyes of the court.</w:t>
      </w:r>
      <w:r w:rsidR="006A7EBF" w:rsidRPr="00DA5D27">
        <w:rPr>
          <w:sz w:val="20"/>
        </w:rPr>
        <w:t xml:space="preserve"> The above quote stands as a contradiction however stating that while the law may allow denial, it appears up to the justices themselves.</w:t>
      </w:r>
      <w:r w:rsidR="00860347" w:rsidRPr="00DA5D27">
        <w:rPr>
          <w:sz w:val="20"/>
        </w:rPr>
        <w:t xml:space="preserve"> Another strange item of the law is the oath having to be taken by the woman. The laws may give women appropriate compensation as is befitting their goods (themselves and their status) however considering rape is a traumatising experience they have no sympathy for the victim. Throughout the laws whereas today we refer to “victim”, the medieval Welsh laws refer to only “woman”. They see the woman not as a victim </w:t>
      </w:r>
      <w:r w:rsidR="00146A1A" w:rsidRPr="00DA5D27">
        <w:rPr>
          <w:sz w:val="20"/>
        </w:rPr>
        <w:t>but rather as damaged goods or property that has been devalued. The oath of the woman requires the handling of the offending “member” and the swearing on a relic, what rape victim would want to do this?</w:t>
      </w:r>
      <w:r w:rsidR="00E65840" w:rsidRPr="00DA5D27">
        <w:rPr>
          <w:sz w:val="20"/>
        </w:rPr>
        <w:t xml:space="preserve"> Why could the woman not just swear on the relic alone with the offending man present? Maybe this is more likely what happened but symbolically the law is what the oath represented.</w:t>
      </w:r>
      <w:r w:rsidR="003C3409" w:rsidRPr="00DA5D27">
        <w:rPr>
          <w:sz w:val="20"/>
        </w:rPr>
        <w:t xml:space="preserve"> </w:t>
      </w:r>
    </w:p>
    <w:p w:rsidR="003C3409" w:rsidRPr="00DA5D27" w:rsidRDefault="003C3409" w:rsidP="00C54A84">
      <w:pPr>
        <w:jc w:val="both"/>
        <w:rPr>
          <w:sz w:val="20"/>
        </w:rPr>
      </w:pPr>
      <w:r w:rsidRPr="00DA5D27">
        <w:rPr>
          <w:sz w:val="20"/>
        </w:rPr>
        <w:t>If the man were to admit to the rape</w:t>
      </w:r>
      <w:r w:rsidR="008C13DF" w:rsidRPr="00DA5D27">
        <w:rPr>
          <w:sz w:val="20"/>
        </w:rPr>
        <w:t>, the law provides the simple answer in paying</w:t>
      </w:r>
      <w:r w:rsidRPr="00DA5D27">
        <w:rPr>
          <w:sz w:val="20"/>
        </w:rPr>
        <w:t xml:space="preserve"> the compensations accordingly</w:t>
      </w:r>
      <w:r w:rsidR="00D37DBD" w:rsidRPr="00DA5D27">
        <w:rPr>
          <w:sz w:val="20"/>
        </w:rPr>
        <w:t xml:space="preserve">: </w:t>
      </w:r>
    </w:p>
    <w:p w:rsidR="00D37DBD" w:rsidRPr="00DA5D27" w:rsidRDefault="00D37DBD" w:rsidP="00D37DBD">
      <w:pPr>
        <w:ind w:left="567" w:right="521"/>
        <w:jc w:val="both"/>
        <w:rPr>
          <w:sz w:val="20"/>
        </w:rPr>
      </w:pPr>
      <w:r w:rsidRPr="00DA5D27">
        <w:rPr>
          <w:sz w:val="20"/>
        </w:rPr>
        <w:t xml:space="preserve">‘let him pay twelve </w:t>
      </w:r>
      <w:proofErr w:type="spellStart"/>
      <w:r w:rsidRPr="00DA5D27">
        <w:rPr>
          <w:sz w:val="20"/>
        </w:rPr>
        <w:t>kine</w:t>
      </w:r>
      <w:proofErr w:type="spellEnd"/>
      <w:r w:rsidRPr="00DA5D27">
        <w:rPr>
          <w:sz w:val="20"/>
        </w:rPr>
        <w:t xml:space="preserve"> as </w:t>
      </w:r>
      <w:proofErr w:type="spellStart"/>
      <w:r w:rsidRPr="00DA5D27">
        <w:rPr>
          <w:sz w:val="20"/>
        </w:rPr>
        <w:t>dirwy</w:t>
      </w:r>
      <w:proofErr w:type="spellEnd"/>
      <w:r w:rsidRPr="00DA5D27">
        <w:rPr>
          <w:sz w:val="20"/>
        </w:rPr>
        <w:t xml:space="preserve"> to the King, and her </w:t>
      </w:r>
      <w:proofErr w:type="spellStart"/>
      <w:r w:rsidRPr="00DA5D27">
        <w:rPr>
          <w:sz w:val="20"/>
        </w:rPr>
        <w:t>amobr</w:t>
      </w:r>
      <w:proofErr w:type="spellEnd"/>
      <w:r w:rsidRPr="00DA5D27">
        <w:rPr>
          <w:sz w:val="20"/>
        </w:rPr>
        <w:t xml:space="preserve"> to her lord, (and if she is a maiden, her </w:t>
      </w:r>
      <w:proofErr w:type="spellStart"/>
      <w:r w:rsidRPr="00DA5D27">
        <w:rPr>
          <w:sz w:val="20"/>
        </w:rPr>
        <w:t>cowyll</w:t>
      </w:r>
      <w:proofErr w:type="spellEnd"/>
      <w:r w:rsidRPr="00DA5D27">
        <w:rPr>
          <w:sz w:val="20"/>
        </w:rPr>
        <w:t xml:space="preserve">), and her </w:t>
      </w:r>
      <w:proofErr w:type="spellStart"/>
      <w:r w:rsidRPr="00DA5D27">
        <w:rPr>
          <w:sz w:val="20"/>
        </w:rPr>
        <w:t>agweddi</w:t>
      </w:r>
      <w:proofErr w:type="spellEnd"/>
      <w:r w:rsidRPr="00DA5D27">
        <w:rPr>
          <w:sz w:val="20"/>
        </w:rPr>
        <w:t xml:space="preserve"> at the highest rate to which she is entitled, and her </w:t>
      </w:r>
      <w:proofErr w:type="spellStart"/>
      <w:r w:rsidRPr="00DA5D27">
        <w:rPr>
          <w:sz w:val="20"/>
        </w:rPr>
        <w:t>wynebwerth</w:t>
      </w:r>
      <w:proofErr w:type="spellEnd"/>
      <w:r w:rsidRPr="00DA5D27">
        <w:rPr>
          <w:sz w:val="20"/>
        </w:rPr>
        <w:t xml:space="preserve">, and her </w:t>
      </w:r>
      <w:proofErr w:type="spellStart"/>
      <w:r w:rsidRPr="00DA5D27">
        <w:rPr>
          <w:sz w:val="20"/>
        </w:rPr>
        <w:t>dilysrwwydd</w:t>
      </w:r>
      <w:proofErr w:type="spellEnd"/>
      <w:r w:rsidRPr="00DA5D27">
        <w:rPr>
          <w:sz w:val="20"/>
        </w:rPr>
        <w:t xml:space="preserve">. And if she is a married woman, her </w:t>
      </w:r>
      <w:proofErr w:type="spellStart"/>
      <w:r w:rsidRPr="00DA5D27">
        <w:rPr>
          <w:sz w:val="20"/>
        </w:rPr>
        <w:t>sarhaed</w:t>
      </w:r>
      <w:proofErr w:type="spellEnd"/>
      <w:r w:rsidRPr="00DA5D27">
        <w:rPr>
          <w:sz w:val="20"/>
        </w:rPr>
        <w:t xml:space="preserve"> augmented by a half.’</w:t>
      </w:r>
      <w:r w:rsidRPr="00DA5D27">
        <w:rPr>
          <w:rStyle w:val="FootnoteReference"/>
          <w:sz w:val="20"/>
        </w:rPr>
        <w:footnoteReference w:id="6"/>
      </w:r>
    </w:p>
    <w:p w:rsidR="00D37DBD" w:rsidRDefault="00D37DBD" w:rsidP="00D37DBD">
      <w:pPr>
        <w:ind w:right="-46"/>
        <w:jc w:val="both"/>
        <w:rPr>
          <w:sz w:val="20"/>
        </w:rPr>
      </w:pPr>
      <w:r w:rsidRPr="00DA5D27">
        <w:rPr>
          <w:sz w:val="20"/>
        </w:rPr>
        <w:t>The “punishment” of the rapist therefore resides in the compensation given to the victim and her husband or kin and lord. Owing to the fact the compensation is given to others besides the victim again reinforces the idea that the compensation is rather for the damaged goods or status of the woman rather than attempting to compensate the woman for the trauma experienced.</w:t>
      </w:r>
      <w:r w:rsidR="00DE58B3" w:rsidRPr="00DA5D27">
        <w:rPr>
          <w:sz w:val="20"/>
        </w:rPr>
        <w:t xml:space="preserve"> The compensation is given to the kin if her virginity has been taken because it will be harder to find her a husband. Compensation is given to the husband because it is an insult to his status within society no matter his social rank.</w:t>
      </w:r>
      <w:r w:rsidR="001A4E87" w:rsidRPr="00DA5D27">
        <w:rPr>
          <w:sz w:val="20"/>
        </w:rPr>
        <w:t xml:space="preserve"> Although the text also states that if a “maiden-wife” be raped ‘it is right that her </w:t>
      </w:r>
      <w:proofErr w:type="spellStart"/>
      <w:r w:rsidR="001A4E87" w:rsidRPr="00DA5D27">
        <w:rPr>
          <w:sz w:val="20"/>
        </w:rPr>
        <w:t>cowyll</w:t>
      </w:r>
      <w:proofErr w:type="spellEnd"/>
      <w:r w:rsidR="001A4E87" w:rsidRPr="00DA5D27">
        <w:rPr>
          <w:sz w:val="20"/>
        </w:rPr>
        <w:t xml:space="preserve"> be paid to her’</w:t>
      </w:r>
      <w:r w:rsidR="001A4E87" w:rsidRPr="00DA5D27">
        <w:rPr>
          <w:rStyle w:val="FootnoteReference"/>
          <w:sz w:val="20"/>
        </w:rPr>
        <w:footnoteReference w:id="7"/>
      </w:r>
      <w:r w:rsidR="001A4E87" w:rsidRPr="00DA5D27">
        <w:rPr>
          <w:sz w:val="20"/>
        </w:rPr>
        <w:t xml:space="preserve">. A maiden-wife refers to a woman who has married her husband but he has not slept with her. The </w:t>
      </w:r>
      <w:proofErr w:type="spellStart"/>
      <w:r w:rsidR="001A4E87" w:rsidRPr="00DA5D27">
        <w:rPr>
          <w:sz w:val="20"/>
        </w:rPr>
        <w:t>cowyll</w:t>
      </w:r>
      <w:proofErr w:type="spellEnd"/>
      <w:r w:rsidR="001A4E87" w:rsidRPr="00DA5D27">
        <w:rPr>
          <w:sz w:val="20"/>
        </w:rPr>
        <w:t xml:space="preserve"> is typically given to the wife upon rising the morning after the consummation and so the law ensures she still obtains this</w:t>
      </w:r>
      <w:r w:rsidR="005675A2" w:rsidRPr="00DA5D27">
        <w:rPr>
          <w:sz w:val="20"/>
        </w:rPr>
        <w:t xml:space="preserve"> c</w:t>
      </w:r>
      <w:r w:rsidR="00DE58B3" w:rsidRPr="00DA5D27">
        <w:rPr>
          <w:sz w:val="20"/>
        </w:rPr>
        <w:t xml:space="preserve">ompensation is given to the lord as ‘no woman who is raped is bound to pay </w:t>
      </w:r>
      <w:proofErr w:type="spellStart"/>
      <w:r w:rsidR="00DE58B3" w:rsidRPr="00DA5D27">
        <w:rPr>
          <w:sz w:val="20"/>
        </w:rPr>
        <w:t>amobr</w:t>
      </w:r>
      <w:proofErr w:type="spellEnd"/>
      <w:r w:rsidR="00DE58B3" w:rsidRPr="00DA5D27">
        <w:rPr>
          <w:sz w:val="20"/>
        </w:rPr>
        <w:t xml:space="preserve">’. </w:t>
      </w:r>
      <w:proofErr w:type="spellStart"/>
      <w:r w:rsidR="00DE58B3" w:rsidRPr="00DA5D27">
        <w:rPr>
          <w:sz w:val="20"/>
        </w:rPr>
        <w:t>Amobr</w:t>
      </w:r>
      <w:proofErr w:type="spellEnd"/>
      <w:r w:rsidR="00DE58B3" w:rsidRPr="00DA5D27">
        <w:rPr>
          <w:sz w:val="20"/>
        </w:rPr>
        <w:t xml:space="preserve"> refers to the “purchase price” of a woman and is payable to the Lord the morrow on consummating her marriage. As in effect of the rape consummation of a kind has taken place the guilty man must pay this price to the lord he has offended.</w:t>
      </w:r>
      <w:r w:rsidR="00CB65B4" w:rsidRPr="00DA5D27">
        <w:rPr>
          <w:sz w:val="20"/>
        </w:rPr>
        <w:t xml:space="preserve"> It is important to note that the compensation is paid in according with </w:t>
      </w:r>
      <w:r w:rsidR="00AF49AF" w:rsidRPr="00DA5D27">
        <w:rPr>
          <w:sz w:val="20"/>
        </w:rPr>
        <w:t>the status of the woman. If a lord raped a lowly born woman then the compensation due would be low if the matter was even brought to court. Bringing a case against someone higher than yourself in court could be a risky business.</w:t>
      </w:r>
      <w:r w:rsidR="00FF08C8" w:rsidRPr="00DA5D27">
        <w:rPr>
          <w:sz w:val="20"/>
        </w:rPr>
        <w:t xml:space="preserve"> The fact the compensation is levied against the woman’s</w:t>
      </w:r>
      <w:r w:rsidR="004C2F2C" w:rsidRPr="00DA5D27">
        <w:rPr>
          <w:sz w:val="20"/>
        </w:rPr>
        <w:t xml:space="preserve"> social and marital</w:t>
      </w:r>
      <w:r w:rsidR="00FF08C8" w:rsidRPr="00DA5D27">
        <w:rPr>
          <w:sz w:val="20"/>
        </w:rPr>
        <w:t xml:space="preserve"> status is again proof that the laws refer to the woman as damaged goods rather than giving some recompense to the crime against her.</w:t>
      </w:r>
    </w:p>
    <w:p w:rsidR="00662D87" w:rsidRPr="00DA5D27" w:rsidRDefault="00662D87" w:rsidP="00D37DBD">
      <w:pPr>
        <w:ind w:right="-46"/>
        <w:jc w:val="both"/>
        <w:rPr>
          <w:sz w:val="20"/>
        </w:rPr>
      </w:pPr>
      <w:r>
        <w:rPr>
          <w:sz w:val="20"/>
        </w:rPr>
        <w:t xml:space="preserve">Curiously, later in the text reference is again made about compensation for the woman and this time the man is made to ‘pay the woman her endowment and her </w:t>
      </w:r>
      <w:proofErr w:type="spellStart"/>
      <w:r>
        <w:rPr>
          <w:sz w:val="20"/>
        </w:rPr>
        <w:t>dilystod</w:t>
      </w:r>
      <w:proofErr w:type="spellEnd"/>
      <w:r>
        <w:rPr>
          <w:sz w:val="20"/>
        </w:rPr>
        <w:t xml:space="preserve">, and a </w:t>
      </w:r>
      <w:proofErr w:type="spellStart"/>
      <w:r>
        <w:rPr>
          <w:sz w:val="20"/>
        </w:rPr>
        <w:t>dirwy</w:t>
      </w:r>
      <w:proofErr w:type="spellEnd"/>
      <w:r>
        <w:rPr>
          <w:sz w:val="20"/>
        </w:rPr>
        <w:t xml:space="preserve"> and a silver rod to the King in the manner which is right’</w:t>
      </w:r>
      <w:r>
        <w:rPr>
          <w:rStyle w:val="FootnoteReference"/>
          <w:sz w:val="20"/>
        </w:rPr>
        <w:footnoteReference w:id="8"/>
      </w:r>
      <w:r w:rsidR="006E6B4A">
        <w:rPr>
          <w:sz w:val="20"/>
        </w:rPr>
        <w:t>. It is rather droll how the King is now in receipt of a rod of silver where there was no mention of it in the text previously. This may have been a later added clause upon some circumst</w:t>
      </w:r>
      <w:r w:rsidR="00CF6248">
        <w:rPr>
          <w:sz w:val="20"/>
        </w:rPr>
        <w:t>ance that pleased one</w:t>
      </w:r>
      <w:r w:rsidR="006E6B4A">
        <w:rPr>
          <w:sz w:val="20"/>
        </w:rPr>
        <w:t xml:space="preserve"> Welsh Prince or another.</w:t>
      </w:r>
      <w:r w:rsidR="00CF6248">
        <w:rPr>
          <w:sz w:val="20"/>
        </w:rPr>
        <w:t xml:space="preserve"> This section also describes what occurs if the man cannot pay the fine yet ha</w:t>
      </w:r>
      <w:r w:rsidR="00174E81">
        <w:rPr>
          <w:sz w:val="20"/>
        </w:rPr>
        <w:t>s accepted guilt for his action: ‘if the man cannot pay, let his testicles be taken’</w:t>
      </w:r>
      <w:r w:rsidR="00174E81">
        <w:rPr>
          <w:rStyle w:val="FootnoteReference"/>
          <w:sz w:val="20"/>
        </w:rPr>
        <w:footnoteReference w:id="9"/>
      </w:r>
      <w:r w:rsidR="00174E81">
        <w:rPr>
          <w:sz w:val="20"/>
        </w:rPr>
        <w:t xml:space="preserve"> and if there were two women ‘let him give one testicle to one and the other to the other if he lies with them both’</w:t>
      </w:r>
      <w:r w:rsidR="00174E81">
        <w:rPr>
          <w:rStyle w:val="FootnoteReference"/>
          <w:sz w:val="20"/>
        </w:rPr>
        <w:footnoteReference w:id="10"/>
      </w:r>
      <w:r w:rsidR="00FE75B2">
        <w:rPr>
          <w:sz w:val="20"/>
        </w:rPr>
        <w:t xml:space="preserve">. Why it was thought the women would want the offending testicles is beyond me and likely most readers, it can only be assumed to be a way of </w:t>
      </w:r>
      <w:r w:rsidR="00FE75B2">
        <w:rPr>
          <w:sz w:val="20"/>
        </w:rPr>
        <w:lastRenderedPageBreak/>
        <w:t xml:space="preserve">emasculating a man within a “manly” society and so embarrass him within his social circle. Whether such castration took place though is debatable as earlier in the text it </w:t>
      </w:r>
      <w:proofErr w:type="gramStart"/>
      <w:r w:rsidR="00FE75B2">
        <w:rPr>
          <w:sz w:val="20"/>
        </w:rPr>
        <w:t>states</w:t>
      </w:r>
      <w:proofErr w:type="gramEnd"/>
      <w:r w:rsidR="00FE75B2">
        <w:rPr>
          <w:sz w:val="20"/>
        </w:rPr>
        <w:t xml:space="preserve"> ‘There is in the law of Hywel no </w:t>
      </w:r>
      <w:r w:rsidR="00124728">
        <w:rPr>
          <w:sz w:val="20"/>
        </w:rPr>
        <w:t>castration of</w:t>
      </w:r>
      <w:r w:rsidR="00FE75B2">
        <w:rPr>
          <w:sz w:val="20"/>
        </w:rPr>
        <w:t xml:space="preserve"> a man for raping a woman’ and so yet again the text contradicts suggesting its compilation in several stages.</w:t>
      </w:r>
    </w:p>
    <w:p w:rsidR="001F13B6" w:rsidRPr="00DA5D27" w:rsidRDefault="001F13B6" w:rsidP="00D37DBD">
      <w:pPr>
        <w:ind w:right="-46"/>
        <w:jc w:val="both"/>
        <w:rPr>
          <w:sz w:val="20"/>
        </w:rPr>
      </w:pPr>
      <w:r w:rsidRPr="00DA5D27">
        <w:rPr>
          <w:sz w:val="20"/>
        </w:rPr>
        <w:t>Regarding status</w:t>
      </w:r>
      <w:r w:rsidR="005121F8" w:rsidRPr="00DA5D27">
        <w:rPr>
          <w:sz w:val="20"/>
        </w:rPr>
        <w:t>, compensation seems due only if you were within the approved circles of society. A person who apparently has no status could not claim compensation for rape:</w:t>
      </w:r>
    </w:p>
    <w:p w:rsidR="005121F8" w:rsidRPr="00DA5D27" w:rsidRDefault="005121F8" w:rsidP="005121F8">
      <w:pPr>
        <w:ind w:left="567" w:right="521"/>
        <w:jc w:val="both"/>
        <w:rPr>
          <w:sz w:val="20"/>
        </w:rPr>
      </w:pPr>
      <w:r w:rsidRPr="00DA5D27">
        <w:rPr>
          <w:sz w:val="20"/>
        </w:rPr>
        <w:t xml:space="preserve">‘A harlot has no status. Though she be raped, she is not entitled to receive compensation; if she suffers </w:t>
      </w:r>
      <w:proofErr w:type="spellStart"/>
      <w:r w:rsidRPr="00DA5D27">
        <w:rPr>
          <w:sz w:val="20"/>
        </w:rPr>
        <w:t>sarhaed</w:t>
      </w:r>
      <w:proofErr w:type="spellEnd"/>
      <w:r w:rsidRPr="00DA5D27">
        <w:rPr>
          <w:sz w:val="20"/>
        </w:rPr>
        <w:t xml:space="preserve">, let her </w:t>
      </w:r>
      <w:proofErr w:type="spellStart"/>
      <w:r w:rsidRPr="00DA5D27">
        <w:rPr>
          <w:sz w:val="20"/>
        </w:rPr>
        <w:t>sarhaed</w:t>
      </w:r>
      <w:proofErr w:type="spellEnd"/>
      <w:r w:rsidRPr="00DA5D27">
        <w:rPr>
          <w:sz w:val="20"/>
        </w:rPr>
        <w:t xml:space="preserve"> be paid according to her brother’s status, and her </w:t>
      </w:r>
      <w:proofErr w:type="spellStart"/>
      <w:r w:rsidRPr="00DA5D27">
        <w:rPr>
          <w:sz w:val="20"/>
        </w:rPr>
        <w:t>galanas</w:t>
      </w:r>
      <w:proofErr w:type="spellEnd"/>
      <w:r w:rsidRPr="00DA5D27">
        <w:rPr>
          <w:sz w:val="20"/>
        </w:rPr>
        <w:t xml:space="preserve"> if she is killed’</w:t>
      </w:r>
      <w:r w:rsidRPr="00DA5D27">
        <w:rPr>
          <w:rStyle w:val="FootnoteReference"/>
          <w:sz w:val="20"/>
        </w:rPr>
        <w:footnoteReference w:id="11"/>
      </w:r>
    </w:p>
    <w:p w:rsidR="00203EC3" w:rsidRPr="00DA5D27" w:rsidRDefault="008171B2" w:rsidP="00C54A84">
      <w:pPr>
        <w:jc w:val="both"/>
        <w:rPr>
          <w:sz w:val="20"/>
        </w:rPr>
      </w:pPr>
      <w:r w:rsidRPr="00DA5D27">
        <w:rPr>
          <w:sz w:val="20"/>
        </w:rPr>
        <w:t>Yet again, this supports the argument that the compensation is due only to the woman as blemished or devalued goods or property.</w:t>
      </w:r>
      <w:r w:rsidR="004513C5" w:rsidRPr="00DA5D27">
        <w:rPr>
          <w:sz w:val="20"/>
        </w:rPr>
        <w:t xml:space="preserve"> The </w:t>
      </w:r>
      <w:proofErr w:type="spellStart"/>
      <w:r w:rsidR="004513C5" w:rsidRPr="00DA5D27">
        <w:rPr>
          <w:sz w:val="20"/>
        </w:rPr>
        <w:t>sarhaed</w:t>
      </w:r>
      <w:proofErr w:type="spellEnd"/>
      <w:r w:rsidR="004513C5" w:rsidRPr="00DA5D27">
        <w:rPr>
          <w:sz w:val="20"/>
        </w:rPr>
        <w:t xml:space="preserve"> must refer to physical injury price as the preceding line is adamant she should receive no compensation for the act of rape. The denial of compensation is in view that</w:t>
      </w:r>
      <w:r w:rsidR="00C22D71" w:rsidRPr="00DA5D27">
        <w:rPr>
          <w:sz w:val="20"/>
        </w:rPr>
        <w:t xml:space="preserve"> a harlot’s marital status does not matte</w:t>
      </w:r>
      <w:r w:rsidR="00A21F83" w:rsidRPr="00DA5D27">
        <w:rPr>
          <w:sz w:val="20"/>
        </w:rPr>
        <w:t>r as she chooses to live her life differently.</w:t>
      </w:r>
      <w:r w:rsidR="00FB7841" w:rsidRPr="00DA5D27">
        <w:rPr>
          <w:sz w:val="20"/>
        </w:rPr>
        <w:t xml:space="preserve"> It is interesting that the </w:t>
      </w:r>
      <w:proofErr w:type="spellStart"/>
      <w:r w:rsidR="00FB7841" w:rsidRPr="00DA5D27">
        <w:rPr>
          <w:sz w:val="20"/>
        </w:rPr>
        <w:t>sarhaed</w:t>
      </w:r>
      <w:proofErr w:type="spellEnd"/>
      <w:r w:rsidR="00FB7841" w:rsidRPr="00DA5D27">
        <w:rPr>
          <w:sz w:val="20"/>
        </w:rPr>
        <w:t xml:space="preserve"> is also paid according to her brother’s status</w:t>
      </w:r>
      <w:r w:rsidR="004E71B6" w:rsidRPr="00DA5D27">
        <w:rPr>
          <w:sz w:val="20"/>
        </w:rPr>
        <w:t xml:space="preserve">. Usually it is the status of the woman but if she has no status then she is still accorded some in a way by relation. The text makes no account for if the woman has no known family. Presumably her </w:t>
      </w:r>
      <w:proofErr w:type="spellStart"/>
      <w:r w:rsidR="004E71B6" w:rsidRPr="00DA5D27">
        <w:rPr>
          <w:sz w:val="20"/>
        </w:rPr>
        <w:t>galanas</w:t>
      </w:r>
      <w:proofErr w:type="spellEnd"/>
      <w:r w:rsidR="0022606A" w:rsidRPr="00DA5D27">
        <w:rPr>
          <w:sz w:val="20"/>
        </w:rPr>
        <w:t xml:space="preserve"> (life price)</w:t>
      </w:r>
      <w:r w:rsidR="004E71B6" w:rsidRPr="00DA5D27">
        <w:rPr>
          <w:sz w:val="20"/>
        </w:rPr>
        <w:t xml:space="preserve"> is paid only</w:t>
      </w:r>
      <w:r w:rsidR="000328B7" w:rsidRPr="00DA5D27">
        <w:rPr>
          <w:sz w:val="20"/>
        </w:rPr>
        <w:t xml:space="preserve"> as a deterrent</w:t>
      </w:r>
      <w:r w:rsidR="004E71B6" w:rsidRPr="00DA5D27">
        <w:rPr>
          <w:sz w:val="20"/>
        </w:rPr>
        <w:t xml:space="preserve"> so no blood feuding may take place. The compensation seems to be there to ensure that no physical action be taken against anyone who has harmed or killed a harlot. The text seems to be tying up “loose ends” as it were rath</w:t>
      </w:r>
      <w:r w:rsidR="0022606A" w:rsidRPr="00DA5D27">
        <w:rPr>
          <w:sz w:val="20"/>
        </w:rPr>
        <w:t>er than looking out for these women.</w:t>
      </w:r>
    </w:p>
    <w:p w:rsidR="001E281C" w:rsidRPr="00DA5D27" w:rsidRDefault="001A4E87" w:rsidP="00C54A84">
      <w:pPr>
        <w:jc w:val="both"/>
        <w:rPr>
          <w:sz w:val="20"/>
        </w:rPr>
      </w:pPr>
      <w:r w:rsidRPr="00DA5D27">
        <w:rPr>
          <w:sz w:val="20"/>
        </w:rPr>
        <w:t>The circumstances of the place of the rape and those present also seem to be important in the law texts.</w:t>
      </w:r>
      <w:r w:rsidR="001E281C" w:rsidRPr="00DA5D27">
        <w:rPr>
          <w:sz w:val="20"/>
        </w:rPr>
        <w:t xml:space="preserve"> The text states if </w:t>
      </w:r>
    </w:p>
    <w:p w:rsidR="000A30C0" w:rsidRPr="00DA5D27" w:rsidRDefault="001E281C" w:rsidP="001E281C">
      <w:pPr>
        <w:ind w:left="567" w:right="521"/>
        <w:jc w:val="both"/>
        <w:rPr>
          <w:sz w:val="20"/>
        </w:rPr>
      </w:pPr>
      <w:r w:rsidRPr="00DA5D27">
        <w:rPr>
          <w:sz w:val="20"/>
        </w:rPr>
        <w:t>‘two women are walking through any place and there is no one with them, and two men come upon them and copulate with them, no compensation is made to them; if, however, there is one person with them, however small (unless it is a carried child), they lose none of their right’</w:t>
      </w:r>
      <w:r w:rsidR="00743E5E" w:rsidRPr="00DA5D27">
        <w:rPr>
          <w:rStyle w:val="FootnoteReference"/>
          <w:sz w:val="20"/>
        </w:rPr>
        <w:footnoteReference w:id="12"/>
      </w:r>
      <w:r w:rsidR="00743E5E" w:rsidRPr="00DA5D27">
        <w:rPr>
          <w:sz w:val="20"/>
        </w:rPr>
        <w:t>.</w:t>
      </w:r>
    </w:p>
    <w:p w:rsidR="001E281C" w:rsidRDefault="00743E5E" w:rsidP="001E281C">
      <w:pPr>
        <w:ind w:right="-46"/>
        <w:jc w:val="both"/>
        <w:rPr>
          <w:sz w:val="20"/>
        </w:rPr>
      </w:pPr>
      <w:r w:rsidRPr="00DA5D27">
        <w:rPr>
          <w:sz w:val="20"/>
        </w:rPr>
        <w:t>This seems a strange</w:t>
      </w:r>
      <w:r w:rsidR="00F745C4" w:rsidRPr="00DA5D27">
        <w:rPr>
          <w:sz w:val="20"/>
        </w:rPr>
        <w:t xml:space="preserve"> clause in the laws. It implies that a woman may claim rape only if she is alone with a man or men and even if she is in any number with a fellow woman unless it be a pair and the offending men a pair. The fact that compensation may be due if they happen to have a child with them but not otherwise is also strange.</w:t>
      </w:r>
      <w:r w:rsidR="00FE1C59" w:rsidRPr="00DA5D27">
        <w:rPr>
          <w:sz w:val="20"/>
        </w:rPr>
        <w:t xml:space="preserve"> </w:t>
      </w:r>
      <w:r w:rsidR="0006246E">
        <w:rPr>
          <w:sz w:val="20"/>
        </w:rPr>
        <w:t xml:space="preserve">Intriguingly </w:t>
      </w:r>
      <w:r w:rsidR="006116EE">
        <w:rPr>
          <w:sz w:val="20"/>
        </w:rPr>
        <w:t xml:space="preserve">if a woman accuses a man of raping her and he denies it, an oath of fifty men may not be the only way of “proving his innocence” as a woman may be called upon to take a virginity test. If the test finds her still a virgin then both parties walk away without consequence and the woman’s status is not affected. Virginity tests may well have occurred as valid evidence in court. In the fourth branch of the </w:t>
      </w:r>
      <w:proofErr w:type="spellStart"/>
      <w:r w:rsidR="006116EE">
        <w:rPr>
          <w:sz w:val="20"/>
        </w:rPr>
        <w:t>Mabinogi</w:t>
      </w:r>
      <w:proofErr w:type="spellEnd"/>
      <w:r w:rsidR="006116EE">
        <w:rPr>
          <w:sz w:val="20"/>
        </w:rPr>
        <w:t xml:space="preserve"> </w:t>
      </w:r>
      <w:proofErr w:type="spellStart"/>
      <w:r w:rsidR="006116EE">
        <w:rPr>
          <w:sz w:val="20"/>
        </w:rPr>
        <w:t>Aranrhod</w:t>
      </w:r>
      <w:proofErr w:type="spellEnd"/>
      <w:r w:rsidR="006116EE">
        <w:rPr>
          <w:sz w:val="20"/>
        </w:rPr>
        <w:t xml:space="preserve"> is called upon for a virginity test by stepping over a rod. </w:t>
      </w:r>
      <w:r w:rsidR="00124728">
        <w:rPr>
          <w:sz w:val="20"/>
        </w:rPr>
        <w:t>However,</w:t>
      </w:r>
      <w:r w:rsidR="006116EE">
        <w:rPr>
          <w:sz w:val="20"/>
        </w:rPr>
        <w:t xml:space="preserve"> the virginity test the law</w:t>
      </w:r>
      <w:r w:rsidR="00EF1E65">
        <w:rPr>
          <w:sz w:val="20"/>
        </w:rPr>
        <w:t xml:space="preserve">s of </w:t>
      </w:r>
      <w:r w:rsidR="00124728">
        <w:rPr>
          <w:sz w:val="20"/>
        </w:rPr>
        <w:t xml:space="preserve">Hywel </w:t>
      </w:r>
      <w:proofErr w:type="spellStart"/>
      <w:r w:rsidR="00124728">
        <w:rPr>
          <w:sz w:val="20"/>
        </w:rPr>
        <w:t>Dda</w:t>
      </w:r>
      <w:proofErr w:type="spellEnd"/>
      <w:r w:rsidR="00124728">
        <w:rPr>
          <w:sz w:val="20"/>
        </w:rPr>
        <w:t xml:space="preserve"> describe</w:t>
      </w:r>
      <w:r w:rsidR="00EF1E65">
        <w:rPr>
          <w:sz w:val="20"/>
        </w:rPr>
        <w:t xml:space="preserve"> entails her shift being cut off as high as her groin and her attempting to keep hold of a greased tail of a yearling steer. Upon keeping hold she has passed the test. How this proves one’s virginity is laughable. The tests comprised for virginity seem to be able to prove nothing and often than not these tests prove humiliating for the woman.</w:t>
      </w:r>
    </w:p>
    <w:p w:rsidR="0006246E" w:rsidRDefault="0006246E" w:rsidP="001E281C">
      <w:pPr>
        <w:ind w:right="-46"/>
        <w:jc w:val="both"/>
        <w:rPr>
          <w:sz w:val="20"/>
        </w:rPr>
      </w:pPr>
      <w:r>
        <w:rPr>
          <w:sz w:val="20"/>
        </w:rPr>
        <w:t>The final part</w:t>
      </w:r>
      <w:r w:rsidR="00672F79">
        <w:rPr>
          <w:sz w:val="20"/>
        </w:rPr>
        <w:t xml:space="preserve"> of the laws concerning rape constitutes consequential pregnancy after being raped.</w:t>
      </w:r>
      <w:r w:rsidR="001B15DD">
        <w:rPr>
          <w:sz w:val="20"/>
        </w:rPr>
        <w:t xml:space="preserve"> The rights according this woman include not having to pay the </w:t>
      </w:r>
      <w:proofErr w:type="spellStart"/>
      <w:r w:rsidR="001B15DD">
        <w:rPr>
          <w:sz w:val="20"/>
        </w:rPr>
        <w:t>amobr</w:t>
      </w:r>
      <w:proofErr w:type="spellEnd"/>
      <w:r w:rsidR="001B15DD">
        <w:rPr>
          <w:sz w:val="20"/>
        </w:rPr>
        <w:t xml:space="preserve"> to the lord as ‘no woman who is raped is bound to pay </w:t>
      </w:r>
      <w:proofErr w:type="spellStart"/>
      <w:r w:rsidR="001B15DD">
        <w:rPr>
          <w:sz w:val="20"/>
        </w:rPr>
        <w:t>amobr</w:t>
      </w:r>
      <w:proofErr w:type="spellEnd"/>
      <w:r w:rsidR="001B15DD">
        <w:rPr>
          <w:sz w:val="20"/>
        </w:rPr>
        <w:t>’</w:t>
      </w:r>
      <w:r w:rsidR="001B15DD">
        <w:rPr>
          <w:rStyle w:val="FootnoteReference"/>
          <w:sz w:val="20"/>
        </w:rPr>
        <w:footnoteReference w:id="13"/>
      </w:r>
      <w:r w:rsidR="008F4A8F">
        <w:rPr>
          <w:sz w:val="20"/>
        </w:rPr>
        <w:t xml:space="preserve"> as the lord could not keep her from rape as he is bound.</w:t>
      </w:r>
      <w:r w:rsidR="00D146FE">
        <w:rPr>
          <w:sz w:val="20"/>
        </w:rPr>
        <w:t xml:space="preserve"> If the woman does not know the identity of the father and the child is born a boy, the boy shall take status from his mother’s kin. The law also states that ‘if she is doubted for what she says, only her own oath will be given that what she says is true’ – it seems her pregnant state is enough proof of rape if she cannot claim who the man is who raped her.</w:t>
      </w:r>
      <w:r w:rsidR="00922EFA">
        <w:rPr>
          <w:sz w:val="20"/>
        </w:rPr>
        <w:t xml:space="preserve"> The following section curiously states that if a man says a woman is pregnant with his child and the woman denies this, the man who admits may pay the </w:t>
      </w:r>
      <w:proofErr w:type="spellStart"/>
      <w:r w:rsidR="00922EFA">
        <w:rPr>
          <w:sz w:val="20"/>
        </w:rPr>
        <w:t>amobr</w:t>
      </w:r>
      <w:proofErr w:type="spellEnd"/>
      <w:r w:rsidR="00922EFA">
        <w:rPr>
          <w:sz w:val="20"/>
        </w:rPr>
        <w:t xml:space="preserve"> to the lord ‘since there is no denial of a </w:t>
      </w:r>
      <w:proofErr w:type="spellStart"/>
      <w:r w:rsidR="00922EFA">
        <w:rPr>
          <w:sz w:val="20"/>
        </w:rPr>
        <w:t>vouchee</w:t>
      </w:r>
      <w:proofErr w:type="spellEnd"/>
      <w:r w:rsidR="00922EFA">
        <w:rPr>
          <w:sz w:val="20"/>
        </w:rPr>
        <w:t xml:space="preserve"> for him’</w:t>
      </w:r>
      <w:r w:rsidR="00922EFA">
        <w:rPr>
          <w:rStyle w:val="FootnoteReference"/>
          <w:sz w:val="20"/>
        </w:rPr>
        <w:footnoteReference w:id="14"/>
      </w:r>
      <w:r w:rsidR="00922EFA">
        <w:rPr>
          <w:sz w:val="20"/>
        </w:rPr>
        <w:t>.</w:t>
      </w:r>
    </w:p>
    <w:p w:rsidR="00CB63E8" w:rsidRDefault="00A76FDF" w:rsidP="00CB79BD">
      <w:pPr>
        <w:ind w:right="-46"/>
        <w:jc w:val="both"/>
        <w:rPr>
          <w:sz w:val="20"/>
        </w:rPr>
      </w:pPr>
      <w:r>
        <w:rPr>
          <w:sz w:val="20"/>
        </w:rPr>
        <w:lastRenderedPageBreak/>
        <w:t xml:space="preserve">Barbara </w:t>
      </w:r>
      <w:proofErr w:type="spellStart"/>
      <w:r>
        <w:rPr>
          <w:sz w:val="20"/>
        </w:rPr>
        <w:t>Hanawalt</w:t>
      </w:r>
      <w:proofErr w:type="spellEnd"/>
      <w:r>
        <w:rPr>
          <w:sz w:val="20"/>
        </w:rPr>
        <w:t xml:space="preserve"> proposes ‘in the medieval legal mentality, crimes against persons were less serious than crimes against property’</w:t>
      </w:r>
      <w:r>
        <w:rPr>
          <w:rStyle w:val="FootnoteReference"/>
          <w:sz w:val="20"/>
        </w:rPr>
        <w:footnoteReference w:id="15"/>
      </w:r>
      <w:r w:rsidR="00094427">
        <w:rPr>
          <w:sz w:val="20"/>
        </w:rPr>
        <w:t xml:space="preserve">. This has been evident enough with the laws associated with rape. Women only received compensation as due their damaged goods. The laws associated with divorce however give </w:t>
      </w:r>
      <w:r w:rsidR="00C63770">
        <w:rPr>
          <w:sz w:val="20"/>
        </w:rPr>
        <w:t>women more rights upon exiting a marriage.</w:t>
      </w:r>
      <w:r w:rsidR="00DB6207">
        <w:rPr>
          <w:sz w:val="20"/>
        </w:rPr>
        <w:t xml:space="preserve"> </w:t>
      </w:r>
      <w:r w:rsidR="008923F8">
        <w:rPr>
          <w:sz w:val="20"/>
        </w:rPr>
        <w:t xml:space="preserve">When separation occurs, the woman is entitled to half of the goods of the marriage if the relationship has lasted more than seven years. Only the property and land is not split between the man and woman. The property belongs to the </w:t>
      </w:r>
      <w:r w:rsidR="00CF2011">
        <w:rPr>
          <w:sz w:val="20"/>
        </w:rPr>
        <w:t xml:space="preserve">man as women were not allowed to own or inherit property in Welsh native law as opposed to women in England </w:t>
      </w:r>
      <w:r w:rsidR="0098217B">
        <w:rPr>
          <w:sz w:val="20"/>
        </w:rPr>
        <w:t>who could inherit or be given away</w:t>
      </w:r>
      <w:r w:rsidR="00E31770">
        <w:rPr>
          <w:sz w:val="20"/>
        </w:rPr>
        <w:t xml:space="preserve"> with land in</w:t>
      </w:r>
      <w:r w:rsidR="0098217B">
        <w:rPr>
          <w:sz w:val="20"/>
        </w:rPr>
        <w:t xml:space="preserve"> a dowry</w:t>
      </w:r>
      <w:r w:rsidR="00E31770">
        <w:rPr>
          <w:sz w:val="20"/>
        </w:rPr>
        <w:t>.</w:t>
      </w:r>
      <w:r w:rsidR="00EE5164">
        <w:rPr>
          <w:sz w:val="20"/>
        </w:rPr>
        <w:t xml:space="preserve"> As to the separation of goods</w:t>
      </w:r>
      <w:r w:rsidR="00602158">
        <w:rPr>
          <w:sz w:val="20"/>
        </w:rPr>
        <w:t xml:space="preserve"> ‘It belongs to the woman to divide and to the man to choose’</w:t>
      </w:r>
      <w:r w:rsidR="00602158">
        <w:rPr>
          <w:rStyle w:val="FootnoteReference"/>
          <w:sz w:val="20"/>
        </w:rPr>
        <w:footnoteReference w:id="16"/>
      </w:r>
      <w:r w:rsidR="00546AD9">
        <w:rPr>
          <w:sz w:val="20"/>
        </w:rPr>
        <w:t xml:space="preserve"> </w:t>
      </w:r>
      <w:r w:rsidR="008F0361">
        <w:rPr>
          <w:sz w:val="20"/>
        </w:rPr>
        <w:t>and this procedure is typical</w:t>
      </w:r>
      <w:r w:rsidR="00546AD9">
        <w:rPr>
          <w:sz w:val="20"/>
        </w:rPr>
        <w:t xml:space="preserve"> </w:t>
      </w:r>
      <w:r w:rsidR="008F0361">
        <w:rPr>
          <w:sz w:val="20"/>
        </w:rPr>
        <w:t xml:space="preserve">of </w:t>
      </w:r>
      <w:r w:rsidR="00546AD9">
        <w:rPr>
          <w:sz w:val="20"/>
        </w:rPr>
        <w:t>how sons would separate out inherited land as Stacey notes: ‘the woman is here projected into the role of the younger, and the man into that of the older, son’</w:t>
      </w:r>
      <w:r w:rsidR="00546AD9">
        <w:rPr>
          <w:rStyle w:val="FootnoteReference"/>
          <w:sz w:val="20"/>
        </w:rPr>
        <w:footnoteReference w:id="17"/>
      </w:r>
      <w:r w:rsidR="00707B69">
        <w:rPr>
          <w:sz w:val="20"/>
        </w:rPr>
        <w:t xml:space="preserve"> with precedence given to the eldest (son) or the man (husband).</w:t>
      </w:r>
    </w:p>
    <w:p w:rsidR="00AE6DC1" w:rsidRDefault="00DA2065" w:rsidP="00CB79BD">
      <w:pPr>
        <w:ind w:right="-46"/>
        <w:jc w:val="both"/>
        <w:rPr>
          <w:sz w:val="20"/>
        </w:rPr>
      </w:pPr>
      <w:r>
        <w:rPr>
          <w:sz w:val="20"/>
        </w:rPr>
        <w:t>Some notable aspects of the division are how the animals are allocated to the man and woman. Although it is the man who keeps property and therefore any barn, curiously it is the woman who keeps all the cats except one to be given to the man. In medieval times cats were used for pest control and would have been crucial in keeping the barn clear of rats. It seems strange then to separate the animals from their place of work. To the woman they are useless unless they are going straight to another property to be used there.</w:t>
      </w:r>
      <w:r w:rsidR="00CB79BD">
        <w:rPr>
          <w:sz w:val="20"/>
        </w:rPr>
        <w:t xml:space="preserve"> Stacey makes the point ‘</w:t>
      </w:r>
      <w:r w:rsidR="00CB79BD" w:rsidRPr="00CB79BD">
        <w:rPr>
          <w:sz w:val="20"/>
        </w:rPr>
        <w:t>The man may g</w:t>
      </w:r>
      <w:r w:rsidR="00CB79BD">
        <w:rPr>
          <w:sz w:val="20"/>
        </w:rPr>
        <w:t>et all of the grain, and all of</w:t>
      </w:r>
      <w:r w:rsidR="00CB79BD" w:rsidRPr="00CB79BD">
        <w:rPr>
          <w:sz w:val="20"/>
        </w:rPr>
        <w:t xml:space="preserve"> the hens as well. However, he is given only one cat, while his wif</w:t>
      </w:r>
      <w:r w:rsidR="00CB79BD">
        <w:rPr>
          <w:sz w:val="20"/>
        </w:rPr>
        <w:t>e, who receives</w:t>
      </w:r>
      <w:r w:rsidR="00CB79BD" w:rsidRPr="00CB79BD">
        <w:rPr>
          <w:sz w:val="20"/>
        </w:rPr>
        <w:t xml:space="preserve"> no grain and no hens, gets every one of the rema</w:t>
      </w:r>
      <w:r w:rsidR="00CB79BD">
        <w:rPr>
          <w:sz w:val="20"/>
        </w:rPr>
        <w:t>ining cats. One party has ev</w:t>
      </w:r>
      <w:r w:rsidR="00CB79BD" w:rsidRPr="00CB79BD">
        <w:rPr>
          <w:sz w:val="20"/>
        </w:rPr>
        <w:t>erything to protect but little to protect it with; the</w:t>
      </w:r>
      <w:r w:rsidR="00CB79BD">
        <w:rPr>
          <w:sz w:val="20"/>
        </w:rPr>
        <w:t xml:space="preserve"> other has a great deal of pro</w:t>
      </w:r>
      <w:r w:rsidR="00CB79BD" w:rsidRPr="00CB79BD">
        <w:rPr>
          <w:sz w:val="20"/>
        </w:rPr>
        <w:t>tection but nothing to prote</w:t>
      </w:r>
      <w:r w:rsidR="00CB79BD">
        <w:rPr>
          <w:sz w:val="20"/>
        </w:rPr>
        <w:t>ct’</w:t>
      </w:r>
      <w:r w:rsidR="00361F1A">
        <w:rPr>
          <w:rStyle w:val="FootnoteReference"/>
          <w:sz w:val="20"/>
        </w:rPr>
        <w:footnoteReference w:id="18"/>
      </w:r>
      <w:r w:rsidR="00386913">
        <w:rPr>
          <w:sz w:val="20"/>
        </w:rPr>
        <w:t>.</w:t>
      </w:r>
      <w:r w:rsidR="00D1213E">
        <w:rPr>
          <w:sz w:val="20"/>
        </w:rPr>
        <w:t xml:space="preserve"> The laws set out to contradict themselves and do not seem practical as Stacey further states ‘Whatever lies at the heart of the property division envisaged in the text, it is definitely not agricultural practicality’</w:t>
      </w:r>
      <w:r w:rsidR="00D1213E">
        <w:rPr>
          <w:rStyle w:val="FootnoteReference"/>
          <w:sz w:val="20"/>
        </w:rPr>
        <w:footnoteReference w:id="19"/>
      </w:r>
      <w:r w:rsidR="00D03748">
        <w:rPr>
          <w:sz w:val="20"/>
        </w:rPr>
        <w:t>. Considering these laws are the first evidence of written law in Wales</w:t>
      </w:r>
      <w:r w:rsidR="005325A7">
        <w:rPr>
          <w:sz w:val="20"/>
        </w:rPr>
        <w:t xml:space="preserve"> Pryce argues that the keeping of written evidence and court records is ‘helping to create a more literate and rational legal culture than that of the early Middle Ages’</w:t>
      </w:r>
      <w:r w:rsidR="005325A7">
        <w:rPr>
          <w:rStyle w:val="FootnoteReference"/>
          <w:sz w:val="20"/>
        </w:rPr>
        <w:footnoteReference w:id="20"/>
      </w:r>
      <w:r w:rsidR="005325A7">
        <w:rPr>
          <w:sz w:val="20"/>
        </w:rPr>
        <w:t xml:space="preserve">. The literacy part may ring true but whether this was a “rational legal culture” is debateable. It seems the laws are less of a firm code to follow and more of a moral guideline. The irrational way of separating the cats from the barn is just one example where the texts alludes to the fact the separation of a man and woman united in marriage is unnatural </w:t>
      </w:r>
      <w:r w:rsidR="000535A6">
        <w:rPr>
          <w:sz w:val="20"/>
        </w:rPr>
        <w:t>and</w:t>
      </w:r>
      <w:r w:rsidR="005325A7">
        <w:rPr>
          <w:sz w:val="20"/>
        </w:rPr>
        <w:t xml:space="preserve"> should be sought only in particular circumstances. </w:t>
      </w:r>
      <w:r w:rsidR="00964FB2">
        <w:rPr>
          <w:sz w:val="20"/>
        </w:rPr>
        <w:t xml:space="preserve">The irrationality continues with the division of the quern stone, whilst the woman is entitled to the lower heavier stone the man is entitled to the upper lighter stone. </w:t>
      </w:r>
      <w:r w:rsidR="00DB7143">
        <w:rPr>
          <w:sz w:val="20"/>
        </w:rPr>
        <w:t>The one cannot be used without the other, the pair is split.</w:t>
      </w:r>
      <w:r w:rsidR="00032588">
        <w:rPr>
          <w:sz w:val="20"/>
        </w:rPr>
        <w:t xml:space="preserve"> This turning of the gender roles (with the heavier stone for the woman and the lighter stone for the man) is again reflected in the division of the heavier broad-axe to the woman and the lighter fuel axe for the man. But one cannot be used without the other. The broad-axe must be used to gain wood to be chopped up smaller with the fuel axe.</w:t>
      </w:r>
      <w:r w:rsidR="00DB7143">
        <w:rPr>
          <w:sz w:val="20"/>
        </w:rPr>
        <w:t xml:space="preserve"> A further example of this is the division of the bedclothes, again the man takes the bedclothes from under whilst the woman recei</w:t>
      </w:r>
      <w:r w:rsidR="0088208E">
        <w:rPr>
          <w:sz w:val="20"/>
        </w:rPr>
        <w:t xml:space="preserve">ves the bedclothes above. </w:t>
      </w:r>
      <w:r w:rsidR="00F36061">
        <w:rPr>
          <w:sz w:val="20"/>
        </w:rPr>
        <w:t xml:space="preserve">Interestingly if the man remarries the woman must be given the under bedclothes. If the new wife should sleep on them, the new wife should pay </w:t>
      </w:r>
      <w:proofErr w:type="spellStart"/>
      <w:r w:rsidR="00F36061">
        <w:rPr>
          <w:sz w:val="20"/>
        </w:rPr>
        <w:t>wynebwerth</w:t>
      </w:r>
      <w:proofErr w:type="spellEnd"/>
      <w:r w:rsidR="00F36061">
        <w:rPr>
          <w:sz w:val="20"/>
        </w:rPr>
        <w:t xml:space="preserve"> to the previous wife.</w:t>
      </w:r>
      <w:r w:rsidR="00032588">
        <w:rPr>
          <w:sz w:val="20"/>
        </w:rPr>
        <w:t xml:space="preserve"> </w:t>
      </w:r>
    </w:p>
    <w:p w:rsidR="00E43DCE" w:rsidRDefault="000535A6" w:rsidP="00CB79BD">
      <w:pPr>
        <w:ind w:right="-46"/>
        <w:jc w:val="both"/>
        <w:rPr>
          <w:sz w:val="20"/>
        </w:rPr>
      </w:pPr>
      <w:r>
        <w:rPr>
          <w:sz w:val="20"/>
        </w:rPr>
        <w:t xml:space="preserve">The further allusion in the law texts being an allegory for </w:t>
      </w:r>
      <w:r w:rsidR="00964FB2">
        <w:rPr>
          <w:sz w:val="20"/>
        </w:rPr>
        <w:t>man and woman</w:t>
      </w:r>
      <w:r>
        <w:rPr>
          <w:sz w:val="20"/>
        </w:rPr>
        <w:t xml:space="preserve"> could be shown in the</w:t>
      </w:r>
      <w:r w:rsidR="00E43DCE">
        <w:rPr>
          <w:sz w:val="20"/>
        </w:rPr>
        <w:t xml:space="preserve"> division of the other animals mentioned: </w:t>
      </w:r>
    </w:p>
    <w:p w:rsidR="00CB63E8" w:rsidRDefault="00E43DCE" w:rsidP="00E43DCE">
      <w:pPr>
        <w:ind w:left="567" w:right="521"/>
        <w:jc w:val="both"/>
        <w:rPr>
          <w:sz w:val="20"/>
        </w:rPr>
      </w:pPr>
      <w:r>
        <w:rPr>
          <w:sz w:val="20"/>
        </w:rPr>
        <w:t>‘The pigs for the man and the sheep for the woman; if there are only the one kind, sharing in two halves, but if there are sheep and goats, the sheep for the man and the goats for the woman; if there are only the one kind, they are shared’</w:t>
      </w:r>
      <w:r>
        <w:rPr>
          <w:rStyle w:val="FootnoteReference"/>
          <w:sz w:val="20"/>
        </w:rPr>
        <w:footnoteReference w:id="21"/>
      </w:r>
    </w:p>
    <w:p w:rsidR="00197A9C" w:rsidRDefault="00010967" w:rsidP="00C54A84">
      <w:pPr>
        <w:jc w:val="both"/>
        <w:rPr>
          <w:sz w:val="20"/>
        </w:rPr>
      </w:pPr>
      <w:r>
        <w:rPr>
          <w:sz w:val="20"/>
        </w:rPr>
        <w:t xml:space="preserve">Stacey notes that the </w:t>
      </w:r>
      <w:r w:rsidR="0099191E">
        <w:rPr>
          <w:sz w:val="20"/>
        </w:rPr>
        <w:t>assignment of pigs and sheep to man and woman respectively are shown to gen</w:t>
      </w:r>
      <w:r w:rsidR="004F0DAB">
        <w:rPr>
          <w:sz w:val="20"/>
        </w:rPr>
        <w:t>der</w:t>
      </w:r>
      <w:r w:rsidR="00D653FD">
        <w:rPr>
          <w:sz w:val="20"/>
        </w:rPr>
        <w:t xml:space="preserve"> the animals within the texts with</w:t>
      </w:r>
      <w:r w:rsidR="004F0DAB">
        <w:rPr>
          <w:sz w:val="20"/>
        </w:rPr>
        <w:t xml:space="preserve"> pigs viewed</w:t>
      </w:r>
      <w:r w:rsidR="0099191E">
        <w:rPr>
          <w:sz w:val="20"/>
        </w:rPr>
        <w:t xml:space="preserve"> as the male as they are wilder and harder to tend to whilst sheep </w:t>
      </w:r>
      <w:r w:rsidR="00D653FD">
        <w:rPr>
          <w:sz w:val="20"/>
        </w:rPr>
        <w:lastRenderedPageBreak/>
        <w:t>encounter</w:t>
      </w:r>
      <w:r w:rsidR="0099191E">
        <w:rPr>
          <w:sz w:val="20"/>
        </w:rPr>
        <w:t xml:space="preserve"> women due to the products gained from the sheep: milk, cheese and cloth’</w:t>
      </w:r>
      <w:r w:rsidR="0099191E">
        <w:rPr>
          <w:rStyle w:val="FootnoteReference"/>
          <w:sz w:val="20"/>
        </w:rPr>
        <w:footnoteReference w:id="22"/>
      </w:r>
      <w:r w:rsidR="00ED41CD">
        <w:rPr>
          <w:sz w:val="20"/>
        </w:rPr>
        <w:t>. The division of pigs and sheep also reflects medieval hierarchy with the man placed above the woman.</w:t>
      </w:r>
      <w:r w:rsidR="00964FB2">
        <w:rPr>
          <w:sz w:val="20"/>
        </w:rPr>
        <w:t xml:space="preserve"> </w:t>
      </w:r>
      <w:r w:rsidR="00D462D9">
        <w:rPr>
          <w:sz w:val="20"/>
        </w:rPr>
        <w:t>This division reflects practicality, the animals are being split due to what makes sense whilst</w:t>
      </w:r>
      <w:r w:rsidR="0050016F">
        <w:rPr>
          <w:sz w:val="20"/>
        </w:rPr>
        <w:t xml:space="preserve"> other parts such as the cats and hens make no sense. Whether these specific clauses of the law were collected together at the same time or at different times would be interesting to note. Owing to the contradiction you would presume they were collected together at different times and perhaps reflect outside influences on the native welsh law. These laws, rather than being a direct rulebook to follow flow more as literature with a hidden agenda. Some clauses seek to make divorce seem impractical and to be avoided for easiness sake such as the splitting of the quern stone shows.</w:t>
      </w:r>
    </w:p>
    <w:p w:rsidR="00907256" w:rsidRDefault="00907256" w:rsidP="00C54A84">
      <w:pPr>
        <w:jc w:val="both"/>
        <w:rPr>
          <w:sz w:val="20"/>
        </w:rPr>
      </w:pPr>
      <w:r>
        <w:rPr>
          <w:sz w:val="20"/>
        </w:rPr>
        <w:t>Amusingly are how the children are split in the entitlements. Daughters are made no mention of, although sons are split not equally but two thirds to the father and one third to the mother. The eldest and youngest son belong to the father and the middle son to the mother.</w:t>
      </w:r>
      <w:r w:rsidR="0063034E">
        <w:rPr>
          <w:sz w:val="20"/>
        </w:rPr>
        <w:t xml:space="preserve"> The only other reference to children with the divorce settlement includes balls of yarn. Whilst all goods are divided between the separating man and wife</w:t>
      </w:r>
      <w:r w:rsidR="00A30A9D">
        <w:rPr>
          <w:sz w:val="20"/>
        </w:rPr>
        <w:t>, balls of yarn are split equally between the sons and if there are no sons they are split between the man and woman. The only item that is given to the sons upon a divorce</w:t>
      </w:r>
      <w:r w:rsidR="008A08FD">
        <w:rPr>
          <w:sz w:val="20"/>
        </w:rPr>
        <w:t>, yet again they can do nothing with the balls of yarn. It would make sense for the woman to have them being the only one with the required skills to use the yarn.</w:t>
      </w:r>
    </w:p>
    <w:p w:rsidR="009613BC" w:rsidRDefault="009613BC" w:rsidP="00C54A84">
      <w:pPr>
        <w:jc w:val="both"/>
        <w:rPr>
          <w:sz w:val="20"/>
        </w:rPr>
      </w:pPr>
      <w:r>
        <w:rPr>
          <w:sz w:val="20"/>
        </w:rPr>
        <w:t>Whilst the text focuses more on what occurs after separation entailing the property of the couple, very little is said of the circumstances for divorce. In England during the thirteenth century with a heavy influence from the church, divorce was not impossible but looked down on without good reason for it. By comparison Wales had little influence from the church and heavily rejected such interference.</w:t>
      </w:r>
      <w:r w:rsidR="0089683F">
        <w:rPr>
          <w:sz w:val="20"/>
        </w:rPr>
        <w:t xml:space="preserve"> A small paragraph is devoted to what should happen if they split before seven years of union and the reasons for which she will not be penalised:</w:t>
      </w:r>
    </w:p>
    <w:p w:rsidR="0089683F" w:rsidRPr="00DA5D27" w:rsidRDefault="0089683F" w:rsidP="0089683F">
      <w:pPr>
        <w:ind w:left="567" w:right="521"/>
        <w:jc w:val="both"/>
        <w:rPr>
          <w:sz w:val="20"/>
        </w:rPr>
      </w:pPr>
      <w:r>
        <w:rPr>
          <w:sz w:val="20"/>
        </w:rPr>
        <w:t xml:space="preserve">‘And if they separate before the end of the seventh year, let him pay her </w:t>
      </w:r>
      <w:proofErr w:type="spellStart"/>
      <w:r>
        <w:rPr>
          <w:sz w:val="20"/>
        </w:rPr>
        <w:t>agweddi</w:t>
      </w:r>
      <w:proofErr w:type="spellEnd"/>
      <w:r>
        <w:rPr>
          <w:sz w:val="20"/>
        </w:rPr>
        <w:t xml:space="preserve"> and her dowry, and her </w:t>
      </w:r>
      <w:proofErr w:type="spellStart"/>
      <w:r>
        <w:rPr>
          <w:sz w:val="20"/>
        </w:rPr>
        <w:t>cowyll</w:t>
      </w:r>
      <w:proofErr w:type="spellEnd"/>
      <w:r>
        <w:rPr>
          <w:sz w:val="20"/>
        </w:rPr>
        <w:t xml:space="preserve"> if she was given as a maiden; what survives of these is what she gets. And if she leaves her husband before the seventh year, she loses all that, except her </w:t>
      </w:r>
      <w:proofErr w:type="spellStart"/>
      <w:r>
        <w:rPr>
          <w:sz w:val="20"/>
        </w:rPr>
        <w:t>cowyll</w:t>
      </w:r>
      <w:proofErr w:type="spellEnd"/>
      <w:r>
        <w:rPr>
          <w:sz w:val="20"/>
        </w:rPr>
        <w:t xml:space="preserve"> and her </w:t>
      </w:r>
      <w:proofErr w:type="spellStart"/>
      <w:r>
        <w:rPr>
          <w:sz w:val="20"/>
        </w:rPr>
        <w:t>wynebwerth</w:t>
      </w:r>
      <w:proofErr w:type="spellEnd"/>
      <w:r>
        <w:rPr>
          <w:sz w:val="20"/>
        </w:rPr>
        <w:t xml:space="preserve"> in discharge of her </w:t>
      </w:r>
      <w:proofErr w:type="spellStart"/>
      <w:r>
        <w:rPr>
          <w:sz w:val="20"/>
        </w:rPr>
        <w:t>gowyn</w:t>
      </w:r>
      <w:proofErr w:type="spellEnd"/>
      <w:r>
        <w:rPr>
          <w:sz w:val="20"/>
        </w:rPr>
        <w:t>. If her husband is leprous or of stinking breath or cannot copulate with his wife: if because of one of these things she leaves her husband, she is entitled to get the whole of what is hers.’</w:t>
      </w:r>
      <w:r>
        <w:rPr>
          <w:rStyle w:val="FootnoteReference"/>
          <w:sz w:val="20"/>
        </w:rPr>
        <w:footnoteReference w:id="23"/>
      </w:r>
    </w:p>
    <w:p w:rsidR="000840D3" w:rsidRDefault="005B28DA" w:rsidP="00C54A84">
      <w:pPr>
        <w:jc w:val="both"/>
        <w:rPr>
          <w:sz w:val="20"/>
        </w:rPr>
      </w:pPr>
      <w:r>
        <w:rPr>
          <w:sz w:val="20"/>
        </w:rPr>
        <w:t>The text does not state the circumstances in which a husband may leave his wife, only those in which a wife may leave her husband. Whilst the section is titled “The Laws of Women” the text still reflects that in only three circumstances may a wife leave her husband and yet by not mentioning in what circumstances a husband may leave his wife it implies for him there are no rules. The laws of women state where compensation may be due a wife from her husband when he has been found with another woman</w:t>
      </w:r>
      <w:r w:rsidR="00450487">
        <w:rPr>
          <w:sz w:val="20"/>
        </w:rPr>
        <w:t xml:space="preserve">, after he has been found three times with another woman the text implies she is free to leave her husband but perhaps this is not as legally binding. The medieval men of the nobility were famous </w:t>
      </w:r>
      <w:r w:rsidR="006C44A2">
        <w:rPr>
          <w:sz w:val="20"/>
        </w:rPr>
        <w:t>for having mistresses after all yet this does not appear to have the same validity of reason for divorce.</w:t>
      </w:r>
    </w:p>
    <w:p w:rsidR="006C44A2" w:rsidRDefault="006C44A2" w:rsidP="00C54A84">
      <w:pPr>
        <w:jc w:val="both"/>
        <w:rPr>
          <w:sz w:val="20"/>
        </w:rPr>
      </w:pPr>
      <w:r>
        <w:rPr>
          <w:sz w:val="20"/>
        </w:rPr>
        <w:t xml:space="preserve">Whilst upon reading the laws associated with Hywel </w:t>
      </w:r>
      <w:proofErr w:type="spellStart"/>
      <w:r>
        <w:rPr>
          <w:sz w:val="20"/>
        </w:rPr>
        <w:t>Dda</w:t>
      </w:r>
      <w:proofErr w:type="spellEnd"/>
      <w:r>
        <w:rPr>
          <w:sz w:val="20"/>
        </w:rPr>
        <w:t xml:space="preserve"> it may seem as though women are given a lot of rights</w:t>
      </w:r>
      <w:r w:rsidR="009138C9">
        <w:rPr>
          <w:sz w:val="20"/>
        </w:rPr>
        <w:t xml:space="preserve"> compared to</w:t>
      </w:r>
      <w:r w:rsidR="00AB0F0B">
        <w:rPr>
          <w:sz w:val="20"/>
        </w:rPr>
        <w:t xml:space="preserve"> English common law in the thirteenth century</w:t>
      </w:r>
      <w:r>
        <w:rPr>
          <w:sz w:val="20"/>
        </w:rPr>
        <w:t>. Upon examination, the rights seem more of a nicety rather than granting them much power within society. The native welsh laws as stated before focus more in giving compensation to victims to avoid bloodshed rather than finding guilty parties and deterring them from crime through punishment.</w:t>
      </w:r>
      <w:r w:rsidR="00D90B5F">
        <w:rPr>
          <w:sz w:val="20"/>
        </w:rPr>
        <w:t xml:space="preserve"> As Richards remarks regarding compensation for rape ‘such penalties were only brought when recovery of a family’s property was involved’</w:t>
      </w:r>
      <w:r w:rsidR="00D90B5F">
        <w:rPr>
          <w:rStyle w:val="FootnoteReference"/>
          <w:sz w:val="20"/>
        </w:rPr>
        <w:footnoteReference w:id="24"/>
      </w:r>
      <w:r w:rsidR="00E83615">
        <w:rPr>
          <w:sz w:val="20"/>
        </w:rPr>
        <w:t xml:space="preserve"> and goes on to note that whether these laws ‘were commonly upheld in Wales </w:t>
      </w:r>
      <w:proofErr w:type="gramStart"/>
      <w:r w:rsidR="00E83615">
        <w:rPr>
          <w:sz w:val="20"/>
        </w:rPr>
        <w:t>as a whole is</w:t>
      </w:r>
      <w:proofErr w:type="gramEnd"/>
      <w:r w:rsidR="00E83615">
        <w:rPr>
          <w:sz w:val="20"/>
        </w:rPr>
        <w:t xml:space="preserve"> doubtful, and certainly unclear’</w:t>
      </w:r>
      <w:r w:rsidR="00E83615">
        <w:rPr>
          <w:rStyle w:val="FootnoteReference"/>
          <w:sz w:val="20"/>
        </w:rPr>
        <w:footnoteReference w:id="25"/>
      </w:r>
      <w:r w:rsidR="00AB0F0B">
        <w:rPr>
          <w:sz w:val="20"/>
        </w:rPr>
        <w:t>.</w:t>
      </w:r>
      <w:r w:rsidR="00024B85">
        <w:rPr>
          <w:sz w:val="20"/>
        </w:rPr>
        <w:t xml:space="preserve"> What we do know</w:t>
      </w:r>
      <w:r w:rsidR="00CC130A">
        <w:rPr>
          <w:sz w:val="20"/>
        </w:rPr>
        <w:t xml:space="preserve"> is that the welsh native law was ‘an assemblage of legal lore transmitted largely</w:t>
      </w:r>
      <w:r w:rsidR="009F5767">
        <w:rPr>
          <w:sz w:val="20"/>
        </w:rPr>
        <w:t xml:space="preserve"> by memory and arranged</w:t>
      </w:r>
      <w:r w:rsidR="00CC130A">
        <w:rPr>
          <w:sz w:val="20"/>
        </w:rPr>
        <w:t xml:space="preserve">, glossed and </w:t>
      </w:r>
      <w:r w:rsidR="009F5767">
        <w:rPr>
          <w:sz w:val="20"/>
        </w:rPr>
        <w:t>expounded by</w:t>
      </w:r>
      <w:r w:rsidR="00CC130A">
        <w:rPr>
          <w:sz w:val="20"/>
        </w:rPr>
        <w:t xml:space="preserve"> a class of quasi-professional jurists’</w:t>
      </w:r>
      <w:r w:rsidR="00CC130A">
        <w:rPr>
          <w:rStyle w:val="FootnoteReference"/>
          <w:sz w:val="20"/>
        </w:rPr>
        <w:footnoteReference w:id="26"/>
      </w:r>
      <w:r w:rsidR="00CC130A">
        <w:rPr>
          <w:sz w:val="20"/>
        </w:rPr>
        <w:t>.</w:t>
      </w:r>
    </w:p>
    <w:p w:rsidR="00B55E63" w:rsidRDefault="00B55E63" w:rsidP="00C54A84">
      <w:pPr>
        <w:jc w:val="both"/>
        <w:rPr>
          <w:sz w:val="20"/>
        </w:rPr>
      </w:pPr>
      <w:bookmarkStart w:id="3" w:name="_GoBack"/>
      <w:bookmarkEnd w:id="3"/>
    </w:p>
    <w:p w:rsidR="00203EC3" w:rsidRDefault="00203EC3" w:rsidP="00C54A84">
      <w:pPr>
        <w:jc w:val="both"/>
        <w:rPr>
          <w:sz w:val="20"/>
        </w:rPr>
      </w:pPr>
      <w:r w:rsidRPr="00DA5D27">
        <w:rPr>
          <w:sz w:val="20"/>
        </w:rPr>
        <w:t>Bibliography</w:t>
      </w:r>
    </w:p>
    <w:p w:rsidR="00CC130A" w:rsidRPr="00CC130A" w:rsidRDefault="00CC130A" w:rsidP="00C54A84">
      <w:pPr>
        <w:jc w:val="both"/>
        <w:rPr>
          <w:sz w:val="20"/>
        </w:rPr>
      </w:pPr>
      <w:r>
        <w:rPr>
          <w:sz w:val="20"/>
        </w:rPr>
        <w:t xml:space="preserve">Davies, R. R, “Law and National Identity in Thirteenth-Century Wales” in R. R. Davies et al, eds., </w:t>
      </w:r>
      <w:r>
        <w:rPr>
          <w:i/>
          <w:sz w:val="20"/>
        </w:rPr>
        <w:t>Welsh society and Nationhood</w:t>
      </w:r>
      <w:r>
        <w:rPr>
          <w:sz w:val="20"/>
        </w:rPr>
        <w:t xml:space="preserve"> (Cardiff: Universi</w:t>
      </w:r>
      <w:r w:rsidR="009F5767">
        <w:rPr>
          <w:sz w:val="20"/>
        </w:rPr>
        <w:t>ty of Wales Press, 1984)</w:t>
      </w:r>
    </w:p>
    <w:p w:rsidR="000F692C" w:rsidRPr="00DA5D27" w:rsidRDefault="000F692C" w:rsidP="00C54A84">
      <w:pPr>
        <w:jc w:val="both"/>
        <w:rPr>
          <w:sz w:val="20"/>
        </w:rPr>
      </w:pPr>
      <w:proofErr w:type="spellStart"/>
      <w:r w:rsidRPr="000F692C">
        <w:rPr>
          <w:sz w:val="20"/>
        </w:rPr>
        <w:t>Hanawalt</w:t>
      </w:r>
      <w:proofErr w:type="spellEnd"/>
      <w:r w:rsidRPr="000F692C">
        <w:rPr>
          <w:sz w:val="20"/>
        </w:rPr>
        <w:t>,</w:t>
      </w:r>
      <w:r>
        <w:rPr>
          <w:sz w:val="20"/>
        </w:rPr>
        <w:t xml:space="preserve"> B. A,</w:t>
      </w:r>
      <w:r w:rsidRPr="000F692C">
        <w:rPr>
          <w:sz w:val="20"/>
        </w:rPr>
        <w:t xml:space="preserve"> Crime and Conflict in English Communities, 1300-1348 (Cambridge: Cambridg</w:t>
      </w:r>
      <w:r w:rsidR="000840D3">
        <w:rPr>
          <w:sz w:val="20"/>
        </w:rPr>
        <w:t>e University Press, 1979).</w:t>
      </w:r>
    </w:p>
    <w:p w:rsidR="00453CF3" w:rsidRDefault="00453CF3" w:rsidP="00C54A84">
      <w:pPr>
        <w:jc w:val="both"/>
        <w:rPr>
          <w:sz w:val="20"/>
        </w:rPr>
      </w:pPr>
      <w:r w:rsidRPr="00DA5D27">
        <w:rPr>
          <w:sz w:val="20"/>
        </w:rPr>
        <w:t xml:space="preserve">Jenkins, D, </w:t>
      </w:r>
      <w:r w:rsidRPr="00DA5D27">
        <w:rPr>
          <w:i/>
          <w:sz w:val="20"/>
        </w:rPr>
        <w:t xml:space="preserve">The Law </w:t>
      </w:r>
      <w:proofErr w:type="gramStart"/>
      <w:r w:rsidRPr="00DA5D27">
        <w:rPr>
          <w:i/>
          <w:sz w:val="20"/>
        </w:rPr>
        <w:t>Of</w:t>
      </w:r>
      <w:proofErr w:type="gramEnd"/>
      <w:r w:rsidRPr="00DA5D27">
        <w:rPr>
          <w:i/>
          <w:sz w:val="20"/>
        </w:rPr>
        <w:t xml:space="preserve"> Hywel </w:t>
      </w:r>
      <w:proofErr w:type="spellStart"/>
      <w:r w:rsidRPr="00DA5D27">
        <w:rPr>
          <w:i/>
          <w:sz w:val="20"/>
        </w:rPr>
        <w:t>Dda</w:t>
      </w:r>
      <w:proofErr w:type="spellEnd"/>
      <w:r w:rsidRPr="00DA5D27">
        <w:rPr>
          <w:sz w:val="20"/>
        </w:rPr>
        <w:t xml:space="preserve"> (</w:t>
      </w:r>
      <w:proofErr w:type="spellStart"/>
      <w:r w:rsidR="00CC130A">
        <w:rPr>
          <w:sz w:val="20"/>
        </w:rPr>
        <w:t>Llandysul</w:t>
      </w:r>
      <w:proofErr w:type="spellEnd"/>
      <w:r w:rsidR="00CC130A">
        <w:rPr>
          <w:sz w:val="20"/>
        </w:rPr>
        <w:t xml:space="preserve">: </w:t>
      </w:r>
      <w:proofErr w:type="spellStart"/>
      <w:r w:rsidR="00CC130A">
        <w:rPr>
          <w:sz w:val="20"/>
        </w:rPr>
        <w:t>Gwasg</w:t>
      </w:r>
      <w:proofErr w:type="spellEnd"/>
      <w:r w:rsidR="00CC130A">
        <w:rPr>
          <w:sz w:val="20"/>
        </w:rPr>
        <w:t xml:space="preserve"> </w:t>
      </w:r>
      <w:proofErr w:type="spellStart"/>
      <w:r w:rsidR="00CC130A">
        <w:rPr>
          <w:sz w:val="20"/>
        </w:rPr>
        <w:t>Gomer</w:t>
      </w:r>
      <w:proofErr w:type="spellEnd"/>
      <w:r w:rsidR="00CC130A">
        <w:rPr>
          <w:sz w:val="20"/>
        </w:rPr>
        <w:t xml:space="preserve">, 1986), </w:t>
      </w:r>
      <w:r w:rsidRPr="00DA5D27">
        <w:rPr>
          <w:sz w:val="20"/>
        </w:rPr>
        <w:t>p. 45-61</w:t>
      </w:r>
      <w:r w:rsidR="000840D3">
        <w:rPr>
          <w:sz w:val="20"/>
        </w:rPr>
        <w:t>.</w:t>
      </w:r>
    </w:p>
    <w:p w:rsidR="00B22C7E" w:rsidRPr="00D90B5F" w:rsidRDefault="00D90B5F" w:rsidP="00C54A84">
      <w:pPr>
        <w:jc w:val="both"/>
        <w:rPr>
          <w:sz w:val="20"/>
        </w:rPr>
      </w:pPr>
      <w:r>
        <w:rPr>
          <w:sz w:val="20"/>
        </w:rPr>
        <w:t>Jones, T. G. “</w:t>
      </w:r>
      <w:r w:rsidR="00B22C7E">
        <w:rPr>
          <w:sz w:val="20"/>
        </w:rPr>
        <w:t>Social Life as Ref</w:t>
      </w:r>
      <w:r>
        <w:rPr>
          <w:sz w:val="20"/>
        </w:rPr>
        <w:t xml:space="preserve">lected in the Laws of Hywel </w:t>
      </w:r>
      <w:proofErr w:type="spellStart"/>
      <w:r>
        <w:rPr>
          <w:sz w:val="20"/>
        </w:rPr>
        <w:t>Dda</w:t>
      </w:r>
      <w:proofErr w:type="spellEnd"/>
      <w:r>
        <w:rPr>
          <w:sz w:val="20"/>
        </w:rPr>
        <w:t>”</w:t>
      </w:r>
      <w:r w:rsidR="00B22C7E">
        <w:rPr>
          <w:sz w:val="20"/>
        </w:rPr>
        <w:t xml:space="preserve"> in </w:t>
      </w:r>
      <w:r w:rsidR="00B22C7E">
        <w:rPr>
          <w:i/>
          <w:sz w:val="20"/>
        </w:rPr>
        <w:t xml:space="preserve">Aberystwyth Studies by Members of the University College of Wales Vol. X The Hywel </w:t>
      </w:r>
      <w:proofErr w:type="spellStart"/>
      <w:r w:rsidR="00B22C7E">
        <w:rPr>
          <w:i/>
          <w:sz w:val="20"/>
        </w:rPr>
        <w:t>Dda</w:t>
      </w:r>
      <w:proofErr w:type="spellEnd"/>
      <w:r w:rsidR="00B22C7E">
        <w:rPr>
          <w:i/>
          <w:sz w:val="20"/>
        </w:rPr>
        <w:t xml:space="preserve"> Millenary Volume, ed</w:t>
      </w:r>
      <w:r w:rsidR="00B22C7E" w:rsidRPr="00D90B5F">
        <w:rPr>
          <w:sz w:val="20"/>
        </w:rPr>
        <w:t>. (Wales: University of Wales Press, 1928)</w:t>
      </w:r>
      <w:r w:rsidR="00B6430E" w:rsidRPr="00D90B5F">
        <w:rPr>
          <w:sz w:val="20"/>
        </w:rPr>
        <w:t>, p. 103-128.</w:t>
      </w:r>
    </w:p>
    <w:p w:rsidR="00203EC3" w:rsidRDefault="00203EC3" w:rsidP="00C54A84">
      <w:pPr>
        <w:jc w:val="both"/>
        <w:rPr>
          <w:sz w:val="20"/>
        </w:rPr>
      </w:pPr>
      <w:r w:rsidRPr="00DA5D27">
        <w:rPr>
          <w:sz w:val="20"/>
        </w:rPr>
        <w:t xml:space="preserve">Kirby, D. P, "Hywel </w:t>
      </w:r>
      <w:proofErr w:type="spellStart"/>
      <w:r w:rsidRPr="00DA5D27">
        <w:rPr>
          <w:sz w:val="20"/>
        </w:rPr>
        <w:t>Dda</w:t>
      </w:r>
      <w:proofErr w:type="spellEnd"/>
      <w:r w:rsidRPr="00DA5D27">
        <w:rPr>
          <w:sz w:val="20"/>
        </w:rPr>
        <w:t xml:space="preserve">: </w:t>
      </w:r>
      <w:proofErr w:type="spellStart"/>
      <w:r w:rsidRPr="00DA5D27">
        <w:rPr>
          <w:sz w:val="20"/>
        </w:rPr>
        <w:t>Anglophil</w:t>
      </w:r>
      <w:proofErr w:type="spellEnd"/>
      <w:r w:rsidRPr="00DA5D27">
        <w:rPr>
          <w:sz w:val="20"/>
        </w:rPr>
        <w:t>?", Welsh History Review, 8 (1976).</w:t>
      </w:r>
    </w:p>
    <w:p w:rsidR="00864139" w:rsidRDefault="00864139" w:rsidP="00C54A84">
      <w:pPr>
        <w:jc w:val="both"/>
        <w:rPr>
          <w:sz w:val="20"/>
        </w:rPr>
      </w:pPr>
      <w:r>
        <w:rPr>
          <w:sz w:val="20"/>
        </w:rPr>
        <w:t>Parkin, S</w:t>
      </w:r>
      <w:r w:rsidRPr="00864139">
        <w:rPr>
          <w:sz w:val="20"/>
        </w:rPr>
        <w:t xml:space="preserve">, "Witchcraft, Women's Honour </w:t>
      </w:r>
      <w:proofErr w:type="gramStart"/>
      <w:r w:rsidRPr="00864139">
        <w:rPr>
          <w:sz w:val="20"/>
        </w:rPr>
        <w:t>And</w:t>
      </w:r>
      <w:proofErr w:type="gramEnd"/>
      <w:r w:rsidRPr="00864139">
        <w:rPr>
          <w:sz w:val="20"/>
        </w:rPr>
        <w:t xml:space="preserve"> Cust</w:t>
      </w:r>
      <w:r w:rsidR="008F18ED">
        <w:rPr>
          <w:sz w:val="20"/>
        </w:rPr>
        <w:t>omary Law In Early Modern Wales</w:t>
      </w:r>
      <w:r w:rsidRPr="00864139">
        <w:rPr>
          <w:sz w:val="20"/>
        </w:rPr>
        <w:t>", Soci</w:t>
      </w:r>
      <w:r w:rsidR="008F18ED">
        <w:rPr>
          <w:sz w:val="20"/>
        </w:rPr>
        <w:t xml:space="preserve">al History, 31 (2006), </w:t>
      </w:r>
      <w:r w:rsidR="00CC130A">
        <w:rPr>
          <w:sz w:val="20"/>
        </w:rPr>
        <w:t>p.</w:t>
      </w:r>
      <w:r w:rsidR="008F18ED">
        <w:rPr>
          <w:sz w:val="20"/>
        </w:rPr>
        <w:t xml:space="preserve">295-318 Available: </w:t>
      </w:r>
      <w:hyperlink r:id="rId7" w:history="1">
        <w:r w:rsidR="008F18ED" w:rsidRPr="00DE3E08">
          <w:rPr>
            <w:rStyle w:val="Hyperlink"/>
            <w:sz w:val="20"/>
          </w:rPr>
          <w:t>http://Witchcraft,women'shonourandcustomarylawinearlymodernWales</w:t>
        </w:r>
      </w:hyperlink>
      <w:r w:rsidR="008F18ED">
        <w:rPr>
          <w:sz w:val="20"/>
        </w:rPr>
        <w:t xml:space="preserve"> </w:t>
      </w:r>
      <w:r w:rsidRPr="00864139">
        <w:rPr>
          <w:sz w:val="20"/>
        </w:rPr>
        <w:t>[</w:t>
      </w:r>
      <w:r w:rsidR="00C612EF">
        <w:rPr>
          <w:sz w:val="20"/>
        </w:rPr>
        <w:t>Accessed 02/12/17]</w:t>
      </w:r>
    </w:p>
    <w:p w:rsidR="0006639C" w:rsidRDefault="00053DC9" w:rsidP="00C54A84">
      <w:pPr>
        <w:jc w:val="both"/>
        <w:rPr>
          <w:sz w:val="20"/>
        </w:rPr>
      </w:pPr>
      <w:r>
        <w:rPr>
          <w:sz w:val="20"/>
        </w:rPr>
        <w:t>Pryce, H</w:t>
      </w:r>
      <w:r w:rsidR="0006639C" w:rsidRPr="0006639C">
        <w:rPr>
          <w:sz w:val="20"/>
        </w:rPr>
        <w:t xml:space="preserve">, "Lawbooks And Literacy </w:t>
      </w:r>
      <w:proofErr w:type="gramStart"/>
      <w:r w:rsidR="0006639C" w:rsidRPr="0006639C">
        <w:rPr>
          <w:sz w:val="20"/>
        </w:rPr>
        <w:t>In</w:t>
      </w:r>
      <w:proofErr w:type="gramEnd"/>
      <w:r w:rsidR="0006639C" w:rsidRPr="0006639C">
        <w:rPr>
          <w:sz w:val="20"/>
        </w:rPr>
        <w:t xml:space="preserve"> Medieval Wale</w:t>
      </w:r>
      <w:r w:rsidR="0006639C">
        <w:rPr>
          <w:sz w:val="20"/>
        </w:rPr>
        <w:t xml:space="preserve">s", Speculum, 75 (2000), </w:t>
      </w:r>
      <w:r w:rsidR="00CC130A">
        <w:rPr>
          <w:sz w:val="20"/>
        </w:rPr>
        <w:t>p.</w:t>
      </w:r>
      <w:r w:rsidR="0006639C">
        <w:rPr>
          <w:sz w:val="20"/>
        </w:rPr>
        <w:t xml:space="preserve">29-67 Available: </w:t>
      </w:r>
      <w:hyperlink r:id="rId8" w:history="1">
        <w:r w:rsidR="0006639C" w:rsidRPr="00DE3E08">
          <w:rPr>
            <w:rStyle w:val="Hyperlink"/>
            <w:sz w:val="20"/>
          </w:rPr>
          <w:t>https://www.jstor.org/stable/pdf/2887424.pdf</w:t>
        </w:r>
      </w:hyperlink>
      <w:r w:rsidR="0006639C">
        <w:rPr>
          <w:sz w:val="20"/>
        </w:rPr>
        <w:t xml:space="preserve"> </w:t>
      </w:r>
      <w:r w:rsidR="0006639C" w:rsidRPr="0006639C">
        <w:rPr>
          <w:sz w:val="20"/>
        </w:rPr>
        <w:t>[</w:t>
      </w:r>
      <w:r w:rsidR="0006639C">
        <w:rPr>
          <w:sz w:val="20"/>
        </w:rPr>
        <w:t>Accessed 01/12/17]</w:t>
      </w:r>
    </w:p>
    <w:p w:rsidR="00053DC9" w:rsidRDefault="00053DC9" w:rsidP="00C54A84">
      <w:pPr>
        <w:jc w:val="both"/>
        <w:rPr>
          <w:sz w:val="20"/>
        </w:rPr>
      </w:pPr>
      <w:bookmarkStart w:id="4" w:name="_Hlk500265419"/>
      <w:r>
        <w:rPr>
          <w:sz w:val="20"/>
        </w:rPr>
        <w:t>Richards, G</w:t>
      </w:r>
      <w:r w:rsidRPr="00053DC9">
        <w:rPr>
          <w:sz w:val="20"/>
        </w:rPr>
        <w:t xml:space="preserve">, </w:t>
      </w:r>
      <w:r w:rsidRPr="00053DC9">
        <w:rPr>
          <w:i/>
          <w:sz w:val="20"/>
        </w:rPr>
        <w:t xml:space="preserve">Welsh Noblewomen </w:t>
      </w:r>
      <w:proofErr w:type="gramStart"/>
      <w:r w:rsidRPr="00053DC9">
        <w:rPr>
          <w:i/>
          <w:sz w:val="20"/>
        </w:rPr>
        <w:t>In</w:t>
      </w:r>
      <w:proofErr w:type="gramEnd"/>
      <w:r w:rsidRPr="00053DC9">
        <w:rPr>
          <w:i/>
          <w:sz w:val="20"/>
        </w:rPr>
        <w:t xml:space="preserve"> The Thirteenth Century</w:t>
      </w:r>
      <w:r w:rsidR="00CC130A">
        <w:rPr>
          <w:sz w:val="20"/>
        </w:rPr>
        <w:t xml:space="preserve"> (Lewiston: N.Y., 2009), </w:t>
      </w:r>
      <w:r w:rsidRPr="00053DC9">
        <w:rPr>
          <w:sz w:val="20"/>
        </w:rPr>
        <w:t>p. 111</w:t>
      </w:r>
      <w:bookmarkEnd w:id="4"/>
      <w:r w:rsidRPr="00053DC9">
        <w:rPr>
          <w:sz w:val="20"/>
        </w:rPr>
        <w:t>-197</w:t>
      </w:r>
    </w:p>
    <w:p w:rsidR="008F18ED" w:rsidRPr="00DA5D27" w:rsidRDefault="00C612EF" w:rsidP="00C54A84">
      <w:pPr>
        <w:jc w:val="both"/>
        <w:rPr>
          <w:sz w:val="20"/>
        </w:rPr>
      </w:pPr>
      <w:r>
        <w:rPr>
          <w:sz w:val="20"/>
        </w:rPr>
        <w:t>Stacey, R. C</w:t>
      </w:r>
      <w:r w:rsidRPr="00C612EF">
        <w:rPr>
          <w:sz w:val="20"/>
        </w:rPr>
        <w:t xml:space="preserve">, "Divorce, Medieval Welsh Style", Speculum, 77 (2002), </w:t>
      </w:r>
      <w:r w:rsidR="00CC130A">
        <w:rPr>
          <w:sz w:val="20"/>
        </w:rPr>
        <w:t>p.</w:t>
      </w:r>
      <w:r w:rsidRPr="00C612EF">
        <w:rPr>
          <w:sz w:val="20"/>
        </w:rPr>
        <w:t>110</w:t>
      </w:r>
      <w:r>
        <w:rPr>
          <w:sz w:val="20"/>
        </w:rPr>
        <w:t xml:space="preserve">7-1127. Available: </w:t>
      </w:r>
      <w:hyperlink r:id="rId9" w:history="1">
        <w:r w:rsidRPr="00DE3E08">
          <w:rPr>
            <w:rStyle w:val="Hyperlink"/>
            <w:sz w:val="20"/>
          </w:rPr>
          <w:t>https://www.jstor.org/stable/pdf/3301214.pdf</w:t>
        </w:r>
      </w:hyperlink>
      <w:r>
        <w:rPr>
          <w:sz w:val="20"/>
        </w:rPr>
        <w:t xml:space="preserve"> [Accessed 02/12/17]</w:t>
      </w:r>
    </w:p>
    <w:sectPr w:rsidR="008F18ED" w:rsidRPr="00DA5D2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1981" w:rsidRDefault="00AC1981" w:rsidP="00C54A84">
      <w:pPr>
        <w:spacing w:after="0" w:line="240" w:lineRule="auto"/>
      </w:pPr>
      <w:r>
        <w:separator/>
      </w:r>
    </w:p>
  </w:endnote>
  <w:endnote w:type="continuationSeparator" w:id="0">
    <w:p w:rsidR="00AC1981" w:rsidRDefault="00AC1981" w:rsidP="00C54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1981" w:rsidRDefault="00AC1981" w:rsidP="00C54A84">
      <w:pPr>
        <w:spacing w:after="0" w:line="240" w:lineRule="auto"/>
      </w:pPr>
      <w:r>
        <w:separator/>
      </w:r>
    </w:p>
  </w:footnote>
  <w:footnote w:type="continuationSeparator" w:id="0">
    <w:p w:rsidR="00AC1981" w:rsidRDefault="00AC1981" w:rsidP="00C54A84">
      <w:pPr>
        <w:spacing w:after="0" w:line="240" w:lineRule="auto"/>
      </w:pPr>
      <w:r>
        <w:continuationSeparator/>
      </w:r>
    </w:p>
  </w:footnote>
  <w:footnote w:id="1">
    <w:p w:rsidR="00E00713" w:rsidRPr="009F5767" w:rsidRDefault="00E00713">
      <w:pPr>
        <w:pStyle w:val="FootnoteText"/>
        <w:rPr>
          <w:sz w:val="18"/>
        </w:rPr>
      </w:pPr>
      <w:r w:rsidRPr="009F5767">
        <w:rPr>
          <w:rStyle w:val="FootnoteReference"/>
          <w:sz w:val="18"/>
        </w:rPr>
        <w:footnoteRef/>
      </w:r>
      <w:r w:rsidRPr="009F5767">
        <w:rPr>
          <w:sz w:val="18"/>
        </w:rPr>
        <w:t xml:space="preserve"> D. P, Kirby, "Hywel </w:t>
      </w:r>
      <w:proofErr w:type="spellStart"/>
      <w:r w:rsidRPr="009F5767">
        <w:rPr>
          <w:sz w:val="18"/>
        </w:rPr>
        <w:t>Dda</w:t>
      </w:r>
      <w:proofErr w:type="spellEnd"/>
      <w:r w:rsidRPr="009F5767">
        <w:rPr>
          <w:sz w:val="18"/>
        </w:rPr>
        <w:t xml:space="preserve">: </w:t>
      </w:r>
      <w:proofErr w:type="spellStart"/>
      <w:r w:rsidRPr="009F5767">
        <w:rPr>
          <w:sz w:val="18"/>
        </w:rPr>
        <w:t>Anglophil</w:t>
      </w:r>
      <w:proofErr w:type="spellEnd"/>
      <w:r w:rsidRPr="009F5767">
        <w:rPr>
          <w:sz w:val="18"/>
        </w:rPr>
        <w:t>?", Welsh History Review, 8.1 (1976).</w:t>
      </w:r>
    </w:p>
  </w:footnote>
  <w:footnote w:id="2">
    <w:p w:rsidR="002E5AD0" w:rsidRPr="009F5767" w:rsidRDefault="002E5AD0">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001C06DF" w:rsidRPr="009F5767">
        <w:rPr>
          <w:sz w:val="18"/>
        </w:rPr>
        <w:t xml:space="preserve"> Jenkins, The Law </w:t>
      </w:r>
      <w:proofErr w:type="gramStart"/>
      <w:r w:rsidR="001C06DF" w:rsidRPr="009F5767">
        <w:rPr>
          <w:sz w:val="18"/>
        </w:rPr>
        <w:t>Of</w:t>
      </w:r>
      <w:proofErr w:type="gramEnd"/>
      <w:r w:rsidR="001C06DF" w:rsidRPr="009F5767">
        <w:rPr>
          <w:sz w:val="18"/>
        </w:rPr>
        <w:t xml:space="preserve"> Hywel </w:t>
      </w:r>
      <w:proofErr w:type="spellStart"/>
      <w:r w:rsidR="001C06DF" w:rsidRPr="009F5767">
        <w:rPr>
          <w:sz w:val="18"/>
        </w:rPr>
        <w:t>Dda</w:t>
      </w:r>
      <w:proofErr w:type="spellEnd"/>
      <w:r w:rsidR="001C06DF" w:rsidRPr="009F5767">
        <w:rPr>
          <w:sz w:val="18"/>
        </w:rPr>
        <w:t xml:space="preserve"> (</w:t>
      </w:r>
      <w:proofErr w:type="spellStart"/>
      <w:r w:rsidR="001C06DF" w:rsidRPr="009F5767">
        <w:rPr>
          <w:sz w:val="18"/>
        </w:rPr>
        <w:t>Llandysul</w:t>
      </w:r>
      <w:proofErr w:type="spellEnd"/>
      <w:r w:rsidR="001C06DF" w:rsidRPr="009F5767">
        <w:rPr>
          <w:sz w:val="18"/>
        </w:rPr>
        <w:t xml:space="preserve">: </w:t>
      </w:r>
      <w:proofErr w:type="spellStart"/>
      <w:r w:rsidR="001C06DF" w:rsidRPr="009F5767">
        <w:rPr>
          <w:sz w:val="18"/>
        </w:rPr>
        <w:t>Gwasg</w:t>
      </w:r>
      <w:proofErr w:type="spellEnd"/>
      <w:r w:rsidR="001C06DF" w:rsidRPr="009F5767">
        <w:rPr>
          <w:sz w:val="18"/>
        </w:rPr>
        <w:t xml:space="preserve"> </w:t>
      </w:r>
      <w:proofErr w:type="spellStart"/>
      <w:r w:rsidR="001C06DF" w:rsidRPr="009F5767">
        <w:rPr>
          <w:sz w:val="18"/>
        </w:rPr>
        <w:t>Gomer</w:t>
      </w:r>
      <w:proofErr w:type="spellEnd"/>
      <w:r w:rsidR="001C06DF" w:rsidRPr="009F5767">
        <w:rPr>
          <w:sz w:val="18"/>
        </w:rPr>
        <w:t>, 1986), pp. 51.</w:t>
      </w:r>
    </w:p>
  </w:footnote>
  <w:footnote w:id="3">
    <w:p w:rsidR="00FE1C59" w:rsidRPr="009F5767" w:rsidRDefault="00FE1C59">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52.</w:t>
      </w:r>
    </w:p>
  </w:footnote>
  <w:footnote w:id="4">
    <w:p w:rsidR="002E5AD0" w:rsidRDefault="002E5AD0">
      <w:pPr>
        <w:pStyle w:val="FootnoteText"/>
      </w:pPr>
      <w:r w:rsidRPr="009F5767">
        <w:rPr>
          <w:rStyle w:val="FootnoteReference"/>
          <w:sz w:val="18"/>
        </w:rPr>
        <w:footnoteRef/>
      </w:r>
      <w:r w:rsidRPr="009F5767">
        <w:rPr>
          <w:sz w:val="18"/>
        </w:rPr>
        <w:t xml:space="preserve"> </w:t>
      </w:r>
      <w:r w:rsidR="00D90B5F" w:rsidRPr="009F5767">
        <w:rPr>
          <w:sz w:val="18"/>
        </w:rPr>
        <w:t>D,</w:t>
      </w:r>
      <w:r w:rsidR="001C06DF" w:rsidRPr="009F5767">
        <w:rPr>
          <w:sz w:val="18"/>
        </w:rPr>
        <w:t xml:space="preserve"> Jenkins, The Law </w:t>
      </w:r>
      <w:proofErr w:type="gramStart"/>
      <w:r w:rsidR="001C06DF" w:rsidRPr="009F5767">
        <w:rPr>
          <w:sz w:val="18"/>
        </w:rPr>
        <w:t>Of</w:t>
      </w:r>
      <w:proofErr w:type="gramEnd"/>
      <w:r w:rsidR="001C06DF" w:rsidRPr="009F5767">
        <w:rPr>
          <w:sz w:val="18"/>
        </w:rPr>
        <w:t xml:space="preserve"> Hywel </w:t>
      </w:r>
      <w:proofErr w:type="spellStart"/>
      <w:r w:rsidR="001C06DF" w:rsidRPr="009F5767">
        <w:rPr>
          <w:sz w:val="18"/>
        </w:rPr>
        <w:t>Dda</w:t>
      </w:r>
      <w:proofErr w:type="spellEnd"/>
      <w:r w:rsidR="001C06DF" w:rsidRPr="009F5767">
        <w:rPr>
          <w:sz w:val="18"/>
        </w:rPr>
        <w:t xml:space="preserve"> (</w:t>
      </w:r>
      <w:proofErr w:type="spellStart"/>
      <w:r w:rsidR="001C06DF" w:rsidRPr="009F5767">
        <w:rPr>
          <w:sz w:val="18"/>
        </w:rPr>
        <w:t>Llandysul</w:t>
      </w:r>
      <w:proofErr w:type="spellEnd"/>
      <w:r w:rsidR="001C06DF" w:rsidRPr="009F5767">
        <w:rPr>
          <w:sz w:val="18"/>
        </w:rPr>
        <w:t xml:space="preserve">: </w:t>
      </w:r>
      <w:proofErr w:type="spellStart"/>
      <w:r w:rsidR="001C06DF" w:rsidRPr="009F5767">
        <w:rPr>
          <w:sz w:val="18"/>
        </w:rPr>
        <w:t>Gwasg</w:t>
      </w:r>
      <w:proofErr w:type="spellEnd"/>
      <w:r w:rsidR="001C06DF" w:rsidRPr="009F5767">
        <w:rPr>
          <w:sz w:val="18"/>
        </w:rPr>
        <w:t xml:space="preserve"> </w:t>
      </w:r>
      <w:proofErr w:type="spellStart"/>
      <w:r w:rsidR="001C06DF" w:rsidRPr="009F5767">
        <w:rPr>
          <w:sz w:val="18"/>
        </w:rPr>
        <w:t>Gomer</w:t>
      </w:r>
      <w:proofErr w:type="spellEnd"/>
      <w:r w:rsidR="001C06DF" w:rsidRPr="009F5767">
        <w:rPr>
          <w:sz w:val="18"/>
        </w:rPr>
        <w:t>, 1986), pp. 51.</w:t>
      </w:r>
    </w:p>
  </w:footnote>
  <w:footnote w:id="5">
    <w:p w:rsidR="003F7D76" w:rsidRPr="009F5767" w:rsidRDefault="003F7D76">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51.</w:t>
      </w:r>
    </w:p>
  </w:footnote>
  <w:footnote w:id="6">
    <w:p w:rsidR="00D37DBD" w:rsidRPr="009F5767" w:rsidRDefault="00D37DBD">
      <w:pPr>
        <w:pStyle w:val="FootnoteText"/>
        <w:rPr>
          <w:sz w:val="18"/>
        </w:rPr>
      </w:pPr>
      <w:r w:rsidRPr="009F5767">
        <w:rPr>
          <w:rStyle w:val="FootnoteReference"/>
          <w:sz w:val="18"/>
        </w:rPr>
        <w:footnoteRef/>
      </w:r>
      <w:r w:rsidRPr="009F5767">
        <w:rPr>
          <w:sz w:val="18"/>
        </w:rPr>
        <w:t xml:space="preserve"> </w:t>
      </w:r>
      <w:bookmarkStart w:id="0" w:name="_Hlk500102364"/>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xml:space="preserve">, 1986), pp. </w:t>
      </w:r>
      <w:bookmarkEnd w:id="0"/>
      <w:r w:rsidRPr="009F5767">
        <w:rPr>
          <w:sz w:val="18"/>
        </w:rPr>
        <w:t>51</w:t>
      </w:r>
      <w:r w:rsidR="005121F8" w:rsidRPr="009F5767">
        <w:rPr>
          <w:sz w:val="18"/>
        </w:rPr>
        <w:t>-52</w:t>
      </w:r>
      <w:r w:rsidRPr="009F5767">
        <w:rPr>
          <w:sz w:val="18"/>
        </w:rPr>
        <w:t>.</w:t>
      </w:r>
    </w:p>
  </w:footnote>
  <w:footnote w:id="7">
    <w:p w:rsidR="001A4E87" w:rsidRPr="009F5767" w:rsidRDefault="001A4E87">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60.</w:t>
      </w:r>
    </w:p>
  </w:footnote>
  <w:footnote w:id="8">
    <w:p w:rsidR="00662D87" w:rsidRPr="009F5767" w:rsidRDefault="00662D87">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52.</w:t>
      </w:r>
    </w:p>
  </w:footnote>
  <w:footnote w:id="9">
    <w:p w:rsidR="00174E81" w:rsidRPr="009F5767" w:rsidRDefault="00174E81">
      <w:pPr>
        <w:pStyle w:val="FootnoteText"/>
        <w:rPr>
          <w:sz w:val="18"/>
        </w:rPr>
      </w:pPr>
      <w:r w:rsidRPr="009F5767">
        <w:rPr>
          <w:rStyle w:val="FootnoteReference"/>
          <w:sz w:val="18"/>
        </w:rPr>
        <w:footnoteRef/>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52.</w:t>
      </w:r>
    </w:p>
  </w:footnote>
  <w:footnote w:id="10">
    <w:p w:rsidR="00174E81" w:rsidRDefault="00174E81">
      <w:pPr>
        <w:pStyle w:val="FootnoteText"/>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52.</w:t>
      </w:r>
    </w:p>
  </w:footnote>
  <w:footnote w:id="11">
    <w:p w:rsidR="005121F8" w:rsidRPr="009F5767" w:rsidRDefault="005121F8">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60.</w:t>
      </w:r>
    </w:p>
  </w:footnote>
  <w:footnote w:id="12">
    <w:p w:rsidR="00743E5E" w:rsidRPr="009F5767" w:rsidRDefault="00743E5E">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52.</w:t>
      </w:r>
    </w:p>
  </w:footnote>
  <w:footnote w:id="13">
    <w:p w:rsidR="001B15DD" w:rsidRPr="009F5767" w:rsidRDefault="001B15DD">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55.</w:t>
      </w:r>
    </w:p>
  </w:footnote>
  <w:footnote w:id="14">
    <w:p w:rsidR="00922EFA" w:rsidRDefault="00922EFA">
      <w:pPr>
        <w:pStyle w:val="FootnoteText"/>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56.</w:t>
      </w:r>
    </w:p>
  </w:footnote>
  <w:footnote w:id="15">
    <w:p w:rsidR="00A76FDF" w:rsidRPr="009F5767" w:rsidRDefault="00A76FDF">
      <w:pPr>
        <w:pStyle w:val="FootnoteText"/>
        <w:rPr>
          <w:sz w:val="18"/>
        </w:rPr>
      </w:pPr>
      <w:r w:rsidRPr="009F5767">
        <w:rPr>
          <w:rStyle w:val="FootnoteReference"/>
          <w:sz w:val="18"/>
        </w:rPr>
        <w:footnoteRef/>
      </w:r>
      <w:r w:rsidRPr="009F5767">
        <w:rPr>
          <w:sz w:val="18"/>
        </w:rPr>
        <w:t xml:space="preserve"> </w:t>
      </w:r>
      <w:bookmarkStart w:id="1" w:name="_Hlk500177869"/>
      <w:r w:rsidR="00D90B5F" w:rsidRPr="009F5767">
        <w:rPr>
          <w:sz w:val="18"/>
        </w:rPr>
        <w:t>B. A,</w:t>
      </w:r>
      <w:r w:rsidRPr="009F5767">
        <w:rPr>
          <w:sz w:val="18"/>
        </w:rPr>
        <w:t xml:space="preserve"> </w:t>
      </w:r>
      <w:proofErr w:type="spellStart"/>
      <w:r w:rsidRPr="009F5767">
        <w:rPr>
          <w:sz w:val="18"/>
        </w:rPr>
        <w:t>Hanawalt</w:t>
      </w:r>
      <w:proofErr w:type="spellEnd"/>
      <w:r w:rsidRPr="009F5767">
        <w:rPr>
          <w:sz w:val="18"/>
        </w:rPr>
        <w:t xml:space="preserve">, </w:t>
      </w:r>
      <w:r w:rsidRPr="009F5767">
        <w:rPr>
          <w:i/>
          <w:sz w:val="18"/>
        </w:rPr>
        <w:t xml:space="preserve">Crime and Conflict in English Communities, 1300-1348 </w:t>
      </w:r>
      <w:r w:rsidRPr="009F5767">
        <w:rPr>
          <w:sz w:val="18"/>
        </w:rPr>
        <w:t>(Cambridge: Cambridge University Press, 1979), p. 4.</w:t>
      </w:r>
      <w:bookmarkEnd w:id="1"/>
    </w:p>
  </w:footnote>
  <w:footnote w:id="16">
    <w:p w:rsidR="00602158" w:rsidRPr="009F5767" w:rsidRDefault="00602158">
      <w:pPr>
        <w:pStyle w:val="FootnoteText"/>
        <w:rPr>
          <w:sz w:val="18"/>
        </w:rPr>
      </w:pPr>
      <w:r w:rsidRPr="009F5767">
        <w:rPr>
          <w:rStyle w:val="FootnoteReference"/>
          <w:sz w:val="18"/>
        </w:rPr>
        <w:footnoteRef/>
      </w:r>
      <w:r w:rsidRPr="009F5767">
        <w:rPr>
          <w:sz w:val="18"/>
        </w:rPr>
        <w:t xml:space="preserve"> </w:t>
      </w:r>
      <w:bookmarkStart w:id="2" w:name="_Hlk500183401"/>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45.</w:t>
      </w:r>
    </w:p>
    <w:bookmarkEnd w:id="2"/>
  </w:footnote>
  <w:footnote w:id="17">
    <w:p w:rsidR="00546AD9" w:rsidRPr="009F5767" w:rsidRDefault="00546AD9">
      <w:pPr>
        <w:pStyle w:val="FootnoteText"/>
        <w:rPr>
          <w:sz w:val="18"/>
        </w:rPr>
      </w:pPr>
      <w:r w:rsidRPr="009F5767">
        <w:rPr>
          <w:rStyle w:val="FootnoteReference"/>
          <w:sz w:val="18"/>
        </w:rPr>
        <w:footnoteRef/>
      </w:r>
      <w:r w:rsidRPr="009F5767">
        <w:rPr>
          <w:sz w:val="18"/>
        </w:rPr>
        <w:t xml:space="preserve"> R. C, Stacey, "Divorce, Medieval Welsh Style", Speculum, 77 (2002), pp. 1114.</w:t>
      </w:r>
    </w:p>
  </w:footnote>
  <w:footnote w:id="18">
    <w:p w:rsidR="00361F1A" w:rsidRPr="009F5767" w:rsidRDefault="00361F1A">
      <w:pPr>
        <w:pStyle w:val="FootnoteText"/>
        <w:rPr>
          <w:sz w:val="18"/>
        </w:rPr>
      </w:pPr>
      <w:r w:rsidRPr="009F5767">
        <w:rPr>
          <w:rStyle w:val="FootnoteReference"/>
          <w:sz w:val="18"/>
        </w:rPr>
        <w:footnoteRef/>
      </w:r>
      <w:r w:rsidRPr="009F5767">
        <w:rPr>
          <w:sz w:val="18"/>
        </w:rPr>
        <w:t xml:space="preserve"> </w:t>
      </w:r>
      <w:r w:rsidR="004D6277" w:rsidRPr="009F5767">
        <w:rPr>
          <w:sz w:val="18"/>
        </w:rPr>
        <w:t xml:space="preserve">R. C, Stacey, "Divorce, Medieval Welsh Style", </w:t>
      </w:r>
      <w:r w:rsidR="00D1213E" w:rsidRPr="009F5767">
        <w:rPr>
          <w:sz w:val="18"/>
        </w:rPr>
        <w:t>Speculum, 77 (2002), pp. 1116</w:t>
      </w:r>
      <w:r w:rsidR="0099191E" w:rsidRPr="009F5767">
        <w:rPr>
          <w:sz w:val="18"/>
        </w:rPr>
        <w:t>.</w:t>
      </w:r>
    </w:p>
  </w:footnote>
  <w:footnote w:id="19">
    <w:p w:rsidR="00D1213E" w:rsidRPr="009F5767" w:rsidRDefault="00D1213E">
      <w:pPr>
        <w:pStyle w:val="FootnoteText"/>
        <w:rPr>
          <w:sz w:val="18"/>
        </w:rPr>
      </w:pPr>
      <w:r w:rsidRPr="009F5767">
        <w:rPr>
          <w:rStyle w:val="FootnoteReference"/>
          <w:sz w:val="18"/>
        </w:rPr>
        <w:footnoteRef/>
      </w:r>
      <w:r w:rsidRPr="009F5767">
        <w:rPr>
          <w:sz w:val="18"/>
        </w:rPr>
        <w:t xml:space="preserve"> R. C, Stacey, "Divorce, Medieval Welsh Style", Speculum, 77 (2002), pp. 1116</w:t>
      </w:r>
      <w:r w:rsidR="0099191E" w:rsidRPr="009F5767">
        <w:rPr>
          <w:sz w:val="18"/>
        </w:rPr>
        <w:t>.</w:t>
      </w:r>
    </w:p>
  </w:footnote>
  <w:footnote w:id="20">
    <w:p w:rsidR="005325A7" w:rsidRPr="009F5767" w:rsidRDefault="005325A7">
      <w:pPr>
        <w:pStyle w:val="FootnoteText"/>
        <w:rPr>
          <w:sz w:val="18"/>
        </w:rPr>
      </w:pPr>
      <w:r w:rsidRPr="009F5767">
        <w:rPr>
          <w:rStyle w:val="FootnoteReference"/>
          <w:sz w:val="18"/>
        </w:rPr>
        <w:footnoteRef/>
      </w:r>
      <w:r w:rsidR="00D90B5F" w:rsidRPr="009F5767">
        <w:rPr>
          <w:sz w:val="18"/>
        </w:rPr>
        <w:t xml:space="preserve"> H, Pryce,</w:t>
      </w:r>
      <w:r w:rsidRPr="009F5767">
        <w:rPr>
          <w:sz w:val="18"/>
        </w:rPr>
        <w:t xml:space="preserve"> "Lawbooks And Literacy </w:t>
      </w:r>
      <w:proofErr w:type="gramStart"/>
      <w:r w:rsidRPr="009F5767">
        <w:rPr>
          <w:sz w:val="18"/>
        </w:rPr>
        <w:t>In</w:t>
      </w:r>
      <w:proofErr w:type="gramEnd"/>
      <w:r w:rsidRPr="009F5767">
        <w:rPr>
          <w:sz w:val="18"/>
        </w:rPr>
        <w:t xml:space="preserve"> Medieval Wales", Speculum, 75 (2000), pp. 30</w:t>
      </w:r>
      <w:r w:rsidR="0099191E" w:rsidRPr="009F5767">
        <w:rPr>
          <w:sz w:val="18"/>
        </w:rPr>
        <w:t>.</w:t>
      </w:r>
    </w:p>
  </w:footnote>
  <w:footnote w:id="21">
    <w:p w:rsidR="00E43DCE" w:rsidRDefault="00E43DCE">
      <w:pPr>
        <w:pStyle w:val="FootnoteText"/>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45.</w:t>
      </w:r>
    </w:p>
  </w:footnote>
  <w:footnote w:id="22">
    <w:p w:rsidR="0099191E" w:rsidRPr="009F5767" w:rsidRDefault="0099191E">
      <w:pPr>
        <w:pStyle w:val="FootnoteText"/>
        <w:rPr>
          <w:sz w:val="18"/>
        </w:rPr>
      </w:pPr>
      <w:r w:rsidRPr="009F5767">
        <w:rPr>
          <w:rStyle w:val="FootnoteReference"/>
          <w:sz w:val="18"/>
        </w:rPr>
        <w:footnoteRef/>
      </w:r>
      <w:r w:rsidRPr="009F5767">
        <w:rPr>
          <w:sz w:val="18"/>
        </w:rPr>
        <w:t xml:space="preserve"> R. C, Stacey, "Divorce, Medieval Welsh Style", Speculum, 77 (2002), pp. 1114.</w:t>
      </w:r>
    </w:p>
  </w:footnote>
  <w:footnote w:id="23">
    <w:p w:rsidR="0089683F" w:rsidRPr="009F5767" w:rsidRDefault="0089683F">
      <w:pPr>
        <w:pStyle w:val="FootnoteText"/>
        <w:rPr>
          <w:sz w:val="18"/>
        </w:rPr>
      </w:pPr>
      <w:r w:rsidRPr="009F5767">
        <w:rPr>
          <w:rStyle w:val="FootnoteReference"/>
          <w:sz w:val="18"/>
        </w:rPr>
        <w:footnoteRef/>
      </w:r>
      <w:r w:rsidRPr="009F5767">
        <w:rPr>
          <w:sz w:val="18"/>
        </w:rPr>
        <w:t xml:space="preserve"> </w:t>
      </w:r>
      <w:r w:rsidR="00D90B5F" w:rsidRPr="009F5767">
        <w:rPr>
          <w:sz w:val="18"/>
        </w:rPr>
        <w:t>D,</w:t>
      </w:r>
      <w:r w:rsidRPr="009F5767">
        <w:rPr>
          <w:sz w:val="18"/>
        </w:rPr>
        <w:t xml:space="preserve"> Jenkins, The Law </w:t>
      </w:r>
      <w:proofErr w:type="gramStart"/>
      <w:r w:rsidRPr="009F5767">
        <w:rPr>
          <w:sz w:val="18"/>
        </w:rPr>
        <w:t>Of</w:t>
      </w:r>
      <w:proofErr w:type="gramEnd"/>
      <w:r w:rsidRPr="009F5767">
        <w:rPr>
          <w:sz w:val="18"/>
        </w:rPr>
        <w:t xml:space="preserve"> Hywel </w:t>
      </w:r>
      <w:proofErr w:type="spellStart"/>
      <w:r w:rsidRPr="009F5767">
        <w:rPr>
          <w:sz w:val="18"/>
        </w:rPr>
        <w:t>Dda</w:t>
      </w:r>
      <w:proofErr w:type="spellEnd"/>
      <w:r w:rsidRPr="009F5767">
        <w:rPr>
          <w:sz w:val="18"/>
        </w:rPr>
        <w:t xml:space="preserve"> (</w:t>
      </w:r>
      <w:proofErr w:type="spellStart"/>
      <w:r w:rsidRPr="009F5767">
        <w:rPr>
          <w:sz w:val="18"/>
        </w:rPr>
        <w:t>Llandysul</w:t>
      </w:r>
      <w:proofErr w:type="spellEnd"/>
      <w:r w:rsidRPr="009F5767">
        <w:rPr>
          <w:sz w:val="18"/>
        </w:rPr>
        <w:t xml:space="preserve">: </w:t>
      </w:r>
      <w:proofErr w:type="spellStart"/>
      <w:r w:rsidRPr="009F5767">
        <w:rPr>
          <w:sz w:val="18"/>
        </w:rPr>
        <w:t>Gwasg</w:t>
      </w:r>
      <w:proofErr w:type="spellEnd"/>
      <w:r w:rsidRPr="009F5767">
        <w:rPr>
          <w:sz w:val="18"/>
        </w:rPr>
        <w:t xml:space="preserve"> </w:t>
      </w:r>
      <w:proofErr w:type="spellStart"/>
      <w:r w:rsidRPr="009F5767">
        <w:rPr>
          <w:sz w:val="18"/>
        </w:rPr>
        <w:t>Gomer</w:t>
      </w:r>
      <w:proofErr w:type="spellEnd"/>
      <w:r w:rsidRPr="009F5767">
        <w:rPr>
          <w:sz w:val="18"/>
        </w:rPr>
        <w:t>, 1986), pp. 46.</w:t>
      </w:r>
    </w:p>
  </w:footnote>
  <w:footnote w:id="24">
    <w:p w:rsidR="00D90B5F" w:rsidRPr="009F5767" w:rsidRDefault="00D90B5F">
      <w:pPr>
        <w:pStyle w:val="FootnoteText"/>
        <w:rPr>
          <w:sz w:val="18"/>
        </w:rPr>
      </w:pPr>
      <w:r w:rsidRPr="009F5767">
        <w:rPr>
          <w:rStyle w:val="FootnoteReference"/>
          <w:sz w:val="18"/>
        </w:rPr>
        <w:footnoteRef/>
      </w:r>
      <w:r w:rsidRPr="009F5767">
        <w:rPr>
          <w:sz w:val="18"/>
        </w:rPr>
        <w:t xml:space="preserve"> G, Richards, Welsh Noblewomen </w:t>
      </w:r>
      <w:proofErr w:type="gramStart"/>
      <w:r w:rsidRPr="009F5767">
        <w:rPr>
          <w:sz w:val="18"/>
        </w:rPr>
        <w:t>In</w:t>
      </w:r>
      <w:proofErr w:type="gramEnd"/>
      <w:r w:rsidRPr="009F5767">
        <w:rPr>
          <w:sz w:val="18"/>
        </w:rPr>
        <w:t xml:space="preserve"> The Thirteenth Century (Lewiston: N.Y., 2009), pp. 111</w:t>
      </w:r>
      <w:r w:rsidR="00E83615" w:rsidRPr="009F5767">
        <w:rPr>
          <w:sz w:val="18"/>
        </w:rPr>
        <w:t>.</w:t>
      </w:r>
    </w:p>
  </w:footnote>
  <w:footnote w:id="25">
    <w:p w:rsidR="00E83615" w:rsidRDefault="00E83615">
      <w:pPr>
        <w:pStyle w:val="FootnoteText"/>
      </w:pPr>
      <w:r w:rsidRPr="009F5767">
        <w:rPr>
          <w:rStyle w:val="FootnoteReference"/>
          <w:sz w:val="18"/>
        </w:rPr>
        <w:footnoteRef/>
      </w:r>
      <w:r w:rsidRPr="009F5767">
        <w:rPr>
          <w:sz w:val="18"/>
        </w:rPr>
        <w:t xml:space="preserve"> </w:t>
      </w:r>
      <w:r w:rsidRPr="009F5767">
        <w:rPr>
          <w:sz w:val="18"/>
        </w:rPr>
        <w:t xml:space="preserve">G, Richards, Welsh Noblewomen </w:t>
      </w:r>
      <w:proofErr w:type="gramStart"/>
      <w:r w:rsidRPr="009F5767">
        <w:rPr>
          <w:sz w:val="18"/>
        </w:rPr>
        <w:t>In</w:t>
      </w:r>
      <w:proofErr w:type="gramEnd"/>
      <w:r w:rsidRPr="009F5767">
        <w:rPr>
          <w:sz w:val="18"/>
        </w:rPr>
        <w:t xml:space="preserve"> The Thirteenth Century</w:t>
      </w:r>
      <w:r w:rsidRPr="009F5767">
        <w:rPr>
          <w:sz w:val="18"/>
        </w:rPr>
        <w:t xml:space="preserve"> (Lewiston: N.Y., 2009), pp. 157.</w:t>
      </w:r>
    </w:p>
  </w:footnote>
  <w:footnote w:id="26">
    <w:p w:rsidR="00CC130A" w:rsidRDefault="00CC130A">
      <w:pPr>
        <w:pStyle w:val="FootnoteText"/>
      </w:pPr>
      <w:r>
        <w:rPr>
          <w:rStyle w:val="FootnoteReference"/>
        </w:rPr>
        <w:footnoteRef/>
      </w:r>
      <w:r>
        <w:t xml:space="preserve"> </w:t>
      </w:r>
      <w:r w:rsidR="009F5767" w:rsidRPr="009F5767">
        <w:rPr>
          <w:sz w:val="18"/>
        </w:rPr>
        <w:t>Davies, R. R, “Law and National Identity in Thirteenth-Century Wales” in R. R. Davies et al, eds., Welsh society and Nationhood (Cardiff: University of Wales Press, 1984), p. 54.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4A84" w:rsidRDefault="00C54A84">
    <w:pPr>
      <w:pStyle w:val="Header"/>
    </w:pPr>
    <w:r>
      <w:t>AHMS6005</w:t>
    </w:r>
    <w:r>
      <w:ptab w:relativeTo="margin" w:alignment="center" w:leader="none"/>
    </w:r>
    <w:r>
      <w:t>Anna Roberts</w:t>
    </w:r>
    <w:r>
      <w:ptab w:relativeTo="margin" w:alignment="right" w:leader="none"/>
    </w:r>
    <w:r>
      <w:t>1500630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A84"/>
    <w:rsid w:val="00010967"/>
    <w:rsid w:val="00024B85"/>
    <w:rsid w:val="00032588"/>
    <w:rsid w:val="000328B7"/>
    <w:rsid w:val="00046222"/>
    <w:rsid w:val="000535A6"/>
    <w:rsid w:val="00053DC9"/>
    <w:rsid w:val="0006246E"/>
    <w:rsid w:val="0006639C"/>
    <w:rsid w:val="000840D3"/>
    <w:rsid w:val="00094427"/>
    <w:rsid w:val="000A0494"/>
    <w:rsid w:val="000A30C0"/>
    <w:rsid w:val="000D514F"/>
    <w:rsid w:val="000F692C"/>
    <w:rsid w:val="00124728"/>
    <w:rsid w:val="001364B1"/>
    <w:rsid w:val="00146A1A"/>
    <w:rsid w:val="001710BF"/>
    <w:rsid w:val="00174E81"/>
    <w:rsid w:val="001774CB"/>
    <w:rsid w:val="00197A9C"/>
    <w:rsid w:val="001A2089"/>
    <w:rsid w:val="001A4E87"/>
    <w:rsid w:val="001B15DD"/>
    <w:rsid w:val="001B3BC1"/>
    <w:rsid w:val="001B69CB"/>
    <w:rsid w:val="001C06DF"/>
    <w:rsid w:val="001E281C"/>
    <w:rsid w:val="001F13B6"/>
    <w:rsid w:val="00203EC3"/>
    <w:rsid w:val="002231B7"/>
    <w:rsid w:val="0022606A"/>
    <w:rsid w:val="002E5AD0"/>
    <w:rsid w:val="00321450"/>
    <w:rsid w:val="00324576"/>
    <w:rsid w:val="003328F9"/>
    <w:rsid w:val="00361F1A"/>
    <w:rsid w:val="00386913"/>
    <w:rsid w:val="003A09B0"/>
    <w:rsid w:val="003C3409"/>
    <w:rsid w:val="003F7D76"/>
    <w:rsid w:val="00450487"/>
    <w:rsid w:val="004513C5"/>
    <w:rsid w:val="00453CF3"/>
    <w:rsid w:val="004753FC"/>
    <w:rsid w:val="004B3F20"/>
    <w:rsid w:val="004B51A9"/>
    <w:rsid w:val="004B67D1"/>
    <w:rsid w:val="004C2F2C"/>
    <w:rsid w:val="004D6277"/>
    <w:rsid w:val="004E71B6"/>
    <w:rsid w:val="004F0DAB"/>
    <w:rsid w:val="0050016F"/>
    <w:rsid w:val="005121F8"/>
    <w:rsid w:val="005325A7"/>
    <w:rsid w:val="00546AD9"/>
    <w:rsid w:val="005675A2"/>
    <w:rsid w:val="00573611"/>
    <w:rsid w:val="005B28DA"/>
    <w:rsid w:val="00602158"/>
    <w:rsid w:val="006051D0"/>
    <w:rsid w:val="006116EE"/>
    <w:rsid w:val="0063034E"/>
    <w:rsid w:val="00662D87"/>
    <w:rsid w:val="00671DA6"/>
    <w:rsid w:val="00672F79"/>
    <w:rsid w:val="006A7EBF"/>
    <w:rsid w:val="006C44A2"/>
    <w:rsid w:val="006E35FF"/>
    <w:rsid w:val="006E6B4A"/>
    <w:rsid w:val="00707B69"/>
    <w:rsid w:val="00723285"/>
    <w:rsid w:val="00743E5E"/>
    <w:rsid w:val="00792C66"/>
    <w:rsid w:val="007A0EAD"/>
    <w:rsid w:val="007A2A91"/>
    <w:rsid w:val="007B35BC"/>
    <w:rsid w:val="008171B2"/>
    <w:rsid w:val="00860347"/>
    <w:rsid w:val="00861ED1"/>
    <w:rsid w:val="00864139"/>
    <w:rsid w:val="0088208E"/>
    <w:rsid w:val="008923F8"/>
    <w:rsid w:val="0089683F"/>
    <w:rsid w:val="008A08FD"/>
    <w:rsid w:val="008C13DF"/>
    <w:rsid w:val="008E3176"/>
    <w:rsid w:val="008F0361"/>
    <w:rsid w:val="008F18ED"/>
    <w:rsid w:val="008F4A8F"/>
    <w:rsid w:val="00907256"/>
    <w:rsid w:val="00911E10"/>
    <w:rsid w:val="009138C9"/>
    <w:rsid w:val="00922EFA"/>
    <w:rsid w:val="00927209"/>
    <w:rsid w:val="009613BC"/>
    <w:rsid w:val="00964FB2"/>
    <w:rsid w:val="0098217B"/>
    <w:rsid w:val="0099191E"/>
    <w:rsid w:val="00997962"/>
    <w:rsid w:val="009B00F7"/>
    <w:rsid w:val="009D26DA"/>
    <w:rsid w:val="009F1F35"/>
    <w:rsid w:val="009F2D53"/>
    <w:rsid w:val="009F5767"/>
    <w:rsid w:val="00A11A27"/>
    <w:rsid w:val="00A21F83"/>
    <w:rsid w:val="00A30A9D"/>
    <w:rsid w:val="00A3781F"/>
    <w:rsid w:val="00A76FDF"/>
    <w:rsid w:val="00A87844"/>
    <w:rsid w:val="00AB0F0B"/>
    <w:rsid w:val="00AC1981"/>
    <w:rsid w:val="00AE6DC1"/>
    <w:rsid w:val="00AF49AF"/>
    <w:rsid w:val="00B22C7E"/>
    <w:rsid w:val="00B33578"/>
    <w:rsid w:val="00B55E63"/>
    <w:rsid w:val="00B6430E"/>
    <w:rsid w:val="00B84C3E"/>
    <w:rsid w:val="00BC0E49"/>
    <w:rsid w:val="00C10B66"/>
    <w:rsid w:val="00C22D71"/>
    <w:rsid w:val="00C54A84"/>
    <w:rsid w:val="00C612EF"/>
    <w:rsid w:val="00C63770"/>
    <w:rsid w:val="00CB63E8"/>
    <w:rsid w:val="00CB65B4"/>
    <w:rsid w:val="00CB79BD"/>
    <w:rsid w:val="00CC130A"/>
    <w:rsid w:val="00CF2011"/>
    <w:rsid w:val="00CF6248"/>
    <w:rsid w:val="00D03748"/>
    <w:rsid w:val="00D1213E"/>
    <w:rsid w:val="00D146FE"/>
    <w:rsid w:val="00D34477"/>
    <w:rsid w:val="00D37DBD"/>
    <w:rsid w:val="00D462D9"/>
    <w:rsid w:val="00D52669"/>
    <w:rsid w:val="00D53DEB"/>
    <w:rsid w:val="00D653FD"/>
    <w:rsid w:val="00D8336F"/>
    <w:rsid w:val="00D84D63"/>
    <w:rsid w:val="00D90B5F"/>
    <w:rsid w:val="00DA2065"/>
    <w:rsid w:val="00DA56C9"/>
    <w:rsid w:val="00DA5D27"/>
    <w:rsid w:val="00DB6207"/>
    <w:rsid w:val="00DB7143"/>
    <w:rsid w:val="00DE58B3"/>
    <w:rsid w:val="00E00713"/>
    <w:rsid w:val="00E31770"/>
    <w:rsid w:val="00E43DCE"/>
    <w:rsid w:val="00E65840"/>
    <w:rsid w:val="00E83615"/>
    <w:rsid w:val="00ED41CD"/>
    <w:rsid w:val="00EE5164"/>
    <w:rsid w:val="00EE56FC"/>
    <w:rsid w:val="00EF1E65"/>
    <w:rsid w:val="00F36061"/>
    <w:rsid w:val="00F745C4"/>
    <w:rsid w:val="00FB0ADF"/>
    <w:rsid w:val="00FB38FB"/>
    <w:rsid w:val="00FB7841"/>
    <w:rsid w:val="00FE1C59"/>
    <w:rsid w:val="00FE4F71"/>
    <w:rsid w:val="00FE75B2"/>
    <w:rsid w:val="00FF0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246AB"/>
  <w15:chartTrackingRefBased/>
  <w15:docId w15:val="{AECB5769-FC56-46C2-8D45-B6EF66E79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4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A84"/>
  </w:style>
  <w:style w:type="paragraph" w:styleId="Footer">
    <w:name w:val="footer"/>
    <w:basedOn w:val="Normal"/>
    <w:link w:val="FooterChar"/>
    <w:uiPriority w:val="99"/>
    <w:unhideWhenUsed/>
    <w:rsid w:val="00C54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A84"/>
  </w:style>
  <w:style w:type="paragraph" w:styleId="FootnoteText">
    <w:name w:val="footnote text"/>
    <w:basedOn w:val="Normal"/>
    <w:link w:val="FootnoteTextChar"/>
    <w:uiPriority w:val="99"/>
    <w:semiHidden/>
    <w:unhideWhenUsed/>
    <w:rsid w:val="00E007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0713"/>
    <w:rPr>
      <w:sz w:val="20"/>
      <w:szCs w:val="20"/>
    </w:rPr>
  </w:style>
  <w:style w:type="character" w:styleId="FootnoteReference">
    <w:name w:val="footnote reference"/>
    <w:basedOn w:val="DefaultParagraphFont"/>
    <w:uiPriority w:val="99"/>
    <w:semiHidden/>
    <w:unhideWhenUsed/>
    <w:rsid w:val="00E00713"/>
    <w:rPr>
      <w:vertAlign w:val="superscript"/>
    </w:rPr>
  </w:style>
  <w:style w:type="character" w:styleId="Hyperlink">
    <w:name w:val="Hyperlink"/>
    <w:basedOn w:val="DefaultParagraphFont"/>
    <w:uiPriority w:val="99"/>
    <w:unhideWhenUsed/>
    <w:rsid w:val="008F18ED"/>
    <w:rPr>
      <w:color w:val="0563C1" w:themeColor="hyperlink"/>
      <w:u w:val="single"/>
    </w:rPr>
  </w:style>
  <w:style w:type="character" w:styleId="UnresolvedMention">
    <w:name w:val="Unresolved Mention"/>
    <w:basedOn w:val="DefaultParagraphFont"/>
    <w:uiPriority w:val="99"/>
    <w:semiHidden/>
    <w:unhideWhenUsed/>
    <w:rsid w:val="008F18E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2887424.pdf" TargetMode="External"/><Relationship Id="rId3" Type="http://schemas.openxmlformats.org/officeDocument/2006/relationships/settings" Target="settings.xml"/><Relationship Id="rId7" Type="http://schemas.openxmlformats.org/officeDocument/2006/relationships/hyperlink" Target="http://Witchcraft,women'shonourandcustomarylawinearlymodernWa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stor.org/stable/pdf/33012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2E31D-02EE-44F7-890C-37FBBF97A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6</Pages>
  <Words>3517</Words>
  <Characters>20048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Roberts</dc:creator>
  <cp:keywords/>
  <dc:description/>
  <cp:lastModifiedBy>Anna Roberts</cp:lastModifiedBy>
  <cp:revision>113</cp:revision>
  <dcterms:created xsi:type="dcterms:W3CDTF">2017-12-02T16:48:00Z</dcterms:created>
  <dcterms:modified xsi:type="dcterms:W3CDTF">2017-12-05T19:47:00Z</dcterms:modified>
</cp:coreProperties>
</file>