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4FE84" w14:textId="77777777" w:rsidR="005B7E0C" w:rsidRDefault="00DC0E46" w:rsidP="00DC6AC2">
      <w:pPr>
        <w:spacing w:line="276" w:lineRule="auto"/>
        <w:jc w:val="center"/>
        <w:rPr>
          <w:b/>
          <w:bCs/>
          <w:sz w:val="28"/>
          <w:szCs w:val="28"/>
          <w:lang w:val="en-US"/>
        </w:rPr>
      </w:pPr>
      <w:r>
        <w:rPr>
          <w:lang w:val="en-US"/>
        </w:rPr>
        <w:br/>
      </w:r>
    </w:p>
    <w:p w14:paraId="29251F45" w14:textId="2926AE2F" w:rsidR="005B7E0C" w:rsidRDefault="005E7392" w:rsidP="00DC6AC2">
      <w:pPr>
        <w:spacing w:line="276" w:lineRule="auto"/>
        <w:jc w:val="center"/>
        <w:rPr>
          <w:b/>
          <w:bCs/>
          <w:lang w:val="en-US"/>
        </w:rPr>
      </w:pPr>
      <w:r w:rsidRPr="00C417A1">
        <w:rPr>
          <w:b/>
          <w:bCs/>
          <w:sz w:val="28"/>
          <w:szCs w:val="28"/>
          <w:lang w:val="en-US"/>
        </w:rPr>
        <w:t>Encyclopedia</w:t>
      </w:r>
      <w:r w:rsidR="00DC0E46" w:rsidRPr="00C417A1">
        <w:rPr>
          <w:b/>
          <w:bCs/>
          <w:sz w:val="28"/>
          <w:szCs w:val="28"/>
          <w:lang w:val="en-US"/>
        </w:rPr>
        <w:t xml:space="preserve"> article</w:t>
      </w:r>
      <w:r w:rsidR="001F71E4">
        <w:rPr>
          <w:b/>
          <w:bCs/>
          <w:sz w:val="28"/>
          <w:szCs w:val="28"/>
          <w:lang w:val="en-US"/>
        </w:rPr>
        <w:t xml:space="preserve"> on ‘Christian Privilege’</w:t>
      </w:r>
      <w:r w:rsidR="00C417A1">
        <w:rPr>
          <w:b/>
          <w:bCs/>
          <w:sz w:val="28"/>
          <w:szCs w:val="28"/>
          <w:lang w:val="en-US"/>
        </w:rPr>
        <w:br/>
      </w:r>
    </w:p>
    <w:p w14:paraId="3A909F48" w14:textId="77777777" w:rsidR="005B7E0C" w:rsidRDefault="005B7E0C" w:rsidP="00DC6AC2">
      <w:pPr>
        <w:spacing w:line="276" w:lineRule="auto"/>
        <w:jc w:val="center"/>
        <w:rPr>
          <w:b/>
          <w:bCs/>
          <w:lang w:val="en-US"/>
        </w:rPr>
      </w:pPr>
    </w:p>
    <w:p w14:paraId="2A3DD003" w14:textId="77777777" w:rsidR="00C81DD0" w:rsidRPr="00E756D9" w:rsidRDefault="00C81DD0" w:rsidP="00C81DD0">
      <w:pPr>
        <w:pStyle w:val="Body"/>
        <w:jc w:val="center"/>
        <w:rPr>
          <w:lang w:val="en-GB"/>
        </w:rPr>
      </w:pPr>
    </w:p>
    <w:p w14:paraId="2061DA29" w14:textId="77777777" w:rsidR="00C81DD0" w:rsidRPr="00E756D9" w:rsidRDefault="00C81DD0" w:rsidP="00C81DD0">
      <w:pPr>
        <w:pStyle w:val="Body"/>
        <w:jc w:val="center"/>
        <w:rPr>
          <w:lang w:val="en-GB"/>
        </w:rPr>
      </w:pPr>
      <w:r>
        <w:rPr>
          <w:lang w:val="en-US"/>
        </w:rPr>
        <w:t>University of Wales Trinity Saint David</w:t>
      </w:r>
    </w:p>
    <w:p w14:paraId="64FB0CEA" w14:textId="77777777" w:rsidR="00C81DD0" w:rsidRPr="00E756D9" w:rsidRDefault="00C81DD0" w:rsidP="00C81DD0">
      <w:pPr>
        <w:pStyle w:val="Body"/>
        <w:jc w:val="center"/>
        <w:rPr>
          <w:lang w:val="en-GB"/>
        </w:rPr>
      </w:pPr>
      <w:r>
        <w:rPr>
          <w:noProof/>
        </w:rPr>
        <w:drawing>
          <wp:anchor distT="57150" distB="57150" distL="57150" distR="57150" simplePos="0" relativeHeight="251659264" behindDoc="0" locked="0" layoutInCell="1" allowOverlap="1" wp14:anchorId="190CD73F" wp14:editId="1CAA3F11">
            <wp:simplePos x="0" y="0"/>
            <wp:positionH relativeFrom="page">
              <wp:posOffset>2710496</wp:posOffset>
            </wp:positionH>
            <wp:positionV relativeFrom="line">
              <wp:posOffset>3175</wp:posOffset>
            </wp:positionV>
            <wp:extent cx="2139315" cy="840740"/>
            <wp:effectExtent l="0" t="0" r="0" b="0"/>
            <wp:wrapSquare wrapText="bothSides" distT="57150" distB="57150" distL="57150" distR="57150"/>
            <wp:docPr id="1073741825" name="officeArt object"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Image result for university of wales trinity saint david" descr="Image result for university of wales trinity saint david"/>
                    <pic:cNvPicPr>
                      <a:picLocks noChangeAspect="1"/>
                    </pic:cNvPicPr>
                  </pic:nvPicPr>
                  <pic:blipFill>
                    <a:blip r:embed="rId7">
                      <a:extLst/>
                    </a:blip>
                    <a:stretch>
                      <a:fillRect/>
                    </a:stretch>
                  </pic:blipFill>
                  <pic:spPr>
                    <a:xfrm>
                      <a:off x="0" y="0"/>
                      <a:ext cx="2139315" cy="840740"/>
                    </a:xfrm>
                    <a:prstGeom prst="rect">
                      <a:avLst/>
                    </a:prstGeom>
                    <a:ln w="12700" cap="flat">
                      <a:noFill/>
                      <a:miter lim="400000"/>
                    </a:ln>
                    <a:effectLst/>
                  </pic:spPr>
                </pic:pic>
              </a:graphicData>
            </a:graphic>
          </wp:anchor>
        </w:drawing>
      </w:r>
    </w:p>
    <w:p w14:paraId="0E2B6BCA" w14:textId="77777777" w:rsidR="00C81DD0" w:rsidRPr="00E756D9" w:rsidRDefault="00C81DD0" w:rsidP="00C81DD0">
      <w:pPr>
        <w:pStyle w:val="Body"/>
        <w:jc w:val="center"/>
        <w:rPr>
          <w:lang w:val="en-GB"/>
        </w:rPr>
      </w:pPr>
    </w:p>
    <w:p w14:paraId="32D2E4BF" w14:textId="77777777" w:rsidR="00C81DD0" w:rsidRPr="00E756D9" w:rsidRDefault="00C81DD0" w:rsidP="00C81DD0">
      <w:pPr>
        <w:pStyle w:val="Body"/>
        <w:jc w:val="center"/>
        <w:rPr>
          <w:lang w:val="en-GB"/>
        </w:rPr>
      </w:pPr>
    </w:p>
    <w:p w14:paraId="5F9E4E59" w14:textId="77777777" w:rsidR="00C81DD0" w:rsidRPr="00E756D9" w:rsidRDefault="00C81DD0" w:rsidP="00C81DD0">
      <w:pPr>
        <w:pStyle w:val="Body"/>
        <w:jc w:val="center"/>
        <w:rPr>
          <w:lang w:val="en-GB"/>
        </w:rPr>
      </w:pPr>
    </w:p>
    <w:p w14:paraId="573099CD" w14:textId="77777777" w:rsidR="00C81DD0" w:rsidRPr="00E756D9" w:rsidRDefault="00C81DD0" w:rsidP="00C81DD0">
      <w:pPr>
        <w:pStyle w:val="Body"/>
        <w:jc w:val="center"/>
        <w:rPr>
          <w:lang w:val="en-GB"/>
        </w:rPr>
      </w:pPr>
    </w:p>
    <w:p w14:paraId="7E8935C5" w14:textId="3E6D1726" w:rsidR="00C81DD0" w:rsidRPr="00E756D9" w:rsidRDefault="00C81DD0" w:rsidP="00C81DD0">
      <w:pPr>
        <w:pStyle w:val="Body"/>
        <w:jc w:val="center"/>
        <w:rPr>
          <w:lang w:val="en-GB"/>
        </w:rPr>
      </w:pPr>
      <w:r>
        <w:rPr>
          <w:lang w:val="en-GB"/>
        </w:rPr>
        <w:t>19</w:t>
      </w:r>
      <w:r>
        <w:rPr>
          <w:lang w:val="en-US"/>
        </w:rPr>
        <w:t xml:space="preserve"> November 2018</w:t>
      </w:r>
    </w:p>
    <w:p w14:paraId="79504FA8" w14:textId="3E40960F" w:rsidR="00C81DD0" w:rsidRPr="00C81DD0" w:rsidRDefault="00C81DD0" w:rsidP="00C81DD0">
      <w:pPr>
        <w:pStyle w:val="Body"/>
        <w:jc w:val="center"/>
        <w:rPr>
          <w:lang w:val="en-GB"/>
        </w:rPr>
      </w:pPr>
      <w:r w:rsidRPr="00E756D9">
        <w:rPr>
          <w:lang w:val="en-GB"/>
        </w:rPr>
        <w:t>Britt Bakker</w:t>
      </w:r>
      <w:r>
        <w:rPr>
          <w:lang w:val="en-GB"/>
        </w:rPr>
        <w:t xml:space="preserve"> student number: 1711457</w:t>
      </w:r>
      <w:r w:rsidRPr="00E756D9">
        <w:rPr>
          <w:lang w:val="en-GB"/>
        </w:rPr>
        <w:br/>
      </w:r>
      <w:r>
        <w:rPr>
          <w:lang w:val="en-US"/>
        </w:rPr>
        <w:t xml:space="preserve">Professional Doctorate Student in Interfaith Studies </w:t>
      </w:r>
      <w:r w:rsidRPr="00E756D9">
        <w:rPr>
          <w:lang w:val="en-GB"/>
        </w:rPr>
        <w:br/>
      </w:r>
    </w:p>
    <w:p w14:paraId="56781B7B" w14:textId="77777777" w:rsidR="005B7E0C" w:rsidRDefault="005B7E0C" w:rsidP="00DC6AC2">
      <w:pPr>
        <w:spacing w:line="276" w:lineRule="auto"/>
        <w:jc w:val="center"/>
        <w:rPr>
          <w:b/>
          <w:bCs/>
          <w:lang w:val="en-US"/>
        </w:rPr>
      </w:pPr>
    </w:p>
    <w:p w14:paraId="510DEE78" w14:textId="77777777" w:rsidR="005B7E0C" w:rsidRDefault="005B7E0C" w:rsidP="00DC6AC2">
      <w:pPr>
        <w:spacing w:line="276" w:lineRule="auto"/>
        <w:jc w:val="center"/>
        <w:rPr>
          <w:b/>
          <w:bCs/>
          <w:lang w:val="en-US"/>
        </w:rPr>
      </w:pPr>
    </w:p>
    <w:p w14:paraId="09551ED3" w14:textId="77777777" w:rsidR="005B7E0C" w:rsidRDefault="005B7E0C" w:rsidP="00DC6AC2">
      <w:pPr>
        <w:spacing w:line="276" w:lineRule="auto"/>
        <w:jc w:val="center"/>
        <w:rPr>
          <w:b/>
          <w:bCs/>
          <w:lang w:val="en-US"/>
        </w:rPr>
      </w:pPr>
    </w:p>
    <w:p w14:paraId="1CA54C67" w14:textId="77777777" w:rsidR="005B7E0C" w:rsidRDefault="005B7E0C" w:rsidP="00DC6AC2">
      <w:pPr>
        <w:spacing w:line="276" w:lineRule="auto"/>
        <w:jc w:val="center"/>
        <w:rPr>
          <w:b/>
          <w:bCs/>
          <w:lang w:val="en-US"/>
        </w:rPr>
      </w:pPr>
    </w:p>
    <w:p w14:paraId="5E24142B" w14:textId="77777777" w:rsidR="005B7E0C" w:rsidRDefault="005B7E0C" w:rsidP="00DC6AC2">
      <w:pPr>
        <w:spacing w:line="276" w:lineRule="auto"/>
        <w:jc w:val="center"/>
        <w:rPr>
          <w:b/>
          <w:bCs/>
          <w:lang w:val="en-US"/>
        </w:rPr>
      </w:pPr>
    </w:p>
    <w:p w14:paraId="2031366D" w14:textId="1B01BED4" w:rsidR="005B7E0C" w:rsidRPr="005B7E0C" w:rsidRDefault="005B7E0C" w:rsidP="00DC6AC2">
      <w:pPr>
        <w:spacing w:line="276" w:lineRule="auto"/>
        <w:jc w:val="center"/>
        <w:rPr>
          <w:b/>
          <w:bCs/>
          <w:sz w:val="20"/>
          <w:szCs w:val="20"/>
        </w:rPr>
      </w:pPr>
    </w:p>
    <w:p w14:paraId="2D029815" w14:textId="57911D48" w:rsidR="005B7E0C" w:rsidRPr="005B7E0C" w:rsidRDefault="005B7E0C" w:rsidP="00DC6AC2">
      <w:pPr>
        <w:spacing w:line="276" w:lineRule="auto"/>
        <w:jc w:val="center"/>
        <w:rPr>
          <w:b/>
          <w:bCs/>
          <w:sz w:val="20"/>
          <w:szCs w:val="20"/>
        </w:rPr>
      </w:pPr>
    </w:p>
    <w:p w14:paraId="751D2576" w14:textId="7A332157" w:rsidR="005B7E0C" w:rsidRPr="005B7E0C" w:rsidRDefault="005B7E0C" w:rsidP="00DC6AC2">
      <w:pPr>
        <w:spacing w:line="276" w:lineRule="auto"/>
        <w:jc w:val="center"/>
        <w:rPr>
          <w:b/>
          <w:bCs/>
          <w:sz w:val="20"/>
          <w:szCs w:val="20"/>
        </w:rPr>
      </w:pPr>
    </w:p>
    <w:p w14:paraId="16930204" w14:textId="77777777" w:rsidR="005B7E0C" w:rsidRPr="005B7E0C" w:rsidRDefault="005B7E0C" w:rsidP="00DC6AC2">
      <w:pPr>
        <w:spacing w:line="276" w:lineRule="auto"/>
        <w:jc w:val="center"/>
        <w:rPr>
          <w:b/>
          <w:bCs/>
          <w:sz w:val="20"/>
          <w:szCs w:val="20"/>
        </w:rPr>
      </w:pPr>
    </w:p>
    <w:p w14:paraId="36E148A8" w14:textId="7BAD2B92" w:rsidR="005B7E0C" w:rsidRPr="005B7E0C" w:rsidRDefault="005B7E0C" w:rsidP="00DC6AC2">
      <w:pPr>
        <w:spacing w:line="276" w:lineRule="auto"/>
        <w:jc w:val="center"/>
        <w:rPr>
          <w:b/>
          <w:bCs/>
          <w:sz w:val="20"/>
          <w:szCs w:val="20"/>
        </w:rPr>
      </w:pPr>
    </w:p>
    <w:p w14:paraId="3D6D7860" w14:textId="2BAFC9ED" w:rsidR="005B7E0C" w:rsidRPr="005B7E0C" w:rsidRDefault="005B7E0C" w:rsidP="00DC6AC2">
      <w:pPr>
        <w:spacing w:line="276" w:lineRule="auto"/>
        <w:jc w:val="center"/>
        <w:rPr>
          <w:b/>
          <w:bCs/>
          <w:sz w:val="20"/>
          <w:szCs w:val="20"/>
        </w:rPr>
      </w:pPr>
    </w:p>
    <w:p w14:paraId="11E254C7" w14:textId="32DB1B4E" w:rsidR="005B7E0C" w:rsidRPr="005B7E0C" w:rsidRDefault="005B7E0C" w:rsidP="00DC6AC2">
      <w:pPr>
        <w:spacing w:line="276" w:lineRule="auto"/>
        <w:jc w:val="center"/>
        <w:rPr>
          <w:b/>
          <w:bCs/>
          <w:sz w:val="20"/>
          <w:szCs w:val="20"/>
        </w:rPr>
      </w:pPr>
    </w:p>
    <w:p w14:paraId="1AB33DFB" w14:textId="695D73F6" w:rsidR="005B7E0C" w:rsidRPr="005B7E0C" w:rsidRDefault="005B7E0C" w:rsidP="00DC6AC2">
      <w:pPr>
        <w:spacing w:line="276" w:lineRule="auto"/>
        <w:jc w:val="center"/>
        <w:rPr>
          <w:b/>
          <w:bCs/>
          <w:sz w:val="20"/>
          <w:szCs w:val="20"/>
        </w:rPr>
      </w:pPr>
    </w:p>
    <w:p w14:paraId="4136A3E5" w14:textId="683A67DF" w:rsidR="005B7E0C" w:rsidRPr="005B7E0C" w:rsidRDefault="005B7E0C" w:rsidP="00DC6AC2">
      <w:pPr>
        <w:spacing w:line="276" w:lineRule="auto"/>
        <w:jc w:val="center"/>
        <w:rPr>
          <w:b/>
          <w:bCs/>
          <w:sz w:val="20"/>
          <w:szCs w:val="20"/>
        </w:rPr>
      </w:pPr>
    </w:p>
    <w:p w14:paraId="23AFD47E" w14:textId="2B77B0A1" w:rsidR="005B7E0C" w:rsidRPr="005B7E0C" w:rsidRDefault="005B7E0C" w:rsidP="00DC6AC2">
      <w:pPr>
        <w:spacing w:line="276" w:lineRule="auto"/>
        <w:jc w:val="center"/>
        <w:rPr>
          <w:b/>
          <w:bCs/>
          <w:sz w:val="20"/>
          <w:szCs w:val="20"/>
        </w:rPr>
      </w:pPr>
    </w:p>
    <w:p w14:paraId="603AFE7A" w14:textId="524178F1" w:rsidR="005B7E0C" w:rsidRPr="005B7E0C" w:rsidRDefault="005B7E0C" w:rsidP="00C81DD0">
      <w:pPr>
        <w:spacing w:line="276" w:lineRule="auto"/>
        <w:rPr>
          <w:b/>
          <w:bCs/>
          <w:sz w:val="20"/>
          <w:szCs w:val="20"/>
        </w:rPr>
      </w:pPr>
    </w:p>
    <w:p w14:paraId="34C9A199" w14:textId="36494193" w:rsidR="005B7E0C" w:rsidRPr="005B7E0C" w:rsidRDefault="005B7E0C" w:rsidP="00DC6AC2">
      <w:pPr>
        <w:spacing w:line="276" w:lineRule="auto"/>
        <w:jc w:val="center"/>
        <w:rPr>
          <w:b/>
          <w:bCs/>
          <w:sz w:val="20"/>
          <w:szCs w:val="20"/>
        </w:rPr>
      </w:pPr>
    </w:p>
    <w:sdt>
      <w:sdtPr>
        <w:rPr>
          <w:lang w:val="nl-NL"/>
        </w:rPr>
        <w:id w:val="582882124"/>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61A1E90" w14:textId="62AB5CC8" w:rsidR="005B7E0C" w:rsidRPr="005B7E0C" w:rsidRDefault="005B7E0C">
          <w:pPr>
            <w:pStyle w:val="Kopvaninhoudsopgave"/>
            <w:rPr>
              <w:lang w:val="nl-NL"/>
            </w:rPr>
          </w:pPr>
          <w:r>
            <w:rPr>
              <w:lang w:val="nl-NL"/>
            </w:rPr>
            <w:t xml:space="preserve">Content </w:t>
          </w:r>
        </w:p>
        <w:p w14:paraId="5586EDC5" w14:textId="5F2B9FC0" w:rsidR="005B7E0C" w:rsidRDefault="005B7E0C">
          <w:pPr>
            <w:pStyle w:val="Inhopg1"/>
            <w:tabs>
              <w:tab w:val="right" w:leader="dot" w:pos="9062"/>
            </w:tabs>
            <w:rPr>
              <w:noProof/>
            </w:rPr>
          </w:pPr>
          <w:r>
            <w:rPr>
              <w:b/>
              <w:bCs/>
            </w:rPr>
            <w:fldChar w:fldCharType="begin"/>
          </w:r>
          <w:r>
            <w:rPr>
              <w:b/>
              <w:bCs/>
            </w:rPr>
            <w:instrText xml:space="preserve"> TOC \o "1-3" \h \z \u </w:instrText>
          </w:r>
          <w:r>
            <w:rPr>
              <w:b/>
              <w:bCs/>
            </w:rPr>
            <w:fldChar w:fldCharType="separate"/>
          </w:r>
          <w:hyperlink w:anchor="_Toc530406021" w:history="1">
            <w:r w:rsidRPr="003C1FCF">
              <w:rPr>
                <w:rStyle w:val="Hyperlink"/>
                <w:b/>
                <w:bCs/>
                <w:noProof/>
                <w:lang w:val="en-US"/>
              </w:rPr>
              <w:t>1. Christian Privilege</w:t>
            </w:r>
            <w:r>
              <w:rPr>
                <w:noProof/>
                <w:webHidden/>
              </w:rPr>
              <w:tab/>
            </w:r>
            <w:r>
              <w:rPr>
                <w:noProof/>
                <w:webHidden/>
              </w:rPr>
              <w:fldChar w:fldCharType="begin"/>
            </w:r>
            <w:r>
              <w:rPr>
                <w:noProof/>
                <w:webHidden/>
              </w:rPr>
              <w:instrText xml:space="preserve"> PAGEREF _Toc530406021 \h </w:instrText>
            </w:r>
            <w:r>
              <w:rPr>
                <w:noProof/>
                <w:webHidden/>
              </w:rPr>
            </w:r>
            <w:r>
              <w:rPr>
                <w:noProof/>
                <w:webHidden/>
              </w:rPr>
              <w:fldChar w:fldCharType="separate"/>
            </w:r>
            <w:r>
              <w:rPr>
                <w:noProof/>
                <w:webHidden/>
              </w:rPr>
              <w:t>3</w:t>
            </w:r>
            <w:r>
              <w:rPr>
                <w:noProof/>
                <w:webHidden/>
              </w:rPr>
              <w:fldChar w:fldCharType="end"/>
            </w:r>
          </w:hyperlink>
        </w:p>
        <w:p w14:paraId="345C92EE" w14:textId="228EAAA1" w:rsidR="005B7E0C" w:rsidRDefault="005B7E0C">
          <w:pPr>
            <w:pStyle w:val="Inhopg1"/>
            <w:tabs>
              <w:tab w:val="right" w:leader="dot" w:pos="9062"/>
            </w:tabs>
            <w:rPr>
              <w:noProof/>
            </w:rPr>
          </w:pPr>
          <w:hyperlink w:anchor="_Toc530406022" w:history="1">
            <w:r w:rsidRPr="003C1FCF">
              <w:rPr>
                <w:rStyle w:val="Hyperlink"/>
                <w:b/>
                <w:bCs/>
                <w:noProof/>
                <w:lang w:val="en-US"/>
              </w:rPr>
              <w:t>2. Social Implications</w:t>
            </w:r>
            <w:r>
              <w:rPr>
                <w:noProof/>
                <w:webHidden/>
              </w:rPr>
              <w:tab/>
            </w:r>
            <w:r>
              <w:rPr>
                <w:noProof/>
                <w:webHidden/>
              </w:rPr>
              <w:fldChar w:fldCharType="begin"/>
            </w:r>
            <w:r>
              <w:rPr>
                <w:noProof/>
                <w:webHidden/>
              </w:rPr>
              <w:instrText xml:space="preserve"> PAGEREF _Toc530406022 \h </w:instrText>
            </w:r>
            <w:r>
              <w:rPr>
                <w:noProof/>
                <w:webHidden/>
              </w:rPr>
            </w:r>
            <w:r>
              <w:rPr>
                <w:noProof/>
                <w:webHidden/>
              </w:rPr>
              <w:fldChar w:fldCharType="separate"/>
            </w:r>
            <w:r>
              <w:rPr>
                <w:noProof/>
                <w:webHidden/>
              </w:rPr>
              <w:t>3</w:t>
            </w:r>
            <w:r>
              <w:rPr>
                <w:noProof/>
                <w:webHidden/>
              </w:rPr>
              <w:fldChar w:fldCharType="end"/>
            </w:r>
          </w:hyperlink>
        </w:p>
        <w:p w14:paraId="5E7D91AC" w14:textId="513322D5" w:rsidR="005B7E0C" w:rsidRDefault="005B7E0C">
          <w:pPr>
            <w:pStyle w:val="Inhopg1"/>
            <w:tabs>
              <w:tab w:val="right" w:leader="dot" w:pos="9062"/>
            </w:tabs>
            <w:rPr>
              <w:noProof/>
            </w:rPr>
          </w:pPr>
          <w:hyperlink w:anchor="_Toc530406023" w:history="1">
            <w:r w:rsidRPr="003C1FCF">
              <w:rPr>
                <w:rStyle w:val="Hyperlink"/>
                <w:b/>
                <w:bCs/>
                <w:noProof/>
                <w:lang w:val="en-US"/>
              </w:rPr>
              <w:t>3. Main Academic Works</w:t>
            </w:r>
            <w:r>
              <w:rPr>
                <w:noProof/>
                <w:webHidden/>
              </w:rPr>
              <w:tab/>
            </w:r>
            <w:r>
              <w:rPr>
                <w:noProof/>
                <w:webHidden/>
              </w:rPr>
              <w:fldChar w:fldCharType="begin"/>
            </w:r>
            <w:r>
              <w:rPr>
                <w:noProof/>
                <w:webHidden/>
              </w:rPr>
              <w:instrText xml:space="preserve"> PAGEREF _Toc530406023 \h </w:instrText>
            </w:r>
            <w:r>
              <w:rPr>
                <w:noProof/>
                <w:webHidden/>
              </w:rPr>
            </w:r>
            <w:r>
              <w:rPr>
                <w:noProof/>
                <w:webHidden/>
              </w:rPr>
              <w:fldChar w:fldCharType="separate"/>
            </w:r>
            <w:r>
              <w:rPr>
                <w:noProof/>
                <w:webHidden/>
              </w:rPr>
              <w:t>4</w:t>
            </w:r>
            <w:r>
              <w:rPr>
                <w:noProof/>
                <w:webHidden/>
              </w:rPr>
              <w:fldChar w:fldCharType="end"/>
            </w:r>
          </w:hyperlink>
        </w:p>
        <w:p w14:paraId="124A4BD4" w14:textId="65948D05" w:rsidR="005B7E0C" w:rsidRDefault="005B7E0C">
          <w:pPr>
            <w:pStyle w:val="Inhopg1"/>
            <w:tabs>
              <w:tab w:val="right" w:leader="dot" w:pos="9062"/>
            </w:tabs>
            <w:rPr>
              <w:noProof/>
            </w:rPr>
          </w:pPr>
          <w:hyperlink w:anchor="_Toc530406024" w:history="1">
            <w:r w:rsidRPr="003C1FCF">
              <w:rPr>
                <w:rStyle w:val="Hyperlink"/>
                <w:b/>
                <w:bCs/>
                <w:noProof/>
                <w:lang w:val="en-US"/>
              </w:rPr>
              <w:t>4. Education and Christian Privilege</w:t>
            </w:r>
            <w:r>
              <w:rPr>
                <w:noProof/>
                <w:webHidden/>
              </w:rPr>
              <w:tab/>
            </w:r>
            <w:r>
              <w:rPr>
                <w:noProof/>
                <w:webHidden/>
              </w:rPr>
              <w:fldChar w:fldCharType="begin"/>
            </w:r>
            <w:r>
              <w:rPr>
                <w:noProof/>
                <w:webHidden/>
              </w:rPr>
              <w:instrText xml:space="preserve"> PAGEREF _Toc530406024 \h </w:instrText>
            </w:r>
            <w:r>
              <w:rPr>
                <w:noProof/>
                <w:webHidden/>
              </w:rPr>
            </w:r>
            <w:r>
              <w:rPr>
                <w:noProof/>
                <w:webHidden/>
              </w:rPr>
              <w:fldChar w:fldCharType="separate"/>
            </w:r>
            <w:r>
              <w:rPr>
                <w:noProof/>
                <w:webHidden/>
              </w:rPr>
              <w:t>5</w:t>
            </w:r>
            <w:r>
              <w:rPr>
                <w:noProof/>
                <w:webHidden/>
              </w:rPr>
              <w:fldChar w:fldCharType="end"/>
            </w:r>
          </w:hyperlink>
        </w:p>
        <w:p w14:paraId="474BBD69" w14:textId="71A6440E" w:rsidR="005B7E0C" w:rsidRDefault="005B7E0C">
          <w:pPr>
            <w:pStyle w:val="Inhopg1"/>
            <w:tabs>
              <w:tab w:val="right" w:leader="dot" w:pos="9062"/>
            </w:tabs>
            <w:rPr>
              <w:noProof/>
            </w:rPr>
          </w:pPr>
          <w:hyperlink w:anchor="_Toc530406025" w:history="1">
            <w:r w:rsidRPr="003C1FCF">
              <w:rPr>
                <w:rStyle w:val="Hyperlink"/>
                <w:b/>
                <w:bCs/>
                <w:noProof/>
                <w:lang w:val="en-US"/>
              </w:rPr>
              <w:t>5. Christian Privilege Paradox</w:t>
            </w:r>
            <w:r>
              <w:rPr>
                <w:noProof/>
                <w:webHidden/>
              </w:rPr>
              <w:tab/>
            </w:r>
            <w:r>
              <w:rPr>
                <w:noProof/>
                <w:webHidden/>
              </w:rPr>
              <w:fldChar w:fldCharType="begin"/>
            </w:r>
            <w:r>
              <w:rPr>
                <w:noProof/>
                <w:webHidden/>
              </w:rPr>
              <w:instrText xml:space="preserve"> PAGEREF _Toc530406025 \h </w:instrText>
            </w:r>
            <w:r>
              <w:rPr>
                <w:noProof/>
                <w:webHidden/>
              </w:rPr>
            </w:r>
            <w:r>
              <w:rPr>
                <w:noProof/>
                <w:webHidden/>
              </w:rPr>
              <w:fldChar w:fldCharType="separate"/>
            </w:r>
            <w:r>
              <w:rPr>
                <w:noProof/>
                <w:webHidden/>
              </w:rPr>
              <w:t>5</w:t>
            </w:r>
            <w:r>
              <w:rPr>
                <w:noProof/>
                <w:webHidden/>
              </w:rPr>
              <w:fldChar w:fldCharType="end"/>
            </w:r>
          </w:hyperlink>
        </w:p>
        <w:p w14:paraId="3FAE443B" w14:textId="7A5FEB6D" w:rsidR="005B7E0C" w:rsidRDefault="005B7E0C">
          <w:pPr>
            <w:pStyle w:val="Inhopg1"/>
            <w:tabs>
              <w:tab w:val="right" w:leader="dot" w:pos="9062"/>
            </w:tabs>
            <w:rPr>
              <w:noProof/>
            </w:rPr>
          </w:pPr>
          <w:hyperlink w:anchor="_Toc530406026" w:history="1">
            <w:r w:rsidRPr="003C1FCF">
              <w:rPr>
                <w:rStyle w:val="Hyperlink"/>
                <w:b/>
                <w:bCs/>
                <w:noProof/>
                <w:lang w:val="en-US"/>
              </w:rPr>
              <w:t>6. Interfaith Dialogue and Christian Privilege</w:t>
            </w:r>
            <w:r>
              <w:rPr>
                <w:noProof/>
                <w:webHidden/>
              </w:rPr>
              <w:tab/>
            </w:r>
            <w:r>
              <w:rPr>
                <w:noProof/>
                <w:webHidden/>
              </w:rPr>
              <w:fldChar w:fldCharType="begin"/>
            </w:r>
            <w:r>
              <w:rPr>
                <w:noProof/>
                <w:webHidden/>
              </w:rPr>
              <w:instrText xml:space="preserve"> PAGEREF _Toc530406026 \h </w:instrText>
            </w:r>
            <w:r>
              <w:rPr>
                <w:noProof/>
                <w:webHidden/>
              </w:rPr>
            </w:r>
            <w:r>
              <w:rPr>
                <w:noProof/>
                <w:webHidden/>
              </w:rPr>
              <w:fldChar w:fldCharType="separate"/>
            </w:r>
            <w:r>
              <w:rPr>
                <w:noProof/>
                <w:webHidden/>
              </w:rPr>
              <w:t>5</w:t>
            </w:r>
            <w:r>
              <w:rPr>
                <w:noProof/>
                <w:webHidden/>
              </w:rPr>
              <w:fldChar w:fldCharType="end"/>
            </w:r>
          </w:hyperlink>
        </w:p>
        <w:p w14:paraId="631365C2" w14:textId="211248FE" w:rsidR="005B7E0C" w:rsidRDefault="005B7E0C">
          <w:r>
            <w:rPr>
              <w:b/>
              <w:bCs/>
            </w:rPr>
            <w:fldChar w:fldCharType="end"/>
          </w:r>
        </w:p>
      </w:sdtContent>
    </w:sdt>
    <w:p w14:paraId="336579D2" w14:textId="56FF49D3" w:rsidR="005B7E0C" w:rsidRPr="005B7E0C" w:rsidRDefault="005B7E0C" w:rsidP="00DC6AC2">
      <w:pPr>
        <w:spacing w:line="276" w:lineRule="auto"/>
        <w:jc w:val="center"/>
        <w:rPr>
          <w:b/>
          <w:bCs/>
          <w:sz w:val="20"/>
          <w:szCs w:val="20"/>
        </w:rPr>
      </w:pPr>
    </w:p>
    <w:p w14:paraId="1AC00A02" w14:textId="544CA6D9" w:rsidR="005B7E0C" w:rsidRPr="005B7E0C" w:rsidRDefault="005B7E0C" w:rsidP="00DC6AC2">
      <w:pPr>
        <w:spacing w:line="276" w:lineRule="auto"/>
        <w:jc w:val="center"/>
        <w:rPr>
          <w:b/>
          <w:bCs/>
          <w:sz w:val="20"/>
          <w:szCs w:val="20"/>
        </w:rPr>
      </w:pPr>
    </w:p>
    <w:p w14:paraId="1BA9AE8C" w14:textId="5799F0EC" w:rsidR="005B7E0C" w:rsidRPr="005B7E0C" w:rsidRDefault="005B7E0C" w:rsidP="00DC6AC2">
      <w:pPr>
        <w:spacing w:line="276" w:lineRule="auto"/>
        <w:jc w:val="center"/>
        <w:rPr>
          <w:b/>
          <w:bCs/>
          <w:sz w:val="20"/>
          <w:szCs w:val="20"/>
        </w:rPr>
      </w:pPr>
    </w:p>
    <w:p w14:paraId="47BC7330" w14:textId="239BD008" w:rsidR="005B7E0C" w:rsidRPr="005B7E0C" w:rsidRDefault="005B7E0C" w:rsidP="00DC6AC2">
      <w:pPr>
        <w:spacing w:line="276" w:lineRule="auto"/>
        <w:jc w:val="center"/>
        <w:rPr>
          <w:b/>
          <w:bCs/>
          <w:sz w:val="20"/>
          <w:szCs w:val="20"/>
        </w:rPr>
      </w:pPr>
    </w:p>
    <w:p w14:paraId="2B888359" w14:textId="2F23A8E7" w:rsidR="005B7E0C" w:rsidRPr="005B7E0C" w:rsidRDefault="005B7E0C" w:rsidP="00DC6AC2">
      <w:pPr>
        <w:spacing w:line="276" w:lineRule="auto"/>
        <w:jc w:val="center"/>
        <w:rPr>
          <w:b/>
          <w:bCs/>
          <w:sz w:val="20"/>
          <w:szCs w:val="20"/>
        </w:rPr>
      </w:pPr>
    </w:p>
    <w:p w14:paraId="061368E8" w14:textId="31AC4E98" w:rsidR="005B7E0C" w:rsidRPr="005B7E0C" w:rsidRDefault="005B7E0C" w:rsidP="00DC6AC2">
      <w:pPr>
        <w:spacing w:line="276" w:lineRule="auto"/>
        <w:jc w:val="center"/>
        <w:rPr>
          <w:b/>
          <w:bCs/>
          <w:sz w:val="20"/>
          <w:szCs w:val="20"/>
        </w:rPr>
      </w:pPr>
    </w:p>
    <w:p w14:paraId="3A4FED8B" w14:textId="2758BC8C" w:rsidR="005B7E0C" w:rsidRPr="005B7E0C" w:rsidRDefault="005B7E0C" w:rsidP="00DC6AC2">
      <w:pPr>
        <w:spacing w:line="276" w:lineRule="auto"/>
        <w:jc w:val="center"/>
        <w:rPr>
          <w:b/>
          <w:bCs/>
          <w:sz w:val="20"/>
          <w:szCs w:val="20"/>
        </w:rPr>
      </w:pPr>
    </w:p>
    <w:p w14:paraId="1246128A" w14:textId="2541FD25" w:rsidR="005B7E0C" w:rsidRPr="005B7E0C" w:rsidRDefault="005B7E0C" w:rsidP="00DC6AC2">
      <w:pPr>
        <w:spacing w:line="276" w:lineRule="auto"/>
        <w:jc w:val="center"/>
        <w:rPr>
          <w:b/>
          <w:bCs/>
          <w:sz w:val="20"/>
          <w:szCs w:val="20"/>
        </w:rPr>
      </w:pPr>
    </w:p>
    <w:p w14:paraId="6F993314" w14:textId="634980C6" w:rsidR="005B7E0C" w:rsidRPr="005B7E0C" w:rsidRDefault="005B7E0C" w:rsidP="00DC6AC2">
      <w:pPr>
        <w:spacing w:line="276" w:lineRule="auto"/>
        <w:jc w:val="center"/>
        <w:rPr>
          <w:b/>
          <w:bCs/>
          <w:sz w:val="20"/>
          <w:szCs w:val="20"/>
        </w:rPr>
      </w:pPr>
    </w:p>
    <w:p w14:paraId="15DE052C" w14:textId="77777777" w:rsidR="005B7E0C" w:rsidRPr="005B7E0C" w:rsidRDefault="005B7E0C" w:rsidP="00DC6AC2">
      <w:pPr>
        <w:spacing w:line="276" w:lineRule="auto"/>
        <w:jc w:val="center"/>
        <w:rPr>
          <w:b/>
          <w:bCs/>
          <w:sz w:val="20"/>
          <w:szCs w:val="20"/>
        </w:rPr>
      </w:pPr>
    </w:p>
    <w:p w14:paraId="0CA63493" w14:textId="6313586B" w:rsidR="001F21A3" w:rsidRDefault="001F21A3" w:rsidP="00DC6AC2">
      <w:pPr>
        <w:spacing w:line="276" w:lineRule="auto"/>
        <w:jc w:val="center"/>
        <w:rPr>
          <w:sz w:val="28"/>
          <w:szCs w:val="28"/>
        </w:rPr>
      </w:pPr>
    </w:p>
    <w:p w14:paraId="7833F30F" w14:textId="7C007FC1" w:rsidR="005B7E0C" w:rsidRDefault="005B7E0C" w:rsidP="00DC6AC2">
      <w:pPr>
        <w:spacing w:line="276" w:lineRule="auto"/>
        <w:jc w:val="center"/>
        <w:rPr>
          <w:sz w:val="28"/>
          <w:szCs w:val="28"/>
        </w:rPr>
      </w:pPr>
    </w:p>
    <w:p w14:paraId="3A321250" w14:textId="2DF56300" w:rsidR="005B7E0C" w:rsidRDefault="005B7E0C" w:rsidP="00DC6AC2">
      <w:pPr>
        <w:spacing w:line="276" w:lineRule="auto"/>
        <w:jc w:val="center"/>
        <w:rPr>
          <w:sz w:val="28"/>
          <w:szCs w:val="28"/>
        </w:rPr>
      </w:pPr>
    </w:p>
    <w:p w14:paraId="39E3CBF8" w14:textId="7314C22E" w:rsidR="005B7E0C" w:rsidRDefault="005B7E0C" w:rsidP="00DC6AC2">
      <w:pPr>
        <w:spacing w:line="276" w:lineRule="auto"/>
        <w:jc w:val="center"/>
        <w:rPr>
          <w:sz w:val="28"/>
          <w:szCs w:val="28"/>
        </w:rPr>
      </w:pPr>
    </w:p>
    <w:p w14:paraId="7E6A5DC9" w14:textId="519CEA9E" w:rsidR="005B7E0C" w:rsidRDefault="005B7E0C" w:rsidP="00DC6AC2">
      <w:pPr>
        <w:spacing w:line="276" w:lineRule="auto"/>
        <w:jc w:val="center"/>
        <w:rPr>
          <w:sz w:val="28"/>
          <w:szCs w:val="28"/>
        </w:rPr>
      </w:pPr>
    </w:p>
    <w:p w14:paraId="0BE1A052" w14:textId="69D012FF" w:rsidR="005B7E0C" w:rsidRDefault="005B7E0C" w:rsidP="00DC6AC2">
      <w:pPr>
        <w:spacing w:line="276" w:lineRule="auto"/>
        <w:jc w:val="center"/>
        <w:rPr>
          <w:sz w:val="28"/>
          <w:szCs w:val="28"/>
        </w:rPr>
      </w:pPr>
    </w:p>
    <w:p w14:paraId="6E75BD17" w14:textId="35E4103F" w:rsidR="005B7E0C" w:rsidRDefault="005B7E0C" w:rsidP="00DC6AC2">
      <w:pPr>
        <w:spacing w:line="276" w:lineRule="auto"/>
        <w:jc w:val="center"/>
        <w:rPr>
          <w:sz w:val="28"/>
          <w:szCs w:val="28"/>
        </w:rPr>
      </w:pPr>
    </w:p>
    <w:p w14:paraId="09500227" w14:textId="5D6F4DA9" w:rsidR="005B7E0C" w:rsidRDefault="005B7E0C" w:rsidP="00DC6AC2">
      <w:pPr>
        <w:spacing w:line="276" w:lineRule="auto"/>
        <w:jc w:val="center"/>
        <w:rPr>
          <w:sz w:val="28"/>
          <w:szCs w:val="28"/>
        </w:rPr>
      </w:pPr>
    </w:p>
    <w:p w14:paraId="12032EC7" w14:textId="1F264EBA" w:rsidR="005B7E0C" w:rsidRDefault="005B7E0C" w:rsidP="00DC6AC2">
      <w:pPr>
        <w:spacing w:line="276" w:lineRule="auto"/>
        <w:jc w:val="center"/>
        <w:rPr>
          <w:sz w:val="28"/>
          <w:szCs w:val="28"/>
        </w:rPr>
      </w:pPr>
    </w:p>
    <w:p w14:paraId="7C2CDEE6" w14:textId="77777777" w:rsidR="001E59A0" w:rsidRDefault="001E59A0" w:rsidP="00DC6AC2">
      <w:pPr>
        <w:spacing w:line="276" w:lineRule="auto"/>
        <w:rPr>
          <w:b/>
          <w:bCs/>
          <w:lang w:val="en-US"/>
        </w:rPr>
      </w:pPr>
    </w:p>
    <w:p w14:paraId="4A0FA34B" w14:textId="77777777" w:rsidR="001E59A0" w:rsidRDefault="001E59A0" w:rsidP="00DC6AC2">
      <w:pPr>
        <w:spacing w:line="276" w:lineRule="auto"/>
        <w:rPr>
          <w:b/>
          <w:bCs/>
          <w:lang w:val="en-US"/>
        </w:rPr>
      </w:pPr>
    </w:p>
    <w:p w14:paraId="0C95DEC4" w14:textId="6C8FC244" w:rsidR="001E59A0" w:rsidRDefault="001E59A0" w:rsidP="001E59A0">
      <w:pPr>
        <w:spacing w:line="276" w:lineRule="auto"/>
        <w:jc w:val="center"/>
        <w:rPr>
          <w:b/>
          <w:bCs/>
          <w:sz w:val="28"/>
          <w:szCs w:val="28"/>
          <w:lang w:val="en-US"/>
        </w:rPr>
      </w:pPr>
      <w:r w:rsidRPr="00C417A1">
        <w:rPr>
          <w:b/>
          <w:bCs/>
          <w:sz w:val="28"/>
          <w:szCs w:val="28"/>
          <w:lang w:val="en-US"/>
        </w:rPr>
        <w:lastRenderedPageBreak/>
        <w:t>Encyclopedia article</w:t>
      </w:r>
      <w:r>
        <w:rPr>
          <w:b/>
          <w:bCs/>
          <w:sz w:val="28"/>
          <w:szCs w:val="28"/>
          <w:lang w:val="en-US"/>
        </w:rPr>
        <w:t xml:space="preserve"> on ‘Christian Privilege’</w:t>
      </w:r>
    </w:p>
    <w:p w14:paraId="621CAC54" w14:textId="135D083E" w:rsidR="001E59A0" w:rsidRPr="001E59A0" w:rsidRDefault="001E59A0" w:rsidP="001E59A0">
      <w:pPr>
        <w:spacing w:line="276" w:lineRule="auto"/>
        <w:jc w:val="center"/>
        <w:rPr>
          <w:b/>
          <w:bCs/>
          <w:lang w:val="en-US"/>
        </w:rPr>
      </w:pPr>
      <w:r w:rsidRPr="001E59A0">
        <w:rPr>
          <w:b/>
          <w:bCs/>
          <w:lang w:val="en-US"/>
        </w:rPr>
        <w:t xml:space="preserve">Britt Bakker </w:t>
      </w:r>
    </w:p>
    <w:p w14:paraId="1F097F55" w14:textId="56A17F1A" w:rsidR="008D0F6B" w:rsidRPr="001F71E4" w:rsidRDefault="007C77AE" w:rsidP="00DC6AC2">
      <w:pPr>
        <w:spacing w:line="276" w:lineRule="auto"/>
        <w:rPr>
          <w:b/>
          <w:bCs/>
          <w:lang w:val="en-US"/>
        </w:rPr>
      </w:pPr>
      <w:r w:rsidRPr="001F71E4">
        <w:rPr>
          <w:b/>
          <w:bCs/>
          <w:lang w:val="en-US"/>
        </w:rPr>
        <w:t xml:space="preserve">Written for the </w:t>
      </w:r>
      <w:r w:rsidR="00826E40" w:rsidRPr="001F71E4">
        <w:rPr>
          <w:b/>
          <w:bCs/>
          <w:lang w:val="en-US"/>
        </w:rPr>
        <w:t xml:space="preserve">Hartford </w:t>
      </w:r>
      <w:r w:rsidR="00F91EE4">
        <w:rPr>
          <w:b/>
          <w:bCs/>
          <w:lang w:val="en-US"/>
        </w:rPr>
        <w:t>E</w:t>
      </w:r>
      <w:r w:rsidR="00826E40" w:rsidRPr="001F71E4">
        <w:rPr>
          <w:b/>
          <w:bCs/>
          <w:lang w:val="en-US"/>
        </w:rPr>
        <w:t>ncyclopedia</w:t>
      </w:r>
      <w:r w:rsidR="0029194A" w:rsidRPr="001F71E4">
        <w:rPr>
          <w:b/>
          <w:bCs/>
          <w:lang w:val="en-US"/>
        </w:rPr>
        <w:t xml:space="preserve"> </w:t>
      </w:r>
      <w:r w:rsidR="007E3888" w:rsidRPr="001F71E4">
        <w:rPr>
          <w:b/>
          <w:bCs/>
          <w:lang w:val="en-US"/>
        </w:rPr>
        <w:t xml:space="preserve">of Religion and Society </w:t>
      </w:r>
      <w:r w:rsidR="007E3888" w:rsidRPr="001F71E4">
        <w:rPr>
          <w:b/>
          <w:bCs/>
          <w:lang w:val="en-US"/>
        </w:rPr>
        <w:br/>
      </w:r>
      <w:hyperlink r:id="rId8" w:history="1">
        <w:r w:rsidR="007E3888" w:rsidRPr="001F71E4">
          <w:rPr>
            <w:rStyle w:val="Hyperlink"/>
            <w:b/>
            <w:bCs/>
            <w:lang w:val="en-US"/>
          </w:rPr>
          <w:t>http://hirr.hartsem.edu/ency/</w:t>
        </w:r>
      </w:hyperlink>
      <w:r w:rsidR="007E3888" w:rsidRPr="001F71E4">
        <w:rPr>
          <w:b/>
          <w:bCs/>
          <w:lang w:val="en-US"/>
        </w:rPr>
        <w:t xml:space="preserve"> </w:t>
      </w:r>
      <w:r w:rsidR="00826E40" w:rsidRPr="001F71E4">
        <w:rPr>
          <w:b/>
          <w:bCs/>
          <w:lang w:val="en-US"/>
        </w:rPr>
        <w:br/>
      </w:r>
    </w:p>
    <w:p w14:paraId="38ED3583" w14:textId="4FE77AC6" w:rsidR="00772575" w:rsidRPr="00772575" w:rsidRDefault="00772575" w:rsidP="005B7E0C">
      <w:pPr>
        <w:pStyle w:val="Kop1"/>
        <w:rPr>
          <w:b/>
          <w:bCs/>
          <w:lang w:val="en-US"/>
        </w:rPr>
      </w:pPr>
      <w:bookmarkStart w:id="0" w:name="_Toc530406021"/>
      <w:r>
        <w:rPr>
          <w:b/>
          <w:bCs/>
          <w:lang w:val="en-US"/>
        </w:rPr>
        <w:t xml:space="preserve">1. </w:t>
      </w:r>
      <w:r w:rsidRPr="00772575">
        <w:rPr>
          <w:b/>
          <w:bCs/>
          <w:lang w:val="en-US"/>
        </w:rPr>
        <w:t xml:space="preserve">Christian </w:t>
      </w:r>
      <w:r>
        <w:rPr>
          <w:b/>
          <w:bCs/>
          <w:lang w:val="en-US"/>
        </w:rPr>
        <w:t>P</w:t>
      </w:r>
      <w:r w:rsidRPr="00772575">
        <w:rPr>
          <w:b/>
          <w:bCs/>
          <w:lang w:val="en-US"/>
        </w:rPr>
        <w:t>rivilege</w:t>
      </w:r>
      <w:bookmarkEnd w:id="0"/>
      <w:r w:rsidRPr="00772575">
        <w:rPr>
          <w:b/>
          <w:bCs/>
          <w:lang w:val="en-US"/>
        </w:rPr>
        <w:t xml:space="preserve"> </w:t>
      </w:r>
    </w:p>
    <w:p w14:paraId="7F2ABD66" w14:textId="77777777" w:rsidR="00772575" w:rsidRPr="00772575" w:rsidRDefault="00772575" w:rsidP="00772575">
      <w:pPr>
        <w:spacing w:line="276" w:lineRule="auto"/>
        <w:jc w:val="both"/>
        <w:rPr>
          <w:lang w:val="en-US"/>
        </w:rPr>
      </w:pPr>
      <w:r w:rsidRPr="00772575">
        <w:rPr>
          <w:lang w:val="en-US"/>
        </w:rPr>
        <w:t xml:space="preserve">Christian privileges are the unearned, unnoticed benefits enjoyed by Christians, merely for the fact that they identify themselves and are perceived by others as Christians. These benefits occur mainly in western countries where Christianity is the state or majority religion. In most cases, they remain unrecognized by Christians themselves (Blumenfeld, 2012). The effects of Christian privilege works in two ways; it sustains the dominance of Christians and simultaneously sustains the subordination of people from others faiths and those who do not adhere to a faith (Larson &amp; Shady, 2012).  </w:t>
      </w:r>
    </w:p>
    <w:p w14:paraId="25B0F7F4" w14:textId="77777777" w:rsidR="00772575" w:rsidRPr="00772575" w:rsidRDefault="00772575" w:rsidP="00772575">
      <w:pPr>
        <w:spacing w:line="276" w:lineRule="auto"/>
        <w:jc w:val="both"/>
        <w:rPr>
          <w:lang w:val="en-US"/>
        </w:rPr>
      </w:pPr>
      <w:r w:rsidRPr="00772575">
        <w:rPr>
          <w:lang w:val="en-US"/>
        </w:rPr>
        <w:t xml:space="preserve">Christian privileges are mainly, but not exclusively, enjoyed by mainstream Christian denominations such as the Catholic and Protestant Churches. Minority denominations, such as The Church of Jesus of  Latter-Day Saints, or the Seventh Day Adventists, are less likely to enjoy privileges based on their faith conviction because they are not perceived by the general public as belonging to the Christian community, but rather as separate cults. Examples of Christian privileges enjoyed by Christians as individuals are; being able to disclose your religious identity without fear of judgement or prejudges; not being asked to personally represent your faith tradition; being sure that when God is mentioned on the radio or mainstream tv, that they are talking about your faith; being able to remain unacquainted with the language or custom of other faith traditions without facing any form of penalty for such a lack in interest (Schlosser, 2003). </w:t>
      </w:r>
    </w:p>
    <w:p w14:paraId="112515E6" w14:textId="77777777" w:rsidR="00772575" w:rsidRPr="00772575" w:rsidRDefault="00772575" w:rsidP="00772575">
      <w:pPr>
        <w:spacing w:line="276" w:lineRule="auto"/>
        <w:jc w:val="both"/>
        <w:rPr>
          <w:lang w:val="en-US"/>
        </w:rPr>
      </w:pPr>
      <w:r w:rsidRPr="00772575">
        <w:rPr>
          <w:lang w:val="en-US"/>
        </w:rPr>
        <w:t>Closely connected concepts to Christian privilege are white privilege and male privilege, in other words, the unearned privileges a person receives on the basis of their white skin or male gender. The same processes underly these privileges as in the case of Christian privilege. It is argued that these exist due to a ‘non-conscious ideology’. Here, the analogy of a fish in the water is used by multiple scholars; a fish only knows it’s environment to be wet, it never has to think about any other possibilities and is therefore unconscious of other experiences. The same occurs with white, Christian or male individuals; they hardly ever find themselves in positions where they have to view society from the perspective of a minority group (Schlosser, 2003).</w:t>
      </w:r>
    </w:p>
    <w:p w14:paraId="56C5CC41" w14:textId="57AC48E8" w:rsidR="00772575" w:rsidRPr="00772575" w:rsidRDefault="00772575" w:rsidP="005B7E0C">
      <w:pPr>
        <w:pStyle w:val="Kop1"/>
        <w:rPr>
          <w:b/>
          <w:bCs/>
          <w:lang w:val="en-US"/>
        </w:rPr>
      </w:pPr>
      <w:bookmarkStart w:id="1" w:name="_Toc530406022"/>
      <w:r>
        <w:rPr>
          <w:b/>
          <w:bCs/>
          <w:lang w:val="en-US"/>
        </w:rPr>
        <w:t xml:space="preserve">2. </w:t>
      </w:r>
      <w:r w:rsidRPr="00772575">
        <w:rPr>
          <w:b/>
          <w:bCs/>
          <w:lang w:val="en-US"/>
        </w:rPr>
        <w:t xml:space="preserve">Social </w:t>
      </w:r>
      <w:r>
        <w:rPr>
          <w:b/>
          <w:bCs/>
          <w:lang w:val="en-US"/>
        </w:rPr>
        <w:t>I</w:t>
      </w:r>
      <w:r w:rsidRPr="00772575">
        <w:rPr>
          <w:b/>
          <w:bCs/>
          <w:lang w:val="en-US"/>
        </w:rPr>
        <w:t>mplications</w:t>
      </w:r>
      <w:bookmarkEnd w:id="1"/>
    </w:p>
    <w:p w14:paraId="7D39C030" w14:textId="77777777" w:rsidR="00772575" w:rsidRPr="00772575" w:rsidRDefault="00772575" w:rsidP="00772575">
      <w:pPr>
        <w:spacing w:line="276" w:lineRule="auto"/>
        <w:jc w:val="both"/>
        <w:rPr>
          <w:lang w:val="en-US"/>
        </w:rPr>
      </w:pPr>
      <w:r w:rsidRPr="00772575">
        <w:rPr>
          <w:lang w:val="en-US"/>
        </w:rPr>
        <w:t xml:space="preserve">Christian privilege, next to being embedded into the identity of Christian individuals, can be interwoven into the structure of social institutions such as the government and schools. Consequently, this embodiment carefully sustains a structure of systematics inequity (Blumenfeld, 2012). One of the consequences of the institutionalization is that some refer to, for instance, America as a Christian nation and reason that it is therefore normal that American Christians are entitled to such benefits. This ‘normalizing’ effect consequently marginalizes people of other or no faiths (Schlosser, 2003; Fairchild, 2009). A famous example clearly demonstrating Christian privilege in the political arena occurred when in 2002, Vice President Albert Gore’s selected Orthodox Jewish Joseph Lieberman as his running mate. The public </w:t>
      </w:r>
      <w:proofErr w:type="spellStart"/>
      <w:r w:rsidRPr="00772575">
        <w:rPr>
          <w:lang w:val="en-US"/>
        </w:rPr>
        <w:t>criticised</w:t>
      </w:r>
      <w:proofErr w:type="spellEnd"/>
      <w:r w:rsidRPr="00772575">
        <w:rPr>
          <w:lang w:val="en-US"/>
        </w:rPr>
        <w:t xml:space="preserve"> this choice on the basis of antisemitic grounds (Schlosser, 2003). </w:t>
      </w:r>
      <w:r w:rsidRPr="00772575">
        <w:rPr>
          <w:lang w:val="en-US"/>
        </w:rPr>
        <w:lastRenderedPageBreak/>
        <w:t xml:space="preserve">A few years later the same happened during the election of Keith Ellison to Congress in 2008. When he took office he publicly self-identified as a Muslim. By doing so, he received a massive amount of criticism from the public, questioning whether his religious conviction would not influence his work; the question whether Christian politicians are influenced by their religious conviction is often left unasked, or even socially excepted since all who take the oath of office, use the Bible (Larson &amp; Shady, 2012). When Christian privileges are intentionally put forward as ‘normal’, this is referred to as Christian hegemony. Unlike Christian privileges, which can be unintentional, Christian hegemony specifically implies they intend to let Christian values prevail, and therewith purposefully limits the needs of other ethnic or religious groups (Blumenfeld, 2012). </w:t>
      </w:r>
    </w:p>
    <w:p w14:paraId="2B8EE4D4" w14:textId="77777777" w:rsidR="00772575" w:rsidRPr="00772575" w:rsidRDefault="00772575" w:rsidP="00772575">
      <w:pPr>
        <w:spacing w:line="276" w:lineRule="auto"/>
        <w:jc w:val="both"/>
        <w:rPr>
          <w:b/>
          <w:bCs/>
          <w:lang w:val="en-US"/>
        </w:rPr>
      </w:pPr>
      <w:r w:rsidRPr="00772575">
        <w:rPr>
          <w:lang w:val="en-US"/>
        </w:rPr>
        <w:t xml:space="preserve">Other institutionalized examples of Christian privilege from America are, for instance, the multitude of Christian places of worship; Christians can often choose which Church they want to join based on preferred doctrine, community engagements and even music style. This in sharp contrast with people from others faiths who oftentimes have to travel miles to visit a place of worship (Larson and Shady, 2012). Another example is the time scheduling of holidays and vacations; where it is arranged institutionally, that Christian holidays are free days, while people of other faiths often have to go through great efforts to arrange free time during their religious prayers or festivities (Blumenfeld, 2006). </w:t>
      </w:r>
    </w:p>
    <w:p w14:paraId="23ED685E" w14:textId="36EDE6B2" w:rsidR="00772575" w:rsidRPr="00772575" w:rsidRDefault="00772575" w:rsidP="005B7E0C">
      <w:pPr>
        <w:pStyle w:val="Kop1"/>
        <w:rPr>
          <w:b/>
          <w:bCs/>
          <w:lang w:val="en-US"/>
        </w:rPr>
      </w:pPr>
      <w:bookmarkStart w:id="2" w:name="_Toc530406023"/>
      <w:r>
        <w:rPr>
          <w:b/>
          <w:bCs/>
          <w:lang w:val="en-US"/>
        </w:rPr>
        <w:t xml:space="preserve">3. </w:t>
      </w:r>
      <w:r w:rsidRPr="00772575">
        <w:rPr>
          <w:b/>
          <w:bCs/>
          <w:lang w:val="en-US"/>
        </w:rPr>
        <w:t xml:space="preserve">Main Academic </w:t>
      </w:r>
      <w:r>
        <w:rPr>
          <w:b/>
          <w:bCs/>
          <w:lang w:val="en-US"/>
        </w:rPr>
        <w:t>W</w:t>
      </w:r>
      <w:r w:rsidRPr="00772575">
        <w:rPr>
          <w:b/>
          <w:bCs/>
          <w:lang w:val="en-US"/>
        </w:rPr>
        <w:t>orks</w:t>
      </w:r>
      <w:bookmarkEnd w:id="2"/>
      <w:r w:rsidRPr="00772575">
        <w:rPr>
          <w:b/>
          <w:bCs/>
          <w:lang w:val="en-US"/>
        </w:rPr>
        <w:t xml:space="preserve"> </w:t>
      </w:r>
    </w:p>
    <w:p w14:paraId="65C99F56" w14:textId="77777777" w:rsidR="00772575" w:rsidRPr="00772575" w:rsidRDefault="00772575" w:rsidP="00772575">
      <w:pPr>
        <w:spacing w:line="276" w:lineRule="auto"/>
        <w:jc w:val="both"/>
        <w:rPr>
          <w:lang w:val="en-US"/>
        </w:rPr>
      </w:pPr>
      <w:r w:rsidRPr="00772575">
        <w:rPr>
          <w:lang w:val="en-US"/>
        </w:rPr>
        <w:t xml:space="preserve">The study of Christian privilege developed out of the study of white privilege. The latter is a more matured field of study in comparison to the study of Christian privileges, which developed mainly in the past two decades. Peggy McIntosh’s essay on white privilege was one of the first works which laid the groundwork to further explore Christian privilege. In her essay ‘White Privilege; unpacking the invisible knapsack’ (1988), McIntosh explained the sociopolitical issues which arise when one is confronted with their personal privileges. Most recent studies on Christian privilege refer to her work and perceive it as the starting point of Christian privilege as a topic in the academic world (Larson &amp; Shady, 2012; Watt, 2007; Fairchild, 2009; Nelson, 2010; </w:t>
      </w:r>
      <w:proofErr w:type="spellStart"/>
      <w:r w:rsidRPr="00772575">
        <w:rPr>
          <w:lang w:val="en-US"/>
        </w:rPr>
        <w:t>Riswold</w:t>
      </w:r>
      <w:proofErr w:type="spellEnd"/>
      <w:r w:rsidRPr="00772575">
        <w:rPr>
          <w:lang w:val="en-US"/>
        </w:rPr>
        <w:t xml:space="preserve">, 2015; Seifert, 2007; Blumenfeld, 2006). With a few exceptions, they are carried out by female scholars (Larson &amp; Shady, 2012; Watt, 2007; Fairchild, 2009; </w:t>
      </w:r>
      <w:proofErr w:type="spellStart"/>
      <w:r w:rsidRPr="00772575">
        <w:rPr>
          <w:lang w:val="en-US"/>
        </w:rPr>
        <w:t>Riswold</w:t>
      </w:r>
      <w:proofErr w:type="spellEnd"/>
      <w:r w:rsidRPr="00772575">
        <w:rPr>
          <w:lang w:val="en-US"/>
        </w:rPr>
        <w:t xml:space="preserve">, 2015; Seifert, 2007; Fried, 2007). Another often cited work in relation to Christian privilege is that of Sherry Watt (2007) who is the inventor of the Privilege Identity Exploration (PIE) model. This model identifies eight reactions people demonstrate when they are asked to reflect on their social status position in society. Although the model does not address Christian privilege, it does reflect on similar privileges and paved the way for further research into this topic. The study of Christian privilege is, in addition to being closely linked to the study of white privilege, linked to the study of ‘the other’, as was already developed through the work of Edward Said (Said, 1985). This link involves the study of perception and understanding </w:t>
      </w:r>
      <w:proofErr w:type="spellStart"/>
      <w:r w:rsidRPr="00772575">
        <w:rPr>
          <w:lang w:val="en-US"/>
        </w:rPr>
        <w:t>behaviours</w:t>
      </w:r>
      <w:proofErr w:type="spellEnd"/>
      <w:r w:rsidRPr="00772575">
        <w:rPr>
          <w:lang w:val="en-US"/>
        </w:rPr>
        <w:t xml:space="preserve"> and attitudes from the viewpoint of those ‘other’ than you. In the case of Christian privilege, this involves the study of understanding what it means to be Christian, and moreover, what it means not to be Christian in a society with a Christian majority (Blumenfeld, 2006). </w:t>
      </w:r>
    </w:p>
    <w:p w14:paraId="02F28122" w14:textId="69F13BF4" w:rsidR="00772575" w:rsidRPr="00772575" w:rsidRDefault="00772575" w:rsidP="005B7E0C">
      <w:pPr>
        <w:pStyle w:val="Kop1"/>
        <w:rPr>
          <w:b/>
          <w:bCs/>
          <w:lang w:val="en-US"/>
        </w:rPr>
      </w:pPr>
      <w:bookmarkStart w:id="3" w:name="_Toc530406024"/>
      <w:r>
        <w:rPr>
          <w:b/>
          <w:bCs/>
          <w:lang w:val="en-US"/>
        </w:rPr>
        <w:t xml:space="preserve">4. </w:t>
      </w:r>
      <w:r w:rsidRPr="00772575">
        <w:rPr>
          <w:b/>
          <w:bCs/>
          <w:lang w:val="en-US"/>
        </w:rPr>
        <w:t xml:space="preserve">Education and Christian </w:t>
      </w:r>
      <w:r>
        <w:rPr>
          <w:b/>
          <w:bCs/>
          <w:lang w:val="en-US"/>
        </w:rPr>
        <w:t>P</w:t>
      </w:r>
      <w:r w:rsidRPr="00772575">
        <w:rPr>
          <w:b/>
          <w:bCs/>
          <w:lang w:val="en-US"/>
        </w:rPr>
        <w:t>rivilege</w:t>
      </w:r>
      <w:bookmarkEnd w:id="3"/>
    </w:p>
    <w:p w14:paraId="2C50B57E" w14:textId="77777777" w:rsidR="00772575" w:rsidRPr="00772575" w:rsidRDefault="00772575" w:rsidP="00772575">
      <w:pPr>
        <w:spacing w:line="276" w:lineRule="auto"/>
        <w:jc w:val="both"/>
        <w:rPr>
          <w:lang w:val="en-US"/>
        </w:rPr>
      </w:pPr>
      <w:r w:rsidRPr="00772575">
        <w:rPr>
          <w:lang w:val="en-US"/>
        </w:rPr>
        <w:t xml:space="preserve">Most contemporary studies conducted on this topic are positioned within the study of the American academic/school context (Blumenfeld, 2006, 2012; Watt, 2007; Moran, Lang &amp; Oliver, 2007; </w:t>
      </w:r>
      <w:proofErr w:type="spellStart"/>
      <w:r w:rsidRPr="00772575">
        <w:rPr>
          <w:lang w:val="en-US"/>
        </w:rPr>
        <w:t>Riswold</w:t>
      </w:r>
      <w:proofErr w:type="spellEnd"/>
      <w:r w:rsidRPr="00772575">
        <w:rPr>
          <w:lang w:val="en-US"/>
        </w:rPr>
        <w:t xml:space="preserve">, 2015; Fried, 2007; Clark &amp; Brimhall-Vargas, 2003; Seifert, 2007). The specific issues which these articles </w:t>
      </w:r>
      <w:r w:rsidRPr="00772575">
        <w:rPr>
          <w:lang w:val="en-US"/>
        </w:rPr>
        <w:lastRenderedPageBreak/>
        <w:t>discuss range from; the promotion of Christian privilege in public schools in the US (Blumenfeld, 2006), to how teachers can respond to the issues brought forward by institutional Christian privilege (</w:t>
      </w:r>
      <w:proofErr w:type="spellStart"/>
      <w:r w:rsidRPr="00772575">
        <w:rPr>
          <w:lang w:val="en-US"/>
        </w:rPr>
        <w:t>Riswold</w:t>
      </w:r>
      <w:proofErr w:type="spellEnd"/>
      <w:r w:rsidRPr="00772575">
        <w:rPr>
          <w:lang w:val="en-US"/>
        </w:rPr>
        <w:t xml:space="preserve">, 2015). Seifert (2007) explains how Christian privilege can be a hinder for American schools which increasingly invest in creating holistic student learning and spiritual development. Due to Christian privilege, Christian students might not be able to critically examine their position in academia. It also hinders non-Christian students to express their spirituals identities. It is clear that all these scholars operate in the same western context, mainly in the US, and focus in particular on overcoming the negative effects of Christian privilege in the classroom. </w:t>
      </w:r>
    </w:p>
    <w:p w14:paraId="2F4F68D6" w14:textId="0EF38051" w:rsidR="00772575" w:rsidRPr="00772575" w:rsidRDefault="00772575" w:rsidP="005B7E0C">
      <w:pPr>
        <w:pStyle w:val="Kop1"/>
        <w:rPr>
          <w:b/>
          <w:bCs/>
          <w:lang w:val="en-US"/>
        </w:rPr>
      </w:pPr>
      <w:bookmarkStart w:id="4" w:name="_Toc530406025"/>
      <w:r>
        <w:rPr>
          <w:b/>
          <w:bCs/>
          <w:lang w:val="en-US"/>
        </w:rPr>
        <w:t xml:space="preserve">5. </w:t>
      </w:r>
      <w:r w:rsidRPr="00772575">
        <w:rPr>
          <w:b/>
          <w:bCs/>
          <w:lang w:val="en-US"/>
        </w:rPr>
        <w:t>Christian Privilege Paradox</w:t>
      </w:r>
      <w:bookmarkEnd w:id="4"/>
    </w:p>
    <w:p w14:paraId="14759DDB" w14:textId="77777777" w:rsidR="00772575" w:rsidRPr="00772575" w:rsidRDefault="00772575" w:rsidP="00772575">
      <w:pPr>
        <w:spacing w:line="276" w:lineRule="auto"/>
        <w:jc w:val="both"/>
        <w:rPr>
          <w:lang w:val="en-US"/>
        </w:rPr>
      </w:pPr>
      <w:r w:rsidRPr="00772575">
        <w:rPr>
          <w:lang w:val="en-US"/>
        </w:rPr>
        <w:t xml:space="preserve">In their work, Marion Larson and Sara Shady (2012) touch upon the paradox of Christian privilege. This paradox involves the unreceptiveness of American Christians to acknowledge their privileges because they themselves feel underprivileged in relation secular individuals and institutions. A large majority of Evangelical Christians in the united states feels they are being attacked by secular values, which undermine and ridicule their faith convictions. The very fact that Christian privilege is discussed in a public, academic or political setting is received by Christians as an attack in itself, by criticizing Christianity. Through this experience, some American Christians thus dismiss Christian privilege altogether and oppositely claim that they themselves are in the marginalized position and that secular individuals and institutions hold social, political and economic privileges. The feeling of oppression due to identifying as Christian is also felt among university students. Moran, Land &amp; Oliver (2007) found that Christian students feel that the academic environment takes their spirituality less serious, in opposition to the appreciated scientific and empirical nature of the academic setting they operate in. Again, the paradox becomes clear in the sense that Christian students fail to acknowledge their Christian privilege because they sense an attack from the secular segments in society and consequently claim victimhood. </w:t>
      </w:r>
    </w:p>
    <w:p w14:paraId="7F35924D" w14:textId="37C5FB64" w:rsidR="00772575" w:rsidRPr="00772575" w:rsidRDefault="00772575" w:rsidP="005B7E0C">
      <w:pPr>
        <w:pStyle w:val="Kop1"/>
        <w:rPr>
          <w:b/>
          <w:bCs/>
          <w:lang w:val="en-US"/>
        </w:rPr>
      </w:pPr>
      <w:bookmarkStart w:id="5" w:name="_Toc530406026"/>
      <w:r>
        <w:rPr>
          <w:b/>
          <w:bCs/>
          <w:lang w:val="en-US"/>
        </w:rPr>
        <w:t xml:space="preserve">6. </w:t>
      </w:r>
      <w:r w:rsidRPr="00772575">
        <w:rPr>
          <w:b/>
          <w:bCs/>
          <w:lang w:val="en-US"/>
        </w:rPr>
        <w:t xml:space="preserve">Interfaith </w:t>
      </w:r>
      <w:r w:rsidR="00301AB3">
        <w:rPr>
          <w:b/>
          <w:bCs/>
          <w:lang w:val="en-US"/>
        </w:rPr>
        <w:t>D</w:t>
      </w:r>
      <w:r w:rsidRPr="00772575">
        <w:rPr>
          <w:b/>
          <w:bCs/>
          <w:lang w:val="en-US"/>
        </w:rPr>
        <w:t xml:space="preserve">ialogue and Christian </w:t>
      </w:r>
      <w:r w:rsidR="00301AB3">
        <w:rPr>
          <w:b/>
          <w:bCs/>
          <w:lang w:val="en-US"/>
        </w:rPr>
        <w:t>P</w:t>
      </w:r>
      <w:r w:rsidRPr="00772575">
        <w:rPr>
          <w:b/>
          <w:bCs/>
          <w:lang w:val="en-US"/>
        </w:rPr>
        <w:t>rivilege</w:t>
      </w:r>
      <w:bookmarkEnd w:id="5"/>
    </w:p>
    <w:p w14:paraId="582D5C19" w14:textId="4B40F927" w:rsidR="008D0C13" w:rsidRDefault="00772575" w:rsidP="00772575">
      <w:pPr>
        <w:spacing w:line="276" w:lineRule="auto"/>
        <w:jc w:val="both"/>
        <w:rPr>
          <w:lang w:val="en-US"/>
        </w:rPr>
      </w:pPr>
      <w:r w:rsidRPr="00772575">
        <w:rPr>
          <w:lang w:val="en-US"/>
        </w:rPr>
        <w:t>One of the few works devoted to understanding the relation between interfaith dialogue and Christian privilege is that of Marion Larson and Sara Shady (2012). They explored how the practice of interfaith dialogue with students in a university setting makes students aware of their (hidden) privileges and marginalization. Larson and Shady call this a sense of Christian student’s ‘social ambiguity status’. Similar findings are reported in Fairchild’s work, demonstrating the effects of interfaith dialogue on Christian students; they start recognizing their privilege, and, while in conversation with others, what it means if you don’t have that privilege (Fairchild, 2010). Research shows that the process of becoming aware of Christian privilege is much more impactful by face to face meetings than studying texts, listening to guest speakers or watching films on the subject. Through these real-life experiences, Christian students become aware of the many factors which influence one's social status, and they become aware that their privileges are unearned (Larson &amp; Shady, 2012). Schlosser (2003) goes as far as to state that discussing Christian privilege is ‘breaking a sacred taboo’ because he finds that there is a continuing (conscious and unconscious) urge to maintain the unequal status quo, where Christian continue to solely enjoy privileges. Although the issue of Christian privilege in interfaith dialogue is a relatively new subject, research increasingly focusses on these salient and sometimes unnoticed process. These works are examples of how to pave the way to discussing the effects of Christian privilege in the practice and study of interfaith dialogue.</w:t>
      </w:r>
    </w:p>
    <w:p w14:paraId="16A3279C" w14:textId="0C33485E" w:rsidR="00772575" w:rsidRDefault="00772575" w:rsidP="00772575">
      <w:pPr>
        <w:spacing w:line="276" w:lineRule="auto"/>
        <w:jc w:val="both"/>
        <w:rPr>
          <w:lang w:val="en-US"/>
        </w:rPr>
      </w:pPr>
    </w:p>
    <w:p w14:paraId="266BF692" w14:textId="77777777" w:rsidR="00772575" w:rsidRPr="00772575" w:rsidRDefault="00772575" w:rsidP="00772575">
      <w:pPr>
        <w:spacing w:line="276" w:lineRule="auto"/>
        <w:jc w:val="both"/>
        <w:rPr>
          <w:lang w:val="en-US"/>
        </w:rPr>
      </w:pPr>
    </w:p>
    <w:p w14:paraId="0EAA10DE" w14:textId="321BD759" w:rsidR="00F05563" w:rsidRDefault="002747EF" w:rsidP="00DC6AC2">
      <w:pPr>
        <w:spacing w:line="276" w:lineRule="auto"/>
        <w:jc w:val="both"/>
        <w:rPr>
          <w:b/>
          <w:bCs/>
          <w:lang w:val="en-US"/>
        </w:rPr>
      </w:pPr>
      <w:r>
        <w:rPr>
          <w:b/>
          <w:bCs/>
          <w:lang w:val="en-US"/>
        </w:rPr>
        <w:t xml:space="preserve">Bibliography </w:t>
      </w:r>
    </w:p>
    <w:p w14:paraId="3974E995"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bookmarkStart w:id="6" w:name="_GoBack"/>
      <w:r w:rsidRPr="00310787">
        <w:rPr>
          <w:rFonts w:ascii="Arial" w:hAnsi="Arial" w:cs="Arial"/>
          <w:color w:val="222222"/>
          <w:sz w:val="20"/>
          <w:szCs w:val="20"/>
          <w:shd w:val="clear" w:color="auto" w:fill="FFFFFF"/>
          <w:lang w:val="en-GB"/>
        </w:rPr>
        <w:t>Blumenfeld, W. J. (2006). Christian privilege and the promotion of “secular” and not-so “secular” mainline Christianity in public schooling and in the larger society. </w:t>
      </w:r>
      <w:r w:rsidRPr="00D275C7">
        <w:rPr>
          <w:rFonts w:ascii="Arial" w:hAnsi="Arial" w:cs="Arial"/>
          <w:i/>
          <w:iCs/>
          <w:color w:val="222222"/>
          <w:sz w:val="20"/>
          <w:szCs w:val="20"/>
          <w:shd w:val="clear" w:color="auto" w:fill="FFFFFF"/>
          <w:lang w:val="en-GB"/>
        </w:rPr>
        <w:t>Equity &amp; Excellence in Education</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39</w:t>
      </w:r>
      <w:r w:rsidRPr="00D275C7">
        <w:rPr>
          <w:rFonts w:ascii="Arial" w:hAnsi="Arial" w:cs="Arial"/>
          <w:color w:val="222222"/>
          <w:sz w:val="20"/>
          <w:szCs w:val="20"/>
          <w:shd w:val="clear" w:color="auto" w:fill="FFFFFF"/>
          <w:lang w:val="en-GB"/>
        </w:rPr>
        <w:t>(3), 195-210.</w:t>
      </w:r>
    </w:p>
    <w:p w14:paraId="5531D6CA"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D275C7">
        <w:rPr>
          <w:rFonts w:ascii="Arial" w:hAnsi="Arial" w:cs="Arial"/>
          <w:color w:val="222222"/>
          <w:sz w:val="20"/>
          <w:szCs w:val="20"/>
          <w:shd w:val="clear" w:color="auto" w:fill="FFFFFF"/>
          <w:lang w:val="en-GB"/>
        </w:rPr>
        <w:t xml:space="preserve">Blumenfeld, W. J., &amp; </w:t>
      </w:r>
      <w:proofErr w:type="spellStart"/>
      <w:r w:rsidRPr="00D275C7">
        <w:rPr>
          <w:rFonts w:ascii="Arial" w:hAnsi="Arial" w:cs="Arial"/>
          <w:color w:val="222222"/>
          <w:sz w:val="20"/>
          <w:szCs w:val="20"/>
          <w:shd w:val="clear" w:color="auto" w:fill="FFFFFF"/>
          <w:lang w:val="en-GB"/>
        </w:rPr>
        <w:t>Jaekel</w:t>
      </w:r>
      <w:proofErr w:type="spellEnd"/>
      <w:r w:rsidRPr="00D275C7">
        <w:rPr>
          <w:rFonts w:ascii="Arial" w:hAnsi="Arial" w:cs="Arial"/>
          <w:color w:val="222222"/>
          <w:sz w:val="20"/>
          <w:szCs w:val="20"/>
          <w:shd w:val="clear" w:color="auto" w:fill="FFFFFF"/>
          <w:lang w:val="en-GB"/>
        </w:rPr>
        <w:t xml:space="preserve">, K. (2012). </w:t>
      </w:r>
      <w:r w:rsidRPr="00D76B09">
        <w:rPr>
          <w:rFonts w:ascii="Arial" w:hAnsi="Arial" w:cs="Arial"/>
          <w:color w:val="222222"/>
          <w:sz w:val="20"/>
          <w:szCs w:val="20"/>
          <w:shd w:val="clear" w:color="auto" w:fill="FFFFFF"/>
          <w:lang w:val="en-GB"/>
        </w:rPr>
        <w:t>Exploring levels of Christian privilege awareness among preservice teachers. </w:t>
      </w:r>
      <w:r w:rsidRPr="00D275C7">
        <w:rPr>
          <w:rFonts w:ascii="Arial" w:hAnsi="Arial" w:cs="Arial"/>
          <w:i/>
          <w:iCs/>
          <w:color w:val="222222"/>
          <w:sz w:val="20"/>
          <w:szCs w:val="20"/>
          <w:shd w:val="clear" w:color="auto" w:fill="FFFFFF"/>
          <w:lang w:val="en-GB"/>
        </w:rPr>
        <w:t>Journal of Social Issues</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68</w:t>
      </w:r>
      <w:r w:rsidRPr="00D275C7">
        <w:rPr>
          <w:rFonts w:ascii="Arial" w:hAnsi="Arial" w:cs="Arial"/>
          <w:color w:val="222222"/>
          <w:sz w:val="20"/>
          <w:szCs w:val="20"/>
          <w:shd w:val="clear" w:color="auto" w:fill="FFFFFF"/>
          <w:lang w:val="en-GB"/>
        </w:rPr>
        <w:t>(1), 128-144</w:t>
      </w:r>
    </w:p>
    <w:p w14:paraId="7409DF2B" w14:textId="77777777" w:rsidR="00CD3C2F" w:rsidRPr="00772575" w:rsidRDefault="00CD3C2F" w:rsidP="00DC6AC2">
      <w:pPr>
        <w:spacing w:line="276" w:lineRule="auto"/>
        <w:jc w:val="both"/>
        <w:rPr>
          <w:rFonts w:ascii="Arial" w:hAnsi="Arial" w:cs="Arial"/>
          <w:color w:val="222222"/>
          <w:sz w:val="20"/>
          <w:szCs w:val="20"/>
          <w:shd w:val="clear" w:color="auto" w:fill="FFFFFF"/>
          <w:lang w:val="en-GB"/>
        </w:rPr>
      </w:pPr>
      <w:r w:rsidRPr="003E25DC">
        <w:rPr>
          <w:rFonts w:ascii="Arial" w:hAnsi="Arial" w:cs="Arial"/>
          <w:color w:val="222222"/>
          <w:sz w:val="20"/>
          <w:szCs w:val="20"/>
          <w:shd w:val="clear" w:color="auto" w:fill="FFFFFF"/>
          <w:lang w:val="en-GB"/>
        </w:rPr>
        <w:t>Clark, C., &amp; Brimhall-Vargas, M. (2003). Diversity initiatives in higher education: Secular aspects and international implications of Christian privilege. </w:t>
      </w:r>
      <w:r w:rsidRPr="00772575">
        <w:rPr>
          <w:rFonts w:ascii="Arial" w:hAnsi="Arial" w:cs="Arial"/>
          <w:i/>
          <w:iCs/>
          <w:color w:val="222222"/>
          <w:sz w:val="20"/>
          <w:szCs w:val="20"/>
          <w:shd w:val="clear" w:color="auto" w:fill="FFFFFF"/>
          <w:lang w:val="en-GB"/>
        </w:rPr>
        <w:t>Multicultural Education</w:t>
      </w:r>
      <w:r w:rsidRPr="00772575">
        <w:rPr>
          <w:rFonts w:ascii="Arial" w:hAnsi="Arial" w:cs="Arial"/>
          <w:color w:val="222222"/>
          <w:sz w:val="20"/>
          <w:szCs w:val="20"/>
          <w:shd w:val="clear" w:color="auto" w:fill="FFFFFF"/>
          <w:lang w:val="en-GB"/>
        </w:rPr>
        <w:t>, </w:t>
      </w:r>
      <w:r w:rsidRPr="00772575">
        <w:rPr>
          <w:rFonts w:ascii="Arial" w:hAnsi="Arial" w:cs="Arial"/>
          <w:i/>
          <w:iCs/>
          <w:color w:val="222222"/>
          <w:sz w:val="20"/>
          <w:szCs w:val="20"/>
          <w:shd w:val="clear" w:color="auto" w:fill="FFFFFF"/>
          <w:lang w:val="en-GB"/>
        </w:rPr>
        <w:t>11</w:t>
      </w:r>
      <w:r w:rsidRPr="00772575">
        <w:rPr>
          <w:rFonts w:ascii="Arial" w:hAnsi="Arial" w:cs="Arial"/>
          <w:color w:val="222222"/>
          <w:sz w:val="20"/>
          <w:szCs w:val="20"/>
          <w:shd w:val="clear" w:color="auto" w:fill="FFFFFF"/>
          <w:lang w:val="en-GB"/>
        </w:rPr>
        <w:t>(1), 55</w:t>
      </w:r>
    </w:p>
    <w:p w14:paraId="39C36204"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550A2D">
        <w:rPr>
          <w:rFonts w:ascii="Arial" w:hAnsi="Arial" w:cs="Arial"/>
          <w:color w:val="222222"/>
          <w:sz w:val="20"/>
          <w:szCs w:val="20"/>
          <w:shd w:val="clear" w:color="auto" w:fill="FFFFFF"/>
          <w:lang w:val="en-GB"/>
        </w:rPr>
        <w:t>Fairchild, E. E. (2009). Christian privilege, history, and trends in US religion. </w:t>
      </w:r>
      <w:r w:rsidRPr="00D275C7">
        <w:rPr>
          <w:rFonts w:ascii="Arial" w:hAnsi="Arial" w:cs="Arial"/>
          <w:i/>
          <w:iCs/>
          <w:color w:val="222222"/>
          <w:sz w:val="20"/>
          <w:szCs w:val="20"/>
          <w:shd w:val="clear" w:color="auto" w:fill="FFFFFF"/>
          <w:lang w:val="en-GB"/>
        </w:rPr>
        <w:t>New Directions for Student Services</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2009</w:t>
      </w:r>
      <w:r w:rsidRPr="00D275C7">
        <w:rPr>
          <w:rFonts w:ascii="Arial" w:hAnsi="Arial" w:cs="Arial"/>
          <w:color w:val="222222"/>
          <w:sz w:val="20"/>
          <w:szCs w:val="20"/>
          <w:shd w:val="clear" w:color="auto" w:fill="FFFFFF"/>
          <w:lang w:val="en-GB"/>
        </w:rPr>
        <w:t>(125), 5-11.</w:t>
      </w:r>
    </w:p>
    <w:p w14:paraId="179414CA" w14:textId="77777777" w:rsidR="00CD3C2F" w:rsidRPr="00092B85" w:rsidRDefault="00CD3C2F" w:rsidP="00DC6AC2">
      <w:pPr>
        <w:spacing w:line="276" w:lineRule="auto"/>
        <w:jc w:val="both"/>
        <w:rPr>
          <w:b/>
          <w:bCs/>
          <w:lang w:val="en-GB"/>
        </w:rPr>
      </w:pPr>
      <w:r w:rsidRPr="00092B85">
        <w:rPr>
          <w:rFonts w:ascii="Arial" w:hAnsi="Arial" w:cs="Arial"/>
          <w:color w:val="222222"/>
          <w:sz w:val="20"/>
          <w:szCs w:val="20"/>
          <w:shd w:val="clear" w:color="auto" w:fill="FFFFFF"/>
          <w:lang w:val="en-GB"/>
        </w:rPr>
        <w:t>Fairchild, E. E. (2010). Is Dialogue Enough?. </w:t>
      </w:r>
      <w:r w:rsidRPr="00092B85">
        <w:rPr>
          <w:rFonts w:ascii="Arial" w:hAnsi="Arial" w:cs="Arial"/>
          <w:i/>
          <w:iCs/>
          <w:color w:val="222222"/>
          <w:sz w:val="20"/>
          <w:szCs w:val="20"/>
          <w:shd w:val="clear" w:color="auto" w:fill="FFFFFF"/>
          <w:lang w:val="en-GB"/>
        </w:rPr>
        <w:t>Journal of College and Character</w:t>
      </w:r>
      <w:r w:rsidRPr="00092B85">
        <w:rPr>
          <w:rFonts w:ascii="Arial" w:hAnsi="Arial" w:cs="Arial"/>
          <w:color w:val="222222"/>
          <w:sz w:val="20"/>
          <w:szCs w:val="20"/>
          <w:shd w:val="clear" w:color="auto" w:fill="FFFFFF"/>
          <w:lang w:val="en-GB"/>
        </w:rPr>
        <w:t>, </w:t>
      </w:r>
      <w:r w:rsidRPr="00092B85">
        <w:rPr>
          <w:rFonts w:ascii="Arial" w:hAnsi="Arial" w:cs="Arial"/>
          <w:i/>
          <w:iCs/>
          <w:color w:val="222222"/>
          <w:sz w:val="20"/>
          <w:szCs w:val="20"/>
          <w:shd w:val="clear" w:color="auto" w:fill="FFFFFF"/>
          <w:lang w:val="en-GB"/>
        </w:rPr>
        <w:t>11</w:t>
      </w:r>
      <w:r w:rsidRPr="00092B85">
        <w:rPr>
          <w:rFonts w:ascii="Arial" w:hAnsi="Arial" w:cs="Arial"/>
          <w:color w:val="222222"/>
          <w:sz w:val="20"/>
          <w:szCs w:val="20"/>
          <w:shd w:val="clear" w:color="auto" w:fill="FFFFFF"/>
          <w:lang w:val="en-GB"/>
        </w:rPr>
        <w:t>(2)</w:t>
      </w:r>
    </w:p>
    <w:p w14:paraId="26EE3AFD"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D03C27">
        <w:rPr>
          <w:rFonts w:ascii="Arial" w:hAnsi="Arial" w:cs="Arial"/>
          <w:color w:val="222222"/>
          <w:sz w:val="20"/>
          <w:szCs w:val="20"/>
          <w:shd w:val="clear" w:color="auto" w:fill="FFFFFF"/>
          <w:lang w:val="en-GB"/>
        </w:rPr>
        <w:t xml:space="preserve">Fried, J. (2007). Thinking </w:t>
      </w:r>
      <w:proofErr w:type="spellStart"/>
      <w:r w:rsidRPr="00D03C27">
        <w:rPr>
          <w:rFonts w:ascii="Arial" w:hAnsi="Arial" w:cs="Arial"/>
          <w:color w:val="222222"/>
          <w:sz w:val="20"/>
          <w:szCs w:val="20"/>
          <w:shd w:val="clear" w:color="auto" w:fill="FFFFFF"/>
          <w:lang w:val="en-GB"/>
        </w:rPr>
        <w:t>skillfully</w:t>
      </w:r>
      <w:proofErr w:type="spellEnd"/>
      <w:r w:rsidRPr="00D03C27">
        <w:rPr>
          <w:rFonts w:ascii="Arial" w:hAnsi="Arial" w:cs="Arial"/>
          <w:color w:val="222222"/>
          <w:sz w:val="20"/>
          <w:szCs w:val="20"/>
          <w:shd w:val="clear" w:color="auto" w:fill="FFFFFF"/>
          <w:lang w:val="en-GB"/>
        </w:rPr>
        <w:t xml:space="preserve"> and respecting difference: Understanding religious privilege on campus. </w:t>
      </w:r>
      <w:r w:rsidRPr="00D275C7">
        <w:rPr>
          <w:rFonts w:ascii="Arial" w:hAnsi="Arial" w:cs="Arial"/>
          <w:i/>
          <w:iCs/>
          <w:color w:val="222222"/>
          <w:sz w:val="20"/>
          <w:szCs w:val="20"/>
          <w:shd w:val="clear" w:color="auto" w:fill="FFFFFF"/>
          <w:lang w:val="en-GB"/>
        </w:rPr>
        <w:t>Journal of College and Character</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9</w:t>
      </w:r>
      <w:r w:rsidRPr="00D275C7">
        <w:rPr>
          <w:rFonts w:ascii="Arial" w:hAnsi="Arial" w:cs="Arial"/>
          <w:color w:val="222222"/>
          <w:sz w:val="20"/>
          <w:szCs w:val="20"/>
          <w:shd w:val="clear" w:color="auto" w:fill="FFFFFF"/>
          <w:lang w:val="en-GB"/>
        </w:rPr>
        <w:t>(1).</w:t>
      </w:r>
    </w:p>
    <w:p w14:paraId="1C59B8D4"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5B765F">
        <w:rPr>
          <w:rFonts w:ascii="Arial" w:hAnsi="Arial" w:cs="Arial"/>
          <w:color w:val="222222"/>
          <w:sz w:val="20"/>
          <w:szCs w:val="20"/>
          <w:shd w:val="clear" w:color="auto" w:fill="FFFFFF"/>
          <w:lang w:val="en-GB"/>
        </w:rPr>
        <w:t>Larson, M. H., &amp; Shady, S. L. (2012). Confronting the complexities of Christian privilege through interfaith dialogue. </w:t>
      </w:r>
      <w:r w:rsidRPr="00D275C7">
        <w:rPr>
          <w:rFonts w:ascii="Arial" w:hAnsi="Arial" w:cs="Arial"/>
          <w:i/>
          <w:iCs/>
          <w:color w:val="222222"/>
          <w:sz w:val="20"/>
          <w:szCs w:val="20"/>
          <w:shd w:val="clear" w:color="auto" w:fill="FFFFFF"/>
          <w:lang w:val="en-GB"/>
        </w:rPr>
        <w:t>Journal of College and Character</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13</w:t>
      </w:r>
      <w:r w:rsidRPr="00D275C7">
        <w:rPr>
          <w:rFonts w:ascii="Arial" w:hAnsi="Arial" w:cs="Arial"/>
          <w:color w:val="222222"/>
          <w:sz w:val="20"/>
          <w:szCs w:val="20"/>
          <w:shd w:val="clear" w:color="auto" w:fill="FFFFFF"/>
          <w:lang w:val="en-GB"/>
        </w:rPr>
        <w:t>(2).</w:t>
      </w:r>
    </w:p>
    <w:p w14:paraId="39146A58" w14:textId="77777777" w:rsidR="00CD3C2F" w:rsidRDefault="00CD3C2F" w:rsidP="00DC6AC2">
      <w:pPr>
        <w:spacing w:line="276" w:lineRule="auto"/>
        <w:jc w:val="both"/>
        <w:rPr>
          <w:rFonts w:ascii="Arial" w:hAnsi="Arial" w:cs="Arial"/>
          <w:color w:val="222222"/>
          <w:sz w:val="20"/>
          <w:szCs w:val="20"/>
          <w:shd w:val="clear" w:color="auto" w:fill="FFFFFF"/>
          <w:lang w:val="en-GB"/>
        </w:rPr>
      </w:pPr>
      <w:r w:rsidRPr="004C2F56">
        <w:rPr>
          <w:rFonts w:ascii="Arial" w:hAnsi="Arial" w:cs="Arial"/>
          <w:color w:val="222222"/>
          <w:sz w:val="20"/>
          <w:szCs w:val="20"/>
          <w:shd w:val="clear" w:color="auto" w:fill="FFFFFF"/>
          <w:lang w:val="en-GB"/>
        </w:rPr>
        <w:t>McIntosh, P. (1988). White privilege: Unpacking the invisible knapsack.</w:t>
      </w:r>
    </w:p>
    <w:p w14:paraId="5F4076D4"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FD61B0">
        <w:rPr>
          <w:rFonts w:ascii="Arial" w:hAnsi="Arial" w:cs="Arial"/>
          <w:color w:val="222222"/>
          <w:sz w:val="20"/>
          <w:szCs w:val="20"/>
          <w:shd w:val="clear" w:color="auto" w:fill="FFFFFF"/>
          <w:lang w:val="en-GB"/>
        </w:rPr>
        <w:t>Moran, C. D., Lang, D. J., &amp; Oliver, J. (2007). Cultural incongruity and social status ambiguity: The experiences of evangelical Christian student leaders at two Midwestern public universities. </w:t>
      </w:r>
      <w:r w:rsidRPr="00D275C7">
        <w:rPr>
          <w:rFonts w:ascii="Arial" w:hAnsi="Arial" w:cs="Arial"/>
          <w:i/>
          <w:iCs/>
          <w:color w:val="222222"/>
          <w:sz w:val="20"/>
          <w:szCs w:val="20"/>
          <w:shd w:val="clear" w:color="auto" w:fill="FFFFFF"/>
          <w:lang w:val="en-GB"/>
        </w:rPr>
        <w:t>Journal of College Student Development</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48</w:t>
      </w:r>
      <w:r w:rsidRPr="00D275C7">
        <w:rPr>
          <w:rFonts w:ascii="Arial" w:hAnsi="Arial" w:cs="Arial"/>
          <w:color w:val="222222"/>
          <w:sz w:val="20"/>
          <w:szCs w:val="20"/>
          <w:shd w:val="clear" w:color="auto" w:fill="FFFFFF"/>
          <w:lang w:val="en-GB"/>
        </w:rPr>
        <w:t>(1), 23-38.</w:t>
      </w:r>
    </w:p>
    <w:p w14:paraId="471B7A15"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F254A8">
        <w:rPr>
          <w:rFonts w:ascii="Arial" w:hAnsi="Arial" w:cs="Arial"/>
          <w:color w:val="222222"/>
          <w:sz w:val="20"/>
          <w:szCs w:val="20"/>
          <w:shd w:val="clear" w:color="auto" w:fill="FFFFFF"/>
          <w:lang w:val="en-GB"/>
        </w:rPr>
        <w:t>Nelson, J. E. (2010). Deconstructing Academic Writing: Continuing a Conversation on Christian Privilege. </w:t>
      </w:r>
      <w:r w:rsidRPr="00D275C7">
        <w:rPr>
          <w:rFonts w:ascii="Arial" w:hAnsi="Arial" w:cs="Arial"/>
          <w:i/>
          <w:iCs/>
          <w:color w:val="222222"/>
          <w:sz w:val="20"/>
          <w:szCs w:val="20"/>
          <w:shd w:val="clear" w:color="auto" w:fill="FFFFFF"/>
          <w:lang w:val="en-GB"/>
        </w:rPr>
        <w:t>Multicultural Education</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17</w:t>
      </w:r>
      <w:r w:rsidRPr="00D275C7">
        <w:rPr>
          <w:rFonts w:ascii="Arial" w:hAnsi="Arial" w:cs="Arial"/>
          <w:color w:val="222222"/>
          <w:sz w:val="20"/>
          <w:szCs w:val="20"/>
          <w:shd w:val="clear" w:color="auto" w:fill="FFFFFF"/>
          <w:lang w:val="en-GB"/>
        </w:rPr>
        <w:t>(4), 38-43.</w:t>
      </w:r>
    </w:p>
    <w:p w14:paraId="04275405"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proofErr w:type="spellStart"/>
      <w:r w:rsidRPr="00F320A5">
        <w:rPr>
          <w:rFonts w:ascii="Arial" w:hAnsi="Arial" w:cs="Arial"/>
          <w:color w:val="222222"/>
          <w:sz w:val="20"/>
          <w:szCs w:val="20"/>
          <w:shd w:val="clear" w:color="auto" w:fill="FFFFFF"/>
          <w:lang w:val="en-GB"/>
        </w:rPr>
        <w:t>Riswold</w:t>
      </w:r>
      <w:proofErr w:type="spellEnd"/>
      <w:r w:rsidRPr="00F320A5">
        <w:rPr>
          <w:rFonts w:ascii="Arial" w:hAnsi="Arial" w:cs="Arial"/>
          <w:color w:val="222222"/>
          <w:sz w:val="20"/>
          <w:szCs w:val="20"/>
          <w:shd w:val="clear" w:color="auto" w:fill="FFFFFF"/>
          <w:lang w:val="en-GB"/>
        </w:rPr>
        <w:t>, C. D. (2015). Teaching the College “</w:t>
      </w:r>
      <w:proofErr w:type="spellStart"/>
      <w:r w:rsidRPr="00F320A5">
        <w:rPr>
          <w:rFonts w:ascii="Arial" w:hAnsi="Arial" w:cs="Arial"/>
          <w:color w:val="222222"/>
          <w:sz w:val="20"/>
          <w:szCs w:val="20"/>
          <w:shd w:val="clear" w:color="auto" w:fill="FFFFFF"/>
          <w:lang w:val="en-GB"/>
        </w:rPr>
        <w:t>Nones</w:t>
      </w:r>
      <w:proofErr w:type="spellEnd"/>
      <w:r w:rsidRPr="00F320A5">
        <w:rPr>
          <w:rFonts w:ascii="Arial" w:hAnsi="Arial" w:cs="Arial"/>
          <w:color w:val="222222"/>
          <w:sz w:val="20"/>
          <w:szCs w:val="20"/>
          <w:shd w:val="clear" w:color="auto" w:fill="FFFFFF"/>
          <w:lang w:val="en-GB"/>
        </w:rPr>
        <w:t>”: Christian Privilege and the Religion Professor. </w:t>
      </w:r>
      <w:r w:rsidRPr="00D275C7">
        <w:rPr>
          <w:rFonts w:ascii="Arial" w:hAnsi="Arial" w:cs="Arial"/>
          <w:i/>
          <w:iCs/>
          <w:color w:val="222222"/>
          <w:sz w:val="20"/>
          <w:szCs w:val="20"/>
          <w:shd w:val="clear" w:color="auto" w:fill="FFFFFF"/>
          <w:lang w:val="en-GB"/>
        </w:rPr>
        <w:t>Teaching Theology &amp; Religion</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18</w:t>
      </w:r>
      <w:r w:rsidRPr="00D275C7">
        <w:rPr>
          <w:rFonts w:ascii="Arial" w:hAnsi="Arial" w:cs="Arial"/>
          <w:color w:val="222222"/>
          <w:sz w:val="20"/>
          <w:szCs w:val="20"/>
          <w:shd w:val="clear" w:color="auto" w:fill="FFFFFF"/>
          <w:lang w:val="en-GB"/>
        </w:rPr>
        <w:t>(2), 133-148.</w:t>
      </w:r>
    </w:p>
    <w:p w14:paraId="73CEF5DE" w14:textId="77777777" w:rsidR="00CD3C2F" w:rsidRPr="004C2F56" w:rsidRDefault="00CD3C2F" w:rsidP="00DC6AC2">
      <w:pPr>
        <w:spacing w:line="276" w:lineRule="auto"/>
        <w:jc w:val="both"/>
        <w:rPr>
          <w:rFonts w:ascii="Arial" w:hAnsi="Arial" w:cs="Arial"/>
          <w:color w:val="222222"/>
          <w:sz w:val="20"/>
          <w:szCs w:val="20"/>
          <w:shd w:val="clear" w:color="auto" w:fill="FFFFFF"/>
          <w:lang w:val="en-GB"/>
        </w:rPr>
      </w:pPr>
      <w:r>
        <w:rPr>
          <w:rFonts w:ascii="Arial" w:hAnsi="Arial" w:cs="Arial"/>
          <w:color w:val="222222"/>
          <w:sz w:val="20"/>
          <w:szCs w:val="20"/>
          <w:shd w:val="clear" w:color="auto" w:fill="FFFFFF"/>
          <w:lang w:val="en-GB"/>
        </w:rPr>
        <w:t>S</w:t>
      </w:r>
      <w:r w:rsidRPr="006F0905">
        <w:rPr>
          <w:rFonts w:ascii="Arial" w:hAnsi="Arial" w:cs="Arial"/>
          <w:color w:val="222222"/>
          <w:sz w:val="20"/>
          <w:szCs w:val="20"/>
          <w:shd w:val="clear" w:color="auto" w:fill="FFFFFF"/>
          <w:lang w:val="en-GB"/>
        </w:rPr>
        <w:t>aid, E. W. (1985). Orientalism reconsidered. </w:t>
      </w:r>
      <w:r w:rsidRPr="00772575">
        <w:rPr>
          <w:rFonts w:ascii="Arial" w:hAnsi="Arial" w:cs="Arial"/>
          <w:i/>
          <w:iCs/>
          <w:color w:val="222222"/>
          <w:sz w:val="20"/>
          <w:szCs w:val="20"/>
          <w:shd w:val="clear" w:color="auto" w:fill="FFFFFF"/>
          <w:lang w:val="en-GB"/>
        </w:rPr>
        <w:t>Race &amp; class</w:t>
      </w:r>
      <w:r w:rsidRPr="00772575">
        <w:rPr>
          <w:rFonts w:ascii="Arial" w:hAnsi="Arial" w:cs="Arial"/>
          <w:color w:val="222222"/>
          <w:sz w:val="20"/>
          <w:szCs w:val="20"/>
          <w:shd w:val="clear" w:color="auto" w:fill="FFFFFF"/>
          <w:lang w:val="en-GB"/>
        </w:rPr>
        <w:t>, </w:t>
      </w:r>
      <w:r w:rsidRPr="00772575">
        <w:rPr>
          <w:rFonts w:ascii="Arial" w:hAnsi="Arial" w:cs="Arial"/>
          <w:i/>
          <w:iCs/>
          <w:color w:val="222222"/>
          <w:sz w:val="20"/>
          <w:szCs w:val="20"/>
          <w:shd w:val="clear" w:color="auto" w:fill="FFFFFF"/>
          <w:lang w:val="en-GB"/>
        </w:rPr>
        <w:t>27</w:t>
      </w:r>
      <w:r w:rsidRPr="00772575">
        <w:rPr>
          <w:rFonts w:ascii="Arial" w:hAnsi="Arial" w:cs="Arial"/>
          <w:color w:val="222222"/>
          <w:sz w:val="20"/>
          <w:szCs w:val="20"/>
          <w:shd w:val="clear" w:color="auto" w:fill="FFFFFF"/>
          <w:lang w:val="en-GB"/>
        </w:rPr>
        <w:t>(2), 1-15.</w:t>
      </w:r>
    </w:p>
    <w:p w14:paraId="65BB2C60"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5D30E0">
        <w:rPr>
          <w:rFonts w:ascii="Arial" w:hAnsi="Arial" w:cs="Arial"/>
          <w:color w:val="222222"/>
          <w:sz w:val="20"/>
          <w:szCs w:val="20"/>
          <w:shd w:val="clear" w:color="auto" w:fill="FFFFFF"/>
          <w:lang w:val="en-GB"/>
        </w:rPr>
        <w:t>Schlosser, L. Z. (2003). Christian privilege: Breaking a sacred taboo. </w:t>
      </w:r>
      <w:r w:rsidRPr="00D275C7">
        <w:rPr>
          <w:rFonts w:ascii="Arial" w:hAnsi="Arial" w:cs="Arial"/>
          <w:i/>
          <w:iCs/>
          <w:color w:val="222222"/>
          <w:sz w:val="20"/>
          <w:szCs w:val="20"/>
          <w:shd w:val="clear" w:color="auto" w:fill="FFFFFF"/>
          <w:lang w:val="en-GB"/>
        </w:rPr>
        <w:t xml:space="preserve">Journal of Multicultural </w:t>
      </w:r>
      <w:proofErr w:type="spellStart"/>
      <w:r w:rsidRPr="00D275C7">
        <w:rPr>
          <w:rFonts w:ascii="Arial" w:hAnsi="Arial" w:cs="Arial"/>
          <w:i/>
          <w:iCs/>
          <w:color w:val="222222"/>
          <w:sz w:val="20"/>
          <w:szCs w:val="20"/>
          <w:shd w:val="clear" w:color="auto" w:fill="FFFFFF"/>
          <w:lang w:val="en-GB"/>
        </w:rPr>
        <w:t>Counseling</w:t>
      </w:r>
      <w:proofErr w:type="spellEnd"/>
      <w:r w:rsidRPr="00D275C7">
        <w:rPr>
          <w:rFonts w:ascii="Arial" w:hAnsi="Arial" w:cs="Arial"/>
          <w:i/>
          <w:iCs/>
          <w:color w:val="222222"/>
          <w:sz w:val="20"/>
          <w:szCs w:val="20"/>
          <w:shd w:val="clear" w:color="auto" w:fill="FFFFFF"/>
          <w:lang w:val="en-GB"/>
        </w:rPr>
        <w:t xml:space="preserve"> and Development</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31</w:t>
      </w:r>
      <w:r w:rsidRPr="00D275C7">
        <w:rPr>
          <w:rFonts w:ascii="Arial" w:hAnsi="Arial" w:cs="Arial"/>
          <w:color w:val="222222"/>
          <w:sz w:val="20"/>
          <w:szCs w:val="20"/>
          <w:shd w:val="clear" w:color="auto" w:fill="FFFFFF"/>
          <w:lang w:val="en-GB"/>
        </w:rPr>
        <w:t>(1), 44-51.</w:t>
      </w:r>
    </w:p>
    <w:p w14:paraId="58A239E9"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A74A6E">
        <w:rPr>
          <w:rFonts w:ascii="Arial" w:hAnsi="Arial" w:cs="Arial"/>
          <w:color w:val="222222"/>
          <w:sz w:val="20"/>
          <w:szCs w:val="20"/>
          <w:shd w:val="clear" w:color="auto" w:fill="FFFFFF"/>
          <w:lang w:val="en-GB"/>
        </w:rPr>
        <w:t>Seifert, T. (2007). Understanding Christian privilege: Managing the tensions of spiritual plurality. </w:t>
      </w:r>
      <w:r w:rsidRPr="00D275C7">
        <w:rPr>
          <w:rFonts w:ascii="Arial" w:hAnsi="Arial" w:cs="Arial"/>
          <w:i/>
          <w:iCs/>
          <w:color w:val="222222"/>
          <w:sz w:val="20"/>
          <w:szCs w:val="20"/>
          <w:shd w:val="clear" w:color="auto" w:fill="FFFFFF"/>
          <w:lang w:val="en-GB"/>
        </w:rPr>
        <w:t>About Campus</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12</w:t>
      </w:r>
      <w:r w:rsidRPr="00D275C7">
        <w:rPr>
          <w:rFonts w:ascii="Arial" w:hAnsi="Arial" w:cs="Arial"/>
          <w:color w:val="222222"/>
          <w:sz w:val="20"/>
          <w:szCs w:val="20"/>
          <w:shd w:val="clear" w:color="auto" w:fill="FFFFFF"/>
          <w:lang w:val="en-GB"/>
        </w:rPr>
        <w:t>(2), 10-17.</w:t>
      </w:r>
    </w:p>
    <w:p w14:paraId="62949415" w14:textId="77777777" w:rsidR="00CD3C2F" w:rsidRPr="00D275C7" w:rsidRDefault="00CD3C2F" w:rsidP="00DC6AC2">
      <w:pPr>
        <w:spacing w:line="276" w:lineRule="auto"/>
        <w:jc w:val="both"/>
        <w:rPr>
          <w:rFonts w:ascii="Arial" w:hAnsi="Arial" w:cs="Arial"/>
          <w:color w:val="222222"/>
          <w:sz w:val="20"/>
          <w:szCs w:val="20"/>
          <w:shd w:val="clear" w:color="auto" w:fill="FFFFFF"/>
          <w:lang w:val="en-GB"/>
        </w:rPr>
      </w:pPr>
      <w:r w:rsidRPr="005E3FCF">
        <w:rPr>
          <w:rFonts w:ascii="Arial" w:hAnsi="Arial" w:cs="Arial"/>
          <w:color w:val="222222"/>
          <w:sz w:val="20"/>
          <w:szCs w:val="20"/>
          <w:shd w:val="clear" w:color="auto" w:fill="FFFFFF"/>
          <w:lang w:val="en-GB"/>
        </w:rPr>
        <w:t>Watt, S. K. (2007). Difficult Dialogues, Privilege and Social Justice: Uses of the Privileged Identity Exploration (PIE) Model in Student Affairs Practice. </w:t>
      </w:r>
      <w:r w:rsidRPr="00D275C7">
        <w:rPr>
          <w:rFonts w:ascii="Arial" w:hAnsi="Arial" w:cs="Arial"/>
          <w:i/>
          <w:iCs/>
          <w:color w:val="222222"/>
          <w:sz w:val="20"/>
          <w:szCs w:val="20"/>
          <w:shd w:val="clear" w:color="auto" w:fill="FFFFFF"/>
          <w:lang w:val="en-GB"/>
        </w:rPr>
        <w:t>College student affairs journal</w:t>
      </w:r>
      <w:r w:rsidRPr="00D275C7">
        <w:rPr>
          <w:rFonts w:ascii="Arial" w:hAnsi="Arial" w:cs="Arial"/>
          <w:color w:val="222222"/>
          <w:sz w:val="20"/>
          <w:szCs w:val="20"/>
          <w:shd w:val="clear" w:color="auto" w:fill="FFFFFF"/>
          <w:lang w:val="en-GB"/>
        </w:rPr>
        <w:t>, </w:t>
      </w:r>
      <w:r w:rsidRPr="00D275C7">
        <w:rPr>
          <w:rFonts w:ascii="Arial" w:hAnsi="Arial" w:cs="Arial"/>
          <w:i/>
          <w:iCs/>
          <w:color w:val="222222"/>
          <w:sz w:val="20"/>
          <w:szCs w:val="20"/>
          <w:shd w:val="clear" w:color="auto" w:fill="FFFFFF"/>
          <w:lang w:val="en-GB"/>
        </w:rPr>
        <w:t>26</w:t>
      </w:r>
      <w:r w:rsidRPr="00D275C7">
        <w:rPr>
          <w:rFonts w:ascii="Arial" w:hAnsi="Arial" w:cs="Arial"/>
          <w:color w:val="222222"/>
          <w:sz w:val="20"/>
          <w:szCs w:val="20"/>
          <w:shd w:val="clear" w:color="auto" w:fill="FFFFFF"/>
          <w:lang w:val="en-GB"/>
        </w:rPr>
        <w:t>(2), 114-126.</w:t>
      </w:r>
      <w:bookmarkEnd w:id="6"/>
    </w:p>
    <w:sectPr w:rsidR="00CD3C2F" w:rsidRPr="00D275C7" w:rsidSect="00F91EE4">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7CCEC" w14:textId="77777777" w:rsidR="00781641" w:rsidRDefault="00781641" w:rsidP="00F91EE4">
      <w:pPr>
        <w:spacing w:after="0" w:line="240" w:lineRule="auto"/>
      </w:pPr>
      <w:r>
        <w:separator/>
      </w:r>
    </w:p>
  </w:endnote>
  <w:endnote w:type="continuationSeparator" w:id="0">
    <w:p w14:paraId="333448AB" w14:textId="77777777" w:rsidR="00781641" w:rsidRDefault="00781641" w:rsidP="00F91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7005001"/>
      <w:docPartObj>
        <w:docPartGallery w:val="Page Numbers (Bottom of Page)"/>
        <w:docPartUnique/>
      </w:docPartObj>
    </w:sdtPr>
    <w:sdtEndPr/>
    <w:sdtContent>
      <w:p w14:paraId="76286F02" w14:textId="59CE35E5" w:rsidR="00F91EE4" w:rsidRDefault="00F91EE4">
        <w:pPr>
          <w:pStyle w:val="Voettekst"/>
          <w:jc w:val="right"/>
        </w:pPr>
        <w:r>
          <w:fldChar w:fldCharType="begin"/>
        </w:r>
        <w:r>
          <w:instrText>PAGE   \* MERGEFORMAT</w:instrText>
        </w:r>
        <w:r>
          <w:fldChar w:fldCharType="separate"/>
        </w:r>
        <w:r>
          <w:t>2</w:t>
        </w:r>
        <w:r>
          <w:fldChar w:fldCharType="end"/>
        </w:r>
      </w:p>
    </w:sdtContent>
  </w:sdt>
  <w:p w14:paraId="0C9F27C0" w14:textId="77777777" w:rsidR="00F91EE4" w:rsidRDefault="00F91EE4">
    <w:pPr>
      <w:pStyle w:val="Voet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ECEC29" w14:textId="77777777" w:rsidR="00781641" w:rsidRDefault="00781641" w:rsidP="00F91EE4">
      <w:pPr>
        <w:spacing w:after="0" w:line="240" w:lineRule="auto"/>
      </w:pPr>
      <w:r>
        <w:separator/>
      </w:r>
    </w:p>
  </w:footnote>
  <w:footnote w:type="continuationSeparator" w:id="0">
    <w:p w14:paraId="08C600DC" w14:textId="77777777" w:rsidR="00781641" w:rsidRDefault="00781641" w:rsidP="00F91E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E46"/>
    <w:rsid w:val="00001520"/>
    <w:rsid w:val="00001B02"/>
    <w:rsid w:val="00005641"/>
    <w:rsid w:val="00007590"/>
    <w:rsid w:val="00010A33"/>
    <w:rsid w:val="000151FB"/>
    <w:rsid w:val="00015B76"/>
    <w:rsid w:val="000236BF"/>
    <w:rsid w:val="00026153"/>
    <w:rsid w:val="0003292C"/>
    <w:rsid w:val="00041A98"/>
    <w:rsid w:val="00041D67"/>
    <w:rsid w:val="00053BA5"/>
    <w:rsid w:val="00072B8D"/>
    <w:rsid w:val="00075565"/>
    <w:rsid w:val="000909DB"/>
    <w:rsid w:val="00092B85"/>
    <w:rsid w:val="00095DE7"/>
    <w:rsid w:val="000A1381"/>
    <w:rsid w:val="000A6533"/>
    <w:rsid w:val="000B436D"/>
    <w:rsid w:val="000C48DE"/>
    <w:rsid w:val="000F7FC7"/>
    <w:rsid w:val="001065F6"/>
    <w:rsid w:val="0010702D"/>
    <w:rsid w:val="001137DA"/>
    <w:rsid w:val="00115527"/>
    <w:rsid w:val="00124F67"/>
    <w:rsid w:val="00127DFB"/>
    <w:rsid w:val="00136E9F"/>
    <w:rsid w:val="00141D0F"/>
    <w:rsid w:val="00170581"/>
    <w:rsid w:val="0017080A"/>
    <w:rsid w:val="001718DF"/>
    <w:rsid w:val="00176D51"/>
    <w:rsid w:val="00193C68"/>
    <w:rsid w:val="00195645"/>
    <w:rsid w:val="0019661E"/>
    <w:rsid w:val="001B5702"/>
    <w:rsid w:val="001D0D8D"/>
    <w:rsid w:val="001E0A3A"/>
    <w:rsid w:val="001E1F1A"/>
    <w:rsid w:val="001E59A0"/>
    <w:rsid w:val="001E64EB"/>
    <w:rsid w:val="001E67E3"/>
    <w:rsid w:val="001E6E95"/>
    <w:rsid w:val="001F0BD0"/>
    <w:rsid w:val="001F18CA"/>
    <w:rsid w:val="001F21A3"/>
    <w:rsid w:val="001F5C7D"/>
    <w:rsid w:val="001F71E4"/>
    <w:rsid w:val="00204F2E"/>
    <w:rsid w:val="002054FD"/>
    <w:rsid w:val="00207559"/>
    <w:rsid w:val="002117C9"/>
    <w:rsid w:val="00235041"/>
    <w:rsid w:val="00242384"/>
    <w:rsid w:val="002561CF"/>
    <w:rsid w:val="00273A89"/>
    <w:rsid w:val="002747EF"/>
    <w:rsid w:val="002828EF"/>
    <w:rsid w:val="0029194A"/>
    <w:rsid w:val="002A3F65"/>
    <w:rsid w:val="002A7F33"/>
    <w:rsid w:val="002B23A6"/>
    <w:rsid w:val="002D0A84"/>
    <w:rsid w:val="002D1D06"/>
    <w:rsid w:val="002E1ED5"/>
    <w:rsid w:val="002F0CBC"/>
    <w:rsid w:val="002F1A31"/>
    <w:rsid w:val="002F5959"/>
    <w:rsid w:val="002F59D2"/>
    <w:rsid w:val="002F6F68"/>
    <w:rsid w:val="002F7B87"/>
    <w:rsid w:val="00301AB3"/>
    <w:rsid w:val="00305041"/>
    <w:rsid w:val="00305407"/>
    <w:rsid w:val="00310787"/>
    <w:rsid w:val="00310FFD"/>
    <w:rsid w:val="00322D59"/>
    <w:rsid w:val="00326B88"/>
    <w:rsid w:val="003337AF"/>
    <w:rsid w:val="00341EB0"/>
    <w:rsid w:val="00346CF3"/>
    <w:rsid w:val="00355D53"/>
    <w:rsid w:val="0035749A"/>
    <w:rsid w:val="003704FD"/>
    <w:rsid w:val="00370DFF"/>
    <w:rsid w:val="003715D1"/>
    <w:rsid w:val="00371F47"/>
    <w:rsid w:val="003731AF"/>
    <w:rsid w:val="00376DD4"/>
    <w:rsid w:val="0037701F"/>
    <w:rsid w:val="00380827"/>
    <w:rsid w:val="00387606"/>
    <w:rsid w:val="00391626"/>
    <w:rsid w:val="00391DA8"/>
    <w:rsid w:val="003952C3"/>
    <w:rsid w:val="003B51D0"/>
    <w:rsid w:val="003B683D"/>
    <w:rsid w:val="003D0151"/>
    <w:rsid w:val="003E1835"/>
    <w:rsid w:val="003E25DC"/>
    <w:rsid w:val="003E3EAB"/>
    <w:rsid w:val="003E636B"/>
    <w:rsid w:val="003F15EC"/>
    <w:rsid w:val="00400274"/>
    <w:rsid w:val="00433311"/>
    <w:rsid w:val="004515C7"/>
    <w:rsid w:val="0046111C"/>
    <w:rsid w:val="004766ED"/>
    <w:rsid w:val="004774AE"/>
    <w:rsid w:val="004A022E"/>
    <w:rsid w:val="004A6408"/>
    <w:rsid w:val="004C2F56"/>
    <w:rsid w:val="004D6689"/>
    <w:rsid w:val="004D6D8D"/>
    <w:rsid w:val="004E582F"/>
    <w:rsid w:val="004F794A"/>
    <w:rsid w:val="005044A5"/>
    <w:rsid w:val="00506D6B"/>
    <w:rsid w:val="005139C5"/>
    <w:rsid w:val="00516205"/>
    <w:rsid w:val="00520192"/>
    <w:rsid w:val="00520283"/>
    <w:rsid w:val="00531C87"/>
    <w:rsid w:val="00534449"/>
    <w:rsid w:val="0053654A"/>
    <w:rsid w:val="00542BF2"/>
    <w:rsid w:val="005443FF"/>
    <w:rsid w:val="00546E12"/>
    <w:rsid w:val="005507D5"/>
    <w:rsid w:val="00550A2D"/>
    <w:rsid w:val="0055669E"/>
    <w:rsid w:val="00571FD3"/>
    <w:rsid w:val="00577CC6"/>
    <w:rsid w:val="005831AA"/>
    <w:rsid w:val="00585E84"/>
    <w:rsid w:val="005901B6"/>
    <w:rsid w:val="005966E5"/>
    <w:rsid w:val="005A34B2"/>
    <w:rsid w:val="005B765F"/>
    <w:rsid w:val="005B7E0C"/>
    <w:rsid w:val="005C5A8C"/>
    <w:rsid w:val="005D30E0"/>
    <w:rsid w:val="005E3FCF"/>
    <w:rsid w:val="005E501C"/>
    <w:rsid w:val="005E7392"/>
    <w:rsid w:val="005F027E"/>
    <w:rsid w:val="00601558"/>
    <w:rsid w:val="0060236A"/>
    <w:rsid w:val="00607A3C"/>
    <w:rsid w:val="006159AB"/>
    <w:rsid w:val="00616FF8"/>
    <w:rsid w:val="00621820"/>
    <w:rsid w:val="00631C89"/>
    <w:rsid w:val="00634CA2"/>
    <w:rsid w:val="00637AB6"/>
    <w:rsid w:val="00647A9B"/>
    <w:rsid w:val="0065166C"/>
    <w:rsid w:val="00651C16"/>
    <w:rsid w:val="006650B1"/>
    <w:rsid w:val="00670ED2"/>
    <w:rsid w:val="006759C3"/>
    <w:rsid w:val="00687716"/>
    <w:rsid w:val="00694315"/>
    <w:rsid w:val="00695DFB"/>
    <w:rsid w:val="006A1B5D"/>
    <w:rsid w:val="006B20D7"/>
    <w:rsid w:val="006B2FE1"/>
    <w:rsid w:val="006B699F"/>
    <w:rsid w:val="006E0D95"/>
    <w:rsid w:val="006E382A"/>
    <w:rsid w:val="006F0905"/>
    <w:rsid w:val="006F5E04"/>
    <w:rsid w:val="006F7EF7"/>
    <w:rsid w:val="0070315D"/>
    <w:rsid w:val="007043E9"/>
    <w:rsid w:val="00714706"/>
    <w:rsid w:val="00721216"/>
    <w:rsid w:val="0073445A"/>
    <w:rsid w:val="00741897"/>
    <w:rsid w:val="00751D41"/>
    <w:rsid w:val="00763448"/>
    <w:rsid w:val="007660FC"/>
    <w:rsid w:val="00772575"/>
    <w:rsid w:val="00781641"/>
    <w:rsid w:val="007A0AEB"/>
    <w:rsid w:val="007A1A6A"/>
    <w:rsid w:val="007B02EC"/>
    <w:rsid w:val="007B1358"/>
    <w:rsid w:val="007B57F4"/>
    <w:rsid w:val="007C4BD8"/>
    <w:rsid w:val="007C5F0A"/>
    <w:rsid w:val="007C77AE"/>
    <w:rsid w:val="007E3888"/>
    <w:rsid w:val="007E431B"/>
    <w:rsid w:val="00810A24"/>
    <w:rsid w:val="00817E26"/>
    <w:rsid w:val="00822491"/>
    <w:rsid w:val="008266A9"/>
    <w:rsid w:val="00826E40"/>
    <w:rsid w:val="008305BB"/>
    <w:rsid w:val="0083317C"/>
    <w:rsid w:val="008343C5"/>
    <w:rsid w:val="00853DF8"/>
    <w:rsid w:val="0085404D"/>
    <w:rsid w:val="00855816"/>
    <w:rsid w:val="008641D1"/>
    <w:rsid w:val="008764F7"/>
    <w:rsid w:val="00893808"/>
    <w:rsid w:val="008A1162"/>
    <w:rsid w:val="008A1359"/>
    <w:rsid w:val="008B43F1"/>
    <w:rsid w:val="008D0C13"/>
    <w:rsid w:val="008D0F6B"/>
    <w:rsid w:val="008E3E19"/>
    <w:rsid w:val="008E60B0"/>
    <w:rsid w:val="008F706E"/>
    <w:rsid w:val="009029A4"/>
    <w:rsid w:val="00902CA2"/>
    <w:rsid w:val="00910858"/>
    <w:rsid w:val="009119CA"/>
    <w:rsid w:val="00913266"/>
    <w:rsid w:val="00950D7C"/>
    <w:rsid w:val="00957D45"/>
    <w:rsid w:val="00963677"/>
    <w:rsid w:val="00965682"/>
    <w:rsid w:val="009746B9"/>
    <w:rsid w:val="00975083"/>
    <w:rsid w:val="00980706"/>
    <w:rsid w:val="00985352"/>
    <w:rsid w:val="00996E61"/>
    <w:rsid w:val="00997DCB"/>
    <w:rsid w:val="009B3EA4"/>
    <w:rsid w:val="009C053D"/>
    <w:rsid w:val="009C34CB"/>
    <w:rsid w:val="009E1EB8"/>
    <w:rsid w:val="009F2B0D"/>
    <w:rsid w:val="00A0186F"/>
    <w:rsid w:val="00A02DF2"/>
    <w:rsid w:val="00A03171"/>
    <w:rsid w:val="00A50CC4"/>
    <w:rsid w:val="00A56CFC"/>
    <w:rsid w:val="00A721AE"/>
    <w:rsid w:val="00A74A6E"/>
    <w:rsid w:val="00A801DC"/>
    <w:rsid w:val="00A84395"/>
    <w:rsid w:val="00A876EE"/>
    <w:rsid w:val="00AA4AAC"/>
    <w:rsid w:val="00AC65CC"/>
    <w:rsid w:val="00AD1819"/>
    <w:rsid w:val="00AD2A02"/>
    <w:rsid w:val="00AD5898"/>
    <w:rsid w:val="00AE52B6"/>
    <w:rsid w:val="00AF3284"/>
    <w:rsid w:val="00AF6C3A"/>
    <w:rsid w:val="00B21DE3"/>
    <w:rsid w:val="00B23AF1"/>
    <w:rsid w:val="00B40F01"/>
    <w:rsid w:val="00B43AA9"/>
    <w:rsid w:val="00B5051D"/>
    <w:rsid w:val="00B56CC0"/>
    <w:rsid w:val="00B62492"/>
    <w:rsid w:val="00B632AF"/>
    <w:rsid w:val="00B633AD"/>
    <w:rsid w:val="00B642F7"/>
    <w:rsid w:val="00B648ED"/>
    <w:rsid w:val="00B81D74"/>
    <w:rsid w:val="00B83FCB"/>
    <w:rsid w:val="00B850EC"/>
    <w:rsid w:val="00B93422"/>
    <w:rsid w:val="00B94CB0"/>
    <w:rsid w:val="00BA2ACA"/>
    <w:rsid w:val="00BD03EB"/>
    <w:rsid w:val="00BD1B3D"/>
    <w:rsid w:val="00BD55F8"/>
    <w:rsid w:val="00BE450A"/>
    <w:rsid w:val="00C069CD"/>
    <w:rsid w:val="00C12C56"/>
    <w:rsid w:val="00C14D49"/>
    <w:rsid w:val="00C17344"/>
    <w:rsid w:val="00C2022A"/>
    <w:rsid w:val="00C22585"/>
    <w:rsid w:val="00C30692"/>
    <w:rsid w:val="00C33E8E"/>
    <w:rsid w:val="00C417A1"/>
    <w:rsid w:val="00C559CA"/>
    <w:rsid w:val="00C629BD"/>
    <w:rsid w:val="00C67EF0"/>
    <w:rsid w:val="00C70346"/>
    <w:rsid w:val="00C70589"/>
    <w:rsid w:val="00C714CD"/>
    <w:rsid w:val="00C75329"/>
    <w:rsid w:val="00C81DD0"/>
    <w:rsid w:val="00C85804"/>
    <w:rsid w:val="00C85B43"/>
    <w:rsid w:val="00C85EE8"/>
    <w:rsid w:val="00C8670D"/>
    <w:rsid w:val="00CA5EEE"/>
    <w:rsid w:val="00CC23A3"/>
    <w:rsid w:val="00CC2758"/>
    <w:rsid w:val="00CC6074"/>
    <w:rsid w:val="00CD3C2F"/>
    <w:rsid w:val="00CE4C32"/>
    <w:rsid w:val="00CF2B84"/>
    <w:rsid w:val="00CF49CA"/>
    <w:rsid w:val="00CF5E75"/>
    <w:rsid w:val="00D006D2"/>
    <w:rsid w:val="00D02AD4"/>
    <w:rsid w:val="00D03C27"/>
    <w:rsid w:val="00D07D4E"/>
    <w:rsid w:val="00D10C27"/>
    <w:rsid w:val="00D23AC5"/>
    <w:rsid w:val="00D25EA4"/>
    <w:rsid w:val="00D275C7"/>
    <w:rsid w:val="00D30A10"/>
    <w:rsid w:val="00D34E2D"/>
    <w:rsid w:val="00D43385"/>
    <w:rsid w:val="00D47860"/>
    <w:rsid w:val="00D522B5"/>
    <w:rsid w:val="00D6717F"/>
    <w:rsid w:val="00D76B09"/>
    <w:rsid w:val="00D866B5"/>
    <w:rsid w:val="00D86788"/>
    <w:rsid w:val="00D86D08"/>
    <w:rsid w:val="00D87764"/>
    <w:rsid w:val="00D9379D"/>
    <w:rsid w:val="00DB3E31"/>
    <w:rsid w:val="00DB7719"/>
    <w:rsid w:val="00DC0E46"/>
    <w:rsid w:val="00DC6AC2"/>
    <w:rsid w:val="00DC6B65"/>
    <w:rsid w:val="00DD477D"/>
    <w:rsid w:val="00DD7709"/>
    <w:rsid w:val="00DF160D"/>
    <w:rsid w:val="00DF62E0"/>
    <w:rsid w:val="00E01165"/>
    <w:rsid w:val="00E020AE"/>
    <w:rsid w:val="00E14C5B"/>
    <w:rsid w:val="00E22271"/>
    <w:rsid w:val="00E25072"/>
    <w:rsid w:val="00E25EBD"/>
    <w:rsid w:val="00E34906"/>
    <w:rsid w:val="00E40A67"/>
    <w:rsid w:val="00E47CAD"/>
    <w:rsid w:val="00E53990"/>
    <w:rsid w:val="00E7575E"/>
    <w:rsid w:val="00E86A6C"/>
    <w:rsid w:val="00E939CA"/>
    <w:rsid w:val="00EA0812"/>
    <w:rsid w:val="00EA4C62"/>
    <w:rsid w:val="00EB582A"/>
    <w:rsid w:val="00ED1843"/>
    <w:rsid w:val="00F01653"/>
    <w:rsid w:val="00F05563"/>
    <w:rsid w:val="00F16650"/>
    <w:rsid w:val="00F254A8"/>
    <w:rsid w:val="00F267AD"/>
    <w:rsid w:val="00F320A5"/>
    <w:rsid w:val="00F4082F"/>
    <w:rsid w:val="00F43F18"/>
    <w:rsid w:val="00F6673A"/>
    <w:rsid w:val="00F81E48"/>
    <w:rsid w:val="00F87571"/>
    <w:rsid w:val="00F91EE4"/>
    <w:rsid w:val="00F95E26"/>
    <w:rsid w:val="00FA278E"/>
    <w:rsid w:val="00FB4FA5"/>
    <w:rsid w:val="00FB6179"/>
    <w:rsid w:val="00FB61DD"/>
    <w:rsid w:val="00FC309B"/>
    <w:rsid w:val="00FC3FE8"/>
    <w:rsid w:val="00FD61B0"/>
    <w:rsid w:val="00FE1C08"/>
    <w:rsid w:val="00FF7C5B"/>
  </w:rsids>
  <m:mathPr>
    <m:mathFont m:val="Cambria Math"/>
    <m:brkBin m:val="before"/>
    <m:brkBinSub m:val="--"/>
    <m:smallFrac m:val="0"/>
    <m:dispDef/>
    <m:lMargin m:val="0"/>
    <m:rMargin m:val="0"/>
    <m:defJc m:val="centerGroup"/>
    <m:wrapIndent m:val="1440"/>
    <m:intLim m:val="subSup"/>
    <m:naryLim m:val="undOvr"/>
  </m:mathPr>
  <w:themeFontLang w:val="nl-N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34317"/>
  <w15:chartTrackingRefBased/>
  <w15:docId w15:val="{E258C830-A50B-4CEB-BC67-80AC66CE8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nl-N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Standaard">
    <w:name w:val="Normal"/>
    <w:qFormat/>
  </w:style>
  <w:style w:type="paragraph" w:styleId="Kop1">
    <w:name w:val="heading 1"/>
    <w:basedOn w:val="Standaard"/>
    <w:next w:val="Standaard"/>
    <w:link w:val="Kop1Char"/>
    <w:uiPriority w:val="9"/>
    <w:qFormat/>
    <w:rsid w:val="005B7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styleId="Hyperlink">
    <w:name w:val="Hyperlink"/>
    <w:basedOn w:val="Standaardalinea-lettertype"/>
    <w:uiPriority w:val="99"/>
    <w:unhideWhenUsed/>
    <w:rsid w:val="007E3888"/>
    <w:rPr>
      <w:color w:val="0563C1" w:themeColor="hyperlink"/>
      <w:u w:val="single"/>
    </w:rPr>
  </w:style>
  <w:style w:type="character" w:styleId="Onopgelostemelding">
    <w:name w:val="Unresolved Mention"/>
    <w:basedOn w:val="Standaardalinea-lettertype"/>
    <w:uiPriority w:val="99"/>
    <w:semiHidden/>
    <w:unhideWhenUsed/>
    <w:rsid w:val="007E3888"/>
    <w:rPr>
      <w:color w:val="605E5C"/>
      <w:shd w:val="clear" w:color="auto" w:fill="E1DFDD"/>
    </w:rPr>
  </w:style>
  <w:style w:type="paragraph" w:styleId="Koptekst">
    <w:name w:val="header"/>
    <w:basedOn w:val="Standaard"/>
    <w:link w:val="KoptekstChar"/>
    <w:uiPriority w:val="99"/>
    <w:unhideWhenUsed/>
    <w:rsid w:val="00F91EE4"/>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F91EE4"/>
  </w:style>
  <w:style w:type="paragraph" w:styleId="Voettekst">
    <w:name w:val="footer"/>
    <w:basedOn w:val="Standaard"/>
    <w:link w:val="VoettekstChar"/>
    <w:uiPriority w:val="99"/>
    <w:unhideWhenUsed/>
    <w:rsid w:val="00F91EE4"/>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F91EE4"/>
  </w:style>
  <w:style w:type="character" w:customStyle="1" w:styleId="Kop1Char">
    <w:name w:val="Kop 1 Char"/>
    <w:basedOn w:val="Standaardalinea-lettertype"/>
    <w:link w:val="Kop1"/>
    <w:uiPriority w:val="9"/>
    <w:rsid w:val="005B7E0C"/>
    <w:rPr>
      <w:rFonts w:asciiTheme="majorHAnsi" w:eastAsiaTheme="majorEastAsia" w:hAnsiTheme="majorHAnsi" w:cstheme="majorBidi"/>
      <w:color w:val="2F5496" w:themeColor="accent1" w:themeShade="BF"/>
      <w:sz w:val="32"/>
      <w:szCs w:val="32"/>
    </w:rPr>
  </w:style>
  <w:style w:type="paragraph" w:styleId="Kopvaninhoudsopgave">
    <w:name w:val="TOC Heading"/>
    <w:basedOn w:val="Kop1"/>
    <w:next w:val="Standaard"/>
    <w:uiPriority w:val="39"/>
    <w:unhideWhenUsed/>
    <w:qFormat/>
    <w:rsid w:val="005B7E0C"/>
    <w:pPr>
      <w:outlineLvl w:val="9"/>
    </w:pPr>
    <w:rPr>
      <w:lang w:val="en-GB" w:eastAsia="en-GB"/>
    </w:rPr>
  </w:style>
  <w:style w:type="paragraph" w:styleId="Inhopg1">
    <w:name w:val="toc 1"/>
    <w:basedOn w:val="Standaard"/>
    <w:next w:val="Standaard"/>
    <w:autoRedefine/>
    <w:uiPriority w:val="39"/>
    <w:unhideWhenUsed/>
    <w:rsid w:val="005B7E0C"/>
    <w:pPr>
      <w:spacing w:after="100"/>
    </w:pPr>
  </w:style>
  <w:style w:type="paragraph" w:customStyle="1" w:styleId="Body">
    <w:name w:val="Body"/>
    <w:rsid w:val="00C81DD0"/>
    <w:pPr>
      <w:pBdr>
        <w:top w:val="nil"/>
        <w:left w:val="nil"/>
        <w:bottom w:val="nil"/>
        <w:right w:val="nil"/>
        <w:between w:val="nil"/>
        <w:bar w:val="nil"/>
      </w:pBdr>
    </w:pPr>
    <w:rPr>
      <w:rFonts w:ascii="Calibri" w:eastAsia="Calibri" w:hAnsi="Calibri" w:cs="Calibri"/>
      <w:color w:val="000000"/>
      <w:u w:color="000000"/>
      <w:bdr w:val="nil"/>
      <w:lang w:eastAsia="nl-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irr.hartsem.edu/ency/"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49520B-A436-4368-8704-6733FED77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2202</TotalTime>
  <Pages>6</Pages>
  <Words>2164</Words>
  <Characters>12335</Characters>
  <Application>Microsoft Office Word</Application>
  <DocSecurity>0</DocSecurity>
  <Lines>102</Lines>
  <Paragraphs>28</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 Bakker</dc:creator>
  <cp:keywords/>
  <dc:description/>
  <cp:lastModifiedBy>Britt Bakker</cp:lastModifiedBy>
  <cp:revision>384</cp:revision>
  <dcterms:created xsi:type="dcterms:W3CDTF">2018-10-05T14:27:00Z</dcterms:created>
  <dcterms:modified xsi:type="dcterms:W3CDTF">2018-11-19T15:54:00Z</dcterms:modified>
</cp:coreProperties>
</file>