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2D5362" w14:textId="3DF07282" w:rsidR="00DC698D" w:rsidRPr="00DC1501" w:rsidRDefault="00DC698D" w:rsidP="00DC1501">
      <w:pPr>
        <w:spacing w:line="360" w:lineRule="auto"/>
        <w:jc w:val="center"/>
        <w:rPr>
          <w:b/>
          <w:sz w:val="32"/>
          <w:szCs w:val="24"/>
        </w:rPr>
      </w:pPr>
      <w:r w:rsidRPr="00DC1501">
        <w:rPr>
          <w:b/>
          <w:sz w:val="32"/>
          <w:szCs w:val="24"/>
        </w:rPr>
        <w:t>A critical analysis of the relationship between teacher subject knowledge and effective learning and teaching in the primary school</w:t>
      </w:r>
    </w:p>
    <w:p w14:paraId="694E8D2E" w14:textId="14724BC8" w:rsidR="006354F9" w:rsidRPr="00DC1501" w:rsidRDefault="006354F9" w:rsidP="00DC1501">
      <w:pPr>
        <w:spacing w:line="360" w:lineRule="auto"/>
        <w:rPr>
          <w:sz w:val="24"/>
          <w:szCs w:val="24"/>
        </w:rPr>
      </w:pPr>
      <w:r w:rsidRPr="00DC1501">
        <w:rPr>
          <w:sz w:val="24"/>
          <w:szCs w:val="24"/>
        </w:rPr>
        <w:t>In this essay I will first review the varied literature surrounding the basis, effects and implications of teacher subject knowledge. This review will begin with the origin of the study of teacher subject knowledge and why it is important before ex</w:t>
      </w:r>
      <w:bookmarkStart w:id="0" w:name="_GoBack"/>
      <w:bookmarkEnd w:id="0"/>
      <w:r w:rsidRPr="00DC1501">
        <w:rPr>
          <w:sz w:val="24"/>
          <w:szCs w:val="24"/>
        </w:rPr>
        <w:t>amining how it has evolved and produced some of the research produced in recent years.</w:t>
      </w:r>
    </w:p>
    <w:p w14:paraId="7FD1FAA3" w14:textId="0A26B3FA" w:rsidR="006354F9" w:rsidRPr="00DC1501" w:rsidRDefault="006354F9" w:rsidP="00DC1501">
      <w:pPr>
        <w:spacing w:line="360" w:lineRule="auto"/>
        <w:rPr>
          <w:sz w:val="24"/>
          <w:szCs w:val="24"/>
        </w:rPr>
      </w:pPr>
      <w:r w:rsidRPr="00DC1501">
        <w:rPr>
          <w:sz w:val="24"/>
          <w:szCs w:val="24"/>
        </w:rPr>
        <w:t xml:space="preserve">After reviewing the </w:t>
      </w:r>
      <w:proofErr w:type="gramStart"/>
      <w:r w:rsidRPr="00DC1501">
        <w:rPr>
          <w:sz w:val="24"/>
          <w:szCs w:val="24"/>
        </w:rPr>
        <w:t>literature</w:t>
      </w:r>
      <w:proofErr w:type="gramEnd"/>
      <w:r w:rsidRPr="00DC1501">
        <w:rPr>
          <w:sz w:val="24"/>
          <w:szCs w:val="24"/>
        </w:rPr>
        <w:t xml:space="preserve"> I will analyse and reflect upon my own thoughts and experiences regarding my knowledge and how it was critical during my recent Professional Teaching Experience (PTE) within a primary school. In accordance with safeguarding standards the name of the school and any other information that may identify staff or students will be kept anonymous.</w:t>
      </w:r>
    </w:p>
    <w:p w14:paraId="17755EF3" w14:textId="6484CD54" w:rsidR="006354F9" w:rsidRPr="00DC1501" w:rsidRDefault="00212BE1" w:rsidP="00DC1501">
      <w:pPr>
        <w:spacing w:line="360" w:lineRule="auto"/>
        <w:rPr>
          <w:sz w:val="24"/>
          <w:szCs w:val="24"/>
        </w:rPr>
      </w:pPr>
      <w:r w:rsidRPr="00DC1501">
        <w:rPr>
          <w:sz w:val="24"/>
          <w:szCs w:val="24"/>
        </w:rPr>
        <w:t xml:space="preserve">The school in which I completed my PTE </w:t>
      </w:r>
      <w:r w:rsidR="00DC698D" w:rsidRPr="00DC1501">
        <w:rPr>
          <w:sz w:val="24"/>
          <w:szCs w:val="24"/>
        </w:rPr>
        <w:t xml:space="preserve">educates pupils aged 3 to 11 and had, as of 2015 (Estyn, 2015), had over 450 pupils on roll. The school teaches through the medium of English with very few pupils speaking Welsh or any other languages at home as a first or second language. At the time of the report approximately 53% of pupils were eligible for free school meals and it is still around that, this is well above local authority and national averages. This </w:t>
      </w:r>
      <w:proofErr w:type="gramStart"/>
      <w:r w:rsidR="00DC698D" w:rsidRPr="00DC1501">
        <w:rPr>
          <w:sz w:val="24"/>
          <w:szCs w:val="24"/>
        </w:rPr>
        <w:t>is a reflection of</w:t>
      </w:r>
      <w:proofErr w:type="gramEnd"/>
      <w:r w:rsidR="00DC698D" w:rsidRPr="00DC1501">
        <w:rPr>
          <w:sz w:val="24"/>
          <w:szCs w:val="24"/>
        </w:rPr>
        <w:t xml:space="preserve"> the poverty and deprivation experienced in the local authority with the area this school is located in being affected particularly severely.</w:t>
      </w:r>
    </w:p>
    <w:p w14:paraId="55C5F4B5" w14:textId="46CC58B5" w:rsidR="00DC698D" w:rsidRDefault="00DC698D" w:rsidP="00DC1501">
      <w:pPr>
        <w:spacing w:line="360" w:lineRule="auto"/>
        <w:rPr>
          <w:sz w:val="24"/>
          <w:szCs w:val="24"/>
        </w:rPr>
      </w:pPr>
      <w:r w:rsidRPr="00DC1501">
        <w:rPr>
          <w:sz w:val="24"/>
          <w:szCs w:val="24"/>
        </w:rPr>
        <w:t xml:space="preserve">The school has 13 different mixed-age classes. I completed my PTE within a Year 3 and 4 class containing 28 pupils, 13 males and 15 females, all aged between 7 and 9 years old. There were no additional adults regularly in the class, just the class teacher and </w:t>
      </w:r>
      <w:proofErr w:type="gramStart"/>
      <w:r w:rsidRPr="00DC1501">
        <w:rPr>
          <w:sz w:val="24"/>
          <w:szCs w:val="24"/>
        </w:rPr>
        <w:t>I.</w:t>
      </w:r>
      <w:proofErr w:type="gramEnd"/>
    </w:p>
    <w:p w14:paraId="2873E588" w14:textId="24E0DE12" w:rsidR="00DC1501" w:rsidRPr="00DC1501" w:rsidRDefault="00DC1501" w:rsidP="00DC1501">
      <w:pPr>
        <w:spacing w:line="360" w:lineRule="auto"/>
        <w:rPr>
          <w:i/>
          <w:sz w:val="28"/>
          <w:szCs w:val="24"/>
        </w:rPr>
      </w:pPr>
      <w:r w:rsidRPr="00DC1501">
        <w:rPr>
          <w:i/>
          <w:sz w:val="28"/>
          <w:szCs w:val="24"/>
        </w:rPr>
        <w:t>Literature Review</w:t>
      </w:r>
    </w:p>
    <w:p w14:paraId="5FAC2AA4" w14:textId="16E91FE8" w:rsidR="00DC698D" w:rsidRPr="00DC1501" w:rsidRDefault="00B452CF" w:rsidP="00DC1501">
      <w:pPr>
        <w:spacing w:line="360" w:lineRule="auto"/>
        <w:rPr>
          <w:sz w:val="24"/>
          <w:szCs w:val="24"/>
        </w:rPr>
      </w:pPr>
      <w:r w:rsidRPr="00DC1501">
        <w:rPr>
          <w:sz w:val="24"/>
          <w:szCs w:val="24"/>
        </w:rPr>
        <w:t xml:space="preserve">Effective teaching is the goal of all educators at all levels and ages. Effective teaching can be defined as teaching which leads to improved student achievement measured against outcomes that have been determined to impact their future success. However, defining effective teaching is particularly complex and troublesome. Originally the idea that teaching </w:t>
      </w:r>
      <w:r w:rsidRPr="00DC1501">
        <w:rPr>
          <w:sz w:val="24"/>
          <w:szCs w:val="24"/>
        </w:rPr>
        <w:lastRenderedPageBreak/>
        <w:t>is an art as opposed to a science was used to support arguments that attempting to define and narrow the concept of effective teaching was futile (Sammons, 1996).</w:t>
      </w:r>
    </w:p>
    <w:p w14:paraId="0879D3F0" w14:textId="6C1D6D05" w:rsidR="00B452CF" w:rsidRPr="00DC1501" w:rsidRDefault="00B452CF" w:rsidP="00DC1501">
      <w:pPr>
        <w:spacing w:line="360" w:lineRule="auto"/>
        <w:rPr>
          <w:sz w:val="24"/>
          <w:szCs w:val="24"/>
        </w:rPr>
      </w:pPr>
      <w:r w:rsidRPr="00DC1501">
        <w:rPr>
          <w:sz w:val="24"/>
          <w:szCs w:val="24"/>
        </w:rPr>
        <w:t>Nowadays it is widely accepted that there is a formula that can define what is and what is not effective teaching, however this can vary greatly for different contexts, certain age groups of students and differing abilities of the students. It is vital to acknowledge that the focus on outcomes apparent in defining effective teaching reflects the educati</w:t>
      </w:r>
      <w:r w:rsidR="00312FE1" w:rsidRPr="00DC1501">
        <w:rPr>
          <w:sz w:val="24"/>
          <w:szCs w:val="24"/>
        </w:rPr>
        <w:t>on system and the priorities present there (</w:t>
      </w:r>
      <w:proofErr w:type="spellStart"/>
      <w:r w:rsidR="00312FE1" w:rsidRPr="00DC1501">
        <w:rPr>
          <w:sz w:val="24"/>
          <w:szCs w:val="24"/>
        </w:rPr>
        <w:t>Stufflebeam</w:t>
      </w:r>
      <w:proofErr w:type="spellEnd"/>
      <w:r w:rsidR="00312FE1" w:rsidRPr="00DC1501">
        <w:rPr>
          <w:sz w:val="24"/>
          <w:szCs w:val="24"/>
        </w:rPr>
        <w:t xml:space="preserve"> &amp; </w:t>
      </w:r>
      <w:proofErr w:type="spellStart"/>
      <w:r w:rsidR="00312FE1" w:rsidRPr="00DC1501">
        <w:rPr>
          <w:sz w:val="24"/>
          <w:szCs w:val="24"/>
        </w:rPr>
        <w:t>Shinkfield</w:t>
      </w:r>
      <w:proofErr w:type="spellEnd"/>
      <w:r w:rsidR="00312FE1" w:rsidRPr="00DC1501">
        <w:rPr>
          <w:sz w:val="24"/>
          <w:szCs w:val="24"/>
        </w:rPr>
        <w:t>, 1995). For example, one aspect of effectiveness is if a teacher “can accomplish the planned goals and assigned tasks in accordance with school goals” (Campbell et al, 2004: 61).</w:t>
      </w:r>
    </w:p>
    <w:p w14:paraId="3FEC599E" w14:textId="31914AF3" w:rsidR="00312FE1" w:rsidRPr="00DC1501" w:rsidRDefault="00312FE1" w:rsidP="00DC1501">
      <w:pPr>
        <w:spacing w:line="360" w:lineRule="auto"/>
        <w:rPr>
          <w:sz w:val="24"/>
          <w:szCs w:val="24"/>
        </w:rPr>
      </w:pPr>
      <w:r w:rsidRPr="00DC1501">
        <w:rPr>
          <w:sz w:val="24"/>
          <w:szCs w:val="24"/>
        </w:rPr>
        <w:t>However</w:t>
      </w:r>
      <w:r w:rsidR="00B65F3C" w:rsidRPr="00DC1501">
        <w:rPr>
          <w:sz w:val="24"/>
          <w:szCs w:val="24"/>
        </w:rPr>
        <w:t>,</w:t>
      </w:r>
      <w:r w:rsidRPr="00DC1501">
        <w:rPr>
          <w:sz w:val="24"/>
          <w:szCs w:val="24"/>
        </w:rPr>
        <w:t xml:space="preserve"> examining teacher effectiveness through a goal-orientated lens can often lead to ignoring the other purposes of education – namely the important social, behavioural and cultural impacts it can have on pupils. </w:t>
      </w:r>
      <w:r w:rsidR="00DD651E" w:rsidRPr="00DC1501">
        <w:rPr>
          <w:sz w:val="24"/>
          <w:szCs w:val="24"/>
        </w:rPr>
        <w:t xml:space="preserve">Benefits such as these can develop students as citizens, encourage a lifelong thirst for learning and promote the physical and emotional wellbeing. In recent years aspects such as these have benefited from a greater focus that has resulted in their inclusion on certain curricula (Donaldson, 2015). </w:t>
      </w:r>
    </w:p>
    <w:p w14:paraId="0DCC1A8F" w14:textId="4CE5281B" w:rsidR="00BD5EBA" w:rsidRPr="00DC1501" w:rsidRDefault="006E22C3" w:rsidP="00DC1501">
      <w:pPr>
        <w:spacing w:line="360" w:lineRule="auto"/>
        <w:rPr>
          <w:sz w:val="24"/>
          <w:szCs w:val="24"/>
        </w:rPr>
      </w:pPr>
      <w:r w:rsidRPr="00DC1501">
        <w:rPr>
          <w:sz w:val="24"/>
          <w:szCs w:val="24"/>
        </w:rPr>
        <w:t xml:space="preserve">As Shulman (1987) identified, much of the earlier work on teacher and their expertise focused on their ability to manage a classroom. Managing disruption and promoting positive behaviour and attentiveness </w:t>
      </w:r>
      <w:proofErr w:type="gramStart"/>
      <w:r w:rsidRPr="00DC1501">
        <w:rPr>
          <w:sz w:val="24"/>
          <w:szCs w:val="24"/>
        </w:rPr>
        <w:t>was seen as</w:t>
      </w:r>
      <w:proofErr w:type="gramEnd"/>
      <w:r w:rsidRPr="00DC1501">
        <w:rPr>
          <w:sz w:val="24"/>
          <w:szCs w:val="24"/>
        </w:rPr>
        <w:t xml:space="preserve"> the key to effective teaching (Gage, 1986). Whilst this aspect of teaching is still critical, and still seen as such in the literature, effective teaching now encompasses other duties that are expected of teachers in the present day. This is partly due to the idea that teaching is no longer simply an instructional role, many current teachers will be engaging in pastoral work within their own classroom, undertaking leadership roles within the school </w:t>
      </w:r>
      <w:proofErr w:type="gramStart"/>
      <w:r w:rsidRPr="00DC1501">
        <w:rPr>
          <w:sz w:val="24"/>
          <w:szCs w:val="24"/>
        </w:rPr>
        <w:t>and also</w:t>
      </w:r>
      <w:proofErr w:type="gramEnd"/>
      <w:r w:rsidRPr="00DC1501">
        <w:rPr>
          <w:sz w:val="24"/>
          <w:szCs w:val="24"/>
        </w:rPr>
        <w:t xml:space="preserve"> engaging in numerous personal development programmes for themselves and their colleagues (Little, </w:t>
      </w:r>
      <w:proofErr w:type="spellStart"/>
      <w:r w:rsidRPr="00DC1501">
        <w:rPr>
          <w:sz w:val="24"/>
          <w:szCs w:val="24"/>
        </w:rPr>
        <w:t>Goe</w:t>
      </w:r>
      <w:proofErr w:type="spellEnd"/>
      <w:r w:rsidRPr="00DC1501">
        <w:rPr>
          <w:sz w:val="24"/>
          <w:szCs w:val="24"/>
        </w:rPr>
        <w:t xml:space="preserve"> &amp; Bell, 2009). All aspects mentioned as important in order to become, and stay, an effective teacher (Ko, 2010). </w:t>
      </w:r>
    </w:p>
    <w:p w14:paraId="3B98C736" w14:textId="1EE5F9A6" w:rsidR="000A070A" w:rsidRPr="00DC1501" w:rsidRDefault="000A070A" w:rsidP="00DC1501">
      <w:pPr>
        <w:spacing w:line="360" w:lineRule="auto"/>
        <w:rPr>
          <w:sz w:val="24"/>
          <w:szCs w:val="24"/>
        </w:rPr>
      </w:pPr>
      <w:r w:rsidRPr="00DC1501">
        <w:rPr>
          <w:sz w:val="24"/>
          <w:szCs w:val="24"/>
        </w:rPr>
        <w:t xml:space="preserve">Research into education, and teacher subject knowledge more specifically, has grown in popularity and focus since the 1980s onwards </w:t>
      </w:r>
      <w:bookmarkStart w:id="1" w:name="_Hlk534967075"/>
      <w:r w:rsidRPr="00DC1501">
        <w:rPr>
          <w:sz w:val="24"/>
          <w:szCs w:val="24"/>
        </w:rPr>
        <w:t>(Clark, 1989</w:t>
      </w:r>
      <w:bookmarkEnd w:id="1"/>
      <w:r w:rsidRPr="00DC1501">
        <w:rPr>
          <w:sz w:val="24"/>
          <w:szCs w:val="24"/>
        </w:rPr>
        <w:t>; Calderhead, 198</w:t>
      </w:r>
      <w:bookmarkStart w:id="2" w:name="_Hlk534967091"/>
      <w:r w:rsidR="00B60B0E" w:rsidRPr="00DC1501">
        <w:rPr>
          <w:sz w:val="24"/>
          <w:szCs w:val="24"/>
        </w:rPr>
        <w:t>9</w:t>
      </w:r>
      <w:r w:rsidRPr="00DC1501">
        <w:rPr>
          <w:sz w:val="24"/>
          <w:szCs w:val="24"/>
        </w:rPr>
        <w:t>). McIntyre and Morrison (1977)</w:t>
      </w:r>
      <w:bookmarkEnd w:id="2"/>
      <w:r w:rsidRPr="00DC1501">
        <w:rPr>
          <w:sz w:val="24"/>
          <w:szCs w:val="24"/>
        </w:rPr>
        <w:t xml:space="preserve"> are partly responsible for this increased interest after proposing that trying to understand why a teacher behaves as they do is insufficient unless there is some effort </w:t>
      </w:r>
      <w:r w:rsidRPr="00DC1501">
        <w:rPr>
          <w:sz w:val="24"/>
          <w:szCs w:val="24"/>
        </w:rPr>
        <w:lastRenderedPageBreak/>
        <w:t xml:space="preserve">devoted to attempting to rationalise their reasoning and examine the beliefs they hold, as these will be key factors contributing to their behaviour. </w:t>
      </w:r>
    </w:p>
    <w:p w14:paraId="6ABBE34D" w14:textId="661D163F" w:rsidR="000A070A" w:rsidRPr="00DC1501" w:rsidRDefault="000A070A" w:rsidP="00DC1501">
      <w:pPr>
        <w:spacing w:line="360" w:lineRule="auto"/>
        <w:rPr>
          <w:sz w:val="24"/>
          <w:szCs w:val="24"/>
        </w:rPr>
      </w:pPr>
      <w:proofErr w:type="gramStart"/>
      <w:r w:rsidRPr="00DC1501">
        <w:rPr>
          <w:sz w:val="24"/>
          <w:szCs w:val="24"/>
        </w:rPr>
        <w:t>The majority of</w:t>
      </w:r>
      <w:proofErr w:type="gramEnd"/>
      <w:r w:rsidRPr="00DC1501">
        <w:rPr>
          <w:sz w:val="24"/>
          <w:szCs w:val="24"/>
        </w:rPr>
        <w:t xml:space="preserve"> research in to teacher subject knowledge has its roots in the psychological efforts to examine the development of knowledge in people. </w:t>
      </w:r>
      <w:bookmarkStart w:id="3" w:name="_Hlk534967208"/>
      <w:r w:rsidRPr="00DC1501">
        <w:rPr>
          <w:sz w:val="24"/>
          <w:szCs w:val="24"/>
        </w:rPr>
        <w:t xml:space="preserve">Piaget (1950, 1971) </w:t>
      </w:r>
      <w:bookmarkEnd w:id="3"/>
      <w:r w:rsidRPr="00DC1501">
        <w:rPr>
          <w:sz w:val="24"/>
          <w:szCs w:val="24"/>
        </w:rPr>
        <w:t xml:space="preserve">has had the greatest influence on this particular style and area of research with his attempts to evaluate how an individual gains knowledge and how they </w:t>
      </w:r>
      <w:proofErr w:type="gramStart"/>
      <w:r w:rsidRPr="00DC1501">
        <w:rPr>
          <w:sz w:val="24"/>
          <w:szCs w:val="24"/>
        </w:rPr>
        <w:t>reason</w:t>
      </w:r>
      <w:proofErr w:type="gramEnd"/>
      <w:r w:rsidRPr="00DC1501">
        <w:rPr>
          <w:sz w:val="24"/>
          <w:szCs w:val="24"/>
        </w:rPr>
        <w:t xml:space="preserve"> and this works influences the study of education greatly within the constructivist approach </w:t>
      </w:r>
      <w:bookmarkStart w:id="4" w:name="_Hlk534967368"/>
      <w:r w:rsidRPr="00DC1501">
        <w:rPr>
          <w:sz w:val="24"/>
          <w:szCs w:val="24"/>
        </w:rPr>
        <w:t>(Greeno et al., 1996).</w:t>
      </w:r>
      <w:bookmarkEnd w:id="4"/>
      <w:r w:rsidR="00E461D2" w:rsidRPr="00DC1501">
        <w:rPr>
          <w:sz w:val="24"/>
          <w:szCs w:val="24"/>
        </w:rPr>
        <w:t xml:space="preserve"> While the majority of educational research has consisted of tests of the </w:t>
      </w:r>
      <w:proofErr w:type="gramStart"/>
      <w:r w:rsidR="00E461D2" w:rsidRPr="00DC1501">
        <w:rPr>
          <w:sz w:val="24"/>
          <w:szCs w:val="24"/>
        </w:rPr>
        <w:t>teachers</w:t>
      </w:r>
      <w:proofErr w:type="gramEnd"/>
      <w:r w:rsidR="00E461D2" w:rsidRPr="00DC1501">
        <w:rPr>
          <w:sz w:val="24"/>
          <w:szCs w:val="24"/>
        </w:rPr>
        <w:t xml:space="preserve"> knowledge, either by exams or interviews, some research, such as the Knowledge Quartet, can be used to identify situations in which knowledge or the lack of it are apparent during teaching (Rowland, 2014). An implication of this advancement could be </w:t>
      </w:r>
      <w:r w:rsidR="00BB3A6A" w:rsidRPr="00DC1501">
        <w:rPr>
          <w:sz w:val="24"/>
          <w:szCs w:val="24"/>
        </w:rPr>
        <w:t xml:space="preserve">that </w:t>
      </w:r>
      <w:proofErr w:type="gramStart"/>
      <w:r w:rsidR="00BB3A6A" w:rsidRPr="00DC1501">
        <w:rPr>
          <w:sz w:val="24"/>
          <w:szCs w:val="24"/>
        </w:rPr>
        <w:t>teachers</w:t>
      </w:r>
      <w:proofErr w:type="gramEnd"/>
      <w:r w:rsidR="00BB3A6A" w:rsidRPr="00DC1501">
        <w:rPr>
          <w:sz w:val="24"/>
          <w:szCs w:val="24"/>
        </w:rPr>
        <w:t xml:space="preserve"> subject knowledge can be measured more accurately. In addition to increased accuracy the impact of personal differences will also be lessened by using a quantifiable tool. Although a lesson observation creates it own unique stress due to the demands of teaching a lesson and the inability to solely focus on the observation aspect of it, there could be benefits to the teacher in having their subject knowledge assessed in that way as opposed to </w:t>
      </w:r>
      <w:proofErr w:type="gramStart"/>
      <w:r w:rsidR="00BB3A6A" w:rsidRPr="00DC1501">
        <w:rPr>
          <w:sz w:val="24"/>
          <w:szCs w:val="24"/>
        </w:rPr>
        <w:t>a</w:t>
      </w:r>
      <w:proofErr w:type="gramEnd"/>
      <w:r w:rsidR="00BB3A6A" w:rsidRPr="00DC1501">
        <w:rPr>
          <w:sz w:val="24"/>
          <w:szCs w:val="24"/>
        </w:rPr>
        <w:t xml:space="preserve"> exam or an interview. Assessments in that manner should soften the effect of nerves on the teachers results.</w:t>
      </w:r>
    </w:p>
    <w:p w14:paraId="04EB6727" w14:textId="14D1C39E" w:rsidR="008C2441" w:rsidRPr="00DC1501" w:rsidRDefault="008C2441" w:rsidP="00DC1501">
      <w:pPr>
        <w:spacing w:line="360" w:lineRule="auto"/>
        <w:rPr>
          <w:sz w:val="24"/>
          <w:szCs w:val="24"/>
        </w:rPr>
      </w:pPr>
      <w:r w:rsidRPr="00DC1501">
        <w:rPr>
          <w:sz w:val="24"/>
          <w:szCs w:val="24"/>
        </w:rPr>
        <w:t xml:space="preserve">The Knowledge Quartet (KQ) consists of foundation: the theoretical underpinning of pedagogy, identifying pupils errors correctly, overt displays of subject knowledge; transformation: ability to model techniques, use of instructional materials and ability to choose adequate examples; connection: making connections between concepts, recognising conceptual appropriateness; and finally contingency: responding to ideas proposed by pupils, deviating from the lesson plan, providing insight, being able to respond appropriately to the lack of appropriate tools and resources. </w:t>
      </w:r>
    </w:p>
    <w:p w14:paraId="4E4A498F" w14:textId="6DEE35E3" w:rsidR="008C2441" w:rsidRPr="00DC1501" w:rsidRDefault="008C2441" w:rsidP="00DC1501">
      <w:pPr>
        <w:spacing w:line="360" w:lineRule="auto"/>
        <w:rPr>
          <w:sz w:val="24"/>
          <w:szCs w:val="24"/>
        </w:rPr>
      </w:pPr>
      <w:r w:rsidRPr="00DC1501">
        <w:rPr>
          <w:sz w:val="24"/>
          <w:szCs w:val="24"/>
        </w:rPr>
        <w:t>The KQ has been used consistently to</w:t>
      </w:r>
      <w:bookmarkStart w:id="5" w:name="_Hlk534974318"/>
      <w:r w:rsidRPr="00DC1501">
        <w:rPr>
          <w:sz w:val="24"/>
          <w:szCs w:val="24"/>
        </w:rPr>
        <w:t xml:space="preserve"> evaluate and develop the PCK of teachers (</w:t>
      </w:r>
      <w:proofErr w:type="spellStart"/>
      <w:r w:rsidRPr="00DC1501">
        <w:rPr>
          <w:sz w:val="24"/>
          <w:szCs w:val="24"/>
        </w:rPr>
        <w:t>Huckstep</w:t>
      </w:r>
      <w:proofErr w:type="spellEnd"/>
      <w:r w:rsidRPr="00DC1501">
        <w:rPr>
          <w:sz w:val="24"/>
          <w:szCs w:val="24"/>
        </w:rPr>
        <w:t xml:space="preserve">, Rowland &amp; Thwaites, 2006; </w:t>
      </w:r>
      <w:proofErr w:type="spellStart"/>
      <w:r w:rsidRPr="00DC1501">
        <w:rPr>
          <w:sz w:val="24"/>
          <w:szCs w:val="24"/>
        </w:rPr>
        <w:t>Petrou</w:t>
      </w:r>
      <w:proofErr w:type="spellEnd"/>
      <w:r w:rsidRPr="00DC1501">
        <w:rPr>
          <w:sz w:val="24"/>
          <w:szCs w:val="24"/>
        </w:rPr>
        <w:t>, 2009; Rowland, 2005)</w:t>
      </w:r>
      <w:bookmarkEnd w:id="5"/>
      <w:r w:rsidRPr="00DC1501">
        <w:rPr>
          <w:sz w:val="24"/>
          <w:szCs w:val="24"/>
        </w:rPr>
        <w:t xml:space="preserve"> and, according to Liston (2015), has shown itself to be a reliable tool to be used in improving PCK. A limitation of the KQ is that it was primarily developed with observing and analysing the teaching of mathematics, however it can be transferred to evaluate the teaching of other subjects </w:t>
      </w:r>
      <w:bookmarkStart w:id="6" w:name="_Hlk534974535"/>
      <w:r w:rsidRPr="00DC1501">
        <w:rPr>
          <w:sz w:val="24"/>
          <w:szCs w:val="24"/>
        </w:rPr>
        <w:t xml:space="preserve">(Rowland &amp; </w:t>
      </w:r>
      <w:proofErr w:type="spellStart"/>
      <w:r w:rsidRPr="00DC1501">
        <w:rPr>
          <w:sz w:val="24"/>
          <w:szCs w:val="24"/>
        </w:rPr>
        <w:t>Zazkis</w:t>
      </w:r>
      <w:proofErr w:type="spellEnd"/>
      <w:r w:rsidRPr="00DC1501">
        <w:rPr>
          <w:sz w:val="24"/>
          <w:szCs w:val="24"/>
        </w:rPr>
        <w:t>, 2013).</w:t>
      </w:r>
      <w:bookmarkEnd w:id="6"/>
    </w:p>
    <w:p w14:paraId="1B1BE398" w14:textId="77777777" w:rsidR="00503480" w:rsidRPr="00DC1501" w:rsidRDefault="00B91551" w:rsidP="00DC1501">
      <w:pPr>
        <w:spacing w:line="360" w:lineRule="auto"/>
        <w:rPr>
          <w:sz w:val="24"/>
          <w:szCs w:val="24"/>
        </w:rPr>
      </w:pPr>
      <w:r w:rsidRPr="00DC1501">
        <w:rPr>
          <w:sz w:val="24"/>
          <w:szCs w:val="24"/>
        </w:rPr>
        <w:lastRenderedPageBreak/>
        <w:t>Teacher subject knowledge was divided, by Shulman (1986)</w:t>
      </w:r>
      <w:r w:rsidR="000A070A" w:rsidRPr="00DC1501">
        <w:rPr>
          <w:sz w:val="24"/>
          <w:szCs w:val="24"/>
        </w:rPr>
        <w:t>,</w:t>
      </w:r>
      <w:r w:rsidRPr="00DC1501">
        <w:rPr>
          <w:sz w:val="24"/>
          <w:szCs w:val="24"/>
        </w:rPr>
        <w:t xml:space="preserve"> in to three main areas of knowledge</w:t>
      </w:r>
      <w:r w:rsidR="000A070A" w:rsidRPr="00DC1501">
        <w:rPr>
          <w:sz w:val="24"/>
          <w:szCs w:val="24"/>
        </w:rPr>
        <w:t xml:space="preserve">: curricular content knowledge, pedagogical content knowledge and subject matter content knowledge. Whilst curricular content knowledge and subject matter content knowledge are hugely important, pedagogical content knowledge (PCK) was called “the distinctive body of knowledge needed for teaching” (Shulman, 1986, p8). </w:t>
      </w:r>
      <w:r w:rsidR="00505DE0" w:rsidRPr="00DC1501">
        <w:rPr>
          <w:sz w:val="24"/>
          <w:szCs w:val="24"/>
        </w:rPr>
        <w:t xml:space="preserve">PCK, as the name suggests, is a type of knowledge that fuses the </w:t>
      </w:r>
      <w:proofErr w:type="gramStart"/>
      <w:r w:rsidR="00505DE0" w:rsidRPr="00DC1501">
        <w:rPr>
          <w:sz w:val="24"/>
          <w:szCs w:val="24"/>
        </w:rPr>
        <w:t>teachers</w:t>
      </w:r>
      <w:proofErr w:type="gramEnd"/>
      <w:r w:rsidR="00505DE0" w:rsidRPr="00DC1501">
        <w:rPr>
          <w:sz w:val="24"/>
          <w:szCs w:val="24"/>
        </w:rPr>
        <w:t xml:space="preserve"> knowledge of pedagogy with their knowledge of the content on the curriculum. PCK is where content and pedagogy merge and the knowledge both is demonstrated by a clear understanding of the most effective method to teach a </w:t>
      </w:r>
      <w:proofErr w:type="gramStart"/>
      <w:r w:rsidR="00505DE0" w:rsidRPr="00DC1501">
        <w:rPr>
          <w:sz w:val="24"/>
          <w:szCs w:val="24"/>
        </w:rPr>
        <w:t>particular subject</w:t>
      </w:r>
      <w:proofErr w:type="gramEnd"/>
      <w:r w:rsidR="00505DE0" w:rsidRPr="00DC1501">
        <w:rPr>
          <w:sz w:val="24"/>
          <w:szCs w:val="24"/>
        </w:rPr>
        <w:t xml:space="preserve"> </w:t>
      </w:r>
      <w:r w:rsidR="00503480" w:rsidRPr="00DC1501">
        <w:rPr>
          <w:sz w:val="24"/>
          <w:szCs w:val="24"/>
        </w:rPr>
        <w:t xml:space="preserve">in addition to the most appropriate ways to mould the subject content to the interests, abilities and unique challenges posed by the pupils. </w:t>
      </w:r>
    </w:p>
    <w:p w14:paraId="502A14E1" w14:textId="48DAD88E" w:rsidR="00503480" w:rsidRPr="00DC1501" w:rsidRDefault="00503480" w:rsidP="00DC1501">
      <w:pPr>
        <w:spacing w:line="360" w:lineRule="auto"/>
        <w:rPr>
          <w:sz w:val="24"/>
          <w:szCs w:val="24"/>
        </w:rPr>
      </w:pPr>
      <w:r w:rsidRPr="00DC1501">
        <w:rPr>
          <w:sz w:val="24"/>
          <w:szCs w:val="24"/>
        </w:rPr>
        <w:t xml:space="preserve">An advanced knowledge of what makes learning a specific subject or topic easy or hard, for most pupils, is key to effectively delivering said topic. Having the pedagogical content knowledge to pre-empt what the difficulties pupils will face when learning a </w:t>
      </w:r>
      <w:proofErr w:type="gramStart"/>
      <w:r w:rsidRPr="00DC1501">
        <w:rPr>
          <w:sz w:val="24"/>
          <w:szCs w:val="24"/>
        </w:rPr>
        <w:t>particular topic</w:t>
      </w:r>
      <w:proofErr w:type="gramEnd"/>
      <w:r w:rsidRPr="00DC1501">
        <w:rPr>
          <w:sz w:val="24"/>
          <w:szCs w:val="24"/>
        </w:rPr>
        <w:t xml:space="preserve"> is also a vital part of PCK, as is being ready and prepared to alter, or adapt, the delivery of certain lessons to aid effective learning where necessary. PCK has been described as “the most useful form of content representation” (Shulman, 1987, p9) and this accurately depicts the way in which an effective teacher is able to examine the content that they are required to teach and then, using their knowledge of pedagogy, the curriculum and the pupils, represent that content in an accessible and informative manner that the pupils can understand and develop.</w:t>
      </w:r>
    </w:p>
    <w:p w14:paraId="2867E759" w14:textId="7C7A573C" w:rsidR="00503480" w:rsidRPr="00DC1501" w:rsidRDefault="00503480" w:rsidP="00DC1501">
      <w:pPr>
        <w:spacing w:line="360" w:lineRule="auto"/>
        <w:rPr>
          <w:sz w:val="24"/>
          <w:szCs w:val="24"/>
        </w:rPr>
      </w:pPr>
      <w:r w:rsidRPr="00DC1501">
        <w:rPr>
          <w:sz w:val="24"/>
          <w:szCs w:val="24"/>
        </w:rPr>
        <w:t xml:space="preserve">PCK was one of the components that made up the knowledge base that Shulman (1987) proposed was the knowledge that teachers needed to possess in order to teach effectively. In addition to PCK, the knowledge base consisted of: content knowledge; general pedagogical knowledge; knowledge of the curriculum and available materials and resources; knowledge of the pupils and their unique characteristics; knowledge of the wider educational context inside and out of the classroom, including political and social aspects; and knowledge of values, educational aims and objectives of the teacher, the school and the pupils. </w:t>
      </w:r>
    </w:p>
    <w:p w14:paraId="7C71934D" w14:textId="6EBD79EE" w:rsidR="00503480" w:rsidRPr="00DC1501" w:rsidRDefault="00E461D2" w:rsidP="00DC1501">
      <w:pPr>
        <w:spacing w:line="360" w:lineRule="auto"/>
        <w:rPr>
          <w:sz w:val="24"/>
          <w:szCs w:val="24"/>
        </w:rPr>
      </w:pPr>
      <w:r w:rsidRPr="00DC1501">
        <w:rPr>
          <w:sz w:val="24"/>
          <w:szCs w:val="24"/>
        </w:rPr>
        <w:t xml:space="preserve">As a widely well-received piece of research, the concept of the knowledge base and PCK has been commented and expanded upon by various researchers. PCK has been proposed to be at the heart of teacher knowledge </w:t>
      </w:r>
      <w:bookmarkStart w:id="7" w:name="_Hlk534970149"/>
      <w:r w:rsidRPr="00DC1501">
        <w:rPr>
          <w:sz w:val="24"/>
          <w:szCs w:val="24"/>
        </w:rPr>
        <w:t>(Grossman, 1990)</w:t>
      </w:r>
      <w:bookmarkEnd w:id="7"/>
      <w:r w:rsidRPr="00DC1501">
        <w:rPr>
          <w:sz w:val="24"/>
          <w:szCs w:val="24"/>
        </w:rPr>
        <w:t xml:space="preserve"> or as one of five overlapping categories </w:t>
      </w:r>
      <w:r w:rsidRPr="00DC1501">
        <w:rPr>
          <w:sz w:val="24"/>
          <w:szCs w:val="24"/>
        </w:rPr>
        <w:lastRenderedPageBreak/>
        <w:t xml:space="preserve">that extend the original knowledge base </w:t>
      </w:r>
      <w:bookmarkStart w:id="8" w:name="_Hlk534970187"/>
      <w:r w:rsidRPr="00DC1501">
        <w:rPr>
          <w:sz w:val="24"/>
          <w:szCs w:val="24"/>
        </w:rPr>
        <w:t>(</w:t>
      </w:r>
      <w:proofErr w:type="spellStart"/>
      <w:r w:rsidRPr="00DC1501">
        <w:rPr>
          <w:sz w:val="24"/>
          <w:szCs w:val="24"/>
        </w:rPr>
        <w:t>Gess</w:t>
      </w:r>
      <w:proofErr w:type="spellEnd"/>
      <w:r w:rsidRPr="00DC1501">
        <w:rPr>
          <w:sz w:val="24"/>
          <w:szCs w:val="24"/>
        </w:rPr>
        <w:t>-Newsome, 1999)</w:t>
      </w:r>
      <w:bookmarkEnd w:id="8"/>
      <w:r w:rsidRPr="00DC1501">
        <w:rPr>
          <w:sz w:val="24"/>
          <w:szCs w:val="24"/>
        </w:rPr>
        <w:t xml:space="preserve">. One thing that is largely agreed upon is the idea that PCK must include a </w:t>
      </w:r>
      <w:proofErr w:type="gramStart"/>
      <w:r w:rsidRPr="00DC1501">
        <w:rPr>
          <w:sz w:val="24"/>
          <w:szCs w:val="24"/>
        </w:rPr>
        <w:t>sufficient</w:t>
      </w:r>
      <w:proofErr w:type="gramEnd"/>
      <w:r w:rsidRPr="00DC1501">
        <w:rPr>
          <w:sz w:val="24"/>
          <w:szCs w:val="24"/>
        </w:rPr>
        <w:t xml:space="preserve"> grasp of curriculum knowledge, content knowledge, pedagogical knowledge and the knowledge of pupils needs.</w:t>
      </w:r>
    </w:p>
    <w:p w14:paraId="75FB7FD1" w14:textId="06D07A07" w:rsidR="00471370" w:rsidRPr="00DC1501" w:rsidRDefault="004E06DF" w:rsidP="00DC1501">
      <w:pPr>
        <w:spacing w:line="360" w:lineRule="auto"/>
        <w:rPr>
          <w:sz w:val="24"/>
          <w:szCs w:val="24"/>
        </w:rPr>
      </w:pPr>
      <w:r w:rsidRPr="00DC1501">
        <w:rPr>
          <w:sz w:val="24"/>
          <w:szCs w:val="24"/>
        </w:rPr>
        <w:t xml:space="preserve">Despite a fairly well-developed and theoretically sound framework for quantifying and investigating a </w:t>
      </w:r>
      <w:proofErr w:type="gramStart"/>
      <w:r w:rsidRPr="00DC1501">
        <w:rPr>
          <w:sz w:val="24"/>
          <w:szCs w:val="24"/>
        </w:rPr>
        <w:t>teachers</w:t>
      </w:r>
      <w:proofErr w:type="gramEnd"/>
      <w:r w:rsidRPr="00DC1501">
        <w:rPr>
          <w:sz w:val="24"/>
          <w:szCs w:val="24"/>
        </w:rPr>
        <w:t xml:space="preserve"> subject knowledge, in all its forms, it is still reasonable to observe differing outcomes for each individual. Although it is expected that each teacher, before qualifying, will be able to demonstrate a minimum level of subject knowledge in each subject it is also expected that teachers, like the pupils they teach, will have certain areas that are stronger and weaker than others.</w:t>
      </w:r>
    </w:p>
    <w:p w14:paraId="06E62042" w14:textId="5839E122" w:rsidR="004E06DF" w:rsidRPr="00DC1501" w:rsidRDefault="004E06DF" w:rsidP="00DC1501">
      <w:pPr>
        <w:spacing w:line="360" w:lineRule="auto"/>
        <w:rPr>
          <w:sz w:val="24"/>
          <w:szCs w:val="24"/>
        </w:rPr>
      </w:pPr>
      <w:r w:rsidRPr="00DC1501">
        <w:rPr>
          <w:sz w:val="24"/>
          <w:szCs w:val="24"/>
        </w:rPr>
        <w:t xml:space="preserve">Every student teacher will start from a different baseline of knowledge in all areas. Research suggests that their own personal experiences of education are the greatest influence on </w:t>
      </w:r>
      <w:r w:rsidR="009B0531" w:rsidRPr="00DC1501">
        <w:rPr>
          <w:sz w:val="24"/>
          <w:szCs w:val="24"/>
        </w:rPr>
        <w:t>a new student teacher (</w:t>
      </w:r>
      <w:bookmarkStart w:id="9" w:name="_Hlk534984395"/>
      <w:proofErr w:type="spellStart"/>
      <w:r w:rsidR="009B0531" w:rsidRPr="00DC1501">
        <w:rPr>
          <w:sz w:val="24"/>
          <w:szCs w:val="24"/>
        </w:rPr>
        <w:t>Zeichner</w:t>
      </w:r>
      <w:proofErr w:type="spellEnd"/>
      <w:r w:rsidR="009B0531" w:rsidRPr="00DC1501">
        <w:rPr>
          <w:sz w:val="24"/>
          <w:szCs w:val="24"/>
        </w:rPr>
        <w:t xml:space="preserve">, </w:t>
      </w:r>
      <w:proofErr w:type="spellStart"/>
      <w:r w:rsidR="009B0531" w:rsidRPr="00DC1501">
        <w:rPr>
          <w:sz w:val="24"/>
          <w:szCs w:val="24"/>
        </w:rPr>
        <w:t>Tabachnick</w:t>
      </w:r>
      <w:proofErr w:type="spellEnd"/>
      <w:r w:rsidR="009B0531" w:rsidRPr="00DC1501">
        <w:rPr>
          <w:sz w:val="24"/>
          <w:szCs w:val="24"/>
        </w:rPr>
        <w:t xml:space="preserve"> &amp; Densmore, 1987</w:t>
      </w:r>
      <w:bookmarkEnd w:id="9"/>
      <w:r w:rsidR="009B0531" w:rsidRPr="00DC1501">
        <w:rPr>
          <w:sz w:val="24"/>
          <w:szCs w:val="24"/>
        </w:rPr>
        <w:t xml:space="preserve">; </w:t>
      </w:r>
      <w:bookmarkStart w:id="10" w:name="_Hlk534984390"/>
      <w:proofErr w:type="spellStart"/>
      <w:r w:rsidR="009B0531" w:rsidRPr="00DC1501">
        <w:rPr>
          <w:sz w:val="24"/>
          <w:szCs w:val="24"/>
        </w:rPr>
        <w:t>Leinhardt</w:t>
      </w:r>
      <w:proofErr w:type="spellEnd"/>
      <w:r w:rsidR="009B0531" w:rsidRPr="00DC1501">
        <w:rPr>
          <w:sz w:val="24"/>
          <w:szCs w:val="24"/>
        </w:rPr>
        <w:t>, 1988).</w:t>
      </w:r>
      <w:bookmarkEnd w:id="10"/>
      <w:r w:rsidR="009B0531" w:rsidRPr="00DC1501">
        <w:rPr>
          <w:sz w:val="24"/>
          <w:szCs w:val="24"/>
        </w:rPr>
        <w:t xml:space="preserve"> Depending on the experiences, the influence from previous education can be a positive or a negative to the student teacher. </w:t>
      </w:r>
    </w:p>
    <w:p w14:paraId="3F7EB4E3" w14:textId="65F64738" w:rsidR="009B0531" w:rsidRPr="00DC1501" w:rsidRDefault="009B0531" w:rsidP="00DC1501">
      <w:pPr>
        <w:spacing w:line="360" w:lineRule="auto"/>
        <w:rPr>
          <w:sz w:val="24"/>
          <w:szCs w:val="24"/>
        </w:rPr>
      </w:pPr>
      <w:r w:rsidRPr="00DC1501">
        <w:rPr>
          <w:sz w:val="24"/>
          <w:szCs w:val="24"/>
        </w:rPr>
        <w:t xml:space="preserve">A key aspect that </w:t>
      </w:r>
      <w:proofErr w:type="gramStart"/>
      <w:r w:rsidRPr="00DC1501">
        <w:rPr>
          <w:sz w:val="24"/>
          <w:szCs w:val="24"/>
        </w:rPr>
        <w:t>the majority of</w:t>
      </w:r>
      <w:proofErr w:type="gramEnd"/>
      <w:r w:rsidRPr="00DC1501">
        <w:rPr>
          <w:sz w:val="24"/>
          <w:szCs w:val="24"/>
        </w:rPr>
        <w:t xml:space="preserve"> the literature agrees upon is that</w:t>
      </w:r>
      <w:r w:rsidR="00C14D03" w:rsidRPr="00DC1501">
        <w:rPr>
          <w:sz w:val="24"/>
          <w:szCs w:val="24"/>
        </w:rPr>
        <w:t>, above the minimum required during initial teacher training,</w:t>
      </w:r>
      <w:r w:rsidRPr="00DC1501">
        <w:rPr>
          <w:sz w:val="24"/>
          <w:szCs w:val="24"/>
        </w:rPr>
        <w:t xml:space="preserve"> </w:t>
      </w:r>
      <w:r w:rsidR="00C14D03" w:rsidRPr="00DC1501">
        <w:rPr>
          <w:sz w:val="24"/>
          <w:szCs w:val="24"/>
        </w:rPr>
        <w:t xml:space="preserve">teacher subject knowledge is not a set target that can be reached and forgotten about </w:t>
      </w:r>
      <w:bookmarkStart w:id="11" w:name="_Hlk534985142"/>
      <w:r w:rsidR="00C14D03" w:rsidRPr="00DC1501">
        <w:rPr>
          <w:sz w:val="24"/>
          <w:szCs w:val="24"/>
        </w:rPr>
        <w:t>(</w:t>
      </w:r>
      <w:proofErr w:type="spellStart"/>
      <w:r w:rsidR="00C14D03" w:rsidRPr="00DC1501">
        <w:rPr>
          <w:sz w:val="24"/>
          <w:szCs w:val="24"/>
        </w:rPr>
        <w:t>Strathern</w:t>
      </w:r>
      <w:proofErr w:type="spellEnd"/>
      <w:r w:rsidR="00C14D03" w:rsidRPr="00DC1501">
        <w:rPr>
          <w:sz w:val="24"/>
          <w:szCs w:val="24"/>
        </w:rPr>
        <w:t>, 2000).</w:t>
      </w:r>
      <w:bookmarkEnd w:id="11"/>
      <w:r w:rsidR="00C14D03" w:rsidRPr="00DC1501">
        <w:rPr>
          <w:sz w:val="24"/>
          <w:szCs w:val="24"/>
        </w:rPr>
        <w:t xml:space="preserve"> But rather teacher knowledge is something that is fluid and constantly evolving. An implication of this is that teacher knowledge is most important when it is displayed in practice, as opposed to an audit or interview, as this is where it will have the most significant impact on the pupil. It makes sense to propose that creating and enhancing knowledge amongst pupils requires knowledge-creating teachers (</w:t>
      </w:r>
      <w:bookmarkStart w:id="12" w:name="_Hlk534985418"/>
      <w:r w:rsidR="00C14D03" w:rsidRPr="00DC1501">
        <w:rPr>
          <w:sz w:val="24"/>
          <w:szCs w:val="24"/>
        </w:rPr>
        <w:t xml:space="preserve">Putnam and </w:t>
      </w:r>
      <w:proofErr w:type="spellStart"/>
      <w:r w:rsidR="00C14D03" w:rsidRPr="00DC1501">
        <w:rPr>
          <w:sz w:val="24"/>
          <w:szCs w:val="24"/>
        </w:rPr>
        <w:t>Borko</w:t>
      </w:r>
      <w:proofErr w:type="spellEnd"/>
      <w:r w:rsidR="00C14D03" w:rsidRPr="00DC1501">
        <w:rPr>
          <w:sz w:val="24"/>
          <w:szCs w:val="24"/>
        </w:rPr>
        <w:t>, 2000).</w:t>
      </w:r>
      <w:bookmarkEnd w:id="12"/>
    </w:p>
    <w:p w14:paraId="13E71DA8" w14:textId="1DABC2A4" w:rsidR="00B91551" w:rsidRPr="00DC1501" w:rsidRDefault="00C14D03" w:rsidP="00DC1501">
      <w:pPr>
        <w:spacing w:line="360" w:lineRule="auto"/>
        <w:rPr>
          <w:sz w:val="24"/>
          <w:szCs w:val="24"/>
        </w:rPr>
      </w:pPr>
      <w:r w:rsidRPr="00DC1501">
        <w:rPr>
          <w:sz w:val="24"/>
          <w:szCs w:val="24"/>
        </w:rPr>
        <w:t xml:space="preserve">A lot of research has, taking in to account the literature, attempted to collate the most effective methods for teachers to enhance their subject knowledge. Commonly eight distinct ways are proposed: reflection on previous knowledge or experience; identifying gaps in knowledge; reading; accessing </w:t>
      </w:r>
      <w:proofErr w:type="gramStart"/>
      <w:r w:rsidRPr="00DC1501">
        <w:rPr>
          <w:sz w:val="24"/>
          <w:szCs w:val="24"/>
        </w:rPr>
        <w:t>web based</w:t>
      </w:r>
      <w:proofErr w:type="gramEnd"/>
      <w:r w:rsidRPr="00DC1501">
        <w:rPr>
          <w:sz w:val="24"/>
          <w:szCs w:val="24"/>
        </w:rPr>
        <w:t xml:space="preserve"> resources; continuous professional development course; working with colleagues; practical application and knowledge of self. </w:t>
      </w:r>
      <w:r w:rsidR="00B65F3C" w:rsidRPr="00DC1501">
        <w:rPr>
          <w:sz w:val="24"/>
          <w:szCs w:val="24"/>
        </w:rPr>
        <w:t xml:space="preserve">Knowledge of self is vital as it has been found that one’s own personal values and education aims are very strongly linked to pedagogic knowledge. Therefore, perhaps the most important challenge to overcome in order to identify potential areas for improvement and </w:t>
      </w:r>
      <w:r w:rsidR="00B65F3C" w:rsidRPr="00DC1501">
        <w:rPr>
          <w:sz w:val="24"/>
          <w:szCs w:val="24"/>
        </w:rPr>
        <w:lastRenderedPageBreak/>
        <w:t xml:space="preserve">continue to develop your knowledge as a teacher is to have a clear perception of yourself </w:t>
      </w:r>
      <w:bookmarkStart w:id="13" w:name="_Hlk534985785"/>
      <w:r w:rsidR="00B65F3C" w:rsidRPr="00DC1501">
        <w:rPr>
          <w:sz w:val="24"/>
          <w:szCs w:val="24"/>
        </w:rPr>
        <w:t>(Turner-Bisset, 2001).</w:t>
      </w:r>
      <w:bookmarkEnd w:id="13"/>
    </w:p>
    <w:p w14:paraId="3D7E1AB8" w14:textId="2B56CA48" w:rsidR="00E40077" w:rsidRPr="00DC1501" w:rsidRDefault="00E40077" w:rsidP="00DC1501">
      <w:pPr>
        <w:spacing w:line="360" w:lineRule="auto"/>
        <w:rPr>
          <w:i/>
          <w:sz w:val="28"/>
          <w:szCs w:val="24"/>
        </w:rPr>
      </w:pPr>
      <w:r w:rsidRPr="00DC1501">
        <w:rPr>
          <w:i/>
          <w:sz w:val="28"/>
          <w:szCs w:val="24"/>
        </w:rPr>
        <w:t>Reflection</w:t>
      </w:r>
    </w:p>
    <w:p w14:paraId="5447C490" w14:textId="0DE8F7FB" w:rsidR="00F41714" w:rsidRPr="00DC1501" w:rsidRDefault="00A44F45" w:rsidP="00DC1501">
      <w:pPr>
        <w:spacing w:line="360" w:lineRule="auto"/>
        <w:rPr>
          <w:sz w:val="24"/>
          <w:szCs w:val="24"/>
        </w:rPr>
      </w:pPr>
      <w:r w:rsidRPr="00DC1501">
        <w:rPr>
          <w:sz w:val="24"/>
          <w:szCs w:val="24"/>
        </w:rPr>
        <w:t xml:space="preserve">In order to enhance my teaching practice and ensure continuous development I have started to utilise reflective practices throughout my PTE. Part of this was a requirement – a minimum of one reflection a day must be present in my PTE file. Before beginning my </w:t>
      </w:r>
      <w:proofErr w:type="gramStart"/>
      <w:r w:rsidRPr="00DC1501">
        <w:rPr>
          <w:sz w:val="24"/>
          <w:szCs w:val="24"/>
        </w:rPr>
        <w:t>PTE</w:t>
      </w:r>
      <w:proofErr w:type="gramEnd"/>
      <w:r w:rsidRPr="00DC1501">
        <w:rPr>
          <w:sz w:val="24"/>
          <w:szCs w:val="24"/>
        </w:rPr>
        <w:t xml:space="preserve"> I decided to research some literature on the advantages of carrying out reflections. </w:t>
      </w:r>
      <w:r w:rsidR="00F41714" w:rsidRPr="00DC1501">
        <w:rPr>
          <w:sz w:val="24"/>
          <w:szCs w:val="24"/>
        </w:rPr>
        <w:t xml:space="preserve">Reflective practice can help develop emotional intelligence, an understanding of the best pedagogical approaches </w:t>
      </w:r>
      <w:proofErr w:type="gramStart"/>
      <w:r w:rsidR="00F41714" w:rsidRPr="00DC1501">
        <w:rPr>
          <w:sz w:val="24"/>
          <w:szCs w:val="24"/>
        </w:rPr>
        <w:t>and also</w:t>
      </w:r>
      <w:proofErr w:type="gramEnd"/>
      <w:r w:rsidR="00F41714" w:rsidRPr="00DC1501">
        <w:rPr>
          <w:sz w:val="24"/>
          <w:szCs w:val="24"/>
        </w:rPr>
        <w:t xml:space="preserve"> an increased ability to understand the needs of pupils (Brookfield, 1995; Gibbs, 1988).</w:t>
      </w:r>
    </w:p>
    <w:p w14:paraId="6127860C" w14:textId="604C9AF5" w:rsidR="00A44F45" w:rsidRPr="00DC1501" w:rsidRDefault="00A44F45" w:rsidP="00DC1501">
      <w:pPr>
        <w:spacing w:line="360" w:lineRule="auto"/>
        <w:rPr>
          <w:sz w:val="24"/>
          <w:szCs w:val="24"/>
        </w:rPr>
      </w:pPr>
      <w:r w:rsidRPr="00DC1501">
        <w:rPr>
          <w:sz w:val="24"/>
          <w:szCs w:val="24"/>
        </w:rPr>
        <w:t xml:space="preserve">As well as </w:t>
      </w:r>
      <w:r w:rsidR="00F41714" w:rsidRPr="00DC1501">
        <w:rPr>
          <w:sz w:val="24"/>
          <w:szCs w:val="24"/>
        </w:rPr>
        <w:t>the advantages mentioned to reflection and understanding your past practice, it also enhances future practice – “the most distinctive of these very good teachers is that their practice is the result of careful reflection…They themselves learn lessons each time they teach, evaluating what they do and using these self-critical evaluations to adjust what they do next time.” (Why Colleges Succeed, Ofsted, 2004, para.19)</w:t>
      </w:r>
    </w:p>
    <w:p w14:paraId="284F18E2" w14:textId="43850542" w:rsidR="00534115" w:rsidRPr="00DC1501" w:rsidRDefault="00A44F45" w:rsidP="00DC1501">
      <w:pPr>
        <w:spacing w:line="360" w:lineRule="auto"/>
        <w:rPr>
          <w:sz w:val="24"/>
          <w:szCs w:val="24"/>
        </w:rPr>
      </w:pPr>
      <w:r w:rsidRPr="00DC1501">
        <w:rPr>
          <w:sz w:val="24"/>
          <w:szCs w:val="24"/>
        </w:rPr>
        <w:t xml:space="preserve">A short while in to my PTE I realised how easy it was to lose track of exactly what I had done and on which day I had done it. To combat </w:t>
      </w:r>
      <w:proofErr w:type="gramStart"/>
      <w:r w:rsidRPr="00DC1501">
        <w:rPr>
          <w:sz w:val="24"/>
          <w:szCs w:val="24"/>
        </w:rPr>
        <w:t>this</w:t>
      </w:r>
      <w:proofErr w:type="gramEnd"/>
      <w:r w:rsidRPr="00DC1501">
        <w:rPr>
          <w:sz w:val="24"/>
          <w:szCs w:val="24"/>
        </w:rPr>
        <w:t xml:space="preserve"> I decided to write reflections, as many as necessary, partly to ensure that I knew what I had, but also to ensure that I could support my viewpoint when it came to any improvements or alterations that I wanted to make to a lesson in the future. Be this a lesson that I am planning individually and want to use my reflections to help me decide on doing something one way or another, or a lesson I am planning with another member of staff and I want to explain my though process. These numerous reflections also benefitted me greatly when it came to discussing and evaluating my decisions with my class teacher during end of week reviews.</w:t>
      </w:r>
    </w:p>
    <w:p w14:paraId="3166CAF1" w14:textId="77777777" w:rsidR="003C7ACF" w:rsidRPr="00DC1501" w:rsidRDefault="00147214" w:rsidP="00DC1501">
      <w:pPr>
        <w:spacing w:line="360" w:lineRule="auto"/>
        <w:rPr>
          <w:sz w:val="24"/>
          <w:szCs w:val="24"/>
        </w:rPr>
      </w:pPr>
      <w:r w:rsidRPr="00DC1501">
        <w:rPr>
          <w:sz w:val="24"/>
          <w:szCs w:val="24"/>
        </w:rPr>
        <w:t xml:space="preserve">The very first occasion that I felt as if I was lacking teacher knowledge was during my observation week in the classroom. </w:t>
      </w:r>
      <w:r w:rsidR="003C7ACF" w:rsidRPr="00DC1501">
        <w:rPr>
          <w:sz w:val="24"/>
          <w:szCs w:val="24"/>
        </w:rPr>
        <w:t xml:space="preserve">It soon became apparent that the routine was different to previous schools I had experience of and, given how important keeping track of timing was, knowing the daily routine would be of great benefit. In addition to this the pupils were clearly very fond of the routine. I witnessed a disruption, due to flu vaccinations, and that </w:t>
      </w:r>
      <w:r w:rsidR="003C7ACF" w:rsidRPr="00DC1501">
        <w:rPr>
          <w:sz w:val="24"/>
          <w:szCs w:val="24"/>
        </w:rPr>
        <w:lastRenderedPageBreak/>
        <w:t xml:space="preserve">had a significant impact on the behaviour and wellbeing of </w:t>
      </w:r>
      <w:proofErr w:type="gramStart"/>
      <w:r w:rsidR="003C7ACF" w:rsidRPr="00DC1501">
        <w:rPr>
          <w:sz w:val="24"/>
          <w:szCs w:val="24"/>
        </w:rPr>
        <w:t>the majority of</w:t>
      </w:r>
      <w:proofErr w:type="gramEnd"/>
      <w:r w:rsidR="003C7ACF" w:rsidRPr="00DC1501">
        <w:rPr>
          <w:sz w:val="24"/>
          <w:szCs w:val="24"/>
        </w:rPr>
        <w:t xml:space="preserve"> the class that lasted the rest of the day. </w:t>
      </w:r>
    </w:p>
    <w:p w14:paraId="265F13B8" w14:textId="77777777" w:rsidR="005923A0" w:rsidRPr="00DC1501" w:rsidRDefault="003C7ACF" w:rsidP="00DC1501">
      <w:pPr>
        <w:spacing w:line="360" w:lineRule="auto"/>
        <w:rPr>
          <w:sz w:val="24"/>
          <w:szCs w:val="24"/>
        </w:rPr>
      </w:pPr>
      <w:r w:rsidRPr="00DC1501">
        <w:rPr>
          <w:sz w:val="24"/>
          <w:szCs w:val="24"/>
        </w:rPr>
        <w:t xml:space="preserve">Upon discussing this with my class teacher I soon realised that providing the pupils with a consistent, reliable routine in their days at school would be extremely beneficial in terms of managing the classroom. Research has suggested that having a classroom routine can positively impact the academic performance and behaviour of the pupils </w:t>
      </w:r>
      <w:bookmarkStart w:id="14" w:name="_Hlk534996288"/>
      <w:r w:rsidRPr="00DC1501">
        <w:rPr>
          <w:sz w:val="24"/>
          <w:szCs w:val="24"/>
        </w:rPr>
        <w:t>(</w:t>
      </w:r>
      <w:proofErr w:type="spellStart"/>
      <w:r w:rsidRPr="00DC1501">
        <w:rPr>
          <w:sz w:val="24"/>
          <w:szCs w:val="24"/>
        </w:rPr>
        <w:t>Vallecorsa</w:t>
      </w:r>
      <w:proofErr w:type="spellEnd"/>
      <w:r w:rsidRPr="00DC1501">
        <w:rPr>
          <w:sz w:val="24"/>
          <w:szCs w:val="24"/>
        </w:rPr>
        <w:t xml:space="preserve">, </w:t>
      </w:r>
      <w:proofErr w:type="spellStart"/>
      <w:r w:rsidRPr="00DC1501">
        <w:rPr>
          <w:sz w:val="24"/>
          <w:szCs w:val="24"/>
        </w:rPr>
        <w:t>deBettencourt</w:t>
      </w:r>
      <w:proofErr w:type="spellEnd"/>
      <w:r w:rsidRPr="00DC1501">
        <w:rPr>
          <w:sz w:val="24"/>
          <w:szCs w:val="24"/>
        </w:rPr>
        <w:t xml:space="preserve">, &amp; </w:t>
      </w:r>
      <w:proofErr w:type="spellStart"/>
      <w:r w:rsidRPr="00DC1501">
        <w:rPr>
          <w:sz w:val="24"/>
          <w:szCs w:val="24"/>
        </w:rPr>
        <w:t>Zigmond</w:t>
      </w:r>
      <w:proofErr w:type="spellEnd"/>
      <w:r w:rsidRPr="00DC1501">
        <w:rPr>
          <w:sz w:val="24"/>
          <w:szCs w:val="24"/>
        </w:rPr>
        <w:t>, 2000).</w:t>
      </w:r>
      <w:bookmarkEnd w:id="14"/>
      <w:r w:rsidRPr="00DC1501">
        <w:rPr>
          <w:sz w:val="24"/>
          <w:szCs w:val="24"/>
        </w:rPr>
        <w:t xml:space="preserve"> At the beginning of my PTE I found myself regularly disrupting the routine, whether by not having the correct resources to hand or, more commonly, by poor management of classroom resources. </w:t>
      </w:r>
    </w:p>
    <w:p w14:paraId="45260364" w14:textId="6589A7A6" w:rsidR="00A44F45" w:rsidRPr="00DC1501" w:rsidRDefault="005923A0" w:rsidP="00DC1501">
      <w:pPr>
        <w:spacing w:line="360" w:lineRule="auto"/>
        <w:rPr>
          <w:sz w:val="24"/>
          <w:szCs w:val="24"/>
        </w:rPr>
      </w:pPr>
      <w:r w:rsidRPr="00DC1501">
        <w:rPr>
          <w:sz w:val="24"/>
          <w:szCs w:val="24"/>
        </w:rPr>
        <w:t xml:space="preserve">After spending more time in the classroom and growing in confidence and ability I found that the pupils were used to my routine and it quickly became more efficient. By the end of my PTE the pupils knew certain routines so well that they were predominantly student-led, such as naming a </w:t>
      </w:r>
      <w:proofErr w:type="spellStart"/>
      <w:r w:rsidRPr="00DC1501">
        <w:rPr>
          <w:sz w:val="24"/>
          <w:szCs w:val="24"/>
        </w:rPr>
        <w:t>Helpwr</w:t>
      </w:r>
      <w:proofErr w:type="spellEnd"/>
      <w:r w:rsidRPr="00DC1501">
        <w:rPr>
          <w:sz w:val="24"/>
          <w:szCs w:val="24"/>
        </w:rPr>
        <w:t xml:space="preserve"> Heddiw (helper of the day) and allowing them to perform certain tasks, in Welsh, such as getting the attention of the class before choosing the best-behaved table to go to lunch. As well as providing myself with extra time to observe the class and deal with unexpected events (Savage, 1999) implementing these tasks also provided me with a chance to interact with a pupil on an individual level and gauge their interpersonal and social skills in a way that usually would not be possible (Colvin &amp; Lazar, 1995). In addition to the benefits for the class and myself as a teacher, providing a pupil with this sort of role and responsibility encourages positive self-esteem (Burden, 2003).</w:t>
      </w:r>
    </w:p>
    <w:p w14:paraId="6CF184FC" w14:textId="63E9066F" w:rsidR="00F06087" w:rsidRPr="00DC1501" w:rsidRDefault="00F06087" w:rsidP="00DC1501">
      <w:pPr>
        <w:spacing w:line="360" w:lineRule="auto"/>
        <w:rPr>
          <w:sz w:val="24"/>
          <w:szCs w:val="24"/>
        </w:rPr>
      </w:pPr>
      <w:r w:rsidRPr="00DC1501">
        <w:rPr>
          <w:sz w:val="24"/>
          <w:szCs w:val="24"/>
        </w:rPr>
        <w:t xml:space="preserve">Soon after commencing my PTE I was given the main topic that would underpin lessons during my time in that class – it was “Playlists”, a very music-heavy theme. As someone who is not particularly musically gifted this immediately exposed a lack of subject knowledge. In addition to a lack of confidence teaching the lessons I had little knowledge surrounding the theories involved or even relevant musical acts. Teaching music has largely </w:t>
      </w:r>
      <w:proofErr w:type="gramStart"/>
      <w:r w:rsidRPr="00DC1501">
        <w:rPr>
          <w:sz w:val="24"/>
          <w:szCs w:val="24"/>
        </w:rPr>
        <w:t>been seen as</w:t>
      </w:r>
      <w:proofErr w:type="gramEnd"/>
      <w:r w:rsidRPr="00DC1501">
        <w:rPr>
          <w:sz w:val="24"/>
          <w:szCs w:val="24"/>
        </w:rPr>
        <w:t xml:space="preserve"> the realm of specialists, with some schools even employing specialist teachers (Hocking, 2009). I was aware of the issues surrounding music lessons, largely that historically music has often </w:t>
      </w:r>
      <w:proofErr w:type="gramStart"/>
      <w:r w:rsidRPr="00DC1501">
        <w:rPr>
          <w:sz w:val="24"/>
          <w:szCs w:val="24"/>
        </w:rPr>
        <w:t>been seen as</w:t>
      </w:r>
      <w:proofErr w:type="gramEnd"/>
      <w:r w:rsidRPr="00DC1501">
        <w:rPr>
          <w:sz w:val="24"/>
          <w:szCs w:val="24"/>
        </w:rPr>
        <w:t xml:space="preserve"> an “add-on” to other lessons or simply used to prepare for upcoming concerts </w:t>
      </w:r>
      <w:bookmarkStart w:id="15" w:name="_Hlk534997504"/>
      <w:r w:rsidRPr="00DC1501">
        <w:rPr>
          <w:sz w:val="24"/>
          <w:szCs w:val="24"/>
        </w:rPr>
        <w:t xml:space="preserve">(Giles &amp; </w:t>
      </w:r>
      <w:proofErr w:type="spellStart"/>
      <w:r w:rsidRPr="00DC1501">
        <w:rPr>
          <w:sz w:val="24"/>
          <w:szCs w:val="24"/>
        </w:rPr>
        <w:t>Frego</w:t>
      </w:r>
      <w:proofErr w:type="spellEnd"/>
      <w:r w:rsidRPr="00DC1501">
        <w:rPr>
          <w:sz w:val="24"/>
          <w:szCs w:val="24"/>
        </w:rPr>
        <w:t>, 2004; Wiggins &amp; Wiggins, 2008).</w:t>
      </w:r>
      <w:bookmarkEnd w:id="15"/>
    </w:p>
    <w:p w14:paraId="6D93060C" w14:textId="6E20F48A" w:rsidR="00F06087" w:rsidRPr="00DC1501" w:rsidRDefault="00F06087" w:rsidP="00DC1501">
      <w:pPr>
        <w:spacing w:line="360" w:lineRule="auto"/>
        <w:rPr>
          <w:sz w:val="24"/>
          <w:szCs w:val="24"/>
        </w:rPr>
      </w:pPr>
      <w:r w:rsidRPr="00DC1501">
        <w:rPr>
          <w:sz w:val="24"/>
          <w:szCs w:val="24"/>
        </w:rPr>
        <w:lastRenderedPageBreak/>
        <w:t xml:space="preserve">As a result of this I undertook some independent research, utilising various websites and educational videos to ensure that I was able to not only inform the pupils of musical features such as tempo, pitch and volume but also that I was able to demonstrate them adequately. This links in with the </w:t>
      </w:r>
      <w:r w:rsidR="00D024EB" w:rsidRPr="00DC1501">
        <w:rPr>
          <w:sz w:val="24"/>
          <w:szCs w:val="24"/>
        </w:rPr>
        <w:t xml:space="preserve">KQ and is an example of my continuing development. Before undertaking the </w:t>
      </w:r>
      <w:proofErr w:type="gramStart"/>
      <w:r w:rsidR="00D024EB" w:rsidRPr="00DC1501">
        <w:rPr>
          <w:sz w:val="24"/>
          <w:szCs w:val="24"/>
        </w:rPr>
        <w:t>research</w:t>
      </w:r>
      <w:proofErr w:type="gramEnd"/>
      <w:r w:rsidR="00D024EB" w:rsidRPr="00DC1501">
        <w:rPr>
          <w:sz w:val="24"/>
          <w:szCs w:val="24"/>
        </w:rPr>
        <w:t xml:space="preserve"> myself my musical knowledge and ability was at the Foundation stage – I could understand the content being taught, use accurate terminology and identify errors. After improving my subject </w:t>
      </w:r>
      <w:proofErr w:type="gramStart"/>
      <w:r w:rsidR="00D024EB" w:rsidRPr="00DC1501">
        <w:rPr>
          <w:sz w:val="24"/>
          <w:szCs w:val="24"/>
        </w:rPr>
        <w:t>knowledge</w:t>
      </w:r>
      <w:proofErr w:type="gramEnd"/>
      <w:r w:rsidR="00D024EB" w:rsidRPr="00DC1501">
        <w:rPr>
          <w:sz w:val="24"/>
          <w:szCs w:val="24"/>
        </w:rPr>
        <w:t xml:space="preserve"> I was able to deliver a lesson on pitch in which I displayed aspects of the Transformation quarter by modelling how to alter pitch using appropriate instruments that I had selected and the Connection quarter by aiding the pupils to make the connections between pitch and volume.  Whilst the music lessons that I have delivered were not at the same level as some of the subjects I am more comfortable with </w:t>
      </w:r>
      <w:proofErr w:type="spellStart"/>
      <w:r w:rsidR="00D024EB" w:rsidRPr="00DC1501">
        <w:rPr>
          <w:sz w:val="24"/>
          <w:szCs w:val="24"/>
        </w:rPr>
        <w:t>they</w:t>
      </w:r>
      <w:proofErr w:type="spellEnd"/>
      <w:r w:rsidR="00D024EB" w:rsidRPr="00DC1501">
        <w:rPr>
          <w:sz w:val="24"/>
          <w:szCs w:val="24"/>
        </w:rPr>
        <w:t xml:space="preserve"> resulted in a great deal of satisfaction. I also found that in discussions with my class teacher and other staff I was more comfortable admitting that I struggled with a music lesson than I did an English or Maths lesson. Given the importance that will be placed on music and other expressive arts in the future (Donaldson, 2015) I remain committed and determined to improve my own ability in this area in order to enhance the effectiveness of my teaching. I have taken steps to achieve this recently, namely beginning lessons to play a musical instrument.</w:t>
      </w:r>
    </w:p>
    <w:p w14:paraId="02BE66BD" w14:textId="77777777" w:rsidR="00B77B09" w:rsidRPr="00DC1501" w:rsidRDefault="00D024EB" w:rsidP="00DC1501">
      <w:pPr>
        <w:spacing w:line="360" w:lineRule="auto"/>
        <w:rPr>
          <w:sz w:val="24"/>
          <w:szCs w:val="24"/>
        </w:rPr>
      </w:pPr>
      <w:r w:rsidRPr="00DC1501">
        <w:rPr>
          <w:sz w:val="24"/>
          <w:szCs w:val="24"/>
        </w:rPr>
        <w:t xml:space="preserve">One area that I expected would require improvement is my ability to speak Welsh in everyday situations. Despite gaining a good grade at GCSE and A level it had been a long time since I had used Welsh with any regularity. In the first few days I immediately noticed just how much Welsh was being used, by staff and children, and how much I was not exactly sure what it meant. </w:t>
      </w:r>
      <w:r w:rsidR="00B77B09" w:rsidRPr="00DC1501">
        <w:rPr>
          <w:sz w:val="24"/>
          <w:szCs w:val="24"/>
        </w:rPr>
        <w:t xml:space="preserve">This became abundantly clear during </w:t>
      </w:r>
      <w:r w:rsidR="002D76D2" w:rsidRPr="00DC1501">
        <w:rPr>
          <w:sz w:val="24"/>
          <w:szCs w:val="24"/>
        </w:rPr>
        <w:t>a Welsh lesson</w:t>
      </w:r>
      <w:r w:rsidR="00B77B09" w:rsidRPr="00DC1501">
        <w:rPr>
          <w:sz w:val="24"/>
          <w:szCs w:val="24"/>
        </w:rPr>
        <w:t xml:space="preserve"> when I was asked certain vocabulary by a pupil but did not know what the answer was. The pupil in question was a conscientious learner who, with little fuss, was able to look up the required word in a Welsh dictionary and carry on completing the task. </w:t>
      </w:r>
    </w:p>
    <w:p w14:paraId="01524F91" w14:textId="5D78103D" w:rsidR="00D024EB" w:rsidRPr="00DC1501" w:rsidRDefault="00B77B09" w:rsidP="00DC1501">
      <w:pPr>
        <w:spacing w:line="360" w:lineRule="auto"/>
        <w:rPr>
          <w:sz w:val="24"/>
          <w:szCs w:val="24"/>
        </w:rPr>
      </w:pPr>
      <w:r w:rsidRPr="00DC1501">
        <w:rPr>
          <w:sz w:val="24"/>
          <w:szCs w:val="24"/>
        </w:rPr>
        <w:t xml:space="preserve">However, there were numerous pupils for whom finding a word in a dictionary was going to take up quite a lot of time. To counter this if they asked me for vocabulary that I was unaware of, I would first pose it to the rest of the class to see if anyone else knew. If no one was aware of the correct vocabulary I would simply suggest an alternative that they could use and make sure to check the correct word and inform them of </w:t>
      </w:r>
      <w:proofErr w:type="gramStart"/>
      <w:r w:rsidRPr="00DC1501">
        <w:rPr>
          <w:sz w:val="24"/>
          <w:szCs w:val="24"/>
        </w:rPr>
        <w:t>it</w:t>
      </w:r>
      <w:proofErr w:type="gramEnd"/>
      <w:r w:rsidRPr="00DC1501">
        <w:rPr>
          <w:sz w:val="24"/>
          <w:szCs w:val="24"/>
        </w:rPr>
        <w:t xml:space="preserve"> next lesson. I was </w:t>
      </w:r>
      <w:r w:rsidRPr="00DC1501">
        <w:rPr>
          <w:sz w:val="24"/>
          <w:szCs w:val="24"/>
        </w:rPr>
        <w:lastRenderedPageBreak/>
        <w:t xml:space="preserve">extremely mindful to ensure that the pupil in question knew that it was a worth question and was not deterred from asking further ones. </w:t>
      </w:r>
      <w:proofErr w:type="gramStart"/>
      <w:r w:rsidRPr="00DC1501">
        <w:rPr>
          <w:sz w:val="24"/>
          <w:szCs w:val="24"/>
        </w:rPr>
        <w:t>Ideally</w:t>
      </w:r>
      <w:proofErr w:type="gramEnd"/>
      <w:r w:rsidRPr="00DC1501">
        <w:rPr>
          <w:sz w:val="24"/>
          <w:szCs w:val="24"/>
        </w:rPr>
        <w:t xml:space="preserve"> I would be able to answer with the correct vocabulary every time, but I also think that the way in which I handled not knowing the vocabulary helped to minimise the negative impact on the effective learning in that lesson.</w:t>
      </w:r>
    </w:p>
    <w:p w14:paraId="0E0C260A" w14:textId="06B08191" w:rsidR="00B77B09" w:rsidRPr="00DC1501" w:rsidRDefault="00B77B09" w:rsidP="00DC1501">
      <w:pPr>
        <w:spacing w:line="360" w:lineRule="auto"/>
        <w:rPr>
          <w:sz w:val="24"/>
          <w:szCs w:val="24"/>
        </w:rPr>
      </w:pPr>
      <w:r w:rsidRPr="00DC1501">
        <w:rPr>
          <w:sz w:val="24"/>
          <w:szCs w:val="24"/>
        </w:rPr>
        <w:t>During most lessons my class was a higher ability group, however for maths lessons they were grouped differently. This meant that when I taught maths I was delivering lessons to the lowest group in Year 3 and 4, to such an extent that during my planning session I was advised by my class teacher to identify suitable resources used in Year 1 and 2 and then if they were successful adapt them to a higher ability, but be prepared not to.</w:t>
      </w:r>
    </w:p>
    <w:p w14:paraId="2FCEE35E" w14:textId="37C52B67" w:rsidR="00B77B09" w:rsidRPr="00DC1501" w:rsidRDefault="00B77B09" w:rsidP="00DC1501">
      <w:pPr>
        <w:spacing w:line="360" w:lineRule="auto"/>
        <w:rPr>
          <w:sz w:val="24"/>
          <w:szCs w:val="24"/>
        </w:rPr>
      </w:pPr>
      <w:r w:rsidRPr="00DC1501">
        <w:rPr>
          <w:sz w:val="24"/>
          <w:szCs w:val="24"/>
        </w:rPr>
        <w:t xml:space="preserve">The main topic that I taught in maths lessons to this group was time. Regarding expectations, I had been informed that if after a full week of maths </w:t>
      </w:r>
      <w:proofErr w:type="gramStart"/>
      <w:r w:rsidRPr="00DC1501">
        <w:rPr>
          <w:sz w:val="24"/>
          <w:szCs w:val="24"/>
        </w:rPr>
        <w:t>lessons</w:t>
      </w:r>
      <w:proofErr w:type="gramEnd"/>
      <w:r w:rsidRPr="00DC1501">
        <w:rPr>
          <w:sz w:val="24"/>
          <w:szCs w:val="24"/>
        </w:rPr>
        <w:t xml:space="preserve"> the class could confidently identify “o’clock” and sometimes “half past” on a clock it would be deemed a great success. These lessons proved to be the most challenging ones I would deliver in my entire placement. Whilst my actual subject content knowledge was more than adequate, </w:t>
      </w:r>
      <w:r w:rsidR="00E40077" w:rsidRPr="00DC1501">
        <w:rPr>
          <w:sz w:val="24"/>
          <w:szCs w:val="24"/>
        </w:rPr>
        <w:t xml:space="preserve">I was lacking the pedagogical knowledge required to be able to effectively teach a subject that I perhaps took for granted. </w:t>
      </w:r>
    </w:p>
    <w:p w14:paraId="221EF2BF" w14:textId="1A48CFC7" w:rsidR="00E40077" w:rsidRPr="00DC1501" w:rsidRDefault="00E40077" w:rsidP="00DC1501">
      <w:pPr>
        <w:spacing w:line="360" w:lineRule="auto"/>
        <w:rPr>
          <w:sz w:val="24"/>
          <w:szCs w:val="24"/>
        </w:rPr>
      </w:pPr>
      <w:r w:rsidRPr="00DC1501">
        <w:rPr>
          <w:sz w:val="24"/>
          <w:szCs w:val="24"/>
        </w:rPr>
        <w:t>This lack of pedagogical knowledge resulted in me being asked questions that have never occurred to me, but perhaps would if I was to look at a clock for the first time, for example “why are there 60 minutes in an hour?”. I had prepared sufficiently to be able to answer questions regarding the units used to measure time, why time is important and the various time combinations amongst others. But questions of this type almost caught me by surprise.</w:t>
      </w:r>
    </w:p>
    <w:p w14:paraId="64F3956E" w14:textId="3B9AE6C0" w:rsidR="00F41714" w:rsidRPr="00DC1501" w:rsidRDefault="00E40077" w:rsidP="00DC1501">
      <w:pPr>
        <w:spacing w:line="360" w:lineRule="auto"/>
        <w:rPr>
          <w:sz w:val="24"/>
          <w:szCs w:val="24"/>
        </w:rPr>
      </w:pPr>
      <w:r w:rsidRPr="00DC1501">
        <w:rPr>
          <w:sz w:val="24"/>
          <w:szCs w:val="24"/>
        </w:rPr>
        <w:t xml:space="preserve">As with the Welsh lesson in which I simply did not know the answer, I admitted that to the pupils rather than brushing it aside or telling them they did not need to know. I did my utmost to ensure that any relevant question was treated with respect and, where possible, answered with the seriousness it deserved. Some questions I posed to the class, other questions I informed the class we could investigate them next lesson. Putting this kind of responsibility on pupils and making them responsible for their own learning in this manner has only yielded positive results for me so far. While I am aware of potential pitfalls in this </w:t>
      </w:r>
      <w:r w:rsidRPr="00DC1501">
        <w:rPr>
          <w:sz w:val="24"/>
          <w:szCs w:val="24"/>
        </w:rPr>
        <w:lastRenderedPageBreak/>
        <w:t xml:space="preserve">approach, such as pupils not taking it seriously, it is something I am keen to maintain as much as possible in my future practice. </w:t>
      </w:r>
    </w:p>
    <w:p w14:paraId="0172ECE4" w14:textId="7C96FAD2" w:rsidR="00B60B0E" w:rsidRPr="00DC1501" w:rsidRDefault="00B60B0E" w:rsidP="00DC1501">
      <w:pPr>
        <w:spacing w:line="360" w:lineRule="auto"/>
        <w:rPr>
          <w:i/>
          <w:sz w:val="28"/>
          <w:szCs w:val="24"/>
        </w:rPr>
      </w:pPr>
      <w:r w:rsidRPr="00DC1501">
        <w:rPr>
          <w:i/>
          <w:sz w:val="28"/>
          <w:szCs w:val="24"/>
        </w:rPr>
        <w:t>Conclusion</w:t>
      </w:r>
    </w:p>
    <w:p w14:paraId="4721459F" w14:textId="27ED8046" w:rsidR="00B60B0E" w:rsidRPr="00DC1501" w:rsidRDefault="00B60B0E" w:rsidP="00DC1501">
      <w:pPr>
        <w:spacing w:line="360" w:lineRule="auto"/>
        <w:rPr>
          <w:sz w:val="24"/>
          <w:szCs w:val="24"/>
        </w:rPr>
      </w:pPr>
      <w:r w:rsidRPr="00DC1501">
        <w:rPr>
          <w:sz w:val="24"/>
          <w:szCs w:val="24"/>
        </w:rPr>
        <w:t xml:space="preserve">After reviewing the literature extensively and reflecting appropriately on my own experiences during my PTE I can conclude by saying that I have realised teacher subject knowledge is not a box to tick or a required mark on an audit but something that is constantly evolving and, hopefully, improving. Undertaking this review has benefited me by providing me with the correct terminology and definitions to accurately express what areas of my teaching knowledge I feel require improvement. This is something that I hope to be able to utilise during my next PTE and during my continued development beyond that in order to set myself, individually and with support from other staff, specific targets with which to improve myself as a teacher. </w:t>
      </w:r>
    </w:p>
    <w:p w14:paraId="5D5EB3AD" w14:textId="7BCF13FE" w:rsidR="00174145" w:rsidRDefault="00174145" w:rsidP="00DC1501">
      <w:pPr>
        <w:spacing w:line="360" w:lineRule="auto"/>
        <w:rPr>
          <w:sz w:val="24"/>
          <w:szCs w:val="24"/>
        </w:rPr>
      </w:pPr>
      <w:r w:rsidRPr="00DC1501">
        <w:rPr>
          <w:sz w:val="24"/>
          <w:szCs w:val="24"/>
        </w:rPr>
        <w:t xml:space="preserve">Examining the various aspects of teacher knowledge and their implications during teaching practice has also increased my understanding of how the numerous aspects of a </w:t>
      </w:r>
      <w:r w:rsidR="00E40077" w:rsidRPr="00DC1501">
        <w:rPr>
          <w:sz w:val="24"/>
          <w:szCs w:val="24"/>
        </w:rPr>
        <w:t>teacher’s</w:t>
      </w:r>
      <w:r w:rsidRPr="00DC1501">
        <w:rPr>
          <w:sz w:val="24"/>
          <w:szCs w:val="24"/>
        </w:rPr>
        <w:t xml:space="preserve"> knowledge base not only coexist but rely on each other to ensure that you can deliver effective, engaging lessons to pupils.</w:t>
      </w:r>
      <w:r w:rsidR="00DC1501" w:rsidRPr="00DC1501">
        <w:rPr>
          <w:sz w:val="24"/>
          <w:szCs w:val="24"/>
        </w:rPr>
        <w:t xml:space="preserve"> It has also reinforced my belief that effective teaching can only be consistently delivered by a teacher with an advanced, well-developed level of subject knowledge of all variations. </w:t>
      </w:r>
    </w:p>
    <w:p w14:paraId="523F044A" w14:textId="56945F07" w:rsidR="00DC1501" w:rsidRDefault="00DC1501" w:rsidP="00DC1501">
      <w:pPr>
        <w:spacing w:line="360" w:lineRule="auto"/>
        <w:rPr>
          <w:sz w:val="24"/>
          <w:szCs w:val="24"/>
        </w:rPr>
      </w:pPr>
    </w:p>
    <w:p w14:paraId="150E68B6" w14:textId="64D3C76F" w:rsidR="00DC1501" w:rsidRDefault="00DC1501" w:rsidP="00DC1501">
      <w:pPr>
        <w:spacing w:line="360" w:lineRule="auto"/>
        <w:rPr>
          <w:sz w:val="24"/>
          <w:szCs w:val="24"/>
        </w:rPr>
      </w:pPr>
    </w:p>
    <w:p w14:paraId="2B96EBCE" w14:textId="57E108B0" w:rsidR="00DC1501" w:rsidRDefault="00DC1501" w:rsidP="00DC1501">
      <w:pPr>
        <w:spacing w:line="360" w:lineRule="auto"/>
        <w:rPr>
          <w:sz w:val="24"/>
          <w:szCs w:val="24"/>
        </w:rPr>
      </w:pPr>
    </w:p>
    <w:p w14:paraId="6F173362" w14:textId="681B2292" w:rsidR="00DC1501" w:rsidRDefault="00DC1501" w:rsidP="00DC1501">
      <w:pPr>
        <w:spacing w:line="360" w:lineRule="auto"/>
        <w:rPr>
          <w:sz w:val="24"/>
          <w:szCs w:val="24"/>
        </w:rPr>
      </w:pPr>
    </w:p>
    <w:p w14:paraId="740A317F" w14:textId="4619DC02" w:rsidR="00DC1501" w:rsidRDefault="00DC1501" w:rsidP="00DC1501">
      <w:pPr>
        <w:spacing w:line="360" w:lineRule="auto"/>
        <w:rPr>
          <w:sz w:val="24"/>
          <w:szCs w:val="24"/>
        </w:rPr>
      </w:pPr>
    </w:p>
    <w:p w14:paraId="691A10C4" w14:textId="28021974" w:rsidR="00DC1501" w:rsidRDefault="00DC1501" w:rsidP="00DC1501">
      <w:pPr>
        <w:spacing w:line="360" w:lineRule="auto"/>
        <w:rPr>
          <w:sz w:val="24"/>
          <w:szCs w:val="24"/>
        </w:rPr>
      </w:pPr>
    </w:p>
    <w:p w14:paraId="73974058" w14:textId="0C8C5B92" w:rsidR="00DC1501" w:rsidRDefault="00DC1501" w:rsidP="00DC1501">
      <w:pPr>
        <w:spacing w:line="360" w:lineRule="auto"/>
        <w:rPr>
          <w:sz w:val="24"/>
          <w:szCs w:val="24"/>
        </w:rPr>
      </w:pPr>
    </w:p>
    <w:p w14:paraId="7FA19D38" w14:textId="76195B7C" w:rsidR="00DC1501" w:rsidRDefault="00DC1501" w:rsidP="00DC1501">
      <w:pPr>
        <w:spacing w:line="360" w:lineRule="auto"/>
        <w:rPr>
          <w:sz w:val="24"/>
          <w:szCs w:val="24"/>
        </w:rPr>
      </w:pPr>
    </w:p>
    <w:p w14:paraId="45D7A4D9" w14:textId="7CDBFBF5" w:rsidR="00DC1501" w:rsidRDefault="00DC1501" w:rsidP="00DC1501">
      <w:pPr>
        <w:spacing w:line="360" w:lineRule="auto"/>
        <w:rPr>
          <w:sz w:val="24"/>
          <w:szCs w:val="24"/>
        </w:rPr>
      </w:pPr>
    </w:p>
    <w:p w14:paraId="48CFF1D8" w14:textId="72D227DF" w:rsidR="00DC1501" w:rsidRDefault="00DC1501" w:rsidP="00DC1501">
      <w:pPr>
        <w:spacing w:line="360" w:lineRule="auto"/>
        <w:rPr>
          <w:i/>
          <w:sz w:val="28"/>
          <w:szCs w:val="24"/>
        </w:rPr>
      </w:pPr>
      <w:r w:rsidRPr="00DC1501">
        <w:rPr>
          <w:i/>
          <w:sz w:val="28"/>
          <w:szCs w:val="24"/>
        </w:rPr>
        <w:lastRenderedPageBreak/>
        <w:t>References</w:t>
      </w:r>
    </w:p>
    <w:p w14:paraId="460CC8D0" w14:textId="77777777" w:rsidR="00DC1501" w:rsidRPr="005916A7" w:rsidRDefault="00DC1501" w:rsidP="00DC1501">
      <w:pPr>
        <w:spacing w:line="360" w:lineRule="auto"/>
        <w:rPr>
          <w:sz w:val="24"/>
        </w:rPr>
      </w:pPr>
      <w:r w:rsidRPr="005916A7">
        <w:rPr>
          <w:sz w:val="24"/>
        </w:rPr>
        <w:t>Brookfield, S. (1995). Becoming a critically reflective teacher. San Francisco: Jossey-Bass.</w:t>
      </w:r>
    </w:p>
    <w:p w14:paraId="7380B0C6" w14:textId="77777777" w:rsidR="00DC1501" w:rsidRPr="005916A7" w:rsidRDefault="00DC1501" w:rsidP="00DC1501">
      <w:pPr>
        <w:spacing w:line="360" w:lineRule="auto"/>
        <w:rPr>
          <w:sz w:val="24"/>
        </w:rPr>
      </w:pPr>
      <w:r w:rsidRPr="005916A7">
        <w:rPr>
          <w:sz w:val="24"/>
        </w:rPr>
        <w:t>Burden, P. R. (2003). Classroom management: Creating a successful learning community. New York: John Wiley &amp; Sons, Inc.</w:t>
      </w:r>
    </w:p>
    <w:p w14:paraId="2B0A8B46" w14:textId="77777777" w:rsidR="00DC1501" w:rsidRPr="005916A7" w:rsidRDefault="00DC1501" w:rsidP="00DC1501">
      <w:pPr>
        <w:spacing w:line="360" w:lineRule="auto"/>
        <w:rPr>
          <w:sz w:val="24"/>
        </w:rPr>
      </w:pPr>
      <w:r w:rsidRPr="005916A7">
        <w:rPr>
          <w:sz w:val="24"/>
        </w:rPr>
        <w:t>Calderhead, J. (1989). Reflective teaching and teacher education. Teaching and Teacher Education, Vol 5 (1), p43-51.</w:t>
      </w:r>
    </w:p>
    <w:p w14:paraId="4E8DD345" w14:textId="77777777" w:rsidR="00DC1501" w:rsidRPr="005916A7" w:rsidRDefault="00DC1501" w:rsidP="00DC1501">
      <w:pPr>
        <w:spacing w:line="360" w:lineRule="auto"/>
        <w:rPr>
          <w:sz w:val="24"/>
        </w:rPr>
      </w:pPr>
      <w:r w:rsidRPr="005916A7">
        <w:rPr>
          <w:sz w:val="24"/>
        </w:rPr>
        <w:t xml:space="preserve">Campbell, J., </w:t>
      </w:r>
      <w:proofErr w:type="spellStart"/>
      <w:r w:rsidRPr="005916A7">
        <w:rPr>
          <w:sz w:val="24"/>
        </w:rPr>
        <w:t>Kyriakides</w:t>
      </w:r>
      <w:proofErr w:type="spellEnd"/>
      <w:r w:rsidRPr="005916A7">
        <w:rPr>
          <w:sz w:val="24"/>
        </w:rPr>
        <w:t xml:space="preserve">, L., </w:t>
      </w:r>
      <w:proofErr w:type="spellStart"/>
      <w:r w:rsidRPr="005916A7">
        <w:rPr>
          <w:sz w:val="24"/>
        </w:rPr>
        <w:t>Muijs</w:t>
      </w:r>
      <w:proofErr w:type="spellEnd"/>
      <w:r w:rsidRPr="005916A7">
        <w:rPr>
          <w:sz w:val="24"/>
        </w:rPr>
        <w:t xml:space="preserve">, D. &amp; Robinson, W. (2004) Assessing teacher effectiveness: developing a differentiated model. Abingdon, UK: </w:t>
      </w:r>
      <w:proofErr w:type="spellStart"/>
      <w:r w:rsidRPr="005916A7">
        <w:rPr>
          <w:sz w:val="24"/>
        </w:rPr>
        <w:t>RoutledgeFalmer</w:t>
      </w:r>
      <w:proofErr w:type="spellEnd"/>
    </w:p>
    <w:p w14:paraId="31EEEBEA" w14:textId="77777777" w:rsidR="00DC1501" w:rsidRPr="005916A7" w:rsidRDefault="00DC1501" w:rsidP="00DC1501">
      <w:pPr>
        <w:spacing w:line="360" w:lineRule="auto"/>
        <w:rPr>
          <w:sz w:val="24"/>
        </w:rPr>
      </w:pPr>
      <w:r w:rsidRPr="005916A7">
        <w:rPr>
          <w:sz w:val="24"/>
        </w:rPr>
        <w:t>Clark, C. (1989). Why teachers need philosophy. Journal of Philosophy of Education, Vol. 23 (2).</w:t>
      </w:r>
    </w:p>
    <w:p w14:paraId="35DD2E6D" w14:textId="77777777" w:rsidR="00DC1501" w:rsidRPr="005916A7" w:rsidRDefault="00DC1501" w:rsidP="00DC1501">
      <w:pPr>
        <w:spacing w:line="360" w:lineRule="auto"/>
        <w:rPr>
          <w:sz w:val="24"/>
        </w:rPr>
      </w:pPr>
      <w:r w:rsidRPr="005916A7">
        <w:rPr>
          <w:sz w:val="24"/>
        </w:rPr>
        <w:t xml:space="preserve">Colvin, G., &amp; Lazar, M. (1995). Establishing classroom routines. In A. Deffenbaugh, G. </w:t>
      </w:r>
      <w:proofErr w:type="spellStart"/>
      <w:r w:rsidRPr="005916A7">
        <w:rPr>
          <w:sz w:val="24"/>
        </w:rPr>
        <w:t>Sugai</w:t>
      </w:r>
      <w:proofErr w:type="spellEnd"/>
      <w:r w:rsidRPr="005916A7">
        <w:rPr>
          <w:sz w:val="24"/>
        </w:rPr>
        <w:t>, G. Tindal (Eds.), The Oregon Conference Monograph 1995, Vol. 7 (pp. 209-212). Eugene, OR: University of Oregon.</w:t>
      </w:r>
    </w:p>
    <w:p w14:paraId="014ACAD7" w14:textId="77777777" w:rsidR="00DC1501" w:rsidRPr="005916A7" w:rsidRDefault="00DC1501" w:rsidP="00DC1501">
      <w:pPr>
        <w:spacing w:line="360" w:lineRule="auto"/>
        <w:rPr>
          <w:sz w:val="24"/>
        </w:rPr>
      </w:pPr>
      <w:r w:rsidRPr="005916A7">
        <w:rPr>
          <w:sz w:val="24"/>
        </w:rPr>
        <w:t>Donaldson, G. (2015). Successful Futures: Independent review of curriculum and assessment arrangements in Wales.</w:t>
      </w:r>
    </w:p>
    <w:p w14:paraId="2D545946" w14:textId="77777777" w:rsidR="00DC1501" w:rsidRPr="005916A7" w:rsidRDefault="00DC1501" w:rsidP="00DC1501">
      <w:pPr>
        <w:spacing w:line="360" w:lineRule="auto"/>
        <w:rPr>
          <w:sz w:val="24"/>
        </w:rPr>
      </w:pPr>
      <w:r w:rsidRPr="005916A7">
        <w:rPr>
          <w:sz w:val="24"/>
        </w:rPr>
        <w:t>Gage, N.L. (1986). The mind’s new science: A history of cognitive revolution. New York: Basic Books.</w:t>
      </w:r>
    </w:p>
    <w:p w14:paraId="17F18AA1" w14:textId="77777777" w:rsidR="00DC1501" w:rsidRPr="005916A7" w:rsidRDefault="00DC1501" w:rsidP="00DC1501">
      <w:pPr>
        <w:spacing w:line="360" w:lineRule="auto"/>
        <w:rPr>
          <w:sz w:val="24"/>
        </w:rPr>
      </w:pPr>
      <w:proofErr w:type="spellStart"/>
      <w:r w:rsidRPr="005916A7">
        <w:rPr>
          <w:sz w:val="24"/>
        </w:rPr>
        <w:t>Gess</w:t>
      </w:r>
      <w:proofErr w:type="spellEnd"/>
      <w:r w:rsidRPr="005916A7">
        <w:rPr>
          <w:sz w:val="24"/>
        </w:rPr>
        <w:t xml:space="preserve">-Newsome, J. (1999b). Pedagogical content knowledge: an introduction and orientation, In J. </w:t>
      </w:r>
      <w:proofErr w:type="spellStart"/>
      <w:r w:rsidRPr="005916A7">
        <w:rPr>
          <w:sz w:val="24"/>
        </w:rPr>
        <w:t>Gess</w:t>
      </w:r>
      <w:proofErr w:type="spellEnd"/>
      <w:r w:rsidRPr="005916A7">
        <w:rPr>
          <w:sz w:val="24"/>
        </w:rPr>
        <w:t>-Newsome and N.G. Lederman (Eds.), Examining Pedagogical Content Knowledge (3-20). Dordrecht, The Netherlands: Kluwer Academic Publishers</w:t>
      </w:r>
    </w:p>
    <w:p w14:paraId="28600A4F" w14:textId="77777777" w:rsidR="00DC1501" w:rsidRPr="005916A7" w:rsidRDefault="00DC1501" w:rsidP="00DC1501">
      <w:pPr>
        <w:spacing w:line="360" w:lineRule="auto"/>
        <w:rPr>
          <w:sz w:val="24"/>
        </w:rPr>
      </w:pPr>
      <w:r w:rsidRPr="005916A7">
        <w:rPr>
          <w:sz w:val="24"/>
        </w:rPr>
        <w:t>Gibbs, G. (1988). Learning by Doing. London: Further Education Unit.</w:t>
      </w:r>
    </w:p>
    <w:p w14:paraId="0778434B" w14:textId="77777777" w:rsidR="00DC1501" w:rsidRPr="005916A7" w:rsidRDefault="00DC1501" w:rsidP="00DC1501">
      <w:pPr>
        <w:spacing w:line="360" w:lineRule="auto"/>
        <w:rPr>
          <w:sz w:val="24"/>
        </w:rPr>
      </w:pPr>
      <w:r w:rsidRPr="005916A7">
        <w:rPr>
          <w:sz w:val="24"/>
        </w:rPr>
        <w:t xml:space="preserve">Giles, A.M., &amp; </w:t>
      </w:r>
      <w:proofErr w:type="spellStart"/>
      <w:r w:rsidRPr="005916A7">
        <w:rPr>
          <w:sz w:val="24"/>
        </w:rPr>
        <w:t>Frego</w:t>
      </w:r>
      <w:proofErr w:type="spellEnd"/>
      <w:r w:rsidRPr="005916A7">
        <w:rPr>
          <w:sz w:val="24"/>
        </w:rPr>
        <w:t>, R.J. (2004). An Inventory of Music Activities Used by Elementary Classroom Teachers: An Exploratory Study. Applications of Research in Music Education, 22(2), 13-22.</w:t>
      </w:r>
    </w:p>
    <w:p w14:paraId="2BBA5420" w14:textId="77777777" w:rsidR="00DC1501" w:rsidRPr="005916A7" w:rsidRDefault="00DC1501" w:rsidP="00DC1501">
      <w:pPr>
        <w:spacing w:line="360" w:lineRule="auto"/>
        <w:rPr>
          <w:sz w:val="24"/>
        </w:rPr>
      </w:pPr>
      <w:r w:rsidRPr="005916A7">
        <w:rPr>
          <w:sz w:val="24"/>
        </w:rPr>
        <w:t xml:space="preserve">Greeno, J. G., Collins, A. M., &amp; Resnick, L. B. (1996). Cognition and learning. In D. Berliner and R. Calfee (Eds.), Handbook of Educational Psychology (pp. 15-41). New York: </w:t>
      </w:r>
      <w:proofErr w:type="spellStart"/>
      <w:r w:rsidRPr="005916A7">
        <w:rPr>
          <w:sz w:val="24"/>
        </w:rPr>
        <w:t>MacMillian</w:t>
      </w:r>
      <w:proofErr w:type="spellEnd"/>
      <w:r w:rsidRPr="005916A7">
        <w:rPr>
          <w:sz w:val="24"/>
        </w:rPr>
        <w:t xml:space="preserve">. </w:t>
      </w:r>
    </w:p>
    <w:p w14:paraId="263A107A" w14:textId="77777777" w:rsidR="00DC1501" w:rsidRPr="005916A7" w:rsidRDefault="00DC1501" w:rsidP="00DC1501">
      <w:pPr>
        <w:spacing w:line="360" w:lineRule="auto"/>
        <w:rPr>
          <w:sz w:val="24"/>
        </w:rPr>
      </w:pPr>
      <w:r w:rsidRPr="005916A7">
        <w:rPr>
          <w:sz w:val="24"/>
        </w:rPr>
        <w:lastRenderedPageBreak/>
        <w:t xml:space="preserve">Grossman, P. L. (1990). The making of a teacher: teacher knowledge and teacher education. New York: Teachers College Press. </w:t>
      </w:r>
    </w:p>
    <w:p w14:paraId="1C96E709" w14:textId="77777777" w:rsidR="00DC1501" w:rsidRPr="005916A7" w:rsidRDefault="00DC1501" w:rsidP="00DC1501">
      <w:pPr>
        <w:spacing w:line="360" w:lineRule="auto"/>
        <w:rPr>
          <w:sz w:val="24"/>
        </w:rPr>
      </w:pPr>
      <w:r w:rsidRPr="005916A7">
        <w:rPr>
          <w:sz w:val="24"/>
        </w:rPr>
        <w:t>Hocking, C. (2009). The challenge of occupation: Describing the things people do. Journal of Occupational Science, 16(3), 140-150.</w:t>
      </w:r>
    </w:p>
    <w:p w14:paraId="642A03C5" w14:textId="77777777" w:rsidR="00DC1501" w:rsidRPr="005916A7" w:rsidRDefault="00DC1501" w:rsidP="00DC1501">
      <w:pPr>
        <w:spacing w:line="360" w:lineRule="auto"/>
        <w:rPr>
          <w:sz w:val="24"/>
        </w:rPr>
      </w:pPr>
      <w:proofErr w:type="spellStart"/>
      <w:r w:rsidRPr="005916A7">
        <w:rPr>
          <w:sz w:val="24"/>
        </w:rPr>
        <w:t>Huckstep</w:t>
      </w:r>
      <w:proofErr w:type="spellEnd"/>
      <w:r w:rsidRPr="005916A7">
        <w:rPr>
          <w:sz w:val="24"/>
        </w:rPr>
        <w:t xml:space="preserve">, P., Rowland, T. &amp; Thwaites, A. (2006). The knowledge quartet: considering Chloe. In Proceedings of the Fourth Congress of the European Society for Research in Mathematics Education (pp. 1568-1578). </w:t>
      </w:r>
    </w:p>
    <w:p w14:paraId="3ADF874D" w14:textId="77777777" w:rsidR="00DC1501" w:rsidRPr="005916A7" w:rsidRDefault="00DC1501" w:rsidP="00DC1501">
      <w:pPr>
        <w:spacing w:line="360" w:lineRule="auto"/>
        <w:rPr>
          <w:sz w:val="24"/>
        </w:rPr>
      </w:pPr>
      <w:r w:rsidRPr="005916A7">
        <w:rPr>
          <w:sz w:val="24"/>
        </w:rPr>
        <w:t>Ko, J. (2010) ‘Consistency and variation in classroom practice: a mixed-method investigation based on case studies of four EFL teachers of a disadvantaged secondary school in Hong Kong’. Doctoral thesis. Nottingham, UK: University of Nottingham.</w:t>
      </w:r>
    </w:p>
    <w:p w14:paraId="2C567854" w14:textId="77777777" w:rsidR="00DC1501" w:rsidRPr="005916A7" w:rsidRDefault="00DC1501" w:rsidP="00DC1501">
      <w:pPr>
        <w:spacing w:line="360" w:lineRule="auto"/>
        <w:rPr>
          <w:sz w:val="24"/>
        </w:rPr>
      </w:pPr>
      <w:proofErr w:type="spellStart"/>
      <w:r w:rsidRPr="005916A7">
        <w:rPr>
          <w:sz w:val="24"/>
        </w:rPr>
        <w:t>Leinhardt</w:t>
      </w:r>
      <w:proofErr w:type="spellEnd"/>
      <w:r w:rsidRPr="005916A7">
        <w:rPr>
          <w:sz w:val="24"/>
        </w:rPr>
        <w:t>, G. (1988) ‘Situated knowledge and expertise in teaching’, in Calderhead, J. (ed.) Teachers’ Professional Learning, London: The Falmer Press.</w:t>
      </w:r>
    </w:p>
    <w:p w14:paraId="0C5302D0" w14:textId="77777777" w:rsidR="00DC1501" w:rsidRPr="005916A7" w:rsidRDefault="00DC1501" w:rsidP="00DC1501">
      <w:pPr>
        <w:spacing w:line="360" w:lineRule="auto"/>
        <w:rPr>
          <w:sz w:val="24"/>
        </w:rPr>
      </w:pPr>
      <w:r w:rsidRPr="005916A7">
        <w:rPr>
          <w:sz w:val="24"/>
        </w:rPr>
        <w:t xml:space="preserve">Liston, M. (2015). The use of video analysis and the Knowledge Quartet in mathematics teacher education programmes. International Journal of Mathematical Education in Science and Technology, 46(1), 1-12. </w:t>
      </w:r>
    </w:p>
    <w:p w14:paraId="679FA64C" w14:textId="77777777" w:rsidR="00DC1501" w:rsidRPr="005916A7" w:rsidRDefault="00DC1501" w:rsidP="00DC1501">
      <w:pPr>
        <w:spacing w:line="360" w:lineRule="auto"/>
        <w:rPr>
          <w:sz w:val="24"/>
        </w:rPr>
      </w:pPr>
      <w:r w:rsidRPr="005916A7">
        <w:rPr>
          <w:sz w:val="24"/>
        </w:rPr>
        <w:t xml:space="preserve">Little, O., </w:t>
      </w:r>
      <w:proofErr w:type="spellStart"/>
      <w:r w:rsidRPr="005916A7">
        <w:rPr>
          <w:sz w:val="24"/>
        </w:rPr>
        <w:t>Goe</w:t>
      </w:r>
      <w:proofErr w:type="spellEnd"/>
      <w:r w:rsidRPr="005916A7">
        <w:rPr>
          <w:sz w:val="24"/>
        </w:rPr>
        <w:t xml:space="preserve">, L. &amp; Bell, C. (2009) A practical guide to evaluating teacher effectiveness. Washington, DC: National Comprehensive </w:t>
      </w:r>
      <w:proofErr w:type="spellStart"/>
      <w:r w:rsidRPr="005916A7">
        <w:rPr>
          <w:sz w:val="24"/>
        </w:rPr>
        <w:t>Center</w:t>
      </w:r>
      <w:proofErr w:type="spellEnd"/>
      <w:r w:rsidRPr="005916A7">
        <w:rPr>
          <w:sz w:val="24"/>
        </w:rPr>
        <w:t xml:space="preserve"> of Teacher Quality</w:t>
      </w:r>
    </w:p>
    <w:p w14:paraId="72BBAF69" w14:textId="77777777" w:rsidR="00DC1501" w:rsidRPr="005916A7" w:rsidRDefault="00DC1501" w:rsidP="00DC1501">
      <w:pPr>
        <w:spacing w:line="360" w:lineRule="auto"/>
        <w:rPr>
          <w:sz w:val="24"/>
        </w:rPr>
      </w:pPr>
      <w:r w:rsidRPr="005916A7">
        <w:rPr>
          <w:sz w:val="24"/>
        </w:rPr>
        <w:t>McIntyre, D. and Morrison, A. (1977) ‘Priorities in research into classroom life and teacher education’, Scottish Educational Studies, 9(1): 4–12.</w:t>
      </w:r>
    </w:p>
    <w:p w14:paraId="25454E60" w14:textId="77777777" w:rsidR="00DC1501" w:rsidRPr="005916A7" w:rsidRDefault="00DC1501" w:rsidP="00DC1501">
      <w:pPr>
        <w:spacing w:line="360" w:lineRule="auto"/>
        <w:rPr>
          <w:sz w:val="24"/>
        </w:rPr>
      </w:pPr>
      <w:proofErr w:type="spellStart"/>
      <w:r w:rsidRPr="005916A7">
        <w:rPr>
          <w:sz w:val="24"/>
        </w:rPr>
        <w:t>Petrou</w:t>
      </w:r>
      <w:proofErr w:type="spellEnd"/>
      <w:r w:rsidRPr="005916A7">
        <w:rPr>
          <w:sz w:val="24"/>
        </w:rPr>
        <w:t xml:space="preserve">, M. (2009). Adapting the knowledge quartet in the Cypriot mathematics classroom. In Proceedings of the 6th Congress of the European Society for Research in Mathematics Education (pp. 2020-2029). </w:t>
      </w:r>
    </w:p>
    <w:p w14:paraId="6EDC7CD5" w14:textId="77777777" w:rsidR="00DC1501" w:rsidRPr="005916A7" w:rsidRDefault="00DC1501" w:rsidP="00DC1501">
      <w:pPr>
        <w:spacing w:line="360" w:lineRule="auto"/>
        <w:rPr>
          <w:sz w:val="24"/>
        </w:rPr>
      </w:pPr>
      <w:r w:rsidRPr="005916A7">
        <w:rPr>
          <w:sz w:val="24"/>
        </w:rPr>
        <w:t xml:space="preserve">Piaget, J. (1950) Introduction à </w:t>
      </w:r>
      <w:proofErr w:type="spellStart"/>
      <w:r w:rsidRPr="005916A7">
        <w:rPr>
          <w:sz w:val="24"/>
        </w:rPr>
        <w:t>l’épistemologie</w:t>
      </w:r>
      <w:proofErr w:type="spellEnd"/>
      <w:r w:rsidRPr="005916A7">
        <w:rPr>
          <w:sz w:val="24"/>
        </w:rPr>
        <w:t xml:space="preserve"> </w:t>
      </w:r>
      <w:proofErr w:type="spellStart"/>
      <w:r w:rsidRPr="005916A7">
        <w:rPr>
          <w:sz w:val="24"/>
        </w:rPr>
        <w:t>génétique</w:t>
      </w:r>
      <w:proofErr w:type="spellEnd"/>
      <w:r w:rsidRPr="005916A7">
        <w:rPr>
          <w:sz w:val="24"/>
        </w:rPr>
        <w:t>, Paris: Presses Univ. de France.</w:t>
      </w:r>
    </w:p>
    <w:p w14:paraId="1BADEDEB" w14:textId="77777777" w:rsidR="00DC1501" w:rsidRPr="005916A7" w:rsidRDefault="00DC1501" w:rsidP="00DC1501">
      <w:pPr>
        <w:spacing w:line="360" w:lineRule="auto"/>
        <w:rPr>
          <w:sz w:val="24"/>
        </w:rPr>
      </w:pPr>
      <w:r w:rsidRPr="005916A7">
        <w:rPr>
          <w:sz w:val="24"/>
        </w:rPr>
        <w:t>Piaget, J. 1971) Biology and Knowledge, Chicago, IL: University of Chicago Press.</w:t>
      </w:r>
    </w:p>
    <w:p w14:paraId="7A8D11A1" w14:textId="77777777" w:rsidR="00DC1501" w:rsidRPr="005916A7" w:rsidRDefault="00DC1501" w:rsidP="00DC1501">
      <w:pPr>
        <w:spacing w:line="360" w:lineRule="auto"/>
        <w:rPr>
          <w:sz w:val="24"/>
        </w:rPr>
      </w:pPr>
      <w:r w:rsidRPr="005916A7">
        <w:rPr>
          <w:sz w:val="24"/>
        </w:rPr>
        <w:t xml:space="preserve">Putnam, R. T., and </w:t>
      </w:r>
      <w:proofErr w:type="spellStart"/>
      <w:r w:rsidRPr="005916A7">
        <w:rPr>
          <w:sz w:val="24"/>
        </w:rPr>
        <w:t>Borko</w:t>
      </w:r>
      <w:proofErr w:type="spellEnd"/>
      <w:r w:rsidRPr="005916A7">
        <w:rPr>
          <w:sz w:val="24"/>
        </w:rPr>
        <w:t xml:space="preserve">, H. (2000). ‘What do new views of knowledge and thinking have to say about research on teacher learning?’, Educational Researcher, 29 (1): 4–15. </w:t>
      </w:r>
    </w:p>
    <w:p w14:paraId="10EA55B6" w14:textId="77777777" w:rsidR="00DC1501" w:rsidRPr="005916A7" w:rsidRDefault="00DC1501" w:rsidP="00DC1501">
      <w:pPr>
        <w:spacing w:line="360" w:lineRule="auto"/>
        <w:rPr>
          <w:sz w:val="24"/>
        </w:rPr>
      </w:pPr>
      <w:r w:rsidRPr="005916A7">
        <w:rPr>
          <w:sz w:val="24"/>
        </w:rPr>
        <w:lastRenderedPageBreak/>
        <w:t xml:space="preserve">Rowland, T. &amp; </w:t>
      </w:r>
      <w:proofErr w:type="spellStart"/>
      <w:r w:rsidRPr="005916A7">
        <w:rPr>
          <w:sz w:val="24"/>
        </w:rPr>
        <w:t>Zazkis</w:t>
      </w:r>
      <w:proofErr w:type="spellEnd"/>
      <w:r w:rsidRPr="005916A7">
        <w:rPr>
          <w:sz w:val="24"/>
        </w:rPr>
        <w:t xml:space="preserve">, R. (2013). Contingency in the mathematics classroom: Opportunities </w:t>
      </w:r>
      <w:proofErr w:type="gramStart"/>
      <w:r w:rsidRPr="005916A7">
        <w:rPr>
          <w:sz w:val="24"/>
        </w:rPr>
        <w:t>taken</w:t>
      </w:r>
      <w:proofErr w:type="gramEnd"/>
      <w:r w:rsidRPr="005916A7">
        <w:rPr>
          <w:sz w:val="24"/>
        </w:rPr>
        <w:t xml:space="preserve"> and opportunities missed. Canadian Journal of Science, Mathematics and Technology Education, 13(2), 137-153.</w:t>
      </w:r>
    </w:p>
    <w:p w14:paraId="08E6E34A" w14:textId="77777777" w:rsidR="00DC1501" w:rsidRPr="005916A7" w:rsidRDefault="00DC1501" w:rsidP="00DC1501">
      <w:pPr>
        <w:spacing w:line="360" w:lineRule="auto"/>
        <w:rPr>
          <w:sz w:val="24"/>
        </w:rPr>
      </w:pPr>
      <w:r w:rsidRPr="005916A7">
        <w:rPr>
          <w:sz w:val="24"/>
        </w:rPr>
        <w:t xml:space="preserve">Rowland, T. (2005). The knowledge quartet: a tool for developing mathematics teaching. In A. </w:t>
      </w:r>
      <w:proofErr w:type="spellStart"/>
      <w:r w:rsidRPr="005916A7">
        <w:rPr>
          <w:sz w:val="24"/>
        </w:rPr>
        <w:t>Gagatsis</w:t>
      </w:r>
      <w:proofErr w:type="spellEnd"/>
      <w:r w:rsidRPr="005916A7">
        <w:rPr>
          <w:sz w:val="24"/>
        </w:rPr>
        <w:t xml:space="preserve"> (Ed) Proceedings of the Fourth Mediterranean Conference on Mathematics Education (69-81) Nicosia, Cyprus: Cyprus Mathematical Society. </w:t>
      </w:r>
    </w:p>
    <w:p w14:paraId="1CAA3BE4" w14:textId="77777777" w:rsidR="00DC1501" w:rsidRPr="005916A7" w:rsidRDefault="00DC1501" w:rsidP="00DC1501">
      <w:pPr>
        <w:spacing w:line="360" w:lineRule="auto"/>
        <w:rPr>
          <w:sz w:val="24"/>
        </w:rPr>
      </w:pPr>
      <w:r w:rsidRPr="005916A7">
        <w:rPr>
          <w:sz w:val="24"/>
        </w:rPr>
        <w:t xml:space="preserve">Rowland, T. (2014) The Knowledge Quartet: the genesis and application of a framework for analysing mathematics teaching and deepening teachers’ mathematics knowledge. SISYPHUS Journal of Education, 1(3), pp. 15-43 [downloadable </w:t>
      </w:r>
      <w:proofErr w:type="gramStart"/>
      <w:r w:rsidRPr="005916A7">
        <w:rPr>
          <w:sz w:val="24"/>
        </w:rPr>
        <w:t>from  http://revistas.rcaap.pt/sisyphus/issue/view/293</w:t>
      </w:r>
      <w:proofErr w:type="gramEnd"/>
      <w:r w:rsidRPr="005916A7">
        <w:rPr>
          <w:sz w:val="24"/>
        </w:rPr>
        <w:t>]</w:t>
      </w:r>
    </w:p>
    <w:p w14:paraId="49C86189" w14:textId="77777777" w:rsidR="00DC1501" w:rsidRPr="005916A7" w:rsidRDefault="00DC1501" w:rsidP="00DC1501">
      <w:pPr>
        <w:spacing w:line="360" w:lineRule="auto"/>
        <w:rPr>
          <w:sz w:val="24"/>
        </w:rPr>
      </w:pPr>
      <w:r w:rsidRPr="005916A7">
        <w:rPr>
          <w:sz w:val="24"/>
        </w:rPr>
        <w:t>Sammons, P. (1996) ‘Complexities in the judgement of school effectiveness’. Educational research and evaluation, 2(2), 113-49</w:t>
      </w:r>
    </w:p>
    <w:p w14:paraId="27529817" w14:textId="77777777" w:rsidR="00DC1501" w:rsidRPr="005916A7" w:rsidRDefault="00DC1501" w:rsidP="00DC1501">
      <w:pPr>
        <w:spacing w:line="360" w:lineRule="auto"/>
        <w:rPr>
          <w:sz w:val="24"/>
        </w:rPr>
      </w:pPr>
      <w:r w:rsidRPr="005916A7">
        <w:rPr>
          <w:sz w:val="24"/>
        </w:rPr>
        <w:t>Savage, T. (1999). Teaching self-control through management and discipline. Boston: Allyn &amp; Bacon.</w:t>
      </w:r>
    </w:p>
    <w:p w14:paraId="26A18399" w14:textId="77777777" w:rsidR="00DC1501" w:rsidRPr="005916A7" w:rsidRDefault="00DC1501" w:rsidP="00DC1501">
      <w:pPr>
        <w:spacing w:line="360" w:lineRule="auto"/>
        <w:rPr>
          <w:sz w:val="24"/>
        </w:rPr>
      </w:pPr>
      <w:r w:rsidRPr="005916A7">
        <w:rPr>
          <w:sz w:val="24"/>
        </w:rPr>
        <w:t>Shulman, L. S. (1986). Those who understand: Knowledge growth in teaching. Educational Researcher, 15, 4-14.</w:t>
      </w:r>
    </w:p>
    <w:p w14:paraId="1D4244DF" w14:textId="77777777" w:rsidR="00DC1501" w:rsidRPr="005916A7" w:rsidRDefault="00DC1501" w:rsidP="00DC1501">
      <w:pPr>
        <w:spacing w:line="360" w:lineRule="auto"/>
        <w:rPr>
          <w:sz w:val="24"/>
        </w:rPr>
      </w:pPr>
      <w:r w:rsidRPr="005916A7">
        <w:rPr>
          <w:sz w:val="24"/>
        </w:rPr>
        <w:t>Shulman, L. S. (1987). Knowledge and teaching: foundations of the new reform. Harvard Educational Review, 57(1), 1e22</w:t>
      </w:r>
    </w:p>
    <w:p w14:paraId="1258F302" w14:textId="77777777" w:rsidR="00DC1501" w:rsidRPr="005916A7" w:rsidRDefault="00DC1501" w:rsidP="00DC1501">
      <w:pPr>
        <w:spacing w:line="360" w:lineRule="auto"/>
        <w:rPr>
          <w:sz w:val="24"/>
        </w:rPr>
      </w:pPr>
      <w:proofErr w:type="spellStart"/>
      <w:r w:rsidRPr="005916A7">
        <w:rPr>
          <w:sz w:val="24"/>
        </w:rPr>
        <w:t>Strathern</w:t>
      </w:r>
      <w:proofErr w:type="spellEnd"/>
      <w:r w:rsidRPr="005916A7">
        <w:rPr>
          <w:sz w:val="24"/>
        </w:rPr>
        <w:t xml:space="preserve">, M. (2000). ‘New accountabilities: anthropological studies in audit, ethics and the academy’, in </w:t>
      </w:r>
      <w:proofErr w:type="spellStart"/>
      <w:r w:rsidRPr="005916A7">
        <w:rPr>
          <w:sz w:val="24"/>
        </w:rPr>
        <w:t>Strathern</w:t>
      </w:r>
      <w:proofErr w:type="spellEnd"/>
      <w:r w:rsidRPr="005916A7">
        <w:rPr>
          <w:sz w:val="24"/>
        </w:rPr>
        <w:t xml:space="preserve">, M. (ed.) Audit Cultures: Anthropological Studies in Accountability, Ethics and the </w:t>
      </w:r>
      <w:proofErr w:type="gramStart"/>
      <w:r w:rsidRPr="005916A7">
        <w:rPr>
          <w:sz w:val="24"/>
        </w:rPr>
        <w:t>Academy ,</w:t>
      </w:r>
      <w:proofErr w:type="gramEnd"/>
      <w:r w:rsidRPr="005916A7">
        <w:rPr>
          <w:sz w:val="24"/>
        </w:rPr>
        <w:t xml:space="preserve"> London: Routledge.</w:t>
      </w:r>
    </w:p>
    <w:p w14:paraId="796F5EF4" w14:textId="77777777" w:rsidR="00DC1501" w:rsidRPr="005916A7" w:rsidRDefault="00DC1501" w:rsidP="00DC1501">
      <w:pPr>
        <w:spacing w:line="360" w:lineRule="auto"/>
        <w:rPr>
          <w:sz w:val="24"/>
        </w:rPr>
      </w:pPr>
      <w:proofErr w:type="spellStart"/>
      <w:r w:rsidRPr="005916A7">
        <w:rPr>
          <w:sz w:val="24"/>
        </w:rPr>
        <w:t>Stufflebeam</w:t>
      </w:r>
      <w:proofErr w:type="spellEnd"/>
      <w:r w:rsidRPr="005916A7">
        <w:rPr>
          <w:sz w:val="24"/>
        </w:rPr>
        <w:t xml:space="preserve">, D. &amp; </w:t>
      </w:r>
      <w:proofErr w:type="spellStart"/>
      <w:r w:rsidRPr="005916A7">
        <w:rPr>
          <w:sz w:val="24"/>
        </w:rPr>
        <w:t>Shinkfield</w:t>
      </w:r>
      <w:proofErr w:type="spellEnd"/>
      <w:r w:rsidRPr="005916A7">
        <w:rPr>
          <w:sz w:val="24"/>
        </w:rPr>
        <w:t>, A. (1995) Teacher evaluation: guide to effective practice. Norwell: Kluwer.</w:t>
      </w:r>
    </w:p>
    <w:p w14:paraId="409A9E91" w14:textId="77777777" w:rsidR="00DC1501" w:rsidRPr="005916A7" w:rsidRDefault="00DC1501" w:rsidP="00DC1501">
      <w:pPr>
        <w:spacing w:line="360" w:lineRule="auto"/>
        <w:rPr>
          <w:sz w:val="24"/>
        </w:rPr>
      </w:pPr>
      <w:r w:rsidRPr="005916A7">
        <w:rPr>
          <w:sz w:val="24"/>
        </w:rPr>
        <w:t>Turner-Bissett, R. (1999). ‘The knowledge bases of the expert teacher’, British Educational Research Journal, 25 (1): 39–55.</w:t>
      </w:r>
    </w:p>
    <w:p w14:paraId="06C1F81F" w14:textId="77777777" w:rsidR="00DC1501" w:rsidRPr="005916A7" w:rsidRDefault="00DC1501" w:rsidP="00DC1501">
      <w:pPr>
        <w:spacing w:line="360" w:lineRule="auto"/>
        <w:rPr>
          <w:sz w:val="24"/>
        </w:rPr>
      </w:pPr>
      <w:proofErr w:type="spellStart"/>
      <w:r w:rsidRPr="005916A7">
        <w:rPr>
          <w:sz w:val="24"/>
        </w:rPr>
        <w:t>Vallecorsa</w:t>
      </w:r>
      <w:proofErr w:type="spellEnd"/>
      <w:r w:rsidRPr="005916A7">
        <w:rPr>
          <w:sz w:val="24"/>
        </w:rPr>
        <w:t xml:space="preserve">, A. L., </w:t>
      </w:r>
      <w:proofErr w:type="spellStart"/>
      <w:r w:rsidRPr="005916A7">
        <w:rPr>
          <w:sz w:val="24"/>
        </w:rPr>
        <w:t>deBettencourt</w:t>
      </w:r>
      <w:proofErr w:type="spellEnd"/>
      <w:r w:rsidRPr="005916A7">
        <w:rPr>
          <w:sz w:val="24"/>
        </w:rPr>
        <w:t xml:space="preserve">, L. U., &amp; </w:t>
      </w:r>
      <w:proofErr w:type="spellStart"/>
      <w:r w:rsidRPr="005916A7">
        <w:rPr>
          <w:sz w:val="24"/>
        </w:rPr>
        <w:t>Zigmond</w:t>
      </w:r>
      <w:proofErr w:type="spellEnd"/>
      <w:r w:rsidRPr="005916A7">
        <w:rPr>
          <w:sz w:val="24"/>
        </w:rPr>
        <w:t xml:space="preserve">, N. (2000). Students with mild disabilities Series on Highly Effective Practices—Classroom Routines 5 in general education settings: A guide for special educators. Upper Saddle River, NJ: Prentice-Hall. </w:t>
      </w:r>
    </w:p>
    <w:p w14:paraId="5A586FC3" w14:textId="77777777" w:rsidR="00DC1501" w:rsidRPr="005916A7" w:rsidRDefault="00DC1501" w:rsidP="00DC1501">
      <w:pPr>
        <w:spacing w:line="360" w:lineRule="auto"/>
        <w:rPr>
          <w:sz w:val="24"/>
        </w:rPr>
      </w:pPr>
      <w:r w:rsidRPr="005916A7">
        <w:rPr>
          <w:sz w:val="24"/>
        </w:rPr>
        <w:lastRenderedPageBreak/>
        <w:t>Wiggins, R. A. &amp; Wiggins, J. (2008). Primary music education in the absence of specialists. International Journal of Education &amp; the Arts, 9(12).</w:t>
      </w:r>
    </w:p>
    <w:p w14:paraId="0DC47604" w14:textId="77777777" w:rsidR="00DC1501" w:rsidRPr="005916A7" w:rsidRDefault="00DC1501" w:rsidP="00DC1501">
      <w:pPr>
        <w:spacing w:line="360" w:lineRule="auto"/>
        <w:rPr>
          <w:sz w:val="24"/>
        </w:rPr>
      </w:pPr>
      <w:proofErr w:type="spellStart"/>
      <w:r w:rsidRPr="005916A7">
        <w:rPr>
          <w:sz w:val="24"/>
        </w:rPr>
        <w:t>Zeichner</w:t>
      </w:r>
      <w:proofErr w:type="spellEnd"/>
      <w:r w:rsidRPr="005916A7">
        <w:rPr>
          <w:sz w:val="24"/>
        </w:rPr>
        <w:t xml:space="preserve">, K. M., </w:t>
      </w:r>
      <w:proofErr w:type="spellStart"/>
      <w:r w:rsidRPr="005916A7">
        <w:rPr>
          <w:sz w:val="24"/>
        </w:rPr>
        <w:t>Tabachnick</w:t>
      </w:r>
      <w:proofErr w:type="spellEnd"/>
      <w:r w:rsidRPr="005916A7">
        <w:rPr>
          <w:sz w:val="24"/>
        </w:rPr>
        <w:t>, B. R., &amp; Densmore, S. (1987). 'Individual, Institutional and Cultural Influences on the Development of Teachers’ Craft Knowledge', in Calderhead J. (Ed.) Exploring Teachers’ Thinking (pp. 21-60). London: Cassell.</w:t>
      </w:r>
    </w:p>
    <w:p w14:paraId="03509911" w14:textId="77777777" w:rsidR="00DC1501" w:rsidRPr="00DC1501" w:rsidRDefault="00DC1501" w:rsidP="00DC1501">
      <w:pPr>
        <w:spacing w:line="360" w:lineRule="auto"/>
        <w:rPr>
          <w:i/>
          <w:sz w:val="28"/>
          <w:szCs w:val="24"/>
        </w:rPr>
      </w:pPr>
    </w:p>
    <w:sectPr w:rsidR="00DC1501" w:rsidRPr="00DC150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FF429B" w14:textId="77777777" w:rsidR="009C7240" w:rsidRDefault="009C7240" w:rsidP="00DC698D">
      <w:pPr>
        <w:spacing w:after="0" w:line="240" w:lineRule="auto"/>
      </w:pPr>
      <w:r>
        <w:separator/>
      </w:r>
    </w:p>
  </w:endnote>
  <w:endnote w:type="continuationSeparator" w:id="0">
    <w:p w14:paraId="65D3E54D" w14:textId="77777777" w:rsidR="009C7240" w:rsidRDefault="009C7240" w:rsidP="00DC6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4103634"/>
      <w:docPartObj>
        <w:docPartGallery w:val="Page Numbers (Bottom of Page)"/>
        <w:docPartUnique/>
      </w:docPartObj>
    </w:sdtPr>
    <w:sdtEndPr>
      <w:rPr>
        <w:noProof/>
      </w:rPr>
    </w:sdtEndPr>
    <w:sdtContent>
      <w:p w14:paraId="3F2BDF60" w14:textId="5B88F27B" w:rsidR="003C7ACF" w:rsidRDefault="003C7A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5F685B" w14:textId="77777777" w:rsidR="003C7ACF" w:rsidRDefault="003C7A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7F4A11" w14:textId="77777777" w:rsidR="009C7240" w:rsidRDefault="009C7240" w:rsidP="00DC698D">
      <w:pPr>
        <w:spacing w:after="0" w:line="240" w:lineRule="auto"/>
      </w:pPr>
      <w:r>
        <w:separator/>
      </w:r>
    </w:p>
  </w:footnote>
  <w:footnote w:type="continuationSeparator" w:id="0">
    <w:p w14:paraId="2E5113A5" w14:textId="77777777" w:rsidR="009C7240" w:rsidRDefault="009C7240" w:rsidP="00DC69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95B8C4" w14:textId="5D39CFE2" w:rsidR="00E40077" w:rsidRDefault="00E40077">
    <w:pPr>
      <w:pStyle w:val="Header"/>
    </w:pPr>
    <w:r w:rsidRPr="00E40077">
      <w:t>M6X02149</w:t>
    </w:r>
    <w:r>
      <w:tab/>
    </w:r>
    <w:r>
      <w:tab/>
      <w:t>1803314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4F9"/>
    <w:rsid w:val="000013EF"/>
    <w:rsid w:val="000A070A"/>
    <w:rsid w:val="00147214"/>
    <w:rsid w:val="00174145"/>
    <w:rsid w:val="00212BE1"/>
    <w:rsid w:val="002D76D2"/>
    <w:rsid w:val="00312FE1"/>
    <w:rsid w:val="003C7ACF"/>
    <w:rsid w:val="00427EE4"/>
    <w:rsid w:val="00471370"/>
    <w:rsid w:val="004C5EF4"/>
    <w:rsid w:val="004E06DF"/>
    <w:rsid w:val="00503480"/>
    <w:rsid w:val="00505DE0"/>
    <w:rsid w:val="00534115"/>
    <w:rsid w:val="005923A0"/>
    <w:rsid w:val="006354F9"/>
    <w:rsid w:val="006E22C3"/>
    <w:rsid w:val="008C2441"/>
    <w:rsid w:val="009B0531"/>
    <w:rsid w:val="009C7240"/>
    <w:rsid w:val="00A44F45"/>
    <w:rsid w:val="00A5718E"/>
    <w:rsid w:val="00B452CF"/>
    <w:rsid w:val="00B60B0E"/>
    <w:rsid w:val="00B65F3C"/>
    <w:rsid w:val="00B77B09"/>
    <w:rsid w:val="00B91551"/>
    <w:rsid w:val="00BB3A6A"/>
    <w:rsid w:val="00BD5EBA"/>
    <w:rsid w:val="00BE1882"/>
    <w:rsid w:val="00C14D03"/>
    <w:rsid w:val="00CD57D5"/>
    <w:rsid w:val="00D024EB"/>
    <w:rsid w:val="00DC1501"/>
    <w:rsid w:val="00DC698D"/>
    <w:rsid w:val="00DD651E"/>
    <w:rsid w:val="00E40077"/>
    <w:rsid w:val="00E461D2"/>
    <w:rsid w:val="00F06087"/>
    <w:rsid w:val="00F37C1E"/>
    <w:rsid w:val="00F41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1305E"/>
  <w15:chartTrackingRefBased/>
  <w15:docId w15:val="{82D0FDE6-28CD-4FB0-AB28-6BDE37FC8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6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98D"/>
  </w:style>
  <w:style w:type="paragraph" w:styleId="Footer">
    <w:name w:val="footer"/>
    <w:basedOn w:val="Normal"/>
    <w:link w:val="FooterChar"/>
    <w:uiPriority w:val="99"/>
    <w:unhideWhenUsed/>
    <w:rsid w:val="00DC6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4400</Words>
  <Characters>25086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Medlicott</dc:creator>
  <cp:keywords/>
  <dc:description/>
  <cp:lastModifiedBy>Courtney Medlicott</cp:lastModifiedBy>
  <cp:revision>2</cp:revision>
  <dcterms:created xsi:type="dcterms:W3CDTF">2019-01-11T21:26:00Z</dcterms:created>
  <dcterms:modified xsi:type="dcterms:W3CDTF">2019-01-11T21:26:00Z</dcterms:modified>
</cp:coreProperties>
</file>