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389338225"/>
        <w:docPartObj>
          <w:docPartGallery w:val="Cover Pages"/>
          <w:docPartUnique/>
        </w:docPartObj>
      </w:sdtPr>
      <w:sdtEndPr>
        <w:rPr>
          <w:rFonts w:eastAsiaTheme="minorHAnsi"/>
          <w:color w:val="auto"/>
          <w:kern w:val="2"/>
          <w:lang w:eastAsia="en-US"/>
          <w14:ligatures w14:val="standardContextual"/>
        </w:rPr>
      </w:sdtEndPr>
      <w:sdtContent>
        <w:p w14:paraId="5F35D85B" w14:textId="38B0DEF6" w:rsidR="00313642" w:rsidRDefault="00313642">
          <w:pPr>
            <w:pStyle w:val="NoSpacing"/>
            <w:spacing w:before="1540" w:after="240"/>
            <w:jc w:val="center"/>
            <w:rPr>
              <w:color w:val="156082" w:themeColor="accent1"/>
            </w:rPr>
          </w:pPr>
          <w:r>
            <w:rPr>
              <w:noProof/>
              <w:color w:val="156082" w:themeColor="accent1"/>
            </w:rPr>
            <w:drawing>
              <wp:inline distT="0" distB="0" distL="0" distR="0" wp14:anchorId="7FD217D5" wp14:editId="39E93BD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2C4942C9ED974C1FAB5CEBA43038BE2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FBA13D8" w14:textId="78C6D865" w:rsidR="00313642" w:rsidRDefault="0031364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 xml:space="preserve">Global BUSINESS ENVIRONMENT </w:t>
              </w:r>
            </w:p>
          </w:sdtContent>
        </w:sdt>
        <w:sdt>
          <w:sdtPr>
            <w:rPr>
              <w:color w:val="156082" w:themeColor="accent1"/>
              <w:sz w:val="28"/>
              <w:szCs w:val="28"/>
            </w:rPr>
            <w:alias w:val="Subtitle"/>
            <w:tag w:val=""/>
            <w:id w:val="328029620"/>
            <w:placeholder>
              <w:docPart w:val="175DDB15420441EAB6AEFD0439F99B9A"/>
            </w:placeholder>
            <w:dataBinding w:prefixMappings="xmlns:ns0='http://purl.org/dc/elements/1.1/' xmlns:ns1='http://schemas.openxmlformats.org/package/2006/metadata/core-properties' " w:xpath="/ns1:coreProperties[1]/ns0:subject[1]" w:storeItemID="{6C3C8BC8-F283-45AE-878A-BAB7291924A1}"/>
            <w:text/>
          </w:sdtPr>
          <w:sdtContent>
            <w:p w14:paraId="109817D1" w14:textId="23819F43" w:rsidR="00313642" w:rsidRDefault="00313642">
              <w:pPr>
                <w:pStyle w:val="NoSpacing"/>
                <w:jc w:val="center"/>
                <w:rPr>
                  <w:color w:val="156082" w:themeColor="accent1"/>
                  <w:sz w:val="28"/>
                  <w:szCs w:val="28"/>
                </w:rPr>
              </w:pPr>
              <w:r>
                <w:rPr>
                  <w:color w:val="156082" w:themeColor="accent1"/>
                  <w:sz w:val="28"/>
                  <w:szCs w:val="28"/>
                </w:rPr>
                <w:t xml:space="preserve">BA (HONS) Business Management      </w:t>
              </w:r>
            </w:p>
          </w:sdtContent>
        </w:sdt>
        <w:p w14:paraId="35D6784E" w14:textId="77777777" w:rsidR="00313642" w:rsidRDefault="0031364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3AA864B" wp14:editId="7FEED27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BB6700C" w14:textId="7490997F" w:rsidR="00313642" w:rsidRDefault="00313642">
                                    <w:pPr>
                                      <w:pStyle w:val="NoSpacing"/>
                                      <w:spacing w:after="40"/>
                                      <w:jc w:val="center"/>
                                      <w:rPr>
                                        <w:caps/>
                                        <w:color w:val="156082" w:themeColor="accent1"/>
                                        <w:sz w:val="28"/>
                                        <w:szCs w:val="28"/>
                                      </w:rPr>
                                    </w:pPr>
                                    <w:r>
                                      <w:rPr>
                                        <w:caps/>
                                        <w:color w:val="156082" w:themeColor="accent1"/>
                                        <w:sz w:val="28"/>
                                        <w:szCs w:val="28"/>
                                      </w:rPr>
                                      <w:t>Student Id: 2128948</w:t>
                                    </w:r>
                                  </w:p>
                                </w:sdtContent>
                              </w:sdt>
                              <w:p w14:paraId="20F57E10" w14:textId="48FBCF58" w:rsidR="00313642" w:rsidRDefault="00313642">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student name: janina-eveline oros</w:t>
                                    </w:r>
                                  </w:sdtContent>
                                </w:sdt>
                              </w:p>
                              <w:p w14:paraId="04F1EF7A" w14:textId="32705264" w:rsidR="00313642" w:rsidRDefault="0031364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LECTURER: RITA UKACHI-LOIS</w:t>
                                    </w:r>
                                  </w:sdtContent>
                                </w:sdt>
                              </w:p>
                              <w:p w14:paraId="7DD490DA" w14:textId="1B753B3E" w:rsidR="00313642" w:rsidRPr="00313642" w:rsidRDefault="00313642">
                                <w:pPr>
                                  <w:pStyle w:val="NoSpacing"/>
                                  <w:jc w:val="center"/>
                                  <w:rPr>
                                    <w:color w:val="156082" w:themeColor="accent1"/>
                                    <w:sz w:val="28"/>
                                    <w:szCs w:val="28"/>
                                  </w:rPr>
                                </w:pPr>
                                <w:r w:rsidRPr="00313642">
                                  <w:rPr>
                                    <w:color w:val="156082" w:themeColor="accent1"/>
                                    <w:sz w:val="28"/>
                                    <w:szCs w:val="28"/>
                                  </w:rPr>
                                  <w:t>Name of Institute: University of Wales Trinity Saint David</w:t>
                                </w:r>
                              </w:p>
                              <w:p w14:paraId="0AF571F1" w14:textId="27F2BD92" w:rsidR="00313642" w:rsidRDefault="00313642">
                                <w:pPr>
                                  <w:pStyle w:val="NoSpacing"/>
                                  <w:jc w:val="center"/>
                                  <w:rPr>
                                    <w:color w:val="156082" w:themeColor="accent1"/>
                                  </w:rPr>
                                </w:pPr>
                                <w:r>
                                  <w:rPr>
                                    <w:color w:val="156082" w:themeColor="accent1"/>
                                  </w:rPr>
                                  <w:t>COURSE ID: LCBB4010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AA864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BB6700C" w14:textId="7490997F" w:rsidR="00313642" w:rsidRDefault="00313642">
                              <w:pPr>
                                <w:pStyle w:val="NoSpacing"/>
                                <w:spacing w:after="40"/>
                                <w:jc w:val="center"/>
                                <w:rPr>
                                  <w:caps/>
                                  <w:color w:val="156082" w:themeColor="accent1"/>
                                  <w:sz w:val="28"/>
                                  <w:szCs w:val="28"/>
                                </w:rPr>
                              </w:pPr>
                              <w:r>
                                <w:rPr>
                                  <w:caps/>
                                  <w:color w:val="156082" w:themeColor="accent1"/>
                                  <w:sz w:val="28"/>
                                  <w:szCs w:val="28"/>
                                </w:rPr>
                                <w:t>Student Id: 2128948</w:t>
                              </w:r>
                            </w:p>
                          </w:sdtContent>
                        </w:sdt>
                        <w:p w14:paraId="20F57E10" w14:textId="48FBCF58" w:rsidR="00313642" w:rsidRDefault="00313642">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student name: janina-eveline oros</w:t>
                              </w:r>
                            </w:sdtContent>
                          </w:sdt>
                        </w:p>
                        <w:p w14:paraId="04F1EF7A" w14:textId="32705264" w:rsidR="00313642" w:rsidRDefault="0031364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LECTURER: RITA UKACHI-LOIS</w:t>
                              </w:r>
                            </w:sdtContent>
                          </w:sdt>
                        </w:p>
                        <w:p w14:paraId="7DD490DA" w14:textId="1B753B3E" w:rsidR="00313642" w:rsidRPr="00313642" w:rsidRDefault="00313642">
                          <w:pPr>
                            <w:pStyle w:val="NoSpacing"/>
                            <w:jc w:val="center"/>
                            <w:rPr>
                              <w:color w:val="156082" w:themeColor="accent1"/>
                              <w:sz w:val="28"/>
                              <w:szCs w:val="28"/>
                            </w:rPr>
                          </w:pPr>
                          <w:r w:rsidRPr="00313642">
                            <w:rPr>
                              <w:color w:val="156082" w:themeColor="accent1"/>
                              <w:sz w:val="28"/>
                              <w:szCs w:val="28"/>
                            </w:rPr>
                            <w:t>Name of Institute: University of Wales Trinity Saint David</w:t>
                          </w:r>
                        </w:p>
                        <w:p w14:paraId="0AF571F1" w14:textId="27F2BD92" w:rsidR="00313642" w:rsidRDefault="00313642">
                          <w:pPr>
                            <w:pStyle w:val="NoSpacing"/>
                            <w:jc w:val="center"/>
                            <w:rPr>
                              <w:color w:val="156082" w:themeColor="accent1"/>
                            </w:rPr>
                          </w:pPr>
                          <w:r>
                            <w:rPr>
                              <w:color w:val="156082" w:themeColor="accent1"/>
                            </w:rPr>
                            <w:t>COURSE ID: LCBB4010</w:t>
                          </w:r>
                        </w:p>
                      </w:txbxContent>
                    </v:textbox>
                    <w10:wrap anchorx="margin" anchory="page"/>
                  </v:shape>
                </w:pict>
              </mc:Fallback>
            </mc:AlternateContent>
          </w:r>
          <w:r>
            <w:rPr>
              <w:noProof/>
              <w:color w:val="156082" w:themeColor="accent1"/>
            </w:rPr>
            <w:drawing>
              <wp:inline distT="0" distB="0" distL="0" distR="0" wp14:anchorId="080E3785" wp14:editId="247493A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30C687" w14:textId="20B1C5B6" w:rsidR="00313642" w:rsidRDefault="00313642">
          <w:r>
            <w:br w:type="page"/>
          </w:r>
        </w:p>
      </w:sdtContent>
    </w:sdt>
    <w:p w14:paraId="5ED19018" w14:textId="77777777" w:rsidR="00A352B2" w:rsidRDefault="00A352B2"/>
    <w:p w14:paraId="017342FE" w14:textId="77777777" w:rsidR="00313642" w:rsidRDefault="00313642"/>
    <w:p w14:paraId="7E860344" w14:textId="77777777" w:rsidR="00313642" w:rsidRDefault="00313642"/>
    <w:p w14:paraId="6628D81A" w14:textId="77777777" w:rsidR="00313642" w:rsidRDefault="00313642"/>
    <w:p w14:paraId="7352AEB4" w14:textId="77777777" w:rsidR="00313642" w:rsidRDefault="00313642"/>
    <w:p w14:paraId="4FC06ECF" w14:textId="77777777" w:rsidR="00313642" w:rsidRDefault="00313642"/>
    <w:p w14:paraId="41756F00" w14:textId="77777777" w:rsidR="00313642" w:rsidRDefault="00313642"/>
    <w:p w14:paraId="3E43BC27" w14:textId="77777777" w:rsidR="00313642" w:rsidRDefault="00313642"/>
    <w:p w14:paraId="5DC8E0B8" w14:textId="77777777" w:rsidR="00313642" w:rsidRDefault="00313642"/>
    <w:p w14:paraId="2284039E" w14:textId="0BE1D43B" w:rsidR="00313642" w:rsidRPr="00534DBC" w:rsidRDefault="00534DBC" w:rsidP="00534DBC">
      <w:pPr>
        <w:jc w:val="center"/>
        <w:rPr>
          <w:rFonts w:ascii="Times New Roman" w:hAnsi="Times New Roman" w:cs="Times New Roman"/>
          <w:sz w:val="80"/>
          <w:szCs w:val="80"/>
        </w:rPr>
      </w:pPr>
      <w:r w:rsidRPr="00534DBC">
        <w:rPr>
          <w:rFonts w:ascii="Times New Roman" w:hAnsi="Times New Roman" w:cs="Times New Roman"/>
          <w:sz w:val="80"/>
          <w:szCs w:val="80"/>
        </w:rPr>
        <w:t>GLOBAL BUSINESS ENVIRONMENT</w:t>
      </w:r>
    </w:p>
    <w:p w14:paraId="2BD8AEA9" w14:textId="77777777" w:rsidR="00313642" w:rsidRDefault="00313642"/>
    <w:p w14:paraId="55A6DB1A" w14:textId="77777777" w:rsidR="00313642" w:rsidRDefault="00313642"/>
    <w:p w14:paraId="454B893F" w14:textId="77777777" w:rsidR="00313642" w:rsidRDefault="00313642"/>
    <w:p w14:paraId="24AB6481" w14:textId="77777777" w:rsidR="00313642" w:rsidRDefault="00313642"/>
    <w:p w14:paraId="277D39D4" w14:textId="77777777" w:rsidR="00313642" w:rsidRDefault="00313642"/>
    <w:p w14:paraId="142F9664" w14:textId="77777777" w:rsidR="00313642" w:rsidRDefault="00313642"/>
    <w:p w14:paraId="75CD83D1" w14:textId="77777777" w:rsidR="00313642" w:rsidRDefault="00313642"/>
    <w:p w14:paraId="7F2BE528" w14:textId="77777777" w:rsidR="00313642" w:rsidRDefault="00313642"/>
    <w:p w14:paraId="5DD841CD" w14:textId="77777777" w:rsidR="00313642" w:rsidRDefault="00313642"/>
    <w:p w14:paraId="489473E5" w14:textId="77777777" w:rsidR="00313642" w:rsidRDefault="00313642"/>
    <w:p w14:paraId="60DF2DDB" w14:textId="77777777" w:rsidR="00313642" w:rsidRDefault="00313642"/>
    <w:p w14:paraId="2D319010" w14:textId="77777777" w:rsidR="00313642" w:rsidRDefault="00313642"/>
    <w:p w14:paraId="3181022D" w14:textId="77777777" w:rsidR="00313642" w:rsidRDefault="00313642"/>
    <w:p w14:paraId="71DAABE3" w14:textId="77777777" w:rsidR="00313642" w:rsidRDefault="00313642"/>
    <w:p w14:paraId="5D32C65A" w14:textId="77777777" w:rsidR="00313642" w:rsidRDefault="00313642"/>
    <w:p w14:paraId="43536179" w14:textId="77777777" w:rsidR="00313642" w:rsidRDefault="00313642"/>
    <w:p w14:paraId="55B4DEF5" w14:textId="77777777" w:rsidR="00313642" w:rsidRDefault="00313642"/>
    <w:p w14:paraId="4DAD402C" w14:textId="77777777" w:rsidR="00313642" w:rsidRDefault="00313642"/>
    <w:p w14:paraId="7B82E3B7" w14:textId="77777777" w:rsidR="00313642" w:rsidRDefault="00313642"/>
    <w:p w14:paraId="53E416B4" w14:textId="50DB0FEC" w:rsidR="00B35508" w:rsidRPr="00B35508" w:rsidRDefault="000819EC" w:rsidP="00534DBC">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313642" w:rsidRPr="00313642">
        <w:rPr>
          <w:rFonts w:ascii="Arial" w:eastAsia="Times New Roman" w:hAnsi="Arial" w:cs="Arial"/>
          <w:kern w:val="0"/>
          <w:sz w:val="24"/>
          <w:szCs w:val="24"/>
          <w:lang w:eastAsia="en-GB"/>
          <w14:ligatures w14:val="none"/>
        </w:rPr>
        <w:t xml:space="preserve">The analysis of the </w:t>
      </w:r>
      <w:r w:rsidR="00313642" w:rsidRPr="00313642">
        <w:rPr>
          <w:rFonts w:ascii="Arial" w:eastAsia="Times New Roman" w:hAnsi="Arial" w:cs="Arial"/>
          <w:b/>
          <w:bCs/>
          <w:kern w:val="0"/>
          <w:sz w:val="24"/>
          <w:szCs w:val="24"/>
          <w:lang w:eastAsia="en-GB"/>
          <w14:ligatures w14:val="none"/>
        </w:rPr>
        <w:t>external environment</w:t>
      </w:r>
      <w:r w:rsidR="00313642" w:rsidRPr="00313642">
        <w:rPr>
          <w:rFonts w:ascii="Arial" w:eastAsia="Times New Roman" w:hAnsi="Arial" w:cs="Arial"/>
          <w:kern w:val="0"/>
          <w:sz w:val="24"/>
          <w:szCs w:val="24"/>
          <w:lang w:eastAsia="en-GB"/>
          <w14:ligatures w14:val="none"/>
        </w:rPr>
        <w:t xml:space="preserve"> is critical to the organization's effectiveness in the constantly evolving environment of global business. The analysis of these external factors has been done effectively utilising PESTLE analysis, which stands for Political, Economic, Social, Technological, Legal, and Environmental impact. All PESTLE elements have a distinct impact on company entities, affecting their strategy, operations, and overall sustainability. For example, political control influences market access, while additional issues, such as regulations, have an impact on consumers' purchasing power and overall investment decisions (Kwilinski et al., 2019). </w:t>
      </w:r>
      <w:r w:rsidR="00B35508" w:rsidRPr="00B35508">
        <w:rPr>
          <w:rFonts w:ascii="Arial" w:eastAsia="Times New Roman" w:hAnsi="Arial" w:cs="Arial"/>
          <w:kern w:val="0"/>
          <w:sz w:val="24"/>
          <w:szCs w:val="24"/>
          <w:lang w:eastAsia="en-GB"/>
          <w14:ligatures w14:val="none"/>
        </w:rPr>
        <w:t>Additional factors that influence business settings are current trends, new technology, and environment. In this essay, the author will discuss the relationship and importance of these aspects within the PESTLE concept and provide examples from current businesses. Awareness of these variables additionally helps in planning since it assists businesses in preparing for any future challenges by facilitating the development of the ability to respond to the changes that characterise the international business environment.</w:t>
      </w:r>
    </w:p>
    <w:p w14:paraId="4609389A" w14:textId="321DB16C" w:rsidR="00B35508" w:rsidRPr="00B35508" w:rsidRDefault="000819EC" w:rsidP="00B35508">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B35508" w:rsidRPr="00B35508">
        <w:rPr>
          <w:rFonts w:ascii="Arial" w:eastAsia="Times New Roman" w:hAnsi="Arial" w:cs="Arial"/>
          <w:kern w:val="0"/>
          <w:sz w:val="24"/>
          <w:szCs w:val="24"/>
          <w:lang w:eastAsia="en-GB"/>
          <w14:ligatures w14:val="none"/>
        </w:rPr>
        <w:t xml:space="preserve">The </w:t>
      </w:r>
      <w:r w:rsidR="00B35508" w:rsidRPr="00B35508">
        <w:rPr>
          <w:rFonts w:ascii="Arial" w:eastAsia="Times New Roman" w:hAnsi="Arial" w:cs="Arial"/>
          <w:b/>
          <w:bCs/>
          <w:kern w:val="0"/>
          <w:sz w:val="24"/>
          <w:szCs w:val="24"/>
          <w:lang w:eastAsia="en-GB"/>
          <w14:ligatures w14:val="none"/>
        </w:rPr>
        <w:t>political environment</w:t>
      </w:r>
      <w:r w:rsidR="00B35508" w:rsidRPr="00B35508">
        <w:rPr>
          <w:rFonts w:ascii="Arial" w:eastAsia="Times New Roman" w:hAnsi="Arial" w:cs="Arial"/>
          <w:kern w:val="0"/>
          <w:sz w:val="24"/>
          <w:szCs w:val="24"/>
          <w:lang w:eastAsia="en-GB"/>
          <w14:ligatures w14:val="none"/>
        </w:rPr>
        <w:t xml:space="preserve"> refers to the government's actions and policies that affect corporate stability and regulation. A stable political environment will make it easier for businesses to plan for expansion and investment. However, political risk refers to instability in political institutions, such as regular government changes or political uncertainty, which makes long-term planning difficult for businesses. Policies influencing basic company activities include taxation, foreign exchange controls, trade barriers, and legislation governing employee rights. For example, inflexible governmental regulations may increase expenses for operation or limit access into new markets, but policies that encourage investment and product development may improve operations. As a result, commercial operations in the international system can be influenced by policy decisions made in the field of foreign policy, such as the development of trade policies or the application of sanctions. Export boundaries, for example, or the implementation of regulations and tariffs, may reduce market access and create competitiveness difficulties that are built into the global supply chain. As a result, the second primary characteristic of the macro-business environment is the </w:t>
      </w:r>
      <w:r w:rsidR="00B35508" w:rsidRPr="00B35508">
        <w:rPr>
          <w:rFonts w:ascii="Arial" w:eastAsia="Times New Roman" w:hAnsi="Arial" w:cs="Arial"/>
          <w:kern w:val="0"/>
          <w:sz w:val="24"/>
          <w:szCs w:val="24"/>
          <w:lang w:eastAsia="en-GB"/>
          <w14:ligatures w14:val="none"/>
        </w:rPr>
        <w:lastRenderedPageBreak/>
        <w:t>political system, which is an important aspect in managing legislation and regulations and forecasting political risks in specific countries and regions.</w:t>
      </w:r>
    </w:p>
    <w:p w14:paraId="46F01B34" w14:textId="7C89F7E7" w:rsidR="00E07A02" w:rsidRDefault="00B35508" w:rsidP="00E07A02">
      <w:pPr>
        <w:spacing w:after="0" w:line="360" w:lineRule="auto"/>
        <w:rPr>
          <w:rFonts w:ascii="Arial" w:eastAsia="Calibri" w:hAnsi="Arial" w:cs="Arial"/>
          <w:color w:val="000000"/>
          <w:kern w:val="0"/>
          <w:sz w:val="24"/>
          <w:lang w:eastAsia="ar-SA"/>
          <w14:ligatures w14:val="none"/>
        </w:rPr>
      </w:pPr>
      <w:r w:rsidRPr="00B35508">
        <w:rPr>
          <w:rFonts w:ascii="Arial" w:eastAsia="Times New Roman" w:hAnsi="Arial" w:cs="Arial"/>
          <w:kern w:val="0"/>
          <w:sz w:val="24"/>
          <w:szCs w:val="24"/>
          <w:lang w:eastAsia="en-GB"/>
          <w14:ligatures w14:val="none"/>
        </w:rPr>
        <w:t xml:space="preserve">On the other hand, the business </w:t>
      </w:r>
      <w:r w:rsidRPr="00B35508">
        <w:rPr>
          <w:rFonts w:ascii="Arial" w:eastAsia="Times New Roman" w:hAnsi="Arial" w:cs="Arial"/>
          <w:b/>
          <w:bCs/>
          <w:kern w:val="0"/>
          <w:sz w:val="24"/>
          <w:szCs w:val="24"/>
          <w:lang w:eastAsia="en-GB"/>
          <w14:ligatures w14:val="none"/>
        </w:rPr>
        <w:t>economic environment</w:t>
      </w:r>
      <w:r w:rsidRPr="00B35508">
        <w:rPr>
          <w:rFonts w:ascii="Arial" w:eastAsia="Times New Roman" w:hAnsi="Arial" w:cs="Arial"/>
          <w:kern w:val="0"/>
          <w:sz w:val="24"/>
          <w:szCs w:val="24"/>
          <w:lang w:eastAsia="en-GB"/>
          <w14:ligatures w14:val="none"/>
        </w:rPr>
        <w:t xml:space="preserve"> refers to the larger external factors that influence company operation and profitability. These include both deflation and inflation rates, interest rates, and economic growth, all of which have a direct impact on consumers' purchasing power and business's capacity to invest (Barker, 2024). Inflation, for example, might reduce purchasing power and consequently decrease the </w:t>
      </w:r>
      <w:r w:rsidRPr="00B35508">
        <w:rPr>
          <w:rFonts w:ascii="Arial" w:eastAsia="Times New Roman" w:hAnsi="Arial" w:cs="Arial"/>
          <w:kern w:val="0"/>
          <w:sz w:val="24"/>
          <w:szCs w:val="24"/>
          <w:lang w:eastAsia="en-GB"/>
          <w14:ligatures w14:val="none"/>
        </w:rPr>
        <w:t>number</w:t>
      </w:r>
      <w:r w:rsidRPr="00B35508">
        <w:rPr>
          <w:rFonts w:ascii="Arial" w:eastAsia="Times New Roman" w:hAnsi="Arial" w:cs="Arial"/>
          <w:kern w:val="0"/>
          <w:sz w:val="24"/>
          <w:szCs w:val="24"/>
          <w:lang w:eastAsia="en-GB"/>
          <w14:ligatures w14:val="none"/>
        </w:rPr>
        <w:t xml:space="preserve"> of products and services offered, resulting in lower sales volumes. On the other hand, a constant inflation rate provides the economy with a stable environment in which businesses can readily forecast prices and invest. </w:t>
      </w:r>
      <w:r w:rsidR="00E07A02" w:rsidRPr="00E07A02">
        <w:rPr>
          <w:rFonts w:ascii="Arial" w:eastAsia="Times New Roman" w:hAnsi="Arial" w:cs="Arial"/>
          <w:kern w:val="0"/>
          <w:sz w:val="24"/>
          <w:szCs w:val="24"/>
          <w:lang w:eastAsia="en-GB"/>
          <w14:ligatures w14:val="none"/>
        </w:rPr>
        <w:t xml:space="preserve">This is impacted by central bank rates, which influence borrowing costs and investment. Low interest rates can encourage investment by lowering the cost of capital, whereas high interest rates may discourage people from borrowing and spending. Furthermore, economic growth indicators such as GDP provide information on the state of the economy, influencing consumer spending habits. This is frequently observed to act in the reverse direction: when an economy reduces, consumers are more likely to spend less, and when an economy expands, customers are more likely to spend more. </w:t>
      </w:r>
      <w:r w:rsidR="00E07A02" w:rsidRPr="00E07A02">
        <w:rPr>
          <w:rFonts w:ascii="Arial" w:eastAsia="Calibri" w:hAnsi="Arial" w:cs="Arial"/>
          <w:color w:val="000000"/>
          <w:kern w:val="0"/>
          <w:sz w:val="24"/>
          <w:lang w:eastAsia="ar-SA"/>
          <w14:ligatures w14:val="none"/>
        </w:rPr>
        <w:t xml:space="preserve">Consequently, business requires the admission of routine checking on some economic factors to facilitate change </w:t>
      </w:r>
      <w:r w:rsidR="000819EC" w:rsidRPr="00E07A02">
        <w:rPr>
          <w:rFonts w:ascii="Arial" w:eastAsia="Calibri" w:hAnsi="Arial" w:cs="Arial"/>
          <w:color w:val="000000"/>
          <w:kern w:val="0"/>
          <w:sz w:val="24"/>
          <w:lang w:eastAsia="ar-SA"/>
          <w14:ligatures w14:val="none"/>
        </w:rPr>
        <w:t xml:space="preserve">in </w:t>
      </w:r>
      <w:r w:rsidR="000819EC">
        <w:rPr>
          <w:rFonts w:ascii="Arial" w:eastAsia="Calibri" w:hAnsi="Arial" w:cs="Arial"/>
          <w:color w:val="000000"/>
          <w:kern w:val="0"/>
          <w:sz w:val="24"/>
          <w:lang w:eastAsia="ar-SA"/>
          <w14:ligatures w14:val="none"/>
        </w:rPr>
        <w:t>strategies</w:t>
      </w:r>
      <w:r w:rsidR="00E07A02" w:rsidRPr="00E07A02">
        <w:rPr>
          <w:rFonts w:ascii="Arial" w:eastAsia="Calibri" w:hAnsi="Arial" w:cs="Arial"/>
          <w:color w:val="000000"/>
          <w:kern w:val="0"/>
          <w:sz w:val="24"/>
          <w:lang w:eastAsia="ar-SA"/>
          <w14:ligatures w14:val="none"/>
        </w:rPr>
        <w:t>, risk management, and outweighing of economic gains.</w:t>
      </w:r>
    </w:p>
    <w:p w14:paraId="1A700D2A" w14:textId="1754B06C" w:rsidR="00E07A02" w:rsidRDefault="000819EC" w:rsidP="00E07A02">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E07A02" w:rsidRPr="00E07A02">
        <w:rPr>
          <w:rFonts w:ascii="Arial" w:eastAsia="Times New Roman" w:hAnsi="Arial" w:cs="Arial"/>
          <w:kern w:val="0"/>
          <w:sz w:val="24"/>
          <w:szCs w:val="24"/>
          <w:lang w:eastAsia="en-GB"/>
          <w14:ligatures w14:val="none"/>
        </w:rPr>
        <w:t xml:space="preserve">The </w:t>
      </w:r>
      <w:r w:rsidR="00E07A02" w:rsidRPr="00E07A02">
        <w:rPr>
          <w:rFonts w:ascii="Arial" w:eastAsia="Times New Roman" w:hAnsi="Arial" w:cs="Arial"/>
          <w:b/>
          <w:bCs/>
          <w:kern w:val="0"/>
          <w:sz w:val="24"/>
          <w:szCs w:val="24"/>
          <w:lang w:eastAsia="en-GB"/>
          <w14:ligatures w14:val="none"/>
        </w:rPr>
        <w:t>Social</w:t>
      </w:r>
      <w:r w:rsidR="00E07A02" w:rsidRPr="00E07A02">
        <w:rPr>
          <w:rFonts w:ascii="Arial" w:eastAsia="Times New Roman" w:hAnsi="Arial" w:cs="Arial"/>
          <w:b/>
          <w:bCs/>
          <w:kern w:val="0"/>
          <w:sz w:val="24"/>
          <w:szCs w:val="24"/>
          <w:lang w:eastAsia="en-GB"/>
          <w14:ligatures w14:val="none"/>
        </w:rPr>
        <w:t xml:space="preserve"> Macro Environment</w:t>
      </w:r>
      <w:r w:rsidR="00E07A02" w:rsidRPr="00E07A02">
        <w:rPr>
          <w:rFonts w:ascii="Arial" w:eastAsia="Times New Roman" w:hAnsi="Arial" w:cs="Arial"/>
          <w:kern w:val="0"/>
          <w:sz w:val="24"/>
          <w:szCs w:val="24"/>
          <w:lang w:eastAsia="en-GB"/>
          <w14:ligatures w14:val="none"/>
        </w:rPr>
        <w:t xml:space="preserve"> represents the societal elements that influence consumer behaviour and business operations. Fluctuations in population dynamics, such as lowering population growth rates, increasing proportions of older people or young, or density rates, are likely to affect market demand and labour force composition. For example, the population growth structure may be unbalanced towards the elderly, meaning that this group would want health products and supplies, but the labour force available to service this segment will be insufficient. Another important aspect influencing consumer behaviour is cultural characteristics </w:t>
      </w:r>
      <w:r w:rsidR="00E07A02" w:rsidRPr="00E07A02">
        <w:rPr>
          <w:rFonts w:ascii="Arial" w:eastAsia="Times New Roman" w:hAnsi="Arial" w:cs="Arial"/>
          <w:kern w:val="0"/>
          <w:sz w:val="24"/>
          <w:szCs w:val="24"/>
          <w:lang w:eastAsia="en-GB"/>
          <w14:ligatures w14:val="none"/>
        </w:rPr>
        <w:t>regarding</w:t>
      </w:r>
      <w:r w:rsidR="00E07A02" w:rsidRPr="00E07A02">
        <w:rPr>
          <w:rFonts w:ascii="Arial" w:eastAsia="Times New Roman" w:hAnsi="Arial" w:cs="Arial"/>
          <w:kern w:val="0"/>
          <w:sz w:val="24"/>
          <w:szCs w:val="24"/>
          <w:lang w:eastAsia="en-GB"/>
          <w14:ligatures w14:val="none"/>
        </w:rPr>
        <w:t xml:space="preserve"> the society and culture in consideration. For example, there is increased customer interest for environmentally conscious products, and business organisations' corporate</w:t>
      </w:r>
      <w:r w:rsidR="00E07A02">
        <w:rPr>
          <w:rFonts w:ascii="Arial" w:eastAsia="Times New Roman" w:hAnsi="Arial" w:cs="Arial"/>
          <w:kern w:val="0"/>
          <w:sz w:val="24"/>
          <w:szCs w:val="24"/>
          <w:lang w:eastAsia="en-GB"/>
          <w14:ligatures w14:val="none"/>
        </w:rPr>
        <w:t xml:space="preserve"> social responsibility.</w:t>
      </w:r>
    </w:p>
    <w:p w14:paraId="00E68D09" w14:textId="77777777" w:rsidR="00E07A02" w:rsidRPr="00E07A02" w:rsidRDefault="00E07A02" w:rsidP="00E07A02">
      <w:pPr>
        <w:suppressAutoHyphens/>
        <w:spacing w:after="0" w:line="360" w:lineRule="auto"/>
        <w:jc w:val="both"/>
        <w:rPr>
          <w:rFonts w:ascii="Arial" w:eastAsia="Calibri" w:hAnsi="Arial" w:cs="Arial"/>
          <w:color w:val="000000"/>
          <w:kern w:val="0"/>
          <w:sz w:val="24"/>
          <w:lang w:eastAsia="ar-SA"/>
          <w14:ligatures w14:val="none"/>
        </w:rPr>
      </w:pPr>
      <w:r w:rsidRPr="00E07A02">
        <w:rPr>
          <w:rFonts w:ascii="Arial" w:eastAsia="Calibri" w:hAnsi="Arial" w:cs="Arial"/>
          <w:color w:val="000000"/>
          <w:kern w:val="0"/>
          <w:sz w:val="24"/>
          <w:lang w:eastAsia="ar-SA"/>
          <w14:ligatures w14:val="none"/>
        </w:rPr>
        <w:t xml:space="preserve">Companies who embrace these values for their organization can improve its image and appeal to the consumers with a social conscience. In addition, societal culture and belief system affects the organization’s practice and policies in relation to its </w:t>
      </w:r>
      <w:r w:rsidRPr="00E07A02">
        <w:rPr>
          <w:rFonts w:ascii="Arial" w:eastAsia="Calibri" w:hAnsi="Arial" w:cs="Arial"/>
          <w:color w:val="000000"/>
          <w:kern w:val="0"/>
          <w:sz w:val="24"/>
          <w:lang w:eastAsia="ar-SA"/>
          <w14:ligatures w14:val="none"/>
        </w:rPr>
        <w:lastRenderedPageBreak/>
        <w:t>employees in issues to do with recruitment, retention, and employee relations in a workplace. Appreciation of such social relations makes it possible for commercial organizations to orient their goods, services, promotion techniques and management practices to correspond with the changing norms and trends of consumers and other stakeholders; the organizations are thus ready to face competition in the market.</w:t>
      </w:r>
    </w:p>
    <w:p w14:paraId="07FFDC3C" w14:textId="2775A668" w:rsidR="00A74F08" w:rsidRPr="00A74F08" w:rsidRDefault="000819EC" w:rsidP="00A74F08">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E07A02" w:rsidRPr="00E07A02">
        <w:rPr>
          <w:rFonts w:ascii="Arial" w:eastAsia="Times New Roman" w:hAnsi="Arial" w:cs="Arial"/>
          <w:kern w:val="0"/>
          <w:sz w:val="24"/>
          <w:szCs w:val="24"/>
          <w:lang w:eastAsia="en-GB"/>
          <w14:ligatures w14:val="none"/>
        </w:rPr>
        <w:t>The term "</w:t>
      </w:r>
      <w:r w:rsidR="00E07A02" w:rsidRPr="00E07A02">
        <w:rPr>
          <w:rFonts w:ascii="Arial" w:eastAsia="Times New Roman" w:hAnsi="Arial" w:cs="Arial"/>
          <w:b/>
          <w:bCs/>
          <w:kern w:val="0"/>
          <w:sz w:val="24"/>
          <w:szCs w:val="24"/>
          <w:lang w:eastAsia="en-GB"/>
          <w14:ligatures w14:val="none"/>
        </w:rPr>
        <w:t>technology environment"</w:t>
      </w:r>
      <w:r w:rsidR="00E07A02" w:rsidRPr="00E07A02">
        <w:rPr>
          <w:rFonts w:ascii="Arial" w:eastAsia="Times New Roman" w:hAnsi="Arial" w:cs="Arial"/>
          <w:kern w:val="0"/>
          <w:sz w:val="24"/>
          <w:szCs w:val="24"/>
          <w:lang w:eastAsia="en-GB"/>
          <w14:ligatures w14:val="none"/>
        </w:rPr>
        <w:t xml:space="preserve"> refers to technological developments and alterations that have an impact on how businesses operate and compete. As a result, developments in technology are inventive and have the potential to transform the dynamics of the entire industry. For example, advancements in information technology, including artificial intelligence, blockchain, while the Internet of Things, have continued to redefine corporate processes in terms of efficacy, customer happiness, and data accessibility (Eletsianos, Johnson, and Belikov, 2019). Companies that use these technologies will benefit from improved offerings, more efficiency, and greater customer intelligence. Furthermore, the rise of a digital business and marketing environment has had an impact on traditional distribution channels, encouraging businesses to embrace online selling or market spaces as well as digital consumer communication strategies. </w:t>
      </w:r>
      <w:r w:rsidR="00A74F08" w:rsidRPr="00A74F08">
        <w:rPr>
          <w:rFonts w:ascii="Arial" w:eastAsia="Times New Roman" w:hAnsi="Arial" w:cs="Arial"/>
          <w:kern w:val="0"/>
          <w:sz w:val="24"/>
          <w:szCs w:val="24"/>
          <w:lang w:eastAsia="en-GB"/>
          <w14:ligatures w14:val="none"/>
        </w:rPr>
        <w:t xml:space="preserve">However, including with any technical implementation, there are disadvantages, such as the ongoing need to revolutionize/improve, security risks, and a large capital investment on infrastructure and human resources. Another problem is for the company to understand current trends in technology utilisation and implement new tools and platforms. When evaluating the organisational environment, it can be stated that organisations focus on flexibility and searching for changes, as a business that lacks innovation becomes outdated in the setting of increasing digitalisation. </w:t>
      </w:r>
    </w:p>
    <w:p w14:paraId="055BFE20" w14:textId="5E8C9AD5" w:rsidR="00A74F08" w:rsidRDefault="000819EC" w:rsidP="00A74F08">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t xml:space="preserve">      </w:t>
      </w:r>
      <w:r w:rsidR="00A74F08" w:rsidRPr="00A74F08">
        <w:rPr>
          <w:rFonts w:ascii="Arial" w:eastAsia="Times New Roman" w:hAnsi="Arial" w:cs="Arial"/>
          <w:b/>
          <w:bCs/>
          <w:kern w:val="0"/>
          <w:sz w:val="24"/>
          <w:szCs w:val="24"/>
          <w:lang w:eastAsia="en-GB"/>
          <w14:ligatures w14:val="none"/>
        </w:rPr>
        <w:t>Environmental factors</w:t>
      </w:r>
      <w:r w:rsidR="00A74F08" w:rsidRPr="00A74F08">
        <w:rPr>
          <w:rFonts w:ascii="Arial" w:eastAsia="Times New Roman" w:hAnsi="Arial" w:cs="Arial"/>
          <w:kern w:val="0"/>
          <w:sz w:val="24"/>
          <w:szCs w:val="24"/>
          <w:lang w:eastAsia="en-GB"/>
          <w14:ligatures w14:val="none"/>
        </w:rPr>
        <w:t xml:space="preserve"> are essentially factors that exist in the natural environment and have an impact on the business and its long-term sustainability strategies. There is increased awareness about global warming and the environment, which has resulted in strict regulations and consumer expectations (Uzar, 2020). Companies have </w:t>
      </w:r>
      <w:r w:rsidR="00A74F08" w:rsidRPr="00A74F08">
        <w:rPr>
          <w:rFonts w:ascii="Arial" w:eastAsia="Times New Roman" w:hAnsi="Arial" w:cs="Arial"/>
          <w:kern w:val="0"/>
          <w:sz w:val="24"/>
          <w:szCs w:val="24"/>
          <w:lang w:eastAsia="en-GB"/>
          <w14:ligatures w14:val="none"/>
        </w:rPr>
        <w:t>been</w:t>
      </w:r>
      <w:r w:rsidR="00A74F08" w:rsidRPr="00A74F08">
        <w:rPr>
          <w:rFonts w:ascii="Arial" w:eastAsia="Times New Roman" w:hAnsi="Arial" w:cs="Arial"/>
          <w:kern w:val="0"/>
          <w:sz w:val="24"/>
          <w:szCs w:val="24"/>
          <w:lang w:eastAsia="en-GB"/>
          <w14:ligatures w14:val="none"/>
        </w:rPr>
        <w:t xml:space="preserve"> pressured to go green, minimise their environmental impact, and participate in CSI. Businesses in sectors such as manufacturing and agriculture, for example, are legally mandated to limit emissions, waste, and emissions and maintain proper resource management practices. Noncompliance with environmental requirements can result in penalties, adverse publicity, and customer dissatisfaction. Furthermore, concentrating on developing in </w:t>
      </w:r>
      <w:r w:rsidR="00A74F08" w:rsidRPr="00A74F08">
        <w:rPr>
          <w:rFonts w:ascii="Arial" w:eastAsia="Times New Roman" w:hAnsi="Arial" w:cs="Arial"/>
          <w:kern w:val="0"/>
          <w:sz w:val="24"/>
          <w:szCs w:val="24"/>
          <w:lang w:eastAsia="en-GB"/>
          <w14:ligatures w14:val="none"/>
        </w:rPr>
        <w:lastRenderedPageBreak/>
        <w:t xml:space="preserve">a more sustainable direction offers up opportunities to introduce new sustainable concepts and items to meet the growing demand from aware citizens. Business management improves sustainable activities, allowing organisations to achieve a competitive advantage, consumer loyalty, and environmental support (Bardach, 2023). As a result, environmental factors have a substantial impact on the firm's strategic management, risk analysis, and corporate social responsibility. </w:t>
      </w:r>
    </w:p>
    <w:p w14:paraId="73150762" w14:textId="179653FF" w:rsidR="00534DBC" w:rsidRDefault="000819EC" w:rsidP="00534DBC">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A74F08" w:rsidRPr="00A74F08">
        <w:rPr>
          <w:rFonts w:ascii="Arial" w:eastAsia="Times New Roman" w:hAnsi="Arial" w:cs="Arial"/>
          <w:kern w:val="0"/>
          <w:sz w:val="24"/>
          <w:szCs w:val="24"/>
          <w:lang w:eastAsia="en-GB"/>
          <w14:ligatures w14:val="none"/>
        </w:rPr>
        <w:t xml:space="preserve">The </w:t>
      </w:r>
      <w:r w:rsidR="00A74F08" w:rsidRPr="00A74F08">
        <w:rPr>
          <w:rFonts w:ascii="Arial" w:eastAsia="Times New Roman" w:hAnsi="Arial" w:cs="Arial"/>
          <w:b/>
          <w:bCs/>
          <w:kern w:val="0"/>
          <w:sz w:val="24"/>
          <w:szCs w:val="24"/>
          <w:lang w:eastAsia="en-GB"/>
          <w14:ligatures w14:val="none"/>
        </w:rPr>
        <w:t>legal factors</w:t>
      </w:r>
      <w:r w:rsidR="00A74F08" w:rsidRPr="00A74F08">
        <w:rPr>
          <w:rFonts w:ascii="Arial" w:eastAsia="Times New Roman" w:hAnsi="Arial" w:cs="Arial"/>
          <w:kern w:val="0"/>
          <w:sz w:val="24"/>
          <w:szCs w:val="24"/>
          <w:lang w:eastAsia="en-GB"/>
          <w14:ligatures w14:val="none"/>
        </w:rPr>
        <w:t xml:space="preserve"> are the rules and regulations that govern business operations, such as employment rights, consumer legislation, intellectual and intellectual property rights, and company management. These regulations must be followed </w:t>
      </w:r>
      <w:r w:rsidR="00A74F08" w:rsidRPr="00A74F08">
        <w:rPr>
          <w:rFonts w:ascii="Arial" w:eastAsia="Times New Roman" w:hAnsi="Arial" w:cs="Arial"/>
          <w:kern w:val="0"/>
          <w:sz w:val="24"/>
          <w:szCs w:val="24"/>
          <w:lang w:eastAsia="en-GB"/>
          <w14:ligatures w14:val="none"/>
        </w:rPr>
        <w:t>for</w:t>
      </w:r>
      <w:r w:rsidR="00A74F08" w:rsidRPr="00A74F08">
        <w:rPr>
          <w:rFonts w:ascii="Arial" w:eastAsia="Times New Roman" w:hAnsi="Arial" w:cs="Arial"/>
          <w:kern w:val="0"/>
          <w:sz w:val="24"/>
          <w:szCs w:val="24"/>
          <w:lang w:eastAsia="en-GB"/>
          <w14:ligatures w14:val="none"/>
        </w:rPr>
        <w:t xml:space="preserve"> a business to operate responsibly and ethically. For example, regulations governing employment, working conditions, and employee protection manage the interaction between an employer and employees </w:t>
      </w:r>
      <w:r w:rsidR="00A74F08" w:rsidRPr="00A74F08">
        <w:rPr>
          <w:rFonts w:ascii="Arial" w:eastAsia="Times New Roman" w:hAnsi="Arial" w:cs="Arial"/>
          <w:kern w:val="0"/>
          <w:sz w:val="24"/>
          <w:szCs w:val="24"/>
          <w:lang w:eastAsia="en-GB"/>
          <w14:ligatures w14:val="none"/>
        </w:rPr>
        <w:t>to</w:t>
      </w:r>
      <w:r w:rsidR="00A74F08" w:rsidRPr="00A74F08">
        <w:rPr>
          <w:rFonts w:ascii="Arial" w:eastAsia="Times New Roman" w:hAnsi="Arial" w:cs="Arial"/>
          <w:kern w:val="0"/>
          <w:sz w:val="24"/>
          <w:szCs w:val="24"/>
          <w:lang w:eastAsia="en-GB"/>
          <w14:ligatures w14:val="none"/>
        </w:rPr>
        <w:t xml:space="preserve"> prevent those involved from being exploited. Laws have been introduced to protect customers from exploitation as well as against substandard items. Again, intellectual property rights protect the creations and innovations that are the foundation of trade and business, allowing enterprises to protect their competitive advantages (Xu et al., 2019). </w:t>
      </w:r>
      <w:r w:rsidR="00534DBC" w:rsidRPr="00534DBC">
        <w:rPr>
          <w:rFonts w:ascii="Arial" w:eastAsia="Times New Roman" w:hAnsi="Arial" w:cs="Arial"/>
          <w:kern w:val="0"/>
          <w:sz w:val="24"/>
          <w:szCs w:val="24"/>
          <w:lang w:eastAsia="en-GB"/>
          <w14:ligatures w14:val="none"/>
        </w:rPr>
        <w:t>Additionally, the corporate governance regulations establish standards for disclosure, corporate and management responsibility, and business ethics. Incidents of regulations can sometimes result in legal action against the responsible corporation, as well as civil penalties such as fines and loss of market share. Furthermore, some businesses operate in different countries, which means they may encounter diverse legal systems, increasing the compliance process and raising liabilities. Legal compliance and up-to-date awareness of legal processes are critical for any firm intending to reduce legal risks and meet ethical standards.</w:t>
      </w:r>
    </w:p>
    <w:p w14:paraId="47B19793"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31CAE273"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6A27D6A6"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0395B0D5"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3EDAE762"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5AD059DC"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4DF1DA95"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14CE522B"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1FA0DD08"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7D12B9A1"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06DD425D"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62DC0B59"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20102BD9"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626941D1"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4006F3F5" w14:textId="1912E174" w:rsidR="00534DBC" w:rsidRPr="00534DBC" w:rsidRDefault="000819EC" w:rsidP="00534DBC">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534DBC" w:rsidRPr="00534DBC">
        <w:rPr>
          <w:rFonts w:ascii="Arial" w:eastAsia="Times New Roman" w:hAnsi="Arial" w:cs="Arial"/>
          <w:kern w:val="0"/>
          <w:sz w:val="24"/>
          <w:szCs w:val="24"/>
          <w:lang w:eastAsia="en-GB"/>
          <w14:ligatures w14:val="none"/>
        </w:rPr>
        <w:t>As a result, this paper highlights the importance of evaluating the PESTLE elements (Political, Economic, Social, Technological, Environmental, and Legal) for businesses operating in modern times. These elements influence management decision-making, operations, and business sustainability. Information on political stability, economic conditions in the country, social systems, technology, environmental policies, and legal systems supports businesses to anticipate dangers and minimising opportunities. Management of these external factors promotes change adaptability, innovation, and competitiveness. Therefore, a complete PESTLE analysis is not only necessary for strategy, but also a means of further growth and profitability in a continuously changing world.</w:t>
      </w:r>
    </w:p>
    <w:p w14:paraId="053DEA95" w14:textId="77777777" w:rsidR="00534DBC" w:rsidRDefault="00534DBC" w:rsidP="00534DBC">
      <w:pPr>
        <w:spacing w:after="0" w:line="360" w:lineRule="auto"/>
        <w:rPr>
          <w:rFonts w:ascii="Arial" w:eastAsia="Times New Roman" w:hAnsi="Arial" w:cs="Arial"/>
          <w:kern w:val="0"/>
          <w:sz w:val="24"/>
          <w:szCs w:val="24"/>
          <w:lang w:eastAsia="en-GB"/>
          <w14:ligatures w14:val="none"/>
        </w:rPr>
      </w:pPr>
    </w:p>
    <w:p w14:paraId="08A8A597"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1DB02A6B"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6CD6AD3A"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2BBF9CA2"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29C5DBBC"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4F95630C"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40CB2F6C"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35805E56"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2B65D3CF"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24E13836"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0C689053"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0DCDC594"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61E33247"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57172609"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5FE07FFE"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555DB4A6"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13AAEE2A"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7B0C7B2B"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6B3F602D"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79F9E8DF"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3B6D2113" w14:textId="77777777" w:rsidR="00F620A4" w:rsidRDefault="00F620A4" w:rsidP="00534DBC">
      <w:pPr>
        <w:spacing w:after="0" w:line="360" w:lineRule="auto"/>
        <w:rPr>
          <w:rFonts w:ascii="Arial" w:eastAsia="Times New Roman" w:hAnsi="Arial" w:cs="Arial"/>
          <w:kern w:val="0"/>
          <w:sz w:val="24"/>
          <w:szCs w:val="24"/>
          <w:lang w:eastAsia="en-GB"/>
          <w14:ligatures w14:val="none"/>
        </w:rPr>
      </w:pPr>
    </w:p>
    <w:p w14:paraId="1BF90D59" w14:textId="7DA4F615" w:rsidR="00F620A4" w:rsidRDefault="00AB59C2" w:rsidP="00534DBC">
      <w:pPr>
        <w:spacing w:after="0" w:line="360" w:lineRule="auto"/>
        <w:rPr>
          <w:rFonts w:ascii="Arial" w:eastAsia="Times New Roman" w:hAnsi="Arial" w:cs="Arial"/>
          <w:kern w:val="0"/>
          <w:sz w:val="32"/>
          <w:szCs w:val="32"/>
          <w:lang w:eastAsia="en-GB"/>
          <w14:ligatures w14:val="none"/>
        </w:rPr>
      </w:pPr>
      <w:r>
        <w:rPr>
          <w:rFonts w:ascii="Arial" w:eastAsia="Times New Roman" w:hAnsi="Arial" w:cs="Arial"/>
          <w:kern w:val="0"/>
          <w:sz w:val="32"/>
          <w:szCs w:val="32"/>
          <w:lang w:eastAsia="en-GB"/>
          <w14:ligatures w14:val="none"/>
        </w:rPr>
        <w:t>References</w:t>
      </w:r>
    </w:p>
    <w:p w14:paraId="4EADD3D8" w14:textId="77777777" w:rsidR="00AB59C2" w:rsidRDefault="00AB59C2" w:rsidP="00534DBC">
      <w:pPr>
        <w:spacing w:after="0" w:line="360" w:lineRule="auto"/>
        <w:rPr>
          <w:rFonts w:ascii="Arial" w:eastAsia="Times New Roman" w:hAnsi="Arial" w:cs="Arial"/>
          <w:kern w:val="0"/>
          <w:sz w:val="32"/>
          <w:szCs w:val="32"/>
          <w:lang w:eastAsia="en-GB"/>
          <w14:ligatures w14:val="none"/>
        </w:rPr>
      </w:pPr>
    </w:p>
    <w:p w14:paraId="4FB3F3D0" w14:textId="2130425C" w:rsidR="00AB59C2" w:rsidRPr="007E5FB0" w:rsidRDefault="00FF0104" w:rsidP="00747803">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Bardach, E., (2023). </w:t>
      </w:r>
      <w:r>
        <w:rPr>
          <w:rFonts w:ascii="Arial" w:eastAsia="Times New Roman" w:hAnsi="Arial" w:cs="Arial"/>
          <w:i/>
          <w:iCs/>
          <w:kern w:val="0"/>
          <w:sz w:val="24"/>
          <w:szCs w:val="24"/>
          <w:lang w:eastAsia="en-GB"/>
          <w14:ligatures w14:val="none"/>
        </w:rPr>
        <w:t>Th</w:t>
      </w:r>
      <w:r w:rsidR="008361D2">
        <w:rPr>
          <w:rFonts w:ascii="Arial" w:eastAsia="Times New Roman" w:hAnsi="Arial" w:cs="Arial"/>
          <w:i/>
          <w:iCs/>
          <w:kern w:val="0"/>
          <w:sz w:val="24"/>
          <w:szCs w:val="24"/>
          <w:lang w:eastAsia="en-GB"/>
          <w14:ligatures w14:val="none"/>
        </w:rPr>
        <w:t>e skill factor in politics: Repealing the mental commit</w:t>
      </w:r>
      <w:r w:rsidR="007E5FB0">
        <w:rPr>
          <w:rFonts w:ascii="Arial" w:eastAsia="Times New Roman" w:hAnsi="Arial" w:cs="Arial"/>
          <w:i/>
          <w:iCs/>
          <w:kern w:val="0"/>
          <w:sz w:val="24"/>
          <w:szCs w:val="24"/>
          <w:lang w:eastAsia="en-GB"/>
          <w14:ligatures w14:val="none"/>
        </w:rPr>
        <w:t>ment laws in California.</w:t>
      </w:r>
      <w:r w:rsidR="007E5FB0">
        <w:rPr>
          <w:rFonts w:ascii="Arial" w:eastAsia="Times New Roman" w:hAnsi="Arial" w:cs="Arial"/>
          <w:kern w:val="0"/>
          <w:sz w:val="24"/>
          <w:szCs w:val="24"/>
          <w:lang w:eastAsia="en-GB"/>
          <w14:ligatures w14:val="none"/>
        </w:rPr>
        <w:t xml:space="preserve"> Univ of California Press.</w:t>
      </w:r>
    </w:p>
    <w:p w14:paraId="3A474E90" w14:textId="7C4D66A4" w:rsidR="00A74F08" w:rsidRDefault="00E137DC" w:rsidP="00A74F08">
      <w:pPr>
        <w:spacing w:after="0" w:line="360" w:lineRule="auto"/>
        <w:rPr>
          <w:rFonts w:ascii="Arial" w:eastAsia="Times New Roman" w:hAnsi="Arial" w:cs="Arial"/>
          <w:kern w:val="0"/>
          <w:sz w:val="24"/>
          <w:szCs w:val="24"/>
          <w:lang w:eastAsia="en-GB"/>
          <w14:ligatures w14:val="none"/>
        </w:rPr>
      </w:pPr>
      <w:r w:rsidRPr="00E137DC">
        <w:rPr>
          <w:rFonts w:ascii="Arial" w:eastAsia="Times New Roman" w:hAnsi="Arial" w:cs="Arial"/>
          <w:kern w:val="0"/>
          <w:sz w:val="24"/>
          <w:szCs w:val="24"/>
          <w:lang w:eastAsia="en-GB"/>
          <w14:ligatures w14:val="none"/>
        </w:rPr>
        <w:t xml:space="preserve">Barker, E., </w:t>
      </w:r>
      <w:r>
        <w:rPr>
          <w:rFonts w:ascii="Arial" w:eastAsia="Times New Roman" w:hAnsi="Arial" w:cs="Arial"/>
          <w:kern w:val="0"/>
          <w:sz w:val="24"/>
          <w:szCs w:val="24"/>
          <w:lang w:eastAsia="en-GB"/>
          <w14:ligatures w14:val="none"/>
        </w:rPr>
        <w:t>(</w:t>
      </w:r>
      <w:r w:rsidRPr="00E137DC">
        <w:rPr>
          <w:rFonts w:ascii="Arial" w:eastAsia="Times New Roman" w:hAnsi="Arial" w:cs="Arial"/>
          <w:kern w:val="0"/>
          <w:sz w:val="24"/>
          <w:szCs w:val="24"/>
          <w:lang w:eastAsia="en-GB"/>
          <w14:ligatures w14:val="none"/>
        </w:rPr>
        <w:t>2024</w:t>
      </w:r>
      <w:r>
        <w:rPr>
          <w:rFonts w:ascii="Arial" w:eastAsia="Times New Roman" w:hAnsi="Arial" w:cs="Arial"/>
          <w:kern w:val="0"/>
          <w:sz w:val="24"/>
          <w:szCs w:val="24"/>
          <w:lang w:eastAsia="en-GB"/>
          <w14:ligatures w14:val="none"/>
        </w:rPr>
        <w:t>)</w:t>
      </w:r>
      <w:r w:rsidRPr="00E137DC">
        <w:rPr>
          <w:rFonts w:ascii="Arial" w:eastAsia="Times New Roman" w:hAnsi="Arial" w:cs="Arial"/>
          <w:kern w:val="0"/>
          <w:sz w:val="24"/>
          <w:szCs w:val="24"/>
          <w:lang w:eastAsia="en-GB"/>
          <w14:ligatures w14:val="none"/>
        </w:rPr>
        <w:t>. </w:t>
      </w:r>
      <w:r w:rsidRPr="00E137DC">
        <w:rPr>
          <w:rFonts w:ascii="Arial" w:eastAsia="Times New Roman" w:hAnsi="Arial" w:cs="Arial"/>
          <w:i/>
          <w:iCs/>
          <w:kern w:val="0"/>
          <w:sz w:val="24"/>
          <w:szCs w:val="24"/>
          <w:lang w:eastAsia="en-GB"/>
          <w14:ligatures w14:val="none"/>
        </w:rPr>
        <w:t>National Character: and the factors in its formation</w:t>
      </w:r>
      <w:r w:rsidRPr="00E137DC">
        <w:rPr>
          <w:rFonts w:ascii="Arial" w:eastAsia="Times New Roman" w:hAnsi="Arial" w:cs="Arial"/>
          <w:kern w:val="0"/>
          <w:sz w:val="24"/>
          <w:szCs w:val="24"/>
          <w:lang w:eastAsia="en-GB"/>
          <w14:ligatures w14:val="none"/>
        </w:rPr>
        <w:t>. Taylor &amp; Francis.</w:t>
      </w:r>
    </w:p>
    <w:p w14:paraId="02B2E08B" w14:textId="3207E5D5" w:rsidR="00EC28CC" w:rsidRDefault="00EC28CC" w:rsidP="00A74F08">
      <w:pPr>
        <w:spacing w:after="0" w:line="360" w:lineRule="auto"/>
        <w:rPr>
          <w:rFonts w:ascii="Arial" w:eastAsia="Times New Roman" w:hAnsi="Arial" w:cs="Arial"/>
          <w:kern w:val="0"/>
          <w:sz w:val="24"/>
          <w:szCs w:val="24"/>
          <w:lang w:eastAsia="en-GB"/>
          <w14:ligatures w14:val="none"/>
        </w:rPr>
      </w:pPr>
      <w:r w:rsidRPr="00EC28CC">
        <w:rPr>
          <w:rFonts w:ascii="Arial" w:eastAsia="Times New Roman" w:hAnsi="Arial" w:cs="Arial"/>
          <w:kern w:val="0"/>
          <w:sz w:val="24"/>
          <w:szCs w:val="24"/>
          <w:lang w:eastAsia="en-GB"/>
          <w14:ligatures w14:val="none"/>
        </w:rPr>
        <w:t xml:space="preserve">Kobrin, S.J., </w:t>
      </w:r>
      <w:r>
        <w:rPr>
          <w:rFonts w:ascii="Arial" w:eastAsia="Times New Roman" w:hAnsi="Arial" w:cs="Arial"/>
          <w:kern w:val="0"/>
          <w:sz w:val="24"/>
          <w:szCs w:val="24"/>
          <w:lang w:eastAsia="en-GB"/>
          <w14:ligatures w14:val="none"/>
        </w:rPr>
        <w:t>(</w:t>
      </w:r>
      <w:r w:rsidRPr="00EC28CC">
        <w:rPr>
          <w:rFonts w:ascii="Arial" w:eastAsia="Times New Roman" w:hAnsi="Arial" w:cs="Arial"/>
          <w:kern w:val="0"/>
          <w:sz w:val="24"/>
          <w:szCs w:val="24"/>
          <w:lang w:eastAsia="en-GB"/>
          <w14:ligatures w14:val="none"/>
        </w:rPr>
        <w:t>2022</w:t>
      </w:r>
      <w:r>
        <w:rPr>
          <w:rFonts w:ascii="Arial" w:eastAsia="Times New Roman" w:hAnsi="Arial" w:cs="Arial"/>
          <w:kern w:val="0"/>
          <w:sz w:val="24"/>
          <w:szCs w:val="24"/>
          <w:lang w:eastAsia="en-GB"/>
          <w14:ligatures w14:val="none"/>
        </w:rPr>
        <w:t>)</w:t>
      </w:r>
      <w:r w:rsidRPr="00EC28CC">
        <w:rPr>
          <w:rFonts w:ascii="Arial" w:eastAsia="Times New Roman" w:hAnsi="Arial" w:cs="Arial"/>
          <w:kern w:val="0"/>
          <w:sz w:val="24"/>
          <w:szCs w:val="24"/>
          <w:lang w:eastAsia="en-GB"/>
          <w14:ligatures w14:val="none"/>
        </w:rPr>
        <w:t>. </w:t>
      </w:r>
      <w:r w:rsidRPr="00EC28CC">
        <w:rPr>
          <w:rFonts w:ascii="Arial" w:eastAsia="Times New Roman" w:hAnsi="Arial" w:cs="Arial"/>
          <w:i/>
          <w:iCs/>
          <w:kern w:val="0"/>
          <w:sz w:val="24"/>
          <w:szCs w:val="24"/>
          <w:lang w:eastAsia="en-GB"/>
          <w14:ligatures w14:val="none"/>
        </w:rPr>
        <w:t>Managing political risk assessment: Strategic response to environmental change</w:t>
      </w:r>
      <w:r w:rsidRPr="00EC28CC">
        <w:rPr>
          <w:rFonts w:ascii="Arial" w:eastAsia="Times New Roman" w:hAnsi="Arial" w:cs="Arial"/>
          <w:kern w:val="0"/>
          <w:sz w:val="24"/>
          <w:szCs w:val="24"/>
          <w:lang w:eastAsia="en-GB"/>
          <w14:ligatures w14:val="none"/>
        </w:rPr>
        <w:t>. Univ of California Press.</w:t>
      </w:r>
    </w:p>
    <w:p w14:paraId="243FCBA9" w14:textId="5C759929" w:rsidR="00F02987" w:rsidRDefault="00F02987" w:rsidP="00A74F08">
      <w:pPr>
        <w:spacing w:after="0" w:line="360" w:lineRule="auto"/>
        <w:rPr>
          <w:rFonts w:ascii="Arial" w:eastAsia="Times New Roman" w:hAnsi="Arial" w:cs="Arial"/>
          <w:kern w:val="0"/>
          <w:sz w:val="24"/>
          <w:szCs w:val="24"/>
          <w:lang w:eastAsia="en-GB"/>
          <w14:ligatures w14:val="none"/>
        </w:rPr>
      </w:pPr>
      <w:r w:rsidRPr="00F02987">
        <w:rPr>
          <w:rFonts w:ascii="Arial" w:eastAsia="Times New Roman" w:hAnsi="Arial" w:cs="Arial"/>
          <w:kern w:val="0"/>
          <w:sz w:val="24"/>
          <w:szCs w:val="24"/>
          <w:lang w:eastAsia="en-GB"/>
          <w14:ligatures w14:val="none"/>
        </w:rPr>
        <w:t xml:space="preserve">Kwilinski, A., Dalevska, N., Kravchenko, S., Hroznyi, I. and Kovalenko, O., </w:t>
      </w:r>
      <w:r>
        <w:rPr>
          <w:rFonts w:ascii="Arial" w:eastAsia="Times New Roman" w:hAnsi="Arial" w:cs="Arial"/>
          <w:kern w:val="0"/>
          <w:sz w:val="24"/>
          <w:szCs w:val="24"/>
          <w:lang w:eastAsia="en-GB"/>
          <w14:ligatures w14:val="none"/>
        </w:rPr>
        <w:t>(</w:t>
      </w:r>
      <w:r w:rsidRPr="00F02987">
        <w:rPr>
          <w:rFonts w:ascii="Arial" w:eastAsia="Times New Roman" w:hAnsi="Arial" w:cs="Arial"/>
          <w:kern w:val="0"/>
          <w:sz w:val="24"/>
          <w:szCs w:val="24"/>
          <w:lang w:eastAsia="en-GB"/>
          <w14:ligatures w14:val="none"/>
        </w:rPr>
        <w:t>2019</w:t>
      </w:r>
      <w:r>
        <w:rPr>
          <w:rFonts w:ascii="Arial" w:eastAsia="Times New Roman" w:hAnsi="Arial" w:cs="Arial"/>
          <w:kern w:val="0"/>
          <w:sz w:val="24"/>
          <w:szCs w:val="24"/>
          <w:lang w:eastAsia="en-GB"/>
          <w14:ligatures w14:val="none"/>
        </w:rPr>
        <w:t>)</w:t>
      </w:r>
      <w:r w:rsidRPr="00F02987">
        <w:rPr>
          <w:rFonts w:ascii="Arial" w:eastAsia="Times New Roman" w:hAnsi="Arial" w:cs="Arial"/>
          <w:kern w:val="0"/>
          <w:sz w:val="24"/>
          <w:szCs w:val="24"/>
          <w:lang w:eastAsia="en-GB"/>
          <w14:ligatures w14:val="none"/>
        </w:rPr>
        <w:t>. Formation of the entrepreneurship model of e-business in the context of the introduction of information and communication technologies. </w:t>
      </w:r>
      <w:r w:rsidRPr="00F02987">
        <w:rPr>
          <w:rFonts w:ascii="Arial" w:eastAsia="Times New Roman" w:hAnsi="Arial" w:cs="Arial"/>
          <w:i/>
          <w:iCs/>
          <w:kern w:val="0"/>
          <w:sz w:val="24"/>
          <w:szCs w:val="24"/>
          <w:lang w:eastAsia="en-GB"/>
          <w14:ligatures w14:val="none"/>
        </w:rPr>
        <w:t>Journal of Entrepreneurship Education</w:t>
      </w:r>
      <w:r w:rsidRPr="00F02987">
        <w:rPr>
          <w:rFonts w:ascii="Arial" w:eastAsia="Times New Roman" w:hAnsi="Arial" w:cs="Arial"/>
          <w:kern w:val="0"/>
          <w:sz w:val="24"/>
          <w:szCs w:val="24"/>
          <w:lang w:eastAsia="en-GB"/>
          <w14:ligatures w14:val="none"/>
        </w:rPr>
        <w:t>, </w:t>
      </w:r>
      <w:r w:rsidRPr="00F02987">
        <w:rPr>
          <w:rFonts w:ascii="Arial" w:eastAsia="Times New Roman" w:hAnsi="Arial" w:cs="Arial"/>
          <w:i/>
          <w:iCs/>
          <w:kern w:val="0"/>
          <w:sz w:val="24"/>
          <w:szCs w:val="24"/>
          <w:lang w:eastAsia="en-GB"/>
          <w14:ligatures w14:val="none"/>
        </w:rPr>
        <w:t>22</w:t>
      </w:r>
      <w:r w:rsidRPr="00F02987">
        <w:rPr>
          <w:rFonts w:ascii="Arial" w:eastAsia="Times New Roman" w:hAnsi="Arial" w:cs="Arial"/>
          <w:kern w:val="0"/>
          <w:sz w:val="24"/>
          <w:szCs w:val="24"/>
          <w:lang w:eastAsia="en-GB"/>
          <w14:ligatures w14:val="none"/>
        </w:rPr>
        <w:t>, pp.1-7.</w:t>
      </w:r>
    </w:p>
    <w:p w14:paraId="0F7D1549" w14:textId="2ED9E0F3" w:rsidR="00CD0F45" w:rsidRDefault="00CD0F45" w:rsidP="00A74F08">
      <w:pPr>
        <w:spacing w:after="0" w:line="360" w:lineRule="auto"/>
        <w:rPr>
          <w:rFonts w:ascii="Arial" w:eastAsia="Times New Roman" w:hAnsi="Arial" w:cs="Arial"/>
          <w:kern w:val="0"/>
          <w:sz w:val="24"/>
          <w:szCs w:val="24"/>
          <w:lang w:eastAsia="en-GB"/>
          <w14:ligatures w14:val="none"/>
        </w:rPr>
      </w:pPr>
      <w:r w:rsidRPr="00CD0F45">
        <w:rPr>
          <w:rFonts w:ascii="Arial" w:eastAsia="Times New Roman" w:hAnsi="Arial" w:cs="Arial"/>
          <w:kern w:val="0"/>
          <w:sz w:val="24"/>
          <w:szCs w:val="24"/>
          <w:lang w:eastAsia="en-GB"/>
          <w14:ligatures w14:val="none"/>
        </w:rPr>
        <w:t xml:space="preserve">Uzar, U., </w:t>
      </w:r>
      <w:r>
        <w:rPr>
          <w:rFonts w:ascii="Arial" w:eastAsia="Times New Roman" w:hAnsi="Arial" w:cs="Arial"/>
          <w:kern w:val="0"/>
          <w:sz w:val="24"/>
          <w:szCs w:val="24"/>
          <w:lang w:eastAsia="en-GB"/>
          <w14:ligatures w14:val="none"/>
        </w:rPr>
        <w:t>(</w:t>
      </w:r>
      <w:r w:rsidRPr="00CD0F45">
        <w:rPr>
          <w:rFonts w:ascii="Arial" w:eastAsia="Times New Roman" w:hAnsi="Arial" w:cs="Arial"/>
          <w:kern w:val="0"/>
          <w:sz w:val="24"/>
          <w:szCs w:val="24"/>
          <w:lang w:eastAsia="en-GB"/>
          <w14:ligatures w14:val="none"/>
        </w:rPr>
        <w:t>2020</w:t>
      </w:r>
      <w:r>
        <w:rPr>
          <w:rFonts w:ascii="Arial" w:eastAsia="Times New Roman" w:hAnsi="Arial" w:cs="Arial"/>
          <w:kern w:val="0"/>
          <w:sz w:val="24"/>
          <w:szCs w:val="24"/>
          <w:lang w:eastAsia="en-GB"/>
          <w14:ligatures w14:val="none"/>
        </w:rPr>
        <w:t>)</w:t>
      </w:r>
      <w:r w:rsidRPr="00CD0F45">
        <w:rPr>
          <w:rFonts w:ascii="Arial" w:eastAsia="Times New Roman" w:hAnsi="Arial" w:cs="Arial"/>
          <w:kern w:val="0"/>
          <w:sz w:val="24"/>
          <w:szCs w:val="24"/>
          <w:lang w:eastAsia="en-GB"/>
          <w14:ligatures w14:val="none"/>
        </w:rPr>
        <w:t xml:space="preserve">. Political economy of renewable energy: does institutional quality make a difference in renewable energy </w:t>
      </w:r>
      <w:r w:rsidRPr="00CD0F45">
        <w:rPr>
          <w:rFonts w:ascii="Arial" w:eastAsia="Times New Roman" w:hAnsi="Arial" w:cs="Arial"/>
          <w:kern w:val="0"/>
          <w:sz w:val="24"/>
          <w:szCs w:val="24"/>
          <w:lang w:eastAsia="en-GB"/>
          <w14:ligatures w14:val="none"/>
        </w:rPr>
        <w:t>consumption?</w:t>
      </w:r>
      <w:r w:rsidRPr="00CD0F45">
        <w:rPr>
          <w:rFonts w:ascii="Arial" w:eastAsia="Times New Roman" w:hAnsi="Arial" w:cs="Arial"/>
          <w:kern w:val="0"/>
          <w:sz w:val="24"/>
          <w:szCs w:val="24"/>
          <w:lang w:eastAsia="en-GB"/>
          <w14:ligatures w14:val="none"/>
        </w:rPr>
        <w:t> </w:t>
      </w:r>
      <w:r w:rsidRPr="00CD0F45">
        <w:rPr>
          <w:rFonts w:ascii="Arial" w:eastAsia="Times New Roman" w:hAnsi="Arial" w:cs="Arial"/>
          <w:i/>
          <w:iCs/>
          <w:kern w:val="0"/>
          <w:sz w:val="24"/>
          <w:szCs w:val="24"/>
          <w:lang w:eastAsia="en-GB"/>
          <w14:ligatures w14:val="none"/>
        </w:rPr>
        <w:t>Renewable Energy</w:t>
      </w:r>
      <w:r w:rsidRPr="00CD0F45">
        <w:rPr>
          <w:rFonts w:ascii="Arial" w:eastAsia="Times New Roman" w:hAnsi="Arial" w:cs="Arial"/>
          <w:kern w:val="0"/>
          <w:sz w:val="24"/>
          <w:szCs w:val="24"/>
          <w:lang w:eastAsia="en-GB"/>
          <w14:ligatures w14:val="none"/>
        </w:rPr>
        <w:t>, </w:t>
      </w:r>
      <w:r w:rsidRPr="00CD0F45">
        <w:rPr>
          <w:rFonts w:ascii="Arial" w:eastAsia="Times New Roman" w:hAnsi="Arial" w:cs="Arial"/>
          <w:i/>
          <w:iCs/>
          <w:kern w:val="0"/>
          <w:sz w:val="24"/>
          <w:szCs w:val="24"/>
          <w:lang w:eastAsia="en-GB"/>
          <w14:ligatures w14:val="none"/>
        </w:rPr>
        <w:t>155</w:t>
      </w:r>
      <w:r w:rsidRPr="00CD0F45">
        <w:rPr>
          <w:rFonts w:ascii="Arial" w:eastAsia="Times New Roman" w:hAnsi="Arial" w:cs="Arial"/>
          <w:kern w:val="0"/>
          <w:sz w:val="24"/>
          <w:szCs w:val="24"/>
          <w:lang w:eastAsia="en-GB"/>
          <w14:ligatures w14:val="none"/>
        </w:rPr>
        <w:t>, pp.591-603.</w:t>
      </w:r>
    </w:p>
    <w:p w14:paraId="3FE84FC5" w14:textId="6C4763B4" w:rsidR="00B2582F" w:rsidRDefault="00B2582F" w:rsidP="00A74F08">
      <w:pPr>
        <w:spacing w:after="0" w:line="360" w:lineRule="auto"/>
        <w:rPr>
          <w:rFonts w:ascii="Arial" w:eastAsia="Times New Roman" w:hAnsi="Arial" w:cs="Arial"/>
          <w:kern w:val="0"/>
          <w:sz w:val="24"/>
          <w:szCs w:val="24"/>
          <w:lang w:eastAsia="en-GB"/>
          <w14:ligatures w14:val="none"/>
        </w:rPr>
      </w:pPr>
      <w:r w:rsidRPr="00B2582F">
        <w:rPr>
          <w:rFonts w:ascii="Arial" w:eastAsia="Times New Roman" w:hAnsi="Arial" w:cs="Arial"/>
          <w:kern w:val="0"/>
          <w:sz w:val="24"/>
          <w:szCs w:val="24"/>
          <w:lang w:eastAsia="en-GB"/>
          <w14:ligatures w14:val="none"/>
        </w:rPr>
        <w:t xml:space="preserve">Veletsianos, G., Johnson, N. and Belikov, O., </w:t>
      </w:r>
      <w:r>
        <w:rPr>
          <w:rFonts w:ascii="Arial" w:eastAsia="Times New Roman" w:hAnsi="Arial" w:cs="Arial"/>
          <w:kern w:val="0"/>
          <w:sz w:val="24"/>
          <w:szCs w:val="24"/>
          <w:lang w:eastAsia="en-GB"/>
          <w14:ligatures w14:val="none"/>
        </w:rPr>
        <w:t>(</w:t>
      </w:r>
      <w:r w:rsidRPr="00B2582F">
        <w:rPr>
          <w:rFonts w:ascii="Arial" w:eastAsia="Times New Roman" w:hAnsi="Arial" w:cs="Arial"/>
          <w:kern w:val="0"/>
          <w:sz w:val="24"/>
          <w:szCs w:val="24"/>
          <w:lang w:eastAsia="en-GB"/>
          <w14:ligatures w14:val="none"/>
        </w:rPr>
        <w:t>2019</w:t>
      </w:r>
      <w:r>
        <w:rPr>
          <w:rFonts w:ascii="Arial" w:eastAsia="Times New Roman" w:hAnsi="Arial" w:cs="Arial"/>
          <w:kern w:val="0"/>
          <w:sz w:val="24"/>
          <w:szCs w:val="24"/>
          <w:lang w:eastAsia="en-GB"/>
          <w14:ligatures w14:val="none"/>
        </w:rPr>
        <w:t>)</w:t>
      </w:r>
      <w:r w:rsidRPr="00B2582F">
        <w:rPr>
          <w:rFonts w:ascii="Arial" w:eastAsia="Times New Roman" w:hAnsi="Arial" w:cs="Arial"/>
          <w:kern w:val="0"/>
          <w:sz w:val="24"/>
          <w:szCs w:val="24"/>
          <w:lang w:eastAsia="en-GB"/>
          <w14:ligatures w14:val="none"/>
        </w:rPr>
        <w:t>. Academics' social media use over time is associated with individual, relational, cultural and political factors. </w:t>
      </w:r>
      <w:r w:rsidRPr="00B2582F">
        <w:rPr>
          <w:rFonts w:ascii="Arial" w:eastAsia="Times New Roman" w:hAnsi="Arial" w:cs="Arial"/>
          <w:i/>
          <w:iCs/>
          <w:kern w:val="0"/>
          <w:sz w:val="24"/>
          <w:szCs w:val="24"/>
          <w:lang w:eastAsia="en-GB"/>
          <w14:ligatures w14:val="none"/>
        </w:rPr>
        <w:t>British Journal of Educational Technology</w:t>
      </w:r>
      <w:r w:rsidRPr="00B2582F">
        <w:rPr>
          <w:rFonts w:ascii="Arial" w:eastAsia="Times New Roman" w:hAnsi="Arial" w:cs="Arial"/>
          <w:kern w:val="0"/>
          <w:sz w:val="24"/>
          <w:szCs w:val="24"/>
          <w:lang w:eastAsia="en-GB"/>
          <w14:ligatures w14:val="none"/>
        </w:rPr>
        <w:t>, </w:t>
      </w:r>
      <w:r w:rsidRPr="00B2582F">
        <w:rPr>
          <w:rFonts w:ascii="Arial" w:eastAsia="Times New Roman" w:hAnsi="Arial" w:cs="Arial"/>
          <w:i/>
          <w:iCs/>
          <w:kern w:val="0"/>
          <w:sz w:val="24"/>
          <w:szCs w:val="24"/>
          <w:lang w:eastAsia="en-GB"/>
          <w14:ligatures w14:val="none"/>
        </w:rPr>
        <w:t>50</w:t>
      </w:r>
      <w:r w:rsidRPr="00B2582F">
        <w:rPr>
          <w:rFonts w:ascii="Arial" w:eastAsia="Times New Roman" w:hAnsi="Arial" w:cs="Arial"/>
          <w:kern w:val="0"/>
          <w:sz w:val="24"/>
          <w:szCs w:val="24"/>
          <w:lang w:eastAsia="en-GB"/>
          <w14:ligatures w14:val="none"/>
        </w:rPr>
        <w:t>(4), pp.1713-1728.</w:t>
      </w:r>
    </w:p>
    <w:p w14:paraId="26BEFDA7" w14:textId="0CD25495" w:rsidR="00A04541" w:rsidRDefault="00A04541" w:rsidP="00A74F08">
      <w:pPr>
        <w:spacing w:after="0" w:line="360" w:lineRule="auto"/>
        <w:rPr>
          <w:rFonts w:ascii="Arial" w:eastAsia="Times New Roman" w:hAnsi="Arial" w:cs="Arial"/>
          <w:kern w:val="0"/>
          <w:sz w:val="24"/>
          <w:szCs w:val="24"/>
          <w:lang w:eastAsia="en-GB"/>
          <w14:ligatures w14:val="none"/>
        </w:rPr>
      </w:pPr>
      <w:r w:rsidRPr="00A04541">
        <w:rPr>
          <w:rFonts w:ascii="Arial" w:eastAsia="Times New Roman" w:hAnsi="Arial" w:cs="Arial"/>
          <w:kern w:val="0"/>
          <w:sz w:val="24"/>
          <w:szCs w:val="24"/>
          <w:lang w:eastAsia="en-GB"/>
          <w14:ligatures w14:val="none"/>
        </w:rPr>
        <w:t>Xu, X., Wei, Z., Ji, Q., Wang, C. and Gao, G.</w:t>
      </w:r>
      <w:r>
        <w:rPr>
          <w:rFonts w:ascii="Arial" w:eastAsia="Times New Roman" w:hAnsi="Arial" w:cs="Arial"/>
          <w:kern w:val="0"/>
          <w:sz w:val="24"/>
          <w:szCs w:val="24"/>
          <w:lang w:eastAsia="en-GB"/>
          <w14:ligatures w14:val="none"/>
        </w:rPr>
        <w:t>, (</w:t>
      </w:r>
      <w:r w:rsidRPr="00A04541">
        <w:rPr>
          <w:rFonts w:ascii="Arial" w:eastAsia="Times New Roman" w:hAnsi="Arial" w:cs="Arial"/>
          <w:kern w:val="0"/>
          <w:sz w:val="24"/>
          <w:szCs w:val="24"/>
          <w:lang w:eastAsia="en-GB"/>
          <w14:ligatures w14:val="none"/>
        </w:rPr>
        <w:t>2019</w:t>
      </w:r>
      <w:r>
        <w:rPr>
          <w:rFonts w:ascii="Arial" w:eastAsia="Times New Roman" w:hAnsi="Arial" w:cs="Arial"/>
          <w:kern w:val="0"/>
          <w:sz w:val="24"/>
          <w:szCs w:val="24"/>
          <w:lang w:eastAsia="en-GB"/>
          <w14:ligatures w14:val="none"/>
        </w:rPr>
        <w:t>)</w:t>
      </w:r>
      <w:r w:rsidRPr="00A04541">
        <w:rPr>
          <w:rFonts w:ascii="Arial" w:eastAsia="Times New Roman" w:hAnsi="Arial" w:cs="Arial"/>
          <w:kern w:val="0"/>
          <w:sz w:val="24"/>
          <w:szCs w:val="24"/>
          <w:lang w:eastAsia="en-GB"/>
          <w14:ligatures w14:val="none"/>
        </w:rPr>
        <w:t>. Global renewable energy development: Influencing factors, trend predictions and countermeasures. </w:t>
      </w:r>
      <w:r w:rsidRPr="00A04541">
        <w:rPr>
          <w:rFonts w:ascii="Arial" w:eastAsia="Times New Roman" w:hAnsi="Arial" w:cs="Arial"/>
          <w:i/>
          <w:iCs/>
          <w:kern w:val="0"/>
          <w:sz w:val="24"/>
          <w:szCs w:val="24"/>
          <w:lang w:eastAsia="en-GB"/>
          <w14:ligatures w14:val="none"/>
        </w:rPr>
        <w:t>Resources Policy</w:t>
      </w:r>
      <w:r w:rsidRPr="00A04541">
        <w:rPr>
          <w:rFonts w:ascii="Arial" w:eastAsia="Times New Roman" w:hAnsi="Arial" w:cs="Arial"/>
          <w:kern w:val="0"/>
          <w:sz w:val="24"/>
          <w:szCs w:val="24"/>
          <w:lang w:eastAsia="en-GB"/>
          <w14:ligatures w14:val="none"/>
        </w:rPr>
        <w:t>, </w:t>
      </w:r>
      <w:r w:rsidRPr="00A04541">
        <w:rPr>
          <w:rFonts w:ascii="Arial" w:eastAsia="Times New Roman" w:hAnsi="Arial" w:cs="Arial"/>
          <w:i/>
          <w:iCs/>
          <w:kern w:val="0"/>
          <w:sz w:val="24"/>
          <w:szCs w:val="24"/>
          <w:lang w:eastAsia="en-GB"/>
          <w14:ligatures w14:val="none"/>
        </w:rPr>
        <w:t>63</w:t>
      </w:r>
      <w:r w:rsidRPr="00A04541">
        <w:rPr>
          <w:rFonts w:ascii="Arial" w:eastAsia="Times New Roman" w:hAnsi="Arial" w:cs="Arial"/>
          <w:kern w:val="0"/>
          <w:sz w:val="24"/>
          <w:szCs w:val="24"/>
          <w:lang w:eastAsia="en-GB"/>
          <w14:ligatures w14:val="none"/>
        </w:rPr>
        <w:t>, p.101470.</w:t>
      </w:r>
    </w:p>
    <w:p w14:paraId="0CE2195F" w14:textId="77777777" w:rsidR="00A06E29" w:rsidRPr="00A74F08" w:rsidRDefault="00A06E29" w:rsidP="00A74F08">
      <w:pPr>
        <w:spacing w:after="0" w:line="360" w:lineRule="auto"/>
        <w:rPr>
          <w:rFonts w:ascii="Arial" w:eastAsia="Times New Roman" w:hAnsi="Arial" w:cs="Arial"/>
          <w:kern w:val="0"/>
          <w:sz w:val="24"/>
          <w:szCs w:val="24"/>
          <w:lang w:eastAsia="en-GB"/>
          <w14:ligatures w14:val="none"/>
        </w:rPr>
      </w:pPr>
    </w:p>
    <w:p w14:paraId="545FC312" w14:textId="3530CBEC" w:rsidR="00A74F08" w:rsidRPr="00A74F08" w:rsidRDefault="00A74F08" w:rsidP="00A74F08">
      <w:pPr>
        <w:spacing w:after="0" w:line="360" w:lineRule="auto"/>
        <w:rPr>
          <w:rFonts w:ascii="Arial" w:eastAsia="Times New Roman" w:hAnsi="Arial" w:cs="Arial"/>
          <w:kern w:val="0"/>
          <w:sz w:val="24"/>
          <w:szCs w:val="24"/>
          <w:lang w:eastAsia="en-GB"/>
          <w14:ligatures w14:val="none"/>
        </w:rPr>
      </w:pPr>
    </w:p>
    <w:p w14:paraId="70B46342" w14:textId="7DB0AFDA" w:rsidR="00E07A02" w:rsidRPr="00E07A02" w:rsidRDefault="00E07A02" w:rsidP="00E07A02">
      <w:pPr>
        <w:spacing w:after="0" w:line="360" w:lineRule="auto"/>
        <w:rPr>
          <w:rFonts w:ascii="Arial" w:eastAsia="Times New Roman" w:hAnsi="Arial" w:cs="Arial"/>
          <w:kern w:val="0"/>
          <w:sz w:val="24"/>
          <w:szCs w:val="24"/>
          <w:lang w:eastAsia="en-GB"/>
          <w14:ligatures w14:val="none"/>
        </w:rPr>
      </w:pPr>
    </w:p>
    <w:p w14:paraId="584C4456" w14:textId="77777777" w:rsidR="00E07A02" w:rsidRPr="00E07A02" w:rsidRDefault="00E07A02" w:rsidP="00E07A02">
      <w:pPr>
        <w:spacing w:after="0" w:line="360" w:lineRule="auto"/>
        <w:rPr>
          <w:rFonts w:ascii="Arial" w:eastAsia="Times New Roman" w:hAnsi="Arial" w:cs="Arial"/>
          <w:kern w:val="0"/>
          <w:sz w:val="24"/>
          <w:szCs w:val="24"/>
          <w:lang w:eastAsia="en-GB"/>
          <w14:ligatures w14:val="none"/>
        </w:rPr>
      </w:pPr>
    </w:p>
    <w:p w14:paraId="2310F7FD" w14:textId="77777777" w:rsidR="00E07A02" w:rsidRPr="00E07A02" w:rsidRDefault="00E07A02" w:rsidP="00E07A02">
      <w:pPr>
        <w:spacing w:after="0" w:line="360" w:lineRule="auto"/>
        <w:rPr>
          <w:rFonts w:ascii="Arial" w:eastAsia="Times New Roman" w:hAnsi="Arial" w:cs="Arial"/>
          <w:kern w:val="0"/>
          <w:sz w:val="24"/>
          <w:szCs w:val="24"/>
          <w:lang w:eastAsia="en-GB"/>
          <w14:ligatures w14:val="none"/>
        </w:rPr>
      </w:pPr>
    </w:p>
    <w:p w14:paraId="3AA9DA97" w14:textId="04506C17" w:rsidR="00B35508" w:rsidRPr="00B35508" w:rsidRDefault="00B35508" w:rsidP="00B35508">
      <w:pPr>
        <w:spacing w:after="0" w:line="360" w:lineRule="auto"/>
        <w:rPr>
          <w:rFonts w:ascii="Arial" w:eastAsia="Times New Roman" w:hAnsi="Arial" w:cs="Arial"/>
          <w:kern w:val="0"/>
          <w:sz w:val="24"/>
          <w:szCs w:val="24"/>
          <w:lang w:eastAsia="en-GB"/>
          <w14:ligatures w14:val="none"/>
        </w:rPr>
      </w:pPr>
    </w:p>
    <w:p w14:paraId="49E96107" w14:textId="6ACD446F" w:rsidR="00B35508" w:rsidRPr="00B35508" w:rsidRDefault="00B35508" w:rsidP="00B35508">
      <w:pPr>
        <w:spacing w:after="0" w:line="360" w:lineRule="auto"/>
        <w:rPr>
          <w:rFonts w:ascii="Arial" w:eastAsia="Times New Roman" w:hAnsi="Arial" w:cs="Arial"/>
          <w:kern w:val="0"/>
          <w:sz w:val="24"/>
          <w:szCs w:val="24"/>
          <w:lang w:eastAsia="en-GB"/>
          <w14:ligatures w14:val="none"/>
        </w:rPr>
      </w:pPr>
    </w:p>
    <w:p w14:paraId="2D39572A" w14:textId="7047D7F8" w:rsidR="00313642" w:rsidRPr="00313642" w:rsidRDefault="00313642" w:rsidP="00313642">
      <w:pPr>
        <w:spacing w:after="0" w:line="360" w:lineRule="auto"/>
        <w:rPr>
          <w:rFonts w:ascii="Arial" w:eastAsia="Times New Roman" w:hAnsi="Arial" w:cs="Arial"/>
          <w:kern w:val="0"/>
          <w:sz w:val="24"/>
          <w:szCs w:val="24"/>
          <w:lang w:eastAsia="en-GB"/>
          <w14:ligatures w14:val="none"/>
        </w:rPr>
      </w:pPr>
    </w:p>
    <w:p w14:paraId="6F9B94F1" w14:textId="77777777" w:rsidR="00313642" w:rsidRDefault="00313642"/>
    <w:p w14:paraId="2DA6B2DD" w14:textId="77777777" w:rsidR="00313642" w:rsidRDefault="00313642"/>
    <w:sectPr w:rsidR="00313642" w:rsidSect="00313642">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CB6A7C" w14:textId="77777777" w:rsidR="005B10EA" w:rsidRDefault="005B10EA" w:rsidP="00F620A4">
      <w:pPr>
        <w:spacing w:after="0" w:line="240" w:lineRule="auto"/>
      </w:pPr>
      <w:r>
        <w:separator/>
      </w:r>
    </w:p>
  </w:endnote>
  <w:endnote w:type="continuationSeparator" w:id="0">
    <w:p w14:paraId="1EE2E6E7" w14:textId="77777777" w:rsidR="005B10EA" w:rsidRDefault="005B10EA" w:rsidP="00F62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3202820"/>
      <w:docPartObj>
        <w:docPartGallery w:val="Page Numbers (Bottom of Page)"/>
        <w:docPartUnique/>
      </w:docPartObj>
    </w:sdtPr>
    <w:sdtEndPr>
      <w:rPr>
        <w:color w:val="7F7F7F" w:themeColor="background1" w:themeShade="7F"/>
        <w:spacing w:val="60"/>
      </w:rPr>
    </w:sdtEndPr>
    <w:sdtContent>
      <w:p w14:paraId="18A8D90C" w14:textId="0611B961" w:rsidR="00F620A4" w:rsidRDefault="00F620A4">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8817C67" w14:textId="77777777" w:rsidR="00F620A4" w:rsidRDefault="00F62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4592F0" w14:textId="77777777" w:rsidR="005B10EA" w:rsidRDefault="005B10EA" w:rsidP="00F620A4">
      <w:pPr>
        <w:spacing w:after="0" w:line="240" w:lineRule="auto"/>
      </w:pPr>
      <w:r>
        <w:separator/>
      </w:r>
    </w:p>
  </w:footnote>
  <w:footnote w:type="continuationSeparator" w:id="0">
    <w:p w14:paraId="018D4C00" w14:textId="77777777" w:rsidR="005B10EA" w:rsidRDefault="005B10EA" w:rsidP="00F620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642"/>
    <w:rsid w:val="00077AD3"/>
    <w:rsid w:val="000819EC"/>
    <w:rsid w:val="00211335"/>
    <w:rsid w:val="00313642"/>
    <w:rsid w:val="0041237A"/>
    <w:rsid w:val="00534DBC"/>
    <w:rsid w:val="005B10EA"/>
    <w:rsid w:val="006855F0"/>
    <w:rsid w:val="006E7802"/>
    <w:rsid w:val="00747803"/>
    <w:rsid w:val="007E5FB0"/>
    <w:rsid w:val="008361D2"/>
    <w:rsid w:val="009345B8"/>
    <w:rsid w:val="00A04541"/>
    <w:rsid w:val="00A06E29"/>
    <w:rsid w:val="00A352B2"/>
    <w:rsid w:val="00A74F08"/>
    <w:rsid w:val="00AB59C2"/>
    <w:rsid w:val="00B2582F"/>
    <w:rsid w:val="00B35508"/>
    <w:rsid w:val="00CB1857"/>
    <w:rsid w:val="00CD0F45"/>
    <w:rsid w:val="00CD4856"/>
    <w:rsid w:val="00D075B0"/>
    <w:rsid w:val="00E07A02"/>
    <w:rsid w:val="00E137DC"/>
    <w:rsid w:val="00EC28CC"/>
    <w:rsid w:val="00F02987"/>
    <w:rsid w:val="00F620A4"/>
    <w:rsid w:val="00FF0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AA0F3"/>
  <w15:chartTrackingRefBased/>
  <w15:docId w15:val="{1DF9797B-A0A6-430A-9B63-C1A8B6CE7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36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36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36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36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6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6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36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36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36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6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642"/>
    <w:rPr>
      <w:rFonts w:eastAsiaTheme="majorEastAsia" w:cstheme="majorBidi"/>
      <w:color w:val="272727" w:themeColor="text1" w:themeTint="D8"/>
    </w:rPr>
  </w:style>
  <w:style w:type="paragraph" w:styleId="Title">
    <w:name w:val="Title"/>
    <w:basedOn w:val="Normal"/>
    <w:next w:val="Normal"/>
    <w:link w:val="TitleChar"/>
    <w:uiPriority w:val="10"/>
    <w:qFormat/>
    <w:rsid w:val="00313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642"/>
    <w:pPr>
      <w:spacing w:before="160"/>
      <w:jc w:val="center"/>
    </w:pPr>
    <w:rPr>
      <w:i/>
      <w:iCs/>
      <w:color w:val="404040" w:themeColor="text1" w:themeTint="BF"/>
    </w:rPr>
  </w:style>
  <w:style w:type="character" w:customStyle="1" w:styleId="QuoteChar">
    <w:name w:val="Quote Char"/>
    <w:basedOn w:val="DefaultParagraphFont"/>
    <w:link w:val="Quote"/>
    <w:uiPriority w:val="29"/>
    <w:rsid w:val="00313642"/>
    <w:rPr>
      <w:i/>
      <w:iCs/>
      <w:color w:val="404040" w:themeColor="text1" w:themeTint="BF"/>
    </w:rPr>
  </w:style>
  <w:style w:type="paragraph" w:styleId="ListParagraph">
    <w:name w:val="List Paragraph"/>
    <w:basedOn w:val="Normal"/>
    <w:uiPriority w:val="34"/>
    <w:qFormat/>
    <w:rsid w:val="00313642"/>
    <w:pPr>
      <w:ind w:left="720"/>
      <w:contextualSpacing/>
    </w:pPr>
  </w:style>
  <w:style w:type="character" w:styleId="IntenseEmphasis">
    <w:name w:val="Intense Emphasis"/>
    <w:basedOn w:val="DefaultParagraphFont"/>
    <w:uiPriority w:val="21"/>
    <w:qFormat/>
    <w:rsid w:val="00313642"/>
    <w:rPr>
      <w:i/>
      <w:iCs/>
      <w:color w:val="0F4761" w:themeColor="accent1" w:themeShade="BF"/>
    </w:rPr>
  </w:style>
  <w:style w:type="paragraph" w:styleId="IntenseQuote">
    <w:name w:val="Intense Quote"/>
    <w:basedOn w:val="Normal"/>
    <w:next w:val="Normal"/>
    <w:link w:val="IntenseQuoteChar"/>
    <w:uiPriority w:val="30"/>
    <w:qFormat/>
    <w:rsid w:val="003136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642"/>
    <w:rPr>
      <w:i/>
      <w:iCs/>
      <w:color w:val="0F4761" w:themeColor="accent1" w:themeShade="BF"/>
    </w:rPr>
  </w:style>
  <w:style w:type="character" w:styleId="IntenseReference">
    <w:name w:val="Intense Reference"/>
    <w:basedOn w:val="DefaultParagraphFont"/>
    <w:uiPriority w:val="32"/>
    <w:qFormat/>
    <w:rsid w:val="00313642"/>
    <w:rPr>
      <w:b/>
      <w:bCs/>
      <w:smallCaps/>
      <w:color w:val="0F4761" w:themeColor="accent1" w:themeShade="BF"/>
      <w:spacing w:val="5"/>
    </w:rPr>
  </w:style>
  <w:style w:type="paragraph" w:styleId="NoSpacing">
    <w:name w:val="No Spacing"/>
    <w:link w:val="NoSpacingChar"/>
    <w:uiPriority w:val="1"/>
    <w:qFormat/>
    <w:rsid w:val="0031364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13642"/>
    <w:rPr>
      <w:rFonts w:eastAsiaTheme="minorEastAsia"/>
      <w:kern w:val="0"/>
      <w:lang w:eastAsia="en-GB"/>
      <w14:ligatures w14:val="none"/>
    </w:rPr>
  </w:style>
  <w:style w:type="paragraph" w:styleId="Header">
    <w:name w:val="header"/>
    <w:basedOn w:val="Normal"/>
    <w:link w:val="HeaderChar"/>
    <w:uiPriority w:val="99"/>
    <w:unhideWhenUsed/>
    <w:rsid w:val="00F620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0A4"/>
  </w:style>
  <w:style w:type="paragraph" w:styleId="Footer">
    <w:name w:val="footer"/>
    <w:basedOn w:val="Normal"/>
    <w:link w:val="FooterChar"/>
    <w:uiPriority w:val="99"/>
    <w:unhideWhenUsed/>
    <w:rsid w:val="00F620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0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488251">
      <w:bodyDiv w:val="1"/>
      <w:marLeft w:val="0"/>
      <w:marRight w:val="0"/>
      <w:marTop w:val="0"/>
      <w:marBottom w:val="0"/>
      <w:divBdr>
        <w:top w:val="none" w:sz="0" w:space="0" w:color="auto"/>
        <w:left w:val="none" w:sz="0" w:space="0" w:color="auto"/>
        <w:bottom w:val="none" w:sz="0" w:space="0" w:color="auto"/>
        <w:right w:val="none" w:sz="0" w:space="0" w:color="auto"/>
      </w:divBdr>
    </w:div>
    <w:div w:id="85347426">
      <w:bodyDiv w:val="1"/>
      <w:marLeft w:val="0"/>
      <w:marRight w:val="0"/>
      <w:marTop w:val="0"/>
      <w:marBottom w:val="0"/>
      <w:divBdr>
        <w:top w:val="none" w:sz="0" w:space="0" w:color="auto"/>
        <w:left w:val="none" w:sz="0" w:space="0" w:color="auto"/>
        <w:bottom w:val="none" w:sz="0" w:space="0" w:color="auto"/>
        <w:right w:val="none" w:sz="0" w:space="0" w:color="auto"/>
      </w:divBdr>
    </w:div>
    <w:div w:id="409040350">
      <w:bodyDiv w:val="1"/>
      <w:marLeft w:val="0"/>
      <w:marRight w:val="0"/>
      <w:marTop w:val="0"/>
      <w:marBottom w:val="0"/>
      <w:divBdr>
        <w:top w:val="none" w:sz="0" w:space="0" w:color="auto"/>
        <w:left w:val="none" w:sz="0" w:space="0" w:color="auto"/>
        <w:bottom w:val="none" w:sz="0" w:space="0" w:color="auto"/>
        <w:right w:val="none" w:sz="0" w:space="0" w:color="auto"/>
      </w:divBdr>
    </w:div>
    <w:div w:id="644167340">
      <w:bodyDiv w:val="1"/>
      <w:marLeft w:val="0"/>
      <w:marRight w:val="0"/>
      <w:marTop w:val="0"/>
      <w:marBottom w:val="0"/>
      <w:divBdr>
        <w:top w:val="none" w:sz="0" w:space="0" w:color="auto"/>
        <w:left w:val="none" w:sz="0" w:space="0" w:color="auto"/>
        <w:bottom w:val="none" w:sz="0" w:space="0" w:color="auto"/>
        <w:right w:val="none" w:sz="0" w:space="0" w:color="auto"/>
      </w:divBdr>
    </w:div>
    <w:div w:id="697900470">
      <w:bodyDiv w:val="1"/>
      <w:marLeft w:val="0"/>
      <w:marRight w:val="0"/>
      <w:marTop w:val="0"/>
      <w:marBottom w:val="0"/>
      <w:divBdr>
        <w:top w:val="none" w:sz="0" w:space="0" w:color="auto"/>
        <w:left w:val="none" w:sz="0" w:space="0" w:color="auto"/>
        <w:bottom w:val="none" w:sz="0" w:space="0" w:color="auto"/>
        <w:right w:val="none" w:sz="0" w:space="0" w:color="auto"/>
      </w:divBdr>
    </w:div>
    <w:div w:id="707220708">
      <w:bodyDiv w:val="1"/>
      <w:marLeft w:val="0"/>
      <w:marRight w:val="0"/>
      <w:marTop w:val="0"/>
      <w:marBottom w:val="0"/>
      <w:divBdr>
        <w:top w:val="none" w:sz="0" w:space="0" w:color="auto"/>
        <w:left w:val="none" w:sz="0" w:space="0" w:color="auto"/>
        <w:bottom w:val="none" w:sz="0" w:space="0" w:color="auto"/>
        <w:right w:val="none" w:sz="0" w:space="0" w:color="auto"/>
      </w:divBdr>
    </w:div>
    <w:div w:id="790250412">
      <w:bodyDiv w:val="1"/>
      <w:marLeft w:val="0"/>
      <w:marRight w:val="0"/>
      <w:marTop w:val="0"/>
      <w:marBottom w:val="0"/>
      <w:divBdr>
        <w:top w:val="none" w:sz="0" w:space="0" w:color="auto"/>
        <w:left w:val="none" w:sz="0" w:space="0" w:color="auto"/>
        <w:bottom w:val="none" w:sz="0" w:space="0" w:color="auto"/>
        <w:right w:val="none" w:sz="0" w:space="0" w:color="auto"/>
      </w:divBdr>
    </w:div>
    <w:div w:id="993724827">
      <w:bodyDiv w:val="1"/>
      <w:marLeft w:val="0"/>
      <w:marRight w:val="0"/>
      <w:marTop w:val="0"/>
      <w:marBottom w:val="0"/>
      <w:divBdr>
        <w:top w:val="none" w:sz="0" w:space="0" w:color="auto"/>
        <w:left w:val="none" w:sz="0" w:space="0" w:color="auto"/>
        <w:bottom w:val="none" w:sz="0" w:space="0" w:color="auto"/>
        <w:right w:val="none" w:sz="0" w:space="0" w:color="auto"/>
      </w:divBdr>
    </w:div>
    <w:div w:id="1561555125">
      <w:bodyDiv w:val="1"/>
      <w:marLeft w:val="0"/>
      <w:marRight w:val="0"/>
      <w:marTop w:val="0"/>
      <w:marBottom w:val="0"/>
      <w:divBdr>
        <w:top w:val="none" w:sz="0" w:space="0" w:color="auto"/>
        <w:left w:val="none" w:sz="0" w:space="0" w:color="auto"/>
        <w:bottom w:val="none" w:sz="0" w:space="0" w:color="auto"/>
        <w:right w:val="none" w:sz="0" w:space="0" w:color="auto"/>
      </w:divBdr>
    </w:div>
    <w:div w:id="1576938336">
      <w:bodyDiv w:val="1"/>
      <w:marLeft w:val="0"/>
      <w:marRight w:val="0"/>
      <w:marTop w:val="0"/>
      <w:marBottom w:val="0"/>
      <w:divBdr>
        <w:top w:val="none" w:sz="0" w:space="0" w:color="auto"/>
        <w:left w:val="none" w:sz="0" w:space="0" w:color="auto"/>
        <w:bottom w:val="none" w:sz="0" w:space="0" w:color="auto"/>
        <w:right w:val="none" w:sz="0" w:space="0" w:color="auto"/>
      </w:divBdr>
    </w:div>
    <w:div w:id="1700662070">
      <w:bodyDiv w:val="1"/>
      <w:marLeft w:val="0"/>
      <w:marRight w:val="0"/>
      <w:marTop w:val="0"/>
      <w:marBottom w:val="0"/>
      <w:divBdr>
        <w:top w:val="none" w:sz="0" w:space="0" w:color="auto"/>
        <w:left w:val="none" w:sz="0" w:space="0" w:color="auto"/>
        <w:bottom w:val="none" w:sz="0" w:space="0" w:color="auto"/>
        <w:right w:val="none" w:sz="0" w:space="0" w:color="auto"/>
      </w:divBdr>
    </w:div>
    <w:div w:id="1800874592">
      <w:bodyDiv w:val="1"/>
      <w:marLeft w:val="0"/>
      <w:marRight w:val="0"/>
      <w:marTop w:val="0"/>
      <w:marBottom w:val="0"/>
      <w:divBdr>
        <w:top w:val="none" w:sz="0" w:space="0" w:color="auto"/>
        <w:left w:val="none" w:sz="0" w:space="0" w:color="auto"/>
        <w:bottom w:val="none" w:sz="0" w:space="0" w:color="auto"/>
        <w:right w:val="none" w:sz="0" w:space="0" w:color="auto"/>
      </w:divBdr>
    </w:div>
    <w:div w:id="1804888659">
      <w:bodyDiv w:val="1"/>
      <w:marLeft w:val="0"/>
      <w:marRight w:val="0"/>
      <w:marTop w:val="0"/>
      <w:marBottom w:val="0"/>
      <w:divBdr>
        <w:top w:val="none" w:sz="0" w:space="0" w:color="auto"/>
        <w:left w:val="none" w:sz="0" w:space="0" w:color="auto"/>
        <w:bottom w:val="none" w:sz="0" w:space="0" w:color="auto"/>
        <w:right w:val="none" w:sz="0" w:space="0" w:color="auto"/>
      </w:divBdr>
    </w:div>
    <w:div w:id="1936861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C4942C9ED974C1FAB5CEBA43038BE2A"/>
        <w:category>
          <w:name w:val="General"/>
          <w:gallery w:val="placeholder"/>
        </w:category>
        <w:types>
          <w:type w:val="bbPlcHdr"/>
        </w:types>
        <w:behaviors>
          <w:behavior w:val="content"/>
        </w:behaviors>
        <w:guid w:val="{0997484D-07D4-4003-81D5-28BC378DED96}"/>
      </w:docPartPr>
      <w:docPartBody>
        <w:p w:rsidR="00000000" w:rsidRDefault="0082483B" w:rsidP="0082483B">
          <w:pPr>
            <w:pStyle w:val="2C4942C9ED974C1FAB5CEBA43038BE2A"/>
          </w:pPr>
          <w:r>
            <w:rPr>
              <w:rFonts w:asciiTheme="majorHAnsi" w:eastAsiaTheme="majorEastAsia" w:hAnsiTheme="majorHAnsi" w:cstheme="majorBidi"/>
              <w:caps/>
              <w:color w:val="156082" w:themeColor="accent1"/>
              <w:sz w:val="80"/>
              <w:szCs w:val="80"/>
            </w:rPr>
            <w:t>[Document title]</w:t>
          </w:r>
        </w:p>
      </w:docPartBody>
    </w:docPart>
    <w:docPart>
      <w:docPartPr>
        <w:name w:val="175DDB15420441EAB6AEFD0439F99B9A"/>
        <w:category>
          <w:name w:val="General"/>
          <w:gallery w:val="placeholder"/>
        </w:category>
        <w:types>
          <w:type w:val="bbPlcHdr"/>
        </w:types>
        <w:behaviors>
          <w:behavior w:val="content"/>
        </w:behaviors>
        <w:guid w:val="{3ACC1DA5-427A-4B80-B8DF-054B1B9C65CD}"/>
      </w:docPartPr>
      <w:docPartBody>
        <w:p w:rsidR="00000000" w:rsidRDefault="0082483B" w:rsidP="0082483B">
          <w:pPr>
            <w:pStyle w:val="175DDB15420441EAB6AEFD0439F99B9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83B"/>
    <w:rsid w:val="004671B4"/>
    <w:rsid w:val="0082483B"/>
    <w:rsid w:val="00CB1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4942C9ED974C1FAB5CEBA43038BE2A">
    <w:name w:val="2C4942C9ED974C1FAB5CEBA43038BE2A"/>
    <w:rsid w:val="0082483B"/>
  </w:style>
  <w:style w:type="paragraph" w:customStyle="1" w:styleId="175DDB15420441EAB6AEFD0439F99B9A">
    <w:name w:val="175DDB15420441EAB6AEFD0439F99B9A"/>
    <w:rsid w:val="008248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2128948</PublishDate>
  <Abstract/>
  <CompanyAddress>LECTURER: RITA UKACHI-LOIS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907FC6-5CE0-4835-B98A-4D059D139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8</Pages>
  <Words>1778</Words>
  <Characters>10141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student name: janina-eveline oros</Company>
  <LinksUpToDate>false</LinksUpToDate>
  <CharactersWithSpaces>11896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BA (HONS) Business Management</dc:subject>
  <dc:creator>Janina-Eveline Oros</dc:creator>
  <cp:keywords/>
  <dc:description/>
  <cp:lastModifiedBy>Janina-Eveline Oros</cp:lastModifiedBy>
  <cp:revision>22</cp:revision>
  <dcterms:created xsi:type="dcterms:W3CDTF">2024-08-20T08:34:00Z</dcterms:created>
  <dcterms:modified xsi:type="dcterms:W3CDTF">2024-08-20T09:46:00Z</dcterms:modified>
</cp:coreProperties>
</file>