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567F6D" w:rsidRDefault="00000000" w14:paraId="1AF41F8D" w14:textId="77777777">
      <w:pPr>
        <w:jc w:val="center"/>
      </w:pPr>
      <w:r>
        <w:rPr>
          <w:noProof/>
        </w:rPr>
        <w:drawing>
          <wp:inline distB="0" distL="0" distR="0" distT="0" wp14:anchorId="48467D63" wp14:editId="534524A4">
            <wp:extent cx="2468880" cy="1237615"/>
            <wp:effectExtent l="0" t="0" r="0" b="0"/>
            <wp:docPr id="1" name="Picture 1" descr="University of Wales Trinity Saint David logo" title="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49"/>
                    <a:stretch>
                      <a:fillRect/>
                    </a:stretch>
                  </pic:blipFill>
                  <pic:spPr>
                    <a:xfrm>
                      <a:off x="0" y="0"/>
                      <a:ext cx="2468880" cy="1238169"/>
                    </a:xfrm>
                    <a:prstGeom prst="rect">
                      <a:avLst/>
                    </a:prstGeom>
                  </pic:spPr>
                </pic:pic>
              </a:graphicData>
            </a:graphic>
          </wp:inline>
        </w:drawing>
      </w:r>
    </w:p>
    <w:p w:rsidR="00567F6D" w:rsidRDefault="00000000" w14:paraId="226B1C92" w14:textId="77777777">
      <w:pPr>
        <w:jc w:val="center"/>
        <w:spacing w:before="160"/>
      </w:pPr>
      <w:r>
        <w:rPr>
          <w:b/>
          <w:color w:val="1F4E79"/>
          <w:sz w:val="32"/>
        </w:rPr>
        <w:t>MASTER OF BUSINESS ADMINISTRATION</w:t>
      </w:r>
    </w:p>
    <w:p w:rsidR="00567F6D" w:rsidRDefault="00000000" w14:paraId="0233D74C" w14:textId="77777777">
      <w:pPr>
        <w:jc w:val="center"/>
        <w:spacing w:after="360"/>
      </w:pPr>
      <w:r>
        <w:rPr>
          <w:b/>
          <w:sz w:val="26"/>
        </w:rPr>
        <w:t>Marketing Management | LCMB7024</w:t>
      </w:r>
    </w:p>
    <w:tbl>
      <w:tblPr>
        <w:tblW w:w="0" w:type="auto"/>
        <w:tblLayout w:type="fixed"/>
        <w:jc w:val="center"/>
        <w:tblStyle w:val="TableGrid"/>
        <w:tblLook w:val="4A0"/>
      </w:tblPr>
      <w:tblGrid>
        <w:gridCol w:w="8496"/>
      </w:tblGrid>
      <w:tr w14:paraId="6FB1E747" w14:textId="77777777" w:rsidR="00567F6D">
        <w:trPr>
          <w:tblHeader/>
          <w:jc w:val="center"/>
        </w:trPr>
        <w:tc>
          <w:tcPr>
            <w:shd w:fill="D9EAF7" w:color="auto" w:val="clear"/>
            <w:tcW w:w="8496" w:type="dxa"/>
          </w:tcPr>
          <w:p w:rsidR="00567F6D" w:rsidRDefault="00000000" w14:paraId="19D73250" w14:textId="77777777">
            <w:pPr>
              <w:jc w:val="center"/>
              <w:spacing w:before="160" w:after="160"/>
            </w:pPr>
            <w:r>
              <w:rPr>
                <w:b/>
                <w:color w:val="1F4E79"/>
                <w:sz w:val="30"/>
              </w:rPr>
              <w:t>Marketing Environment Analysis and Strategic Growth of South32 Limited in the Transition Towards a Lower-Carbon Business Model</w:t>
            </w:r>
          </w:p>
        </w:tc>
      </w:tr>
    </w:tbl>
    <w:p w:rsidR="00567F6D" w:rsidRDefault="00567F6D" w14:paraId="170272D3" w14:textId="77777777"/>
    <w:tbl>
      <w:tblPr>
        <w:tblW w:w="0" w:type="auto"/>
        <w:tblLayout w:type="fixed"/>
        <w:jc w:val="center"/>
        <w:tblStyle w:val="TableGrid"/>
        <w:tblLook w:val="4A0"/>
      </w:tblPr>
      <w:tblGrid>
        <w:gridCol w:w="2232"/>
        <w:gridCol w:w="6263"/>
      </w:tblGrid>
      <w:tr w14:paraId="2F4EDC3C" w14:textId="77777777" w:rsidR="00567F6D">
        <w:trPr>
          <w:tblHeader/>
          <w:jc w:val="center"/>
        </w:trPr>
        <w:tc>
          <w:tcPr>
            <w:shd w:fill="EDEDED" w:color="auto" w:val="clear"/>
            <w:vAlign w:val="center"/>
            <w:tcW w:w="2232" w:type="dxa"/>
          </w:tcPr>
          <w:p w:rsidR="00567F6D" w:rsidRDefault="00000000" w14:paraId="53FBCF02" w14:textId="77777777" w:rsidP="00F67E0C">
            <w:r>
              <w:rPr>
                <w:b/>
                <w:sz w:val="21"/>
              </w:rPr>
              <w:t>Assessment component</w:t>
            </w:r>
          </w:p>
        </w:tc>
        <w:tc>
          <w:tcPr>
            <w:vAlign w:val="center"/>
            <w:tcW w:w="6263" w:type="dxa"/>
          </w:tcPr>
          <w:p w:rsidR="00567F6D" w:rsidRDefault="00000000" w14:paraId="7E416F11" w14:textId="77777777" w:rsidP="00F67E0C">
            <w:r>
              <w:rPr>
                <w:sz w:val="21"/>
              </w:rPr>
              <w:t>Component 1: Marketing Environment Analysis</w:t>
            </w:r>
          </w:p>
        </w:tc>
      </w:tr>
      <w:tr w14:paraId="6DEFA1DE" w14:textId="77777777" w:rsidR="00567F6D">
        <w:trPr>
          <w:jc w:val="center"/>
        </w:trPr>
        <w:tc>
          <w:tcPr>
            <w:shd w:fill="EDEDED" w:color="auto" w:val="clear"/>
            <w:vAlign w:val="center"/>
            <w:tcW w:w="2232" w:type="dxa"/>
          </w:tcPr>
          <w:p w:rsidR="00567F6D" w:rsidRDefault="00000000" w14:paraId="7F63A36A" w14:textId="77777777" w:rsidP="00F67E0C">
            <w:r>
              <w:rPr>
                <w:b/>
                <w:sz w:val="21"/>
              </w:rPr>
              <w:t>Student name</w:t>
            </w:r>
          </w:p>
        </w:tc>
        <w:tc>
          <w:tcPr>
            <w:vAlign w:val="center"/>
            <w:tcW w:w="6263" w:type="dxa"/>
          </w:tcPr>
          <w:p w:rsidR="00567F6D" w:rsidRDefault="00567F6D" w14:paraId="2C810D80" w14:textId="77777777" w:rsidP="00F67E0C">
            <w:r>
              <w:t>Gurkrit singh</w:t>
            </w:r>
          </w:p>
        </w:tc>
      </w:tr>
      <w:tr w14:paraId="506F24E1" w14:textId="77777777" w:rsidR="00567F6D">
        <w:trPr>
          <w:jc w:val="center"/>
        </w:trPr>
        <w:tc>
          <w:tcPr>
            <w:shd w:fill="EDEDED" w:color="auto" w:val="clear"/>
            <w:vAlign w:val="center"/>
            <w:tcW w:w="2232" w:type="dxa"/>
          </w:tcPr>
          <w:p w:rsidR="00567F6D" w:rsidRDefault="00000000" w14:paraId="1D21AE99" w14:textId="77777777" w:rsidP="00F67E0C">
            <w:r>
              <w:rPr>
                <w:b/>
                <w:sz w:val="21"/>
              </w:rPr>
              <w:t>Student ID</w:t>
            </w:r>
          </w:p>
        </w:tc>
        <w:tc>
          <w:tcPr>
            <w:vAlign w:val="center"/>
            <w:tcW w:w="6263" w:type="dxa"/>
          </w:tcPr>
          <w:p w:rsidR="00567F6D" w:rsidRDefault="00567F6D" w14:paraId="3033DB41" w14:textId="77777777" w:rsidP="00F67E0C">
            <w:r>
              <w:t>2612703</w:t>
            </w:r>
          </w:p>
        </w:tc>
      </w:tr>
      <w:tr w14:paraId="1ABD079C" w14:textId="77777777" w:rsidR="00567F6D">
        <w:trPr>
          <w:jc w:val="center"/>
        </w:trPr>
        <w:tc>
          <w:tcPr>
            <w:shd w:fill="EDEDED" w:color="auto" w:val="clear"/>
            <w:vAlign w:val="center"/>
            <w:tcW w:w="2232" w:type="dxa"/>
          </w:tcPr>
          <w:p w:rsidR="00567F6D" w:rsidRDefault="00000000" w14:paraId="52E6A487" w14:textId="77777777" w:rsidP="00F67E0C">
            <w:r>
              <w:rPr>
                <w:b/>
                <w:sz w:val="21"/>
              </w:rPr>
              <w:t>Lecturer</w:t>
            </w:r>
          </w:p>
        </w:tc>
        <w:tc>
          <w:tcPr>
            <w:vAlign w:val="center"/>
            <w:tcW w:w="6263" w:type="dxa"/>
          </w:tcPr>
          <w:p w:rsidR="00567F6D" w:rsidRDefault="00000000" w14:paraId="7542B23F" w14:textId="77777777" w:rsidP="00F67E0C">
            <w:pPr>
              <w:rPr>
                <w:color w:val="000000"/>
              </w:rPr>
            </w:pPr>
            <w:r>
              <w:rPr>
                <w:color w:val="000000"/>
                <w:sz w:val="21"/>
              </w:rPr>
              <w:t>Taonga Kaonga Sobere-Snithers (Birmingham)</w:t>
            </w:r>
          </w:p>
        </w:tc>
      </w:tr>
      <w:tr w14:paraId="15C2B039" w14:textId="77777777" w:rsidR="00567F6D">
        <w:trPr>
          <w:jc w:val="center"/>
        </w:trPr>
        <w:tc>
          <w:tcPr>
            <w:shd w:fill="EDEDED" w:color="auto" w:val="clear"/>
            <w:vAlign w:val="center"/>
            <w:tcW w:w="2232" w:type="dxa"/>
          </w:tcPr>
          <w:p w:rsidR="00567F6D" w:rsidRDefault="00000000" w14:paraId="60D9B4BA" w14:textId="77777777" w:rsidP="00F67E0C">
            <w:r>
              <w:rPr>
                <w:b/>
                <w:sz w:val="21"/>
              </w:rPr>
              <w:t>Word count</w:t>
            </w:r>
          </w:p>
        </w:tc>
        <w:tc>
          <w:tcPr>
            <w:vAlign w:val="center"/>
            <w:tcW w:w="6263" w:type="dxa"/>
          </w:tcPr>
          <w:p w:rsidR="00567F6D" w:rsidRDefault="00567F6D" w14:paraId="1AF7213C" w14:textId="77777777" w:rsidP="00F67E0C">
            <w:r>
              <w:t>2522</w:t>
            </w:r>
          </w:p>
        </w:tc>
      </w:tr>
      <w:tr w14:paraId="1C93783E" w14:textId="77777777" w:rsidR="00567F6D">
        <w:trPr>
          <w:jc w:val="center"/>
        </w:trPr>
        <w:tc>
          <w:tcPr>
            <w:shd w:fill="EDEDED" w:color="auto" w:val="clear"/>
            <w:vAlign w:val="center"/>
            <w:tcW w:w="2232" w:type="dxa"/>
          </w:tcPr>
          <w:p w:rsidR="00567F6D" w:rsidRDefault="00000000" w14:paraId="68EF41BD" w14:textId="77777777" w:rsidP="00F67E0C">
            <w:r>
              <w:rPr>
                <w:b/>
                <w:sz w:val="21"/>
              </w:rPr>
              <w:t>Submission date</w:t>
            </w:r>
          </w:p>
        </w:tc>
        <w:tc>
          <w:tcPr>
            <w:vAlign w:val="center"/>
            <w:tcW w:w="6263" w:type="dxa"/>
          </w:tcPr>
          <w:p w:rsidR="00567F6D" w:rsidRDefault="00000000" w14:paraId="3DB9D0FE" w14:textId="77777777" w:rsidP="00F67E0C">
            <w:r>
              <w:rPr>
                <w:sz w:val="21"/>
              </w:rPr>
              <w:t>22 October 2026</w:t>
            </w:r>
          </w:p>
        </w:tc>
      </w:tr>
    </w:tbl>
    <w:p w:rsidR="00567F6D" w:rsidRDefault="00567F6D" w14:paraId="60789F70" w14:textId="77777777"/>
    <w:p w:rsidR="00567F6D" w:rsidRDefault="00000000" w14:paraId="0E897F61" w14:textId="77777777">
      <w:r>
        <w:br w:type="page"/>
      </w:r>
    </w:p>
    <w:sdt>
      <w:sdtPr>
        <w:rPr>
          <w:b/>
          <w:bCs/>
        </w:rPr>
        <w:id w:val="1198664643"/>
        <w:docPartObj>
          <w:docPartGallery w:val="Table of Contents"/>
          <w:docPartUnique/>
        </w:docPartObj>
      </w:sdtPr>
      <w:sdtEndPr>
        <w:rPr>
          <w:noProof/>
        </w:rPr>
      </w:sdtEndPr>
      <w:sdtContent>
        <w:p w:rsidR="00F67E0C" w:rsidRDefault="00F67E0C" w14:paraId="4BE87119" w14:textId="77777777" w:rsidP="00F67E0C" w:rsidRPr="00F67E0C">
          <w:pPr>
            <w:jc w:val="center"/>
            <w:rPr>
              <w:bCs/>
              <w:b/>
            </w:rPr>
          </w:pPr>
          <w:r w:rsidRPr="00F67E0C">
            <w:rPr>
              <w:bCs/>
              <w:b/>
            </w:rPr>
            <w:t>Table of Contents</w:t>
          </w:r>
        </w:p>
        <w:p w:rsidR="00061A49" w:rsidRDefault="00F67E0C" w14:paraId="0B0F19EF" w14:textId="27DD2236">
          <w:pPr>
            <w:pStyle w:val="TOC1"/>
            <w:tabs>
              <w:tab w:val="right" w:leader="dot" w:pos="9592"/>
            </w:tabs>
            <w:rPr>
              <w:noProof/>
              <w:kern w:val="2"/>
              <w:lang w:val="en-IN" w:eastAsia="en-IN" w:bidi="bn-IN"/>
              <w14:ligatures w14:val="standardContextual"/>
              <w:rFonts w:ascii="Cambria" w:eastAsiaTheme="minorEastAsia" w:hAnsiTheme="minorHAnsi" w:cstheme="minorBidi"/>
              <w:szCs w:val="30"/>
            </w:rPr>
          </w:pPr>
          <w:r>
            <w:fldChar w:fldCharType="begin"/>
          </w:r>
          <w:r>
            <w:instrText xml:space="preserve"> TOC \o "1-3" \h \z \u </w:instrText>
          </w:r>
          <w:r>
            <w:fldChar w:fldCharType="separate"/>
          </w:r>
          <w:hyperlink w:anchor="_Toc243493480" w:history="1">
            <w:r w:rsidR="00061A49" w:rsidRPr="00E95667">
              <w:rPr>
                <w:noProof/>
                <w:rStyle w:val="Hyperlink"/>
              </w:rPr>
              <w:t>1. Introduction</w:t>
            </w:r>
            <w:r w:rsidR="00061A49">
              <w:rPr>
                <w:noProof/>
                <w:webHidden/>
              </w:rPr>
              <w:tab/>
            </w:r>
            <w:r w:rsidR="00061A49">
              <w:rPr>
                <w:noProof/>
                <w:webHidden/>
              </w:rPr>
              <w:fldChar w:fldCharType="begin"/>
            </w:r>
            <w:r w:rsidR="00061A49">
              <w:rPr>
                <w:noProof/>
                <w:webHidden/>
              </w:rPr>
              <w:instrText xml:space="preserve"> PAGEREF _Toc243493480 \h </w:instrText>
            </w:r>
            <w:r w:rsidR="00061A49">
              <w:rPr>
                <w:noProof/>
                <w:webHidden/>
              </w:rPr>
            </w:r>
            <w:r w:rsidR="00061A49">
              <w:rPr>
                <w:noProof/>
                <w:webHidden/>
              </w:rPr>
              <w:fldChar w:fldCharType="separate"/>
            </w:r>
            <w:r w:rsidR="00061A49">
              <w:rPr>
                <w:noProof/>
                <w:webHidden/>
              </w:rPr>
              <w:t>3</w:t>
            </w:r>
            <w:r w:rsidR="00061A49">
              <w:rPr>
                <w:noProof/>
                <w:webHidden/>
              </w:rPr>
              <w:fldChar w:fldCharType="end"/>
            </w:r>
          </w:hyperlink>
        </w:p>
        <w:p w:rsidR="00061A49" w:rsidRDefault="00061A49" w14:paraId="5D628B5D" w14:textId="78902C50">
          <w:pPr>
            <w:pStyle w:val="TOC1"/>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81" w:history="1">
            <w:r w:rsidRPr="00E95667">
              <w:rPr>
                <w:noProof/>
                <w:rStyle w:val="Hyperlink"/>
              </w:rPr>
              <w:t>2. Task 1: Marketing Environment Analysis</w:t>
            </w:r>
            <w:r>
              <w:rPr>
                <w:noProof/>
                <w:webHidden/>
              </w:rPr>
              <w:tab/>
            </w:r>
            <w:r>
              <w:rPr>
                <w:noProof/>
                <w:webHidden/>
              </w:rPr>
              <w:fldChar w:fldCharType="begin"/>
            </w:r>
            <w:r>
              <w:rPr>
                <w:noProof/>
                <w:webHidden/>
              </w:rPr>
              <w:instrText xml:space="preserve"> PAGEREF _Toc243493481 \h </w:instrText>
            </w:r>
            <w:r>
              <w:rPr>
                <w:noProof/>
                <w:webHidden/>
              </w:rPr>
            </w:r>
            <w:r>
              <w:rPr>
                <w:noProof/>
                <w:webHidden/>
              </w:rPr>
              <w:fldChar w:fldCharType="separate"/>
            </w:r>
            <w:r>
              <w:rPr>
                <w:noProof/>
                <w:webHidden/>
              </w:rPr>
              <w:t>3</w:t>
            </w:r>
            <w:r>
              <w:rPr>
                <w:noProof/>
                <w:webHidden/>
              </w:rPr>
              <w:fldChar w:fldCharType="end"/>
            </w:r>
          </w:hyperlink>
        </w:p>
        <w:p w:rsidR="00061A49" w:rsidRDefault="00061A49" w14:paraId="288948B3" w14:textId="15C0BEF4">
          <w:pPr>
            <w:pStyle w:val="TOC2"/>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82" w:history="1">
            <w:r w:rsidRPr="00E95667">
              <w:rPr>
                <w:noProof/>
                <w:rStyle w:val="Hyperlink"/>
              </w:rPr>
              <w:t>2.1 Natural environment: the dominant external actor</w:t>
            </w:r>
            <w:r>
              <w:rPr>
                <w:noProof/>
                <w:webHidden/>
              </w:rPr>
              <w:tab/>
            </w:r>
            <w:r>
              <w:rPr>
                <w:noProof/>
                <w:webHidden/>
              </w:rPr>
              <w:fldChar w:fldCharType="begin"/>
            </w:r>
            <w:r>
              <w:rPr>
                <w:noProof/>
                <w:webHidden/>
              </w:rPr>
              <w:instrText xml:space="preserve"> PAGEREF _Toc243493482 \h </w:instrText>
            </w:r>
            <w:r>
              <w:rPr>
                <w:noProof/>
                <w:webHidden/>
              </w:rPr>
            </w:r>
            <w:r>
              <w:rPr>
                <w:noProof/>
                <w:webHidden/>
              </w:rPr>
              <w:fldChar w:fldCharType="separate"/>
            </w:r>
            <w:r>
              <w:rPr>
                <w:noProof/>
                <w:webHidden/>
              </w:rPr>
              <w:t>3</w:t>
            </w:r>
            <w:r>
              <w:rPr>
                <w:noProof/>
                <w:webHidden/>
              </w:rPr>
              <w:fldChar w:fldCharType="end"/>
            </w:r>
          </w:hyperlink>
        </w:p>
        <w:p w:rsidR="00061A49" w:rsidRDefault="00061A49" w14:paraId="35B6D3AB" w14:textId="70F7780E">
          <w:pPr>
            <w:pStyle w:val="TOC2"/>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83" w:history="1">
            <w:r w:rsidRPr="00E95667">
              <w:rPr>
                <w:noProof/>
                <w:rStyle w:val="Hyperlink"/>
              </w:rPr>
              <w:t>2.2 Political and Legal</w:t>
            </w:r>
            <w:r>
              <w:rPr>
                <w:noProof/>
                <w:webHidden/>
              </w:rPr>
              <w:tab/>
            </w:r>
            <w:r>
              <w:rPr>
                <w:noProof/>
                <w:webHidden/>
              </w:rPr>
              <w:fldChar w:fldCharType="begin"/>
            </w:r>
            <w:r>
              <w:rPr>
                <w:noProof/>
                <w:webHidden/>
              </w:rPr>
              <w:instrText xml:space="preserve"> PAGEREF _Toc243493483 \h </w:instrText>
            </w:r>
            <w:r>
              <w:rPr>
                <w:noProof/>
                <w:webHidden/>
              </w:rPr>
            </w:r>
            <w:r>
              <w:rPr>
                <w:noProof/>
                <w:webHidden/>
              </w:rPr>
              <w:fldChar w:fldCharType="separate"/>
            </w:r>
            <w:r>
              <w:rPr>
                <w:noProof/>
                <w:webHidden/>
              </w:rPr>
              <w:t>5</w:t>
            </w:r>
            <w:r>
              <w:rPr>
                <w:noProof/>
                <w:webHidden/>
              </w:rPr>
              <w:fldChar w:fldCharType="end"/>
            </w:r>
          </w:hyperlink>
        </w:p>
        <w:p w:rsidR="00061A49" w:rsidRDefault="00061A49" w14:paraId="41E31C64" w14:textId="1AFE57E8">
          <w:pPr>
            <w:pStyle w:val="TOC2"/>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84" w:history="1">
            <w:r w:rsidRPr="00E95667">
              <w:rPr>
                <w:noProof/>
                <w:rStyle w:val="Hyperlink"/>
              </w:rPr>
              <w:t>2.3 Social Environment</w:t>
            </w:r>
            <w:r>
              <w:rPr>
                <w:noProof/>
                <w:webHidden/>
              </w:rPr>
              <w:tab/>
            </w:r>
            <w:r>
              <w:rPr>
                <w:noProof/>
                <w:webHidden/>
              </w:rPr>
              <w:fldChar w:fldCharType="begin"/>
            </w:r>
            <w:r>
              <w:rPr>
                <w:noProof/>
                <w:webHidden/>
              </w:rPr>
              <w:instrText xml:space="preserve"> PAGEREF _Toc243493484 \h </w:instrText>
            </w:r>
            <w:r>
              <w:rPr>
                <w:noProof/>
                <w:webHidden/>
              </w:rPr>
            </w:r>
            <w:r>
              <w:rPr>
                <w:noProof/>
                <w:webHidden/>
              </w:rPr>
              <w:fldChar w:fldCharType="separate"/>
            </w:r>
            <w:r>
              <w:rPr>
                <w:noProof/>
                <w:webHidden/>
              </w:rPr>
              <w:t>5</w:t>
            </w:r>
            <w:r>
              <w:rPr>
                <w:noProof/>
                <w:webHidden/>
              </w:rPr>
              <w:fldChar w:fldCharType="end"/>
            </w:r>
          </w:hyperlink>
        </w:p>
        <w:p w:rsidR="00061A49" w:rsidRDefault="00061A49" w14:paraId="40C4F6EE" w14:textId="69050261">
          <w:pPr>
            <w:pStyle w:val="TOC1"/>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85" w:history="1">
            <w:r w:rsidRPr="00E95667">
              <w:rPr>
                <w:noProof/>
                <w:rStyle w:val="Hyperlink"/>
              </w:rPr>
              <w:t>3. Task 2: Strategic Growth and Competitive Positioning</w:t>
            </w:r>
            <w:r>
              <w:rPr>
                <w:noProof/>
                <w:webHidden/>
              </w:rPr>
              <w:tab/>
            </w:r>
            <w:r>
              <w:rPr>
                <w:noProof/>
                <w:webHidden/>
              </w:rPr>
              <w:fldChar w:fldCharType="begin"/>
            </w:r>
            <w:r>
              <w:rPr>
                <w:noProof/>
                <w:webHidden/>
              </w:rPr>
              <w:instrText xml:space="preserve"> PAGEREF _Toc243493485 \h </w:instrText>
            </w:r>
            <w:r>
              <w:rPr>
                <w:noProof/>
                <w:webHidden/>
              </w:rPr>
            </w:r>
            <w:r>
              <w:rPr>
                <w:noProof/>
                <w:webHidden/>
              </w:rPr>
              <w:fldChar w:fldCharType="separate"/>
            </w:r>
            <w:r>
              <w:rPr>
                <w:noProof/>
                <w:webHidden/>
              </w:rPr>
              <w:t>7</w:t>
            </w:r>
            <w:r>
              <w:rPr>
                <w:noProof/>
                <w:webHidden/>
              </w:rPr>
              <w:fldChar w:fldCharType="end"/>
            </w:r>
          </w:hyperlink>
        </w:p>
        <w:p w:rsidR="00061A49" w:rsidRDefault="00061A49" w14:paraId="5F41D0B1" w14:textId="2B56ABD8">
          <w:pPr>
            <w:pStyle w:val="TOC2"/>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86" w:history="1">
            <w:r w:rsidRPr="00E95667">
              <w:rPr>
                <w:noProof/>
                <w:rStyle w:val="Hyperlink"/>
              </w:rPr>
              <w:t>3.1 Ansoff Matrix evaluation</w:t>
            </w:r>
            <w:r>
              <w:rPr>
                <w:noProof/>
                <w:webHidden/>
              </w:rPr>
              <w:tab/>
            </w:r>
            <w:r>
              <w:rPr>
                <w:noProof/>
                <w:webHidden/>
              </w:rPr>
              <w:fldChar w:fldCharType="begin"/>
            </w:r>
            <w:r>
              <w:rPr>
                <w:noProof/>
                <w:webHidden/>
              </w:rPr>
              <w:instrText xml:space="preserve"> PAGEREF _Toc243493486 \h </w:instrText>
            </w:r>
            <w:r>
              <w:rPr>
                <w:noProof/>
                <w:webHidden/>
              </w:rPr>
            </w:r>
            <w:r>
              <w:rPr>
                <w:noProof/>
                <w:webHidden/>
              </w:rPr>
              <w:fldChar w:fldCharType="separate"/>
            </w:r>
            <w:r>
              <w:rPr>
                <w:noProof/>
                <w:webHidden/>
              </w:rPr>
              <w:t>7</w:t>
            </w:r>
            <w:r>
              <w:rPr>
                <w:noProof/>
                <w:webHidden/>
              </w:rPr>
              <w:fldChar w:fldCharType="end"/>
            </w:r>
          </w:hyperlink>
        </w:p>
        <w:p w:rsidR="00061A49" w:rsidRDefault="00061A49" w14:paraId="7AEFF408" w14:textId="44FCA17B">
          <w:pPr>
            <w:pStyle w:val="TOC2"/>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87" w:history="1">
            <w:r w:rsidRPr="00E95667">
              <w:rPr>
                <w:noProof/>
                <w:rStyle w:val="Hyperlink"/>
              </w:rPr>
              <w:t>3.2 Competitive advantage: focused differentiation</w:t>
            </w:r>
            <w:r>
              <w:rPr>
                <w:noProof/>
                <w:webHidden/>
              </w:rPr>
              <w:tab/>
            </w:r>
            <w:r>
              <w:rPr>
                <w:noProof/>
                <w:webHidden/>
              </w:rPr>
              <w:fldChar w:fldCharType="begin"/>
            </w:r>
            <w:r>
              <w:rPr>
                <w:noProof/>
                <w:webHidden/>
              </w:rPr>
              <w:instrText xml:space="preserve"> PAGEREF _Toc243493487 \h </w:instrText>
            </w:r>
            <w:r>
              <w:rPr>
                <w:noProof/>
                <w:webHidden/>
              </w:rPr>
            </w:r>
            <w:r>
              <w:rPr>
                <w:noProof/>
                <w:webHidden/>
              </w:rPr>
              <w:fldChar w:fldCharType="separate"/>
            </w:r>
            <w:r>
              <w:rPr>
                <w:noProof/>
                <w:webHidden/>
              </w:rPr>
              <w:t>8</w:t>
            </w:r>
            <w:r>
              <w:rPr>
                <w:noProof/>
                <w:webHidden/>
              </w:rPr>
              <w:fldChar w:fldCharType="end"/>
            </w:r>
          </w:hyperlink>
        </w:p>
        <w:p w:rsidR="00061A49" w:rsidRDefault="00061A49" w14:paraId="6271E006" w14:textId="63887854">
          <w:pPr>
            <w:pStyle w:val="TOC1"/>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88" w:history="1">
            <w:r w:rsidRPr="00E95667">
              <w:rPr>
                <w:noProof/>
                <w:rStyle w:val="Hyperlink"/>
              </w:rPr>
              <w:t>4. Task 3: Managerial and Professional Reflection</w:t>
            </w:r>
            <w:r>
              <w:rPr>
                <w:noProof/>
                <w:webHidden/>
              </w:rPr>
              <w:tab/>
            </w:r>
            <w:r>
              <w:rPr>
                <w:noProof/>
                <w:webHidden/>
              </w:rPr>
              <w:fldChar w:fldCharType="begin"/>
            </w:r>
            <w:r>
              <w:rPr>
                <w:noProof/>
                <w:webHidden/>
              </w:rPr>
              <w:instrText xml:space="preserve"> PAGEREF _Toc243493488 \h </w:instrText>
            </w:r>
            <w:r>
              <w:rPr>
                <w:noProof/>
                <w:webHidden/>
              </w:rPr>
            </w:r>
            <w:r>
              <w:rPr>
                <w:noProof/>
                <w:webHidden/>
              </w:rPr>
              <w:fldChar w:fldCharType="separate"/>
            </w:r>
            <w:r>
              <w:rPr>
                <w:noProof/>
                <w:webHidden/>
              </w:rPr>
              <w:t>10</w:t>
            </w:r>
            <w:r>
              <w:rPr>
                <w:noProof/>
                <w:webHidden/>
              </w:rPr>
              <w:fldChar w:fldCharType="end"/>
            </w:r>
          </w:hyperlink>
        </w:p>
        <w:p w:rsidR="00061A49" w:rsidRDefault="00061A49" w14:paraId="45AC2F9B" w14:textId="2AE6E383">
          <w:pPr>
            <w:pStyle w:val="TOC1"/>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89" w:history="1">
            <w:r w:rsidRPr="00E95667">
              <w:rPr>
                <w:noProof/>
                <w:rStyle w:val="Hyperlink"/>
              </w:rPr>
              <w:t>5. Conclusion</w:t>
            </w:r>
            <w:r>
              <w:rPr>
                <w:noProof/>
                <w:webHidden/>
              </w:rPr>
              <w:tab/>
            </w:r>
            <w:r>
              <w:rPr>
                <w:noProof/>
                <w:webHidden/>
              </w:rPr>
              <w:fldChar w:fldCharType="begin"/>
            </w:r>
            <w:r>
              <w:rPr>
                <w:noProof/>
                <w:webHidden/>
              </w:rPr>
              <w:instrText xml:space="preserve"> PAGEREF _Toc243493489 \h </w:instrText>
            </w:r>
            <w:r>
              <w:rPr>
                <w:noProof/>
                <w:webHidden/>
              </w:rPr>
            </w:r>
            <w:r>
              <w:rPr>
                <w:noProof/>
                <w:webHidden/>
              </w:rPr>
              <w:fldChar w:fldCharType="separate"/>
            </w:r>
            <w:r>
              <w:rPr>
                <w:noProof/>
                <w:webHidden/>
              </w:rPr>
              <w:t>11</w:t>
            </w:r>
            <w:r>
              <w:rPr>
                <w:noProof/>
                <w:webHidden/>
              </w:rPr>
              <w:fldChar w:fldCharType="end"/>
            </w:r>
          </w:hyperlink>
        </w:p>
        <w:p w:rsidR="00061A49" w:rsidRDefault="00061A49" w14:paraId="79AB1696" w14:textId="4A4794EB">
          <w:pPr>
            <w:pStyle w:val="TOC1"/>
            <w:tabs>
              <w:tab w:val="right" w:leader="dot" w:pos="9592"/>
            </w:tabs>
            <w:rPr>
              <w:noProof/>
              <w:kern w:val="2"/>
              <w:lang w:val="en-IN" w:eastAsia="en-IN" w:bidi="bn-IN"/>
              <w14:ligatures w14:val="standardContextual"/>
              <w:rFonts w:ascii="Cambria" w:eastAsiaTheme="minorEastAsia" w:hAnsiTheme="minorHAnsi" w:cstheme="minorBidi"/>
              <w:szCs w:val="30"/>
            </w:rPr>
          </w:pPr>
          <w:hyperlink w:anchor="_Toc243493490" w:history="1">
            <w:r w:rsidRPr="00E95667">
              <w:rPr>
                <w:noProof/>
                <w:rStyle w:val="Hyperlink"/>
              </w:rPr>
              <w:t>References</w:t>
            </w:r>
            <w:r>
              <w:rPr>
                <w:noProof/>
                <w:webHidden/>
              </w:rPr>
              <w:tab/>
            </w:r>
            <w:r>
              <w:rPr>
                <w:noProof/>
                <w:webHidden/>
              </w:rPr>
              <w:fldChar w:fldCharType="begin"/>
            </w:r>
            <w:r>
              <w:rPr>
                <w:noProof/>
                <w:webHidden/>
              </w:rPr>
              <w:instrText xml:space="preserve"> PAGEREF _Toc243493490 \h </w:instrText>
            </w:r>
            <w:r>
              <w:rPr>
                <w:noProof/>
                <w:webHidden/>
              </w:rPr>
            </w:r>
            <w:r>
              <w:rPr>
                <w:noProof/>
                <w:webHidden/>
              </w:rPr>
              <w:fldChar w:fldCharType="separate"/>
            </w:r>
            <w:r>
              <w:rPr>
                <w:noProof/>
                <w:webHidden/>
              </w:rPr>
              <w:t>12</w:t>
            </w:r>
            <w:r>
              <w:rPr>
                <w:noProof/>
                <w:webHidden/>
              </w:rPr>
              <w:fldChar w:fldCharType="end"/>
            </w:r>
          </w:hyperlink>
        </w:p>
        <w:p w:rsidR="00F67E0C" w:rsidRDefault="00F67E0C" w14:paraId="782CFC32" w14:textId="338E6B0F">
          <w:r>
            <w:rPr>
              <w:bCs/>
              <w:noProof/>
              <w:b/>
            </w:rPr>
            <w:fldChar w:fldCharType="end"/>
          </w:r>
        </w:p>
      </w:sdtContent>
    </w:sdt>
    <w:p w:rsidR="00F67E0C" w:rsidRDefault="00F67E0C" w14:paraId="70D40B6A" w14:textId="77777777">
      <w:pPr>
        <w:spacing w:line="276" w:lineRule="auto"/>
        <w:rPr>
          <w:bCs/>
          <w:b/>
          <w:color w:val="1F4E79"/>
          <w:rFonts w:cstheme="majorBidi"/>
          <w:sz w:val="28"/>
          <w:szCs w:val="28"/>
        </w:rPr>
      </w:pPr>
      <w:r>
        <w:rPr>
          <w:color w:val="1F4E79"/>
        </w:rPr>
        <w:br w:type="page"/>
      </w:r>
    </w:p>
    <w:p w:rsidR="00F67E0C" w:rsidRDefault="00F67E0C" w14:paraId="11C6C816" w14:textId="77777777" w:rsidP="00F67E0C">
      <w:pPr>
        <w:pStyle w:val="Heading1"/>
      </w:pPr>
      <w:bookmarkStart w:id="0" w:name="_Toc243493480"/>
      <w:r>
        <w:rPr>
          <w:rFonts w:cs="Arial" w:eastAsia="Arial"/>
        </w:rPr>
        <w:t>1. Introduction</w:t>
        <w:lastRenderedPageBreak/>
      </w:r>
      <w:bookmarkEnd w:id="0"/>
    </w:p>
    <w:p w:rsidR="00F67E0C" w:rsidRDefault="00F67E0C" w14:paraId="11F6C119" w14:textId="77777777" w:rsidP="00F67E0C">
      <w:r>
        <w:t xml:space="preserve">South32 Limited is chosen because it is a significant mining and metals firm outside the examples in the brief. Its portfolio includes </w:t>
      </w:r>
      <w:proofErr w:type="spellStart"/>
      <w:r>
        <w:t>aluminium</w:t>
      </w:r>
      <w:proofErr w:type="spellEnd"/>
      <w:r>
        <w:t>, alumina, manganese, copper, zinc, lead, nickel and silver, and its strategy is linked to commodities needed for the global energy transition (South32, 2025a). This presents a marketing challenge because South32 will have to compete on supply reliability and cost and prove that its products will support a lower carbon economy. According to the IEA</w:t>
      </w:r>
      <w:r w:rsidR="00F60324">
        <w:t>”</w:t>
      </w:r>
      <w:r>
        <w:t xml:space="preserve">s Net Zero Emissions scenario, demand for key energy-transition minerals will rise by 286% in 2030 and 365% in 2040, reaching 38 Mt (IEA, 2024). Mining is vulnerable to physical climate risk and pressure for rapid emissions reductions (IPCC, 2023). The sector will also have to balance </w:t>
      </w:r>
      <w:proofErr w:type="spellStart"/>
      <w:r>
        <w:t>decarbonisation</w:t>
      </w:r>
      <w:proofErr w:type="spellEnd"/>
      <w:r>
        <w:t>, productivity and portfolio (Deloitte, 2025).</w:t>
      </w:r>
    </w:p>
    <w:p w:rsidR="00061A49" w:rsidRDefault="00061A49" w14:paraId="5CB4440D" w14:textId="33069D0A" w:rsidP="00F67E0C" w:rsidRPr="00061A49">
      <w:pPr>
        <w:rPr>
          <w:color w:val="000000"/>
        </w:rPr>
      </w:pPr>
      <w:r w:rsidRPr="00061A49">
        <w:rPr>
          <w:color w:val="000000"/>
        </w:rPr>
        <w:t xml:space="preserve">The report has </w:t>
      </w:r>
      <w:proofErr w:type="spellStart"/>
      <w:r w:rsidRPr="00061A49">
        <w:rPr>
          <w:color w:val="000000"/>
        </w:rPr>
        <w:t>analysed</w:t>
      </w:r>
      <w:proofErr w:type="spellEnd"/>
      <w:r w:rsidRPr="00061A49">
        <w:rPr>
          <w:color w:val="000000"/>
        </w:rPr>
        <w:t xml:space="preserve"> three external </w:t>
      </w:r>
      <w:proofErr w:type="spellStart"/>
      <w:r w:rsidRPr="00061A49">
        <w:rPr>
          <w:color w:val="000000"/>
        </w:rPr>
        <w:t>actors</w:t>
      </w:r>
      <w:proofErr w:type="spellEnd"/>
      <w:r w:rsidRPr="00061A49">
        <w:rPr>
          <w:color w:val="000000"/>
        </w:rPr>
        <w:t xml:space="preserve"> that influence South32’s lower-carbon transition strategy. These are the natural, political and legal environment, and the social environment. The natural environment in the region is the most substantial of the three external factors. The Ansoff Matrix suggests product development, which has been supported by selective marketing development and differentiation.</w:t>
      </w:r>
    </w:p>
    <w:p w:rsidR="00F67E0C" w:rsidRDefault="00F67E0C" w14:paraId="26BB18B4" w14:textId="0E3D1F55" w:rsidP="00F67E0C">
      <w:pPr>
        <w:pStyle w:val="Heading1"/>
      </w:pPr>
      <w:bookmarkStart w:id="1" w:name="_Toc243493481"/>
      <w:r>
        <w:rPr>
          <w:rFonts w:cs="Arial" w:eastAsia="Arial"/>
        </w:rPr>
        <w:t>2. Task 1: Marketing Environment Analysis</w:t>
      </w:r>
      <w:bookmarkEnd w:id="1"/>
      <w:r>
        <w:rPr>
          <w:rFonts w:cs="Arial" w:eastAsia="Arial"/>
        </w:rPr>
        <w:t xml:space="preserve"> </w:t>
      </w:r>
    </w:p>
    <w:p w:rsidR="00F67E0C" w:rsidRDefault="00F67E0C" w14:paraId="72AF664A" w14:textId="77777777" w:rsidP="00F67E0C">
      <w:pPr>
        <w:pStyle w:val="Heading2"/>
      </w:pPr>
      <w:bookmarkStart w:id="2" w:name="_Toc243493482"/>
      <w:r>
        <w:t>2.1 Natural environment: the dominant external actor</w:t>
      </w:r>
      <w:bookmarkEnd w:id="2"/>
    </w:p>
    <w:p w:rsidR="00F67E0C" w:rsidRDefault="00F67E0C" w14:paraId="4DF407DD" w14:textId="77777777" w:rsidP="00F67E0C">
      <w:r>
        <w:t xml:space="preserve">The natural environment is the most significant external pressure because climate change affects both the legitimacy and economics of mining. The IPCC (2023) sees continued warming, physical climate risks and the need for rapid emissions reductions. It puts pressure on mining companies to supply transition minerals with less environmental impact. The World Bank (2020) estimated that the demand for some energy-transition minerals will grow by 500% by 2050, while more than 3 billion </w:t>
      </w:r>
      <w:proofErr w:type="spellStart"/>
      <w:r>
        <w:t>tonnes</w:t>
      </w:r>
      <w:proofErr w:type="spellEnd"/>
      <w:r>
        <w:t xml:space="preserve"> of minerals and metals will be needed for low-carbon infrastructure. The demand trend is supportive for South32</w:t>
      </w:r>
      <w:r w:rsidR="00F60324">
        <w:t>”</w:t>
      </w:r>
      <w:r>
        <w:t>s strategy of portfolio transition towards commodities linked to electrification and clean energy.</w:t>
      </w:r>
    </w:p>
    <w:p w:rsidR="00F67E0C" w:rsidRDefault="00F67E0C" w14:paraId="25DE812E" w14:textId="77777777" w:rsidP="00F67E0C">
      <w:r>
        <w:t xml:space="preserve">The strategy of South32 transforms environmental pressure into decisions about portfolio and emissions. Its Climate Change Action Plan 2025 is designed to produce commodities critical to the energy transition, develop base-metals options, reduce net operational Scope 1 and 2 emissions by 50% by FY35 compared to FY21 and achieve net-zero operational emissions by 2050 (South32, 2025b). At the same time, the evidence reveals a tension. For FY25, South32 recorded operational GHG emissions of 20.7 Mt CO2-e, an </w:t>
      </w:r>
      <w:r>
        <w:t>increase by 2% from 20.3 Mt in FY24, while Scope 3 emissions fell by 58% to 22.7 Mt from 54.2 Mt (South32, 2025a). South32 attributes the increase in operational emissions partially to higher usage of coal-fired backup power at Mozal due to droughts reducing the hydroelectric power; the fall in Scope 3 emissions was largely caused by the sale of Illawarra Metallurgical Coal and the change in methodology (South32, 2025a). Thus, the claim of being greener would be a misleading one. Portfolio transformation has reduced Scope 3 emissions, while operational emissions are sensitive to energy availability.</w:t>
        <w:lastRenderedPageBreak/>
      </w:r>
    </w:p>
    <w:p w:rsidR="00567F6D" w:rsidRDefault="00000000" w14:paraId="640E77A8" w14:textId="77777777">
      <w:pPr>
        <w:jc w:val="center"/>
      </w:pPr>
      <w:r>
        <w:rPr>
          <w:noProof/>
        </w:rPr>
        <w:drawing>
          <wp:inline distB="0" distL="0" distR="0" distT="0" wp14:anchorId="1E9B9414" wp14:editId="518C7757">
            <wp:extent cx="5623560" cy="2012950"/>
            <wp:effectExtent l="0" t="0" r="0" b="0"/>
            <wp:docPr id="2" name="Picture 2" descr="South32 greenhouse gas emissions chart comparing FY2024 and FY2025 operational and Scope 3 emissions" title="South32 greenhouse gas emissions chart comparing FY2024 and FY2025 operational and Scope 3 e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uth32_emissions.png"/>
                    <pic:cNvPicPr/>
                  </pic:nvPicPr>
                  <pic:blipFill>
                    <a:blip r:embed="rId48"/>
                    <a:stretch>
                      <a:fillRect/>
                    </a:stretch>
                  </pic:blipFill>
                  <pic:spPr>
                    <a:xfrm>
                      <a:off x="0" y="0"/>
                      <a:ext cx="5623560" cy="2013402"/>
                    </a:xfrm>
                    <a:prstGeom prst="rect">
                      <a:avLst/>
                    </a:prstGeom>
                  </pic:spPr>
                </pic:pic>
              </a:graphicData>
            </a:graphic>
          </wp:inline>
        </w:drawing>
      </w:r>
    </w:p>
    <w:p w:rsidR="00567F6D" w:rsidRDefault="00000000" w14:paraId="1A115FD8" w14:textId="77777777" w:rsidP="00F67E0C">
      <w:pPr>
        <w:jc w:val="center"/>
      </w:pPr>
      <w:r w:rsidRPr="00F67E0C">
        <w:rPr>
          <w:bCs/>
          <w:b/>
        </w:rPr>
        <w:t>Figure 1.</w:t>
      </w:r>
      <w:r>
        <w:t xml:space="preserve"> South32 greenhouse gas emissions, FY24-FY25.</w:t>
      </w:r>
    </w:p>
    <w:p w:rsidR="00567F6D" w:rsidRDefault="00000000" w14:paraId="2796A5F4" w14:textId="77777777" w:rsidP="00F67E0C">
      <w:pPr>
        <w:jc w:val="center"/>
      </w:pPr>
      <w:r>
        <w:t xml:space="preserve">Source: </w:t>
      </w:r>
      <w:r w:rsidR="00F67E0C">
        <w:t>Self-</w:t>
      </w:r>
      <w:r>
        <w:t>presentation of South32 (2025a).</w:t>
      </w:r>
    </w:p>
    <w:p w:rsidR="00F67E0C" w:rsidRDefault="00F67E0C" w14:paraId="59695C3A" w14:textId="31293422" w:rsidP="00F67E0C">
      <w:r>
        <w:t xml:space="preserve">In marketing, lower-carbon claims should be substantiated by information about the product. High-level green innovation can contribute to financial performance and competitiveness (Liu, Feng and Liu, 2024), and green capabilities can be turned into strategic resources in technological and organizational learning (Khan </w:t>
      </w:r>
      <w:r w:rsidR="00061A49" w:rsidRPr="00061A49">
        <w:rPr>
          <w:iCs/>
          <w:i/>
        </w:rPr>
        <w:t>et al</w:t>
      </w:r>
      <w:r>
        <w:t xml:space="preserve">., 2021). For South32, </w:t>
      </w:r>
      <w:proofErr w:type="spellStart"/>
      <w:r>
        <w:t>decarbonisation</w:t>
      </w:r>
      <w:proofErr w:type="spellEnd"/>
      <w:r>
        <w:t xml:space="preserve"> investments should be connected to the information about the product which the buyer can verify and use.</w:t>
      </w:r>
    </w:p>
    <w:p w:rsidR="00F67E0C" w:rsidRDefault="00F67E0C" w14:paraId="3A040E10" w14:textId="77777777" w:rsidP="00F67E0C">
      <w:r>
        <w:t xml:space="preserve">South32 2025 plan says that Hillside and Mozal </w:t>
      </w:r>
      <w:proofErr w:type="spellStart"/>
      <w:r>
        <w:t>Aluminium</w:t>
      </w:r>
      <w:proofErr w:type="spellEnd"/>
      <w:r>
        <w:t xml:space="preserve"> have affordable low-carbon electricity needs and Worsley Alumina uses fuel switching and energy efficiency measures (South32, 2025b). Two boiler conversions at Worsley to natural gas lowered annual operational emissions by over 10% compared to FY21, and Hillside has looked at renewable energy options (South32, 2025b). These efforts represent some progress, but clean energy availability is not entirely under South32</w:t>
      </w:r>
      <w:r w:rsidR="00F60324">
        <w:t>”</w:t>
      </w:r>
      <w:r>
        <w:t>s control. It creates both a marketing and an operational question as the customer has to be convinced that lower-carbon supply can be ensured throughout the contract period.</w:t>
      </w:r>
    </w:p>
    <w:p w:rsidR="00F67E0C" w:rsidRDefault="00F67E0C" w14:paraId="489C525B" w14:textId="77777777" w:rsidP="00F67E0C">
      <w:pPr>
        <w:pStyle w:val="Heading2"/>
        <w:rPr>
          <w:color w:val="000000"/>
        </w:rPr>
      </w:pPr>
      <w:bookmarkStart w:id="3" w:name="_Toc243493483"/>
      <w:r>
        <w:rPr>
          <w:color w:val="000000"/>
        </w:rPr>
        <w:t>2.2 Political and Legal</w:t>
        <w:lastRenderedPageBreak/>
      </w:r>
      <w:bookmarkEnd w:id="3"/>
    </w:p>
    <w:p w:rsidR="00F67E0C" w:rsidRDefault="00F67E0C" w14:paraId="30103F08" w14:textId="1AC5E3FB" w:rsidP="00F67E0C">
      <w:r>
        <w:rPr>
          <w:color w:val="000000"/>
        </w:rPr>
        <w:t>The second external actor is the political and legal environment because emissions policy affects the cost and risk of operating high-emitting assets across the sector.</w:t>
      </w:r>
      <w:r>
        <w:rPr>
          <w:color w:val="000000"/>
        </w:rPr>
        <w:t xml:space="preserve"> </w:t>
      </w:r>
      <w:r>
        <w:t xml:space="preserve">In Australia, the new Safeguard Mechanism covers facilities with annual emissions above 100,000 t CO2-e and reduces baselines by 4.9% per year until 2030 (DCCEEW, 2024; Clean Energy Regulator, 2025). It is important for South32 because regulation increases the value of efficiency, clean energy use and emissions measurements. Environmental regulation can stimulate green innovation in addition to the negative impact it creates. Du </w:t>
      </w:r>
      <w:r w:rsidR="00061A49" w:rsidRPr="00061A49">
        <w:rPr>
          <w:iCs/>
          <w:i/>
        </w:rPr>
        <w:t>et al</w:t>
      </w:r>
      <w:r>
        <w:t xml:space="preserve">. (2022) found that environmental monitoring increases the green innovation rate in firms, and Cui </w:t>
      </w:r>
      <w:r w:rsidR="00061A49" w:rsidRPr="00061A49">
        <w:rPr>
          <w:iCs/>
          <w:i/>
        </w:rPr>
        <w:t>et al</w:t>
      </w:r>
      <w:r>
        <w:t>. (2022) reported positive effect of regulation on green innovation, especially in more pollution-intensive firms. Therefore, South32 should use regulation as the innovation signal.</w:t>
      </w:r>
    </w:p>
    <w:p w:rsidR="00F67E0C" w:rsidRDefault="00F67E0C" w14:paraId="7A4EE4CD" w14:textId="77777777" w:rsidP="00F67E0C">
      <w:r>
        <w:t xml:space="preserve">Nevertheless, regulation can create a competitive dilemma. Aggressive </w:t>
      </w:r>
      <w:proofErr w:type="spellStart"/>
      <w:r>
        <w:t>decarbonisation</w:t>
      </w:r>
      <w:proofErr w:type="spellEnd"/>
      <w:r>
        <w:t xml:space="preserve"> can increase capital and energy costs in the near term, especially if electricity markets are tight. South32 itself identified the need to engage the government and provide enabling conditions for climate action, including affordable low-carbon electricity for its </w:t>
      </w:r>
      <w:proofErr w:type="spellStart"/>
      <w:r>
        <w:t>aluminium</w:t>
      </w:r>
      <w:proofErr w:type="spellEnd"/>
      <w:r>
        <w:t xml:space="preserve"> assets (South32, 2025a). South32 should follow regulation, participate in the policy and infrastructure discussions and distinguish legitimate policy engagement from marketing. Studies of environmental KPIs revealed that the influence of regulation and stakeholder needs affects the disclosure of environmental information (Zarzycka and </w:t>
      </w:r>
      <w:proofErr w:type="spellStart"/>
      <w:r>
        <w:t>Krasodomska</w:t>
      </w:r>
      <w:proofErr w:type="spellEnd"/>
      <w:r>
        <w:t>, 2021). Therefore, transparent reporting becomes an element of marketing credibility.</w:t>
      </w:r>
    </w:p>
    <w:p w:rsidR="00F67E0C" w:rsidRDefault="00F67E0C" w14:paraId="3FAC96F1" w14:textId="77777777" w:rsidP="00F67E0C">
      <w:pPr>
        <w:pStyle w:val="Heading2"/>
        <w:rPr>
          <w:color w:val="000000"/>
        </w:rPr>
      </w:pPr>
      <w:bookmarkStart w:id="4" w:name="_Toc243493484"/>
      <w:r>
        <w:rPr>
          <w:color w:val="000000"/>
        </w:rPr>
        <w:t>2.3 Social Environment</w:t>
      </w:r>
      <w:bookmarkEnd w:id="4"/>
    </w:p>
    <w:p w:rsidR="00061A49" w:rsidRDefault="00061A49" w14:paraId="4ACB9831" w14:textId="69CBF3D0" w:rsidP="00F67E0C">
      <w:pPr>
        <w:rPr>
          <w:color w:val="FF0000"/>
        </w:rPr>
      </w:pPr>
      <w:r w:rsidRPr="00061A49">
        <w:rPr>
          <w:color w:val="000000"/>
        </w:rPr>
        <w:t xml:space="preserve">The social context is captured in the expectations of the customers, investors, and local communities. South32 claims that it is committed to building strong stakeholder relations and cooperating with those customers and suppliers whose values are similar to its own (South32, 2023). This is becoming increasingly important as the industrial customers will </w:t>
      </w:r>
      <w:r>
        <w:rPr>
          <w:color w:val="000000"/>
        </w:rPr>
        <w:t xml:space="preserve">impose their </w:t>
      </w:r>
      <w:proofErr w:type="spellStart"/>
      <w:r w:rsidRPr="00061A49">
        <w:rPr>
          <w:color w:val="000000"/>
        </w:rPr>
        <w:t>decarbonisation</w:t>
      </w:r>
      <w:proofErr w:type="spellEnd"/>
      <w:r w:rsidRPr="00061A49">
        <w:rPr>
          <w:color w:val="000000"/>
        </w:rPr>
        <w:t xml:space="preserve"> requirements through the supply chain. Green innovations could be enhanced through the use of customer engagement and co-creation of green value, which is facilitated by close customer relations (Han and Xu, 2021). The importance of stakeholders lies in the fact that social pressure may lead to greener practices and environmental performance in case management translates external pressures into internal actions (Kitsis and Chen, 2021; Baah </w:t>
      </w:r>
      <w:r w:rsidRPr="00061A49">
        <w:rPr>
          <w:iCs/>
          <w:i/>
          <w:color w:val="000000"/>
        </w:rPr>
        <w:t>et al</w:t>
      </w:r>
      <w:r w:rsidRPr="00061A49">
        <w:rPr>
          <w:color w:val="000000"/>
        </w:rPr>
        <w:t>., 2021).</w:t>
      </w:r>
    </w:p>
    <w:p w:rsidR="00F67E0C" w:rsidRDefault="00F67E0C" w14:paraId="11EC64BB" w14:textId="771063A5" w:rsidP="00F67E0C">
      <w:r>
        <w:t xml:space="preserve">The marketing lesson is that South32 should create customer-specific information about the product footprint, energy source, traceability and responsible production. Instead of </w:t>
      </w:r>
      <w:r>
        <w:t>selling sustainability as a generic message, it should create customer-specific information. According to green marketing literature, green innovation and green competitive advantage can contribute to the success of green marketing performance (</w:t>
        <w:lastRenderedPageBreak/>
      </w:r>
      <w:proofErr w:type="spellStart"/>
      <w:r>
        <w:t>Nuryakin</w:t>
      </w:r>
      <w:proofErr w:type="spellEnd"/>
      <w:r>
        <w:t xml:space="preserve"> and </w:t>
      </w:r>
      <w:proofErr w:type="spellStart"/>
      <w:r>
        <w:t>Maryati</w:t>
      </w:r>
      <w:proofErr w:type="spellEnd"/>
      <w:r>
        <w:t>, 2022). However, there is a risk of greenwashing if communication is ahead of the actual performance improvement. According to Zhang (2022), greenwashing can undermine the positive impact that environmental regulation and green innovation have on product quality. South32 should have a clear chain of evidence: emissions reduction measurement -&gt; product information -&gt; benefit for the customer -&gt; market differentiation.</w:t>
      </w:r>
    </w:p>
    <w:p w:rsidR="00F67E0C" w:rsidRDefault="00F67E0C" w14:paraId="34E10EC2" w14:textId="77777777" w:rsidP="00F67E0C">
      <w:pPr>
        <w:jc w:val="center"/>
      </w:pPr>
      <w:r w:rsidRPr="00F67E0C">
        <w:rPr>
          <w:bCs/>
          <w:b/>
        </w:rPr>
        <w:t>Table 1.</w:t>
      </w:r>
      <w:r>
        <w:t xml:space="preserve"> External actor implications for South32.</w:t>
      </w:r>
    </w:p>
    <w:p w:rsidR="00F67E0C" w:rsidRDefault="00F67E0C" w14:paraId="3900047D" w14:textId="77777777">
      <w:pPr>
        <w:ind w:firstLine="432"/>
        <w:spacing w:after="140"/>
      </w:pPr>
    </w:p>
    <w:tbl>
      <w:tblPr>
        <w:tblW w:w="0" w:type="auto"/>
        <w:tblLayout w:type="fixed"/>
        <w:jc w:val="center"/>
        <w:tblStyle w:val="GridTable4-Accent5"/>
        <w:tblLook w:val="4A0"/>
      </w:tblPr>
      <w:tblGrid>
        <w:gridCol w:w="1872"/>
        <w:gridCol w:w="1944"/>
        <w:gridCol w:w="2808"/>
        <w:gridCol w:w="2520"/>
      </w:tblGrid>
      <w:tr w14:paraId="7BB52A47" w14:textId="77777777" w:rsidR="00567F6D" w:rsidRPr="00F67E0C" w:rsidTr="00F67E0C">
        <w:trPr>
          <w:cnfStyle w:val="100000000000" w:firstRow="1" w:lastRow="0" w:firstColumn="0" w:lastColumn="0" w:oddVBand="0" w:evenVBand="0" w:oddHBand="0" w:evenHBand="0" w:firstRowFirstColumn="0" w:firstRowLastColumn="0" w:lastRowFirstColumn="0" w:lastRowLastColumn="0"/>
          <w:tblHeader/>
          <w:jc w:val="center"/>
        </w:trPr>
        <w:tc>
          <w:tcPr>
            <w:cnfStyle w:val="001000000000" w:firstRow="0" w:lastRow="0" w:firstColumn="1" w:lastColumn="0" w:oddVBand="0" w:evenVBand="0" w:oddHBand="0" w:evenHBand="0" w:firstRowFirstColumn="0" w:firstRowLastColumn="0" w:lastRowFirstColumn="0" w:lastRowLastColumn="0"/>
            <w:tcW w:w="1872" w:type="dxa"/>
          </w:tcPr>
          <w:p w:rsidR="00567F6D" w:rsidRDefault="00000000" w14:paraId="50B90B59" w14:textId="77777777" w:rsidP="00F67E0C" w:rsidRPr="00F67E0C">
            <w:pPr>
              <w:jc w:val="left"/>
              <w:rPr>
                <w:szCs w:val="24"/>
              </w:rPr>
            </w:pPr>
            <w:r w:rsidRPr="00F67E0C">
              <w:rPr>
                <w:color w:val="FFFFFF"/>
                <w:szCs w:val="24"/>
              </w:rPr>
              <w:t>Actor</w:t>
            </w:r>
          </w:p>
        </w:tc>
        <w:tc>
          <w:tcPr>
            <w:tcW w:w="1944" w:type="dxa"/>
          </w:tcPr>
          <w:p w:rsidR="00567F6D" w:rsidRDefault="00000000" w14:paraId="65F52A4C" w14:textId="77777777" w:rsidP="00F67E0C" w:rsidRPr="00F67E0C">
            <w:pPr>
              <w:cnfStyle w:val="100000000000" w:firstRow="1" w:lastRow="0" w:firstColumn="0" w:lastColumn="0" w:oddVBand="0" w:evenVBand="0" w:oddHBand="0" w:evenHBand="0" w:firstRowFirstColumn="0" w:firstRowLastColumn="0" w:lastRowFirstColumn="0" w:lastRowLastColumn="0"/>
              <w:jc w:val="left"/>
              <w:rPr>
                <w:szCs w:val="24"/>
              </w:rPr>
            </w:pPr>
            <w:r w:rsidRPr="00F67E0C">
              <w:rPr>
                <w:color w:val="FFFFFF"/>
                <w:szCs w:val="24"/>
              </w:rPr>
              <w:t>Key pressure</w:t>
            </w:r>
          </w:p>
        </w:tc>
        <w:tc>
          <w:tcPr>
            <w:tcW w:w="2808" w:type="dxa"/>
          </w:tcPr>
          <w:p w:rsidR="00567F6D" w:rsidRDefault="00000000" w14:paraId="0964A511" w14:textId="77777777" w:rsidP="00F67E0C" w:rsidRPr="00F67E0C">
            <w:pPr>
              <w:cnfStyle w:val="100000000000" w:firstRow="1" w:lastRow="0" w:firstColumn="0" w:lastColumn="0" w:oddVBand="0" w:evenVBand="0" w:oddHBand="0" w:evenHBand="0" w:firstRowFirstColumn="0" w:firstRowLastColumn="0" w:lastRowFirstColumn="0" w:lastRowLastColumn="0"/>
              <w:jc w:val="left"/>
              <w:rPr>
                <w:szCs w:val="24"/>
              </w:rPr>
            </w:pPr>
            <w:r w:rsidRPr="00F67E0C">
              <w:rPr>
                <w:color w:val="FFFFFF"/>
                <w:szCs w:val="24"/>
              </w:rPr>
              <w:t>Evidence for South32</w:t>
            </w:r>
          </w:p>
        </w:tc>
        <w:tc>
          <w:tcPr>
            <w:tcW w:w="2520" w:type="dxa"/>
          </w:tcPr>
          <w:p w:rsidR="00567F6D" w:rsidRDefault="00000000" w14:paraId="751D2F86" w14:textId="77777777" w:rsidP="00F67E0C" w:rsidRPr="00F67E0C">
            <w:pPr>
              <w:cnfStyle w:val="100000000000" w:firstRow="1" w:lastRow="0" w:firstColumn="0" w:lastColumn="0" w:oddVBand="0" w:evenVBand="0" w:oddHBand="0" w:evenHBand="0" w:firstRowFirstColumn="0" w:firstRowLastColumn="0" w:lastRowFirstColumn="0" w:lastRowLastColumn="0"/>
              <w:jc w:val="left"/>
              <w:rPr>
                <w:szCs w:val="24"/>
              </w:rPr>
            </w:pPr>
            <w:r w:rsidRPr="00F67E0C">
              <w:rPr>
                <w:color w:val="FFFFFF"/>
                <w:szCs w:val="24"/>
              </w:rPr>
              <w:t>Marketing implication</w:t>
            </w:r>
          </w:p>
        </w:tc>
      </w:tr>
      <w:tr w14:paraId="6FF3C7B2" w14:textId="77777777" w:rsidR="00567F6D" w:rsidRPr="00F67E0C" w:rsidTr="00F67E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2" w:type="dxa"/>
          </w:tcPr>
          <w:p w:rsidR="00567F6D" w:rsidRDefault="00000000" w14:paraId="7023D6B5" w14:textId="77777777" w:rsidP="00F67E0C" w:rsidRPr="00F67E0C">
            <w:pPr>
              <w:jc w:val="left"/>
              <w:rPr>
                <w:szCs w:val="24"/>
              </w:rPr>
            </w:pPr>
            <w:r w:rsidRPr="00F67E0C">
              <w:rPr>
                <w:b w:val="0"/>
                <w:szCs w:val="24"/>
              </w:rPr>
              <w:t>Natural environment</w:t>
            </w:r>
          </w:p>
        </w:tc>
        <w:tc>
          <w:tcPr>
            <w:tcW w:w="1944" w:type="dxa"/>
          </w:tcPr>
          <w:p w:rsidR="00567F6D" w:rsidRDefault="00000000" w14:paraId="29F0D3C5" w14:textId="77777777" w:rsidP="00F67E0C"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Climate risk, water and energy constraints; demand for lower-carbon materials</w:t>
            </w:r>
          </w:p>
        </w:tc>
        <w:tc>
          <w:tcPr>
            <w:tcW w:w="2808" w:type="dxa"/>
          </w:tcPr>
          <w:p w:rsidR="00567F6D" w:rsidRDefault="00000000" w14:paraId="16F8E358" w14:textId="77777777" w:rsidP="00F67E0C"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20.7 Mt CO2-e operational emissions in FY25; drought affected Mozal power supply; FY35 emissions target</w:t>
            </w:r>
          </w:p>
        </w:tc>
        <w:tc>
          <w:tcPr>
            <w:tcW w:w="2520" w:type="dxa"/>
          </w:tcPr>
          <w:p w:rsidR="00567F6D" w:rsidRDefault="00000000" w14:paraId="653651FA" w14:textId="77777777" w:rsidP="00F67E0C"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Build measurable low-carbon product propositions and resilience claims</w:t>
            </w:r>
          </w:p>
        </w:tc>
      </w:tr>
      <w:tr w14:paraId="26F615D1" w14:textId="77777777" w:rsidR="00567F6D" w:rsidRPr="00F67E0C" w:rsidTr="00F67E0C">
        <w:trPr>
          <w:jc w:val="center"/>
        </w:trPr>
        <w:tc>
          <w:tcPr>
            <w:cnfStyle w:val="001000000000" w:firstRow="0" w:lastRow="0" w:firstColumn="1" w:lastColumn="0" w:oddVBand="0" w:evenVBand="0" w:oddHBand="0" w:evenHBand="0" w:firstRowFirstColumn="0" w:firstRowLastColumn="0" w:lastRowFirstColumn="0" w:lastRowLastColumn="0"/>
            <w:tcW w:w="1872" w:type="dxa"/>
          </w:tcPr>
          <w:p w:rsidR="00567F6D" w:rsidRDefault="00000000" w14:paraId="7640FCBC" w14:textId="77777777" w:rsidP="00F67E0C" w:rsidRPr="00F67E0C">
            <w:pPr>
              <w:jc w:val="left"/>
              <w:rPr>
                <w:color w:val="000000"/>
                <w:szCs w:val="24"/>
              </w:rPr>
            </w:pPr>
            <w:r w:rsidRPr="00F67E0C">
              <w:rPr>
                <w:b w:val="0"/>
                <w:color w:val="000000"/>
                <w:szCs w:val="24"/>
              </w:rPr>
              <w:t>Political and Legal</w:t>
            </w:r>
          </w:p>
        </w:tc>
        <w:tc>
          <w:tcPr>
            <w:tcW w:w="1944" w:type="dxa"/>
          </w:tcPr>
          <w:p w:rsidR="00567F6D" w:rsidRDefault="00000000" w14:paraId="362CA8EA" w14:textId="77777777" w:rsidP="00F67E0C" w:rsidRPr="00F67E0C">
            <w:pPr>
              <w:cnfStyle w:val="000000000000" w:firstRow="0" w:lastRow="0" w:firstColumn="0" w:lastColumn="0" w:oddVBand="0" w:evenVBand="0" w:oddHBand="0" w:evenHBand="0" w:firstRowFirstColumn="0" w:firstRowLastColumn="0" w:lastRowFirstColumn="0" w:lastRowLastColumn="0"/>
              <w:jc w:val="left"/>
              <w:rPr>
                <w:szCs w:val="24"/>
              </w:rPr>
            </w:pPr>
            <w:r w:rsidRPr="00F67E0C">
              <w:rPr>
                <w:szCs w:val="24"/>
              </w:rPr>
              <w:t>Declining emissions baselines, climate policy and disclosure expectations</w:t>
            </w:r>
          </w:p>
        </w:tc>
        <w:tc>
          <w:tcPr>
            <w:tcW w:w="2808" w:type="dxa"/>
          </w:tcPr>
          <w:p w:rsidR="00567F6D" w:rsidRDefault="00000000" w14:paraId="6A58F325" w14:textId="77777777" w:rsidP="00F67E0C" w:rsidRPr="00F67E0C">
            <w:pPr>
              <w:cnfStyle w:val="000000000000" w:firstRow="0" w:lastRow="0" w:firstColumn="0" w:lastColumn="0" w:oddVBand="0" w:evenVBand="0" w:oddHBand="0" w:evenHBand="0" w:firstRowFirstColumn="0" w:firstRowLastColumn="0" w:lastRowFirstColumn="0" w:lastRowLastColumn="0"/>
              <w:jc w:val="left"/>
              <w:rPr>
                <w:szCs w:val="24"/>
              </w:rPr>
            </w:pPr>
            <w:r w:rsidRPr="00F67E0C">
              <w:rPr>
                <w:szCs w:val="24"/>
              </w:rPr>
              <w:t>Australian Safeguard Mechanism generally declines baselines by 4.9% per year to 2030</w:t>
            </w:r>
          </w:p>
        </w:tc>
        <w:tc>
          <w:tcPr>
            <w:tcW w:w="2520" w:type="dxa"/>
          </w:tcPr>
          <w:p w:rsidR="00567F6D" w:rsidRDefault="00000000" w14:paraId="7174BFFC" w14:textId="77777777" w:rsidP="00F67E0C" w:rsidRPr="00F67E0C">
            <w:pPr>
              <w:cnfStyle w:val="000000000000" w:firstRow="0" w:lastRow="0" w:firstColumn="0" w:lastColumn="0" w:oddVBand="0" w:evenVBand="0" w:oddHBand="0" w:evenHBand="0" w:firstRowFirstColumn="0" w:firstRowLastColumn="0" w:lastRowFirstColumn="0" w:lastRowLastColumn="0"/>
              <w:jc w:val="left"/>
              <w:rPr>
                <w:szCs w:val="24"/>
              </w:rPr>
            </w:pPr>
            <w:r w:rsidRPr="00F67E0C">
              <w:rPr>
                <w:szCs w:val="24"/>
              </w:rPr>
              <w:t>Use regulation as a trigger for innovation, reporting and investment</w:t>
            </w:r>
          </w:p>
        </w:tc>
      </w:tr>
      <w:tr w14:paraId="668F7B23" w14:textId="77777777" w:rsidR="00567F6D" w:rsidRPr="00F67E0C" w:rsidTr="00F67E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2" w:type="dxa"/>
          </w:tcPr>
          <w:p w:rsidR="00567F6D" w:rsidRDefault="00000000" w14:paraId="49AFC2B9" w14:textId="77777777" w:rsidP="00F67E0C" w:rsidRPr="00F67E0C">
            <w:pPr>
              <w:jc w:val="left"/>
              <w:rPr>
                <w:color w:val="000000"/>
                <w:szCs w:val="24"/>
              </w:rPr>
            </w:pPr>
            <w:r w:rsidRPr="00F67E0C">
              <w:rPr>
                <w:b w:val="0"/>
                <w:color w:val="000000"/>
                <w:szCs w:val="24"/>
              </w:rPr>
              <w:t>Social Environment</w:t>
            </w:r>
          </w:p>
        </w:tc>
        <w:tc>
          <w:tcPr>
            <w:tcW w:w="1944" w:type="dxa"/>
          </w:tcPr>
          <w:p w:rsidR="00567F6D" w:rsidRDefault="00000000" w14:paraId="76CE1E34" w14:textId="77777777" w:rsidP="00F67E0C"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Demand for credible sustainable supply and transparency</w:t>
            </w:r>
          </w:p>
        </w:tc>
        <w:tc>
          <w:tcPr>
            <w:tcW w:w="2808" w:type="dxa"/>
          </w:tcPr>
          <w:p w:rsidR="00567F6D" w:rsidRDefault="00000000" w14:paraId="5C69996A" w14:textId="77777777" w:rsidP="00F67E0C"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South32 emphasises customer/stakeholder relationships; buyers can shape green product innovation</w:t>
            </w:r>
          </w:p>
        </w:tc>
        <w:tc>
          <w:tcPr>
            <w:tcW w:w="2520" w:type="dxa"/>
          </w:tcPr>
          <w:p w:rsidR="00567F6D" w:rsidRDefault="00000000" w14:paraId="5A2F6055" w14:textId="77777777" w:rsidP="00F67E0C"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Co-develop product specifications, traceability and carbon evidence</w:t>
            </w:r>
          </w:p>
        </w:tc>
      </w:tr>
    </w:tbl>
    <w:p w:rsidR="00071C62" w:rsidRDefault="00071C62" w14:paraId="2973DAE3" w14:textId="77777777" w:rsidP="00071C62">
      <w:pPr>
        <w:rPr>
          <w:color w:val="000000"/>
        </w:rPr>
      </w:pPr>
      <w:r>
        <w:rPr>
          <w:color w:val="000000"/>
        </w:rPr>
        <w:t>Overall, climate pressure creates the need for change; political and legal requirements raise the cost of delay, while social expectations and buyers determine whether lower-carbon performance has market value. Decarbonisation should therefore be combined with product development and stronger customer and community relationships, while maintaining trust with local communities. The key strategic question is whether South32 can turn emissions reductions into a credible and repeatable market proposition.</w:t>
        <w:lastRenderedPageBreak/>
      </w:r>
    </w:p>
    <w:p w:rsidR="00071C62" w:rsidRDefault="00071C62" w14:paraId="5CA102E4" w14:textId="77777777" w:rsidP="00071C62">
      <w:pPr>
        <w:pStyle w:val="Heading1"/>
      </w:pPr>
      <w:bookmarkStart w:id="5" w:name="_Toc243493485"/>
      <w:r>
        <w:rPr>
          <w:rFonts w:cs="Arial" w:eastAsia="Arial"/>
        </w:rPr>
        <w:t>3. Task 2: Strategic Growth and Competitive Positioning</w:t>
      </w:r>
      <w:bookmarkEnd w:id="5"/>
      <w:r>
        <w:rPr>
          <w:rFonts w:cs="Arial" w:eastAsia="Arial"/>
        </w:rPr>
        <w:t xml:space="preserve"> </w:t>
      </w:r>
    </w:p>
    <w:p w:rsidR="00071C62" w:rsidRDefault="00071C62" w14:paraId="27F8C929" w14:textId="77777777" w:rsidP="00071C62">
      <w:pPr>
        <w:pStyle w:val="Heading2"/>
      </w:pPr>
      <w:bookmarkStart w:id="6" w:name="_Toc243493486"/>
      <w:r>
        <w:t>3.1 Ansoff Matrix evaluation</w:t>
      </w:r>
      <w:bookmarkEnd w:id="6"/>
    </w:p>
    <w:p w:rsidR="00071C62" w:rsidRDefault="00071C62" w14:paraId="0E49E5B1" w14:textId="7934B9F7" w:rsidP="00071C62">
      <w:proofErr w:type="spellStart"/>
      <w:r>
        <w:t>Ansoff</w:t>
      </w:r>
      <w:r w:rsidR="00F60324">
        <w:t>”</w:t>
      </w:r>
      <w:r>
        <w:t>s</w:t>
      </w:r>
      <w:proofErr w:type="spellEnd"/>
      <w:r>
        <w:t xml:space="preserve"> Matrix divides growth opportunities into market penetration, product development, market development, and diversification (Kotler </w:t>
      </w:r>
      <w:r w:rsidR="00061A49" w:rsidRPr="00061A49">
        <w:rPr>
          <w:iCs/>
          <w:i/>
        </w:rPr>
        <w:t>et al</w:t>
      </w:r>
      <w:r>
        <w:t>., 2024). Market penetration for South32 would consist of selling more commodities to existing customers; however, such strategy would not meet the lower-carbon pressure revealed in Task 1. Diversification would be the riskiest option for South32, as it would involve entering both new products and new markets simultaneously. Product development would be the best solution for South32: develop lower-carbon versions or propositions of existing commodities to industrial consumers.</w:t>
      </w:r>
    </w:p>
    <w:p w:rsidR="00567F6D" w:rsidRDefault="00071C62" w14:paraId="43FD68D4" w14:textId="77777777" w:rsidP="00071C62">
      <w:pPr>
        <w:jc w:val="center"/>
      </w:pPr>
      <w:r>
        <w:rPr>
          <w:noProof/>
        </w:rPr>
        <w:drawing>
          <wp:inline distB="0" distL="0" distR="0" distT="0" wp14:anchorId="176A539D" wp14:editId="51D9FA7B">
            <wp:extent cx="5999480" cy="3725545"/>
            <wp:effectExtent l="0" t="0" r="1270" b="8255"/>
            <wp:docPr id="12760396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006667" cy="3730098"/>
                    </a:xfrm>
                    <a:prstGeom prst="rect">
                      <a:avLst/>
                    </a:prstGeom>
                    <a:noFill/>
                  </pic:spPr>
                </pic:pic>
              </a:graphicData>
            </a:graphic>
          </wp:inline>
        </w:drawing>
      </w:r>
    </w:p>
    <w:p w:rsidR="00567F6D" w:rsidRDefault="00000000" w14:paraId="6BAB6953" w14:textId="77777777" w:rsidP="00071C62">
      <w:pPr>
        <w:jc w:val="center"/>
      </w:pPr>
      <w:r w:rsidRPr="00071C62">
        <w:rPr>
          <w:bCs/>
          <w:b/>
        </w:rPr>
        <w:t>Figure 2.</w:t>
      </w:r>
      <w:r>
        <w:t xml:space="preserve"> Ansoff Matrix for South32</w:t>
      </w:r>
      <w:r w:rsidR="00F60324">
        <w:t>”</w:t>
      </w:r>
      <w:r>
        <w:t>s lower-carbon growth.</w:t>
      </w:r>
    </w:p>
    <w:p w:rsidR="00567F6D" w:rsidRDefault="00000000" w14:paraId="29F48CF7" w14:textId="0823CADA" w:rsidP="00F67E0C">
      <w:pPr>
        <w:jc w:val="center"/>
      </w:pPr>
      <w:r w:rsidRPr="00071C62">
        <w:rPr>
          <w:bCs/>
          <w:b/>
        </w:rPr>
        <w:t>Source:</w:t>
      </w:r>
      <w:r>
        <w:t xml:space="preserve"> </w:t>
      </w:r>
      <w:r w:rsidR="00F67E0C">
        <w:t>Self-developed using</w:t>
      </w:r>
      <w:r>
        <w:t xml:space="preserve"> Kotler </w:t>
      </w:r>
      <w:r w:rsidR="00061A49" w:rsidRPr="00061A49">
        <w:rPr>
          <w:iCs/>
          <w:i/>
        </w:rPr>
        <w:t>et al</w:t>
      </w:r>
      <w:r>
        <w:t>. (2024).</w:t>
      </w:r>
    </w:p>
    <w:p w:rsidR="00071C62" w:rsidRDefault="00071C62" w14:paraId="25D0A44B" w14:textId="77777777" w:rsidP="00071C62">
      <w:r>
        <w:t>Product Development is suitable for South32, because it is a connection between current portfolio and the emergence of new demand. Rapid growth in the consumption of copper and other energy transition minerals is expected according to IEA (2024). On the other hand, South32 mentions that the production of transition minerals is growing rapidly in FY25 (South32, 2025a). So, no need is seen for transforming into any other type of industry. The recommendation is to increase the value created from the current products of South32 through reducing embedded emissions, traceability and product environmental performance communication.</w:t>
        <w:lastRenderedPageBreak/>
      </w:r>
    </w:p>
    <w:p w:rsidR="00071C62" w:rsidRDefault="00071C62" w14:paraId="503B8C70" w14:textId="77777777" w:rsidP="00071C62">
      <w:r>
        <w:t xml:space="preserve">For practical implementation of the strategy three stage product strategy should be implemented. In the first stage, South32 should define consistent product-carbon measurement in its priority </w:t>
      </w:r>
      <w:proofErr w:type="spellStart"/>
      <w:r>
        <w:t>aluminium</w:t>
      </w:r>
      <w:proofErr w:type="spellEnd"/>
      <w:r>
        <w:t xml:space="preserve"> and base metal value chains based on audited data and clear boundaries. Because of already well-defined methods in South32 to measure the scopes 1, 2 and 3 emissions the foundation will be provided for better product carbon measurement (South32, 2025c). Secondly, it should develop lower carbon product offerings with selected industrial customers, as participation of the client may make green product innovation more effective through value creation (Han and Xu, 2021). Thirdly, it should </w:t>
      </w:r>
      <w:proofErr w:type="spellStart"/>
      <w:r>
        <w:t>utilise</w:t>
      </w:r>
      <w:proofErr w:type="spellEnd"/>
      <w:r>
        <w:t xml:space="preserve"> sustainability data verification in the technical sales documents and in the long-term agreements instead of green advertising. Before the green product launch, the claim should have clear boundary, possible independent verification, baseline and comparison methodology. Also, the offer should be tested by a few clients through contract renewal, emissions intensity reduction and incremental margins as criteria.</w:t>
      </w:r>
    </w:p>
    <w:p w:rsidR="00071C62" w:rsidRDefault="00071C62" w14:paraId="17879190" w14:textId="77777777" w:rsidP="00071C62">
      <w:pPr>
        <w:pStyle w:val="Heading2"/>
      </w:pPr>
      <w:bookmarkStart w:id="7" w:name="_Toc243493487"/>
      <w:r>
        <w:t>3.2 Competitive advantage: focused differentiation</w:t>
      </w:r>
      <w:bookmarkEnd w:id="7"/>
    </w:p>
    <w:p w:rsidR="00071C62" w:rsidRDefault="00071C62" w14:paraId="46E7F1DE" w14:textId="55935BD2" w:rsidP="00071C62">
      <w:r>
        <w:t xml:space="preserve">As mentioned by Kotler </w:t>
      </w:r>
      <w:r w:rsidR="00061A49" w:rsidRPr="00061A49">
        <w:rPr>
          <w:iCs/>
          <w:i/>
        </w:rPr>
        <w:t>et al</w:t>
      </w:r>
      <w:r>
        <w:t xml:space="preserve">. (2024) there are two types of advantages in </w:t>
      </w:r>
      <w:proofErr w:type="spellStart"/>
      <w:r>
        <w:t>Porter</w:t>
      </w:r>
      <w:r w:rsidR="00F60324">
        <w:t>”</w:t>
      </w:r>
      <w:r>
        <w:t>s</w:t>
      </w:r>
      <w:proofErr w:type="spellEnd"/>
      <w:r>
        <w:t xml:space="preserve"> competitive strategy theory, which are lower cost and differentiation. Focused differentiation will be more applicable for South32 instead of pure cost leadership as energy transition customers may be interested even in low-cost producer, but with verified carbon performance, traceability and supply chain resilience (Kotler </w:t>
      </w:r>
      <w:r w:rsidR="00061A49" w:rsidRPr="00061A49">
        <w:rPr>
          <w:iCs/>
          <w:i/>
        </w:rPr>
        <w:t>et al</w:t>
      </w:r>
      <w:r>
        <w:t xml:space="preserve">., 2024). The green innovation may help in establishing competitive advantage if it leads to developing unique capabilities and learning (Tu and Wu, 2021; </w:t>
      </w:r>
      <w:proofErr w:type="spellStart"/>
      <w:r>
        <w:t>Barforoush</w:t>
      </w:r>
      <w:proofErr w:type="spellEnd"/>
      <w:r>
        <w:t xml:space="preserve"> </w:t>
      </w:r>
      <w:r w:rsidR="00061A49" w:rsidRPr="00061A49">
        <w:rPr>
          <w:iCs/>
          <w:i/>
        </w:rPr>
        <w:t>et al</w:t>
      </w:r>
      <w:r>
        <w:t>., 2021). Recent research shows also the connection of technological innovation, green product/process innovation and environmental strategy with sustainability-based competitive advantage (</w:t>
      </w:r>
      <w:proofErr w:type="spellStart"/>
      <w:r>
        <w:t>Čater</w:t>
      </w:r>
      <w:proofErr w:type="spellEnd"/>
      <w:r>
        <w:t xml:space="preserve"> </w:t>
      </w:r>
      <w:r w:rsidR="00061A49" w:rsidRPr="00061A49">
        <w:rPr>
          <w:iCs/>
          <w:i/>
        </w:rPr>
        <w:t>et al</w:t>
      </w:r>
      <w:r>
        <w:t>., 2025).</w:t>
      </w:r>
    </w:p>
    <w:p w:rsidR="00071C62" w:rsidRDefault="00071C62" w14:paraId="4B36A019" w14:textId="77777777" w:rsidP="00071C62">
      <w:r>
        <w:t xml:space="preserve">Therefore, South32 should present itself as the supplier of the reliable transition metals, which are produced responsibly, and not only </w:t>
      </w:r>
      <w:r w:rsidR="00F60324">
        <w:t>“</w:t>
      </w:r>
      <w:r>
        <w:t>green miner</w:t>
      </w:r>
      <w:r w:rsidR="00F60324">
        <w:t>”</w:t>
      </w:r>
      <w:r>
        <w:t xml:space="preserve">. Such positioning should take </w:t>
      </w:r>
      <w:r>
        <w:t>into account price sensitivity of the customer and the risk that in case of commodity market downturn the premium will not be paid by customers. Differentiation should be based on three advantages: product emissions reduction with verification, reliable supply of transition minerals and transparency of data, which can be used in client climate reporting.</w:t>
        <w:lastRenderedPageBreak/>
      </w:r>
    </w:p>
    <w:p w:rsidR="00071C62" w:rsidRDefault="00071C62" w14:paraId="09A8BFBE" w14:textId="71DC56C1" w:rsidP="00071C62">
      <w:r>
        <w:t xml:space="preserve">One more advantage is option value – pilot will show in advance which products and customers segments are creating enough profit for South32 before investing in them on a large scale. The reason of this is high demand forecasts for transition metals, but with sensitivity to policy, technology and economic conditions (IEA, 2024). Thus, flexibility will prevent South32 from locking capital in a particular low carbon solution too soon. The competitors will be able easily copy marketing claims, but it is more difficult to copy the system of energy investments, measurement, customer co-creation and long-term contracting. As shown by literature review, the green innovations, if become embedded in organizational culture, can provide sustainability-based competitive advantage (Khan </w:t>
      </w:r>
      <w:r w:rsidR="00061A49" w:rsidRPr="00061A49">
        <w:rPr>
          <w:iCs/>
          <w:i/>
        </w:rPr>
        <w:t>et al</w:t>
      </w:r>
      <w:r>
        <w:t>., 2021).</w:t>
      </w:r>
    </w:p>
    <w:p w:rsidR="00F67E0C" w:rsidRDefault="00F67E0C" w14:paraId="29D09BA4" w14:textId="77777777" w:rsidP="00F67E0C">
      <w:pPr>
        <w:jc w:val="center"/>
      </w:pPr>
      <w:r w:rsidRPr="00F67E0C">
        <w:rPr>
          <w:bCs/>
          <w:b/>
        </w:rPr>
        <w:t>Table 2.</w:t>
      </w:r>
      <w:r>
        <w:t xml:space="preserve"> Proposed implementation scorecard for South32.</w:t>
      </w:r>
    </w:p>
    <w:tbl>
      <w:tblPr>
        <w:tblW w:w="0" w:type="auto"/>
        <w:tblLayout w:type="fixed"/>
        <w:jc w:val="center"/>
        <w:tblStyle w:val="GridTable5Dark-Accent6"/>
        <w:tblLook w:val="4A0"/>
      </w:tblPr>
      <w:tblGrid>
        <w:gridCol w:w="2520"/>
        <w:gridCol w:w="1655"/>
        <w:gridCol w:w="1944"/>
        <w:gridCol w:w="2664"/>
      </w:tblGrid>
      <w:tr w14:paraId="168EE52B" w14:textId="77777777" w:rsidR="00567F6D" w:rsidRPr="00F67E0C" w:rsidTr="00F67E0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20" w:type="dxa"/>
          </w:tcPr>
          <w:p w:rsidR="00567F6D" w:rsidRDefault="00000000" w14:paraId="42EF9E39" w14:textId="77777777" w:rsidRPr="00F67E0C">
            <w:pPr>
              <w:jc w:val="left"/>
              <w:spacing w:line="240" w:lineRule="auto"/>
              <w:rPr>
                <w:szCs w:val="24"/>
              </w:rPr>
            </w:pPr>
            <w:r w:rsidRPr="00F67E0C">
              <w:rPr>
                <w:color w:val="FFFFFF"/>
                <w:szCs w:val="24"/>
              </w:rPr>
              <w:t>Performance measure</w:t>
            </w:r>
          </w:p>
        </w:tc>
        <w:tc>
          <w:tcPr>
            <w:tcW w:w="1655" w:type="dxa"/>
          </w:tcPr>
          <w:p w:rsidR="00567F6D" w:rsidRDefault="00000000" w14:paraId="7D95BAA8" w14:textId="77777777" w:rsidRPr="00F67E0C">
            <w:pPr>
              <w:cnfStyle w:val="100000000000" w:firstRow="1" w:lastRow="0" w:firstColumn="0" w:lastColumn="0" w:oddVBand="0" w:evenVBand="0" w:oddHBand="0" w:evenHBand="0" w:firstRowFirstColumn="0" w:firstRowLastColumn="0" w:lastRowFirstColumn="0" w:lastRowLastColumn="0"/>
              <w:jc w:val="left"/>
              <w:spacing w:line="240" w:lineRule="auto"/>
              <w:rPr>
                <w:szCs w:val="24"/>
              </w:rPr>
            </w:pPr>
            <w:r w:rsidRPr="00F67E0C">
              <w:rPr>
                <w:color w:val="FFFFFF"/>
                <w:szCs w:val="24"/>
              </w:rPr>
              <w:t>Pilot phase</w:t>
            </w:r>
          </w:p>
        </w:tc>
        <w:tc>
          <w:tcPr>
            <w:tcW w:w="1944" w:type="dxa"/>
          </w:tcPr>
          <w:p w:rsidR="00567F6D" w:rsidRDefault="00000000" w14:paraId="7426C9F2" w14:textId="77777777" w:rsidRPr="00F67E0C">
            <w:pPr>
              <w:cnfStyle w:val="100000000000" w:firstRow="1" w:lastRow="0" w:firstColumn="0" w:lastColumn="0" w:oddVBand="0" w:evenVBand="0" w:oddHBand="0" w:evenHBand="0" w:firstRowFirstColumn="0" w:firstRowLastColumn="0" w:lastRowFirstColumn="0" w:lastRowLastColumn="0"/>
              <w:jc w:val="left"/>
              <w:spacing w:line="240" w:lineRule="auto"/>
              <w:rPr>
                <w:szCs w:val="24"/>
              </w:rPr>
            </w:pPr>
            <w:r w:rsidRPr="00F67E0C">
              <w:rPr>
                <w:color w:val="FFFFFF"/>
                <w:szCs w:val="24"/>
              </w:rPr>
              <w:t>Target / threshold</w:t>
            </w:r>
          </w:p>
        </w:tc>
        <w:tc>
          <w:tcPr>
            <w:tcW w:w="2664" w:type="dxa"/>
          </w:tcPr>
          <w:p w:rsidR="00567F6D" w:rsidRDefault="00000000" w14:paraId="0F1E4021" w14:textId="77777777" w:rsidRPr="00F67E0C">
            <w:pPr>
              <w:cnfStyle w:val="100000000000" w:firstRow="1" w:lastRow="0" w:firstColumn="0" w:lastColumn="0" w:oddVBand="0" w:evenVBand="0" w:oddHBand="0" w:evenHBand="0" w:firstRowFirstColumn="0" w:firstRowLastColumn="0" w:lastRowFirstColumn="0" w:lastRowLastColumn="0"/>
              <w:jc w:val="left"/>
              <w:spacing w:line="240" w:lineRule="auto"/>
              <w:rPr>
                <w:szCs w:val="24"/>
              </w:rPr>
            </w:pPr>
            <w:r w:rsidRPr="00F67E0C">
              <w:rPr>
                <w:color w:val="FFFFFF"/>
                <w:szCs w:val="24"/>
              </w:rPr>
              <w:t>Management value</w:t>
            </w:r>
          </w:p>
        </w:tc>
      </w:tr>
      <w:tr w14:paraId="3FE534D8" w14:textId="77777777" w:rsidR="00567F6D" w:rsidRPr="00F67E0C" w:rsidTr="00F67E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20" w:type="dxa"/>
          </w:tcPr>
          <w:p w:rsidR="00567F6D" w:rsidRDefault="00000000" w14:paraId="02FA586C" w14:textId="77777777" w:rsidRPr="00F67E0C">
            <w:pPr>
              <w:jc w:val="left"/>
              <w:rPr>
                <w:szCs w:val="24"/>
              </w:rPr>
            </w:pPr>
            <w:r w:rsidRPr="00F67E0C">
              <w:rPr>
                <w:szCs w:val="24"/>
              </w:rPr>
              <w:t>Carbon data coverage</w:t>
            </w:r>
          </w:p>
        </w:tc>
        <w:tc>
          <w:tcPr>
            <w:tcW w:w="1655" w:type="dxa"/>
          </w:tcPr>
          <w:p w:rsidR="00567F6D" w:rsidRDefault="00000000" w14:paraId="591EEABE" w14:textId="77777777"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12 months</w:t>
            </w:r>
          </w:p>
        </w:tc>
        <w:tc>
          <w:tcPr>
            <w:tcW w:w="1944" w:type="dxa"/>
          </w:tcPr>
          <w:p w:rsidR="00567F6D" w:rsidRDefault="00000000" w14:paraId="12206E1E" w14:textId="77777777"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100% of pilot lines</w:t>
            </w:r>
          </w:p>
        </w:tc>
        <w:tc>
          <w:tcPr>
            <w:tcW w:w="2664" w:type="dxa"/>
          </w:tcPr>
          <w:p w:rsidR="00567F6D" w:rsidRDefault="00000000" w14:paraId="012D3F62" w14:textId="77777777"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Credibility</w:t>
            </w:r>
          </w:p>
        </w:tc>
      </w:tr>
      <w:tr w14:paraId="06685837" w14:textId="77777777" w:rsidR="00567F6D" w:rsidRPr="00F67E0C" w:rsidTr="00F67E0C">
        <w:trPr>
          <w:jc w:val="center"/>
        </w:trPr>
        <w:tc>
          <w:tcPr>
            <w:cnfStyle w:val="001000000000" w:firstRow="0" w:lastRow="0" w:firstColumn="1" w:lastColumn="0" w:oddVBand="0" w:evenVBand="0" w:oddHBand="0" w:evenHBand="0" w:firstRowFirstColumn="0" w:firstRowLastColumn="0" w:lastRowFirstColumn="0" w:lastRowLastColumn="0"/>
            <w:tcW w:w="2520" w:type="dxa"/>
          </w:tcPr>
          <w:p w:rsidR="00567F6D" w:rsidRDefault="00000000" w14:paraId="57291CAF" w14:textId="77777777" w:rsidRPr="00F67E0C">
            <w:pPr>
              <w:jc w:val="left"/>
              <w:rPr>
                <w:szCs w:val="24"/>
              </w:rPr>
            </w:pPr>
            <w:r w:rsidRPr="00F67E0C">
              <w:rPr>
                <w:szCs w:val="24"/>
              </w:rPr>
              <w:t>Customer co-development</w:t>
            </w:r>
          </w:p>
        </w:tc>
        <w:tc>
          <w:tcPr>
            <w:tcW w:w="1655" w:type="dxa"/>
          </w:tcPr>
          <w:p w:rsidR="00567F6D" w:rsidRDefault="00000000" w14:paraId="5F3E3F30" w14:textId="77777777" w:rsidRPr="00F67E0C">
            <w:pPr>
              <w:cnfStyle w:val="000000000000" w:firstRow="0" w:lastRow="0" w:firstColumn="0" w:lastColumn="0" w:oddVBand="0" w:evenVBand="0" w:oddHBand="0" w:evenHBand="0" w:firstRowFirstColumn="0" w:firstRowLastColumn="0" w:lastRowFirstColumn="0" w:lastRowLastColumn="0"/>
              <w:jc w:val="left"/>
              <w:rPr>
                <w:szCs w:val="24"/>
              </w:rPr>
            </w:pPr>
            <w:r w:rsidRPr="00F67E0C">
              <w:rPr>
                <w:szCs w:val="24"/>
              </w:rPr>
              <w:t>12 months</w:t>
            </w:r>
          </w:p>
        </w:tc>
        <w:tc>
          <w:tcPr>
            <w:tcW w:w="1944" w:type="dxa"/>
          </w:tcPr>
          <w:p w:rsidR="00567F6D" w:rsidRDefault="00000000" w14:paraId="720AF791" w14:textId="77777777" w:rsidRPr="00F67E0C">
            <w:pPr>
              <w:cnfStyle w:val="000000000000" w:firstRow="0" w:lastRow="0" w:firstColumn="0" w:lastColumn="0" w:oddVBand="0" w:evenVBand="0" w:oddHBand="0" w:evenHBand="0" w:firstRowFirstColumn="0" w:firstRowLastColumn="0" w:lastRowFirstColumn="0" w:lastRowLastColumn="0"/>
              <w:jc w:val="left"/>
              <w:rPr>
                <w:szCs w:val="24"/>
              </w:rPr>
            </w:pPr>
            <w:r w:rsidRPr="00F67E0C">
              <w:rPr>
                <w:szCs w:val="24"/>
              </w:rPr>
              <w:t>3 anchor customers</w:t>
            </w:r>
          </w:p>
        </w:tc>
        <w:tc>
          <w:tcPr>
            <w:tcW w:w="2664" w:type="dxa"/>
          </w:tcPr>
          <w:p w:rsidR="00567F6D" w:rsidRDefault="00000000" w14:paraId="29C85B6E" w14:textId="77777777" w:rsidRPr="00F67E0C">
            <w:pPr>
              <w:cnfStyle w:val="000000000000" w:firstRow="0" w:lastRow="0" w:firstColumn="0" w:lastColumn="0" w:oddVBand="0" w:evenVBand="0" w:oddHBand="0" w:evenHBand="0" w:firstRowFirstColumn="0" w:firstRowLastColumn="0" w:lastRowFirstColumn="0" w:lastRowLastColumn="0"/>
              <w:jc w:val="left"/>
              <w:rPr>
                <w:szCs w:val="24"/>
              </w:rPr>
            </w:pPr>
            <w:r w:rsidRPr="00F67E0C">
              <w:rPr>
                <w:szCs w:val="24"/>
              </w:rPr>
              <w:t>Market fit</w:t>
            </w:r>
          </w:p>
        </w:tc>
      </w:tr>
      <w:tr w14:paraId="71885465" w14:textId="77777777" w:rsidR="00567F6D" w:rsidRPr="00F67E0C" w:rsidTr="00F67E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20" w:type="dxa"/>
          </w:tcPr>
          <w:p w:rsidR="00567F6D" w:rsidRDefault="00000000" w14:paraId="6C0CF3DE" w14:textId="77777777" w:rsidRPr="00F67E0C">
            <w:pPr>
              <w:jc w:val="left"/>
              <w:rPr>
                <w:szCs w:val="24"/>
              </w:rPr>
            </w:pPr>
            <w:r w:rsidRPr="00F67E0C">
              <w:rPr>
                <w:szCs w:val="24"/>
              </w:rPr>
              <w:t>Emissions intensity</w:t>
            </w:r>
          </w:p>
        </w:tc>
        <w:tc>
          <w:tcPr>
            <w:tcW w:w="1655" w:type="dxa"/>
          </w:tcPr>
          <w:p w:rsidR="00567F6D" w:rsidRDefault="00000000" w14:paraId="47F48D33" w14:textId="77777777"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Annual</w:t>
            </w:r>
          </w:p>
        </w:tc>
        <w:tc>
          <w:tcPr>
            <w:tcW w:w="1944" w:type="dxa"/>
          </w:tcPr>
          <w:p w:rsidR="00567F6D" w:rsidRDefault="00000000" w14:paraId="0BD9B99E" w14:textId="77777777"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Downward trend</w:t>
            </w:r>
          </w:p>
        </w:tc>
        <w:tc>
          <w:tcPr>
            <w:tcW w:w="2664" w:type="dxa"/>
          </w:tcPr>
          <w:p w:rsidR="00567F6D" w:rsidRDefault="00000000" w14:paraId="3AB29EF1" w14:textId="77777777"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Operational proof</w:t>
            </w:r>
          </w:p>
        </w:tc>
      </w:tr>
      <w:tr w14:paraId="11D11E38" w14:textId="77777777" w:rsidR="00567F6D" w:rsidRPr="00F67E0C" w:rsidTr="00F67E0C">
        <w:trPr>
          <w:jc w:val="center"/>
        </w:trPr>
        <w:tc>
          <w:tcPr>
            <w:cnfStyle w:val="001000000000" w:firstRow="0" w:lastRow="0" w:firstColumn="1" w:lastColumn="0" w:oddVBand="0" w:evenVBand="0" w:oddHBand="0" w:evenHBand="0" w:firstRowFirstColumn="0" w:firstRowLastColumn="0" w:lastRowFirstColumn="0" w:lastRowLastColumn="0"/>
            <w:tcW w:w="2520" w:type="dxa"/>
          </w:tcPr>
          <w:p w:rsidR="00567F6D" w:rsidRDefault="00000000" w14:paraId="161AA686" w14:textId="77777777" w:rsidRPr="00F67E0C">
            <w:pPr>
              <w:jc w:val="left"/>
              <w:rPr>
                <w:szCs w:val="24"/>
              </w:rPr>
            </w:pPr>
            <w:r w:rsidRPr="00F67E0C">
              <w:rPr>
                <w:szCs w:val="24"/>
              </w:rPr>
              <w:t>Low-carbon electricity</w:t>
            </w:r>
          </w:p>
        </w:tc>
        <w:tc>
          <w:tcPr>
            <w:tcW w:w="1655" w:type="dxa"/>
          </w:tcPr>
          <w:p w:rsidR="00567F6D" w:rsidRDefault="00000000" w14:paraId="177311AA" w14:textId="77777777" w:rsidRPr="00F67E0C">
            <w:pPr>
              <w:cnfStyle w:val="000000000000" w:firstRow="0" w:lastRow="0" w:firstColumn="0" w:lastColumn="0" w:oddVBand="0" w:evenVBand="0" w:oddHBand="0" w:evenHBand="0" w:firstRowFirstColumn="0" w:firstRowLastColumn="0" w:lastRowFirstColumn="0" w:lastRowLastColumn="0"/>
              <w:jc w:val="left"/>
              <w:rPr>
                <w:szCs w:val="24"/>
              </w:rPr>
            </w:pPr>
            <w:r w:rsidRPr="00F67E0C">
              <w:rPr>
                <w:szCs w:val="24"/>
              </w:rPr>
              <w:t>Pilot assets</w:t>
            </w:r>
          </w:p>
        </w:tc>
        <w:tc>
          <w:tcPr>
            <w:tcW w:w="1944" w:type="dxa"/>
          </w:tcPr>
          <w:p w:rsidR="00567F6D" w:rsidRDefault="00000000" w14:paraId="347955F7" w14:textId="77777777" w:rsidRPr="00F67E0C">
            <w:pPr>
              <w:cnfStyle w:val="000000000000" w:firstRow="0" w:lastRow="0" w:firstColumn="0" w:lastColumn="0" w:oddVBand="0" w:evenVBand="0" w:oddHBand="0" w:evenHBand="0" w:firstRowFirstColumn="0" w:firstRowLastColumn="0" w:lastRowFirstColumn="0" w:lastRowLastColumn="0"/>
              <w:jc w:val="left"/>
              <w:rPr>
                <w:szCs w:val="24"/>
              </w:rPr>
            </w:pPr>
            <w:r w:rsidRPr="00F67E0C">
              <w:rPr>
                <w:szCs w:val="24"/>
              </w:rPr>
              <w:t>Contracted share</w:t>
            </w:r>
          </w:p>
        </w:tc>
        <w:tc>
          <w:tcPr>
            <w:tcW w:w="2664" w:type="dxa"/>
          </w:tcPr>
          <w:p w:rsidR="00567F6D" w:rsidRDefault="00000000" w14:paraId="2DE3A8D7" w14:textId="77777777" w:rsidRPr="00F67E0C">
            <w:pPr>
              <w:cnfStyle w:val="000000000000" w:firstRow="0" w:lastRow="0" w:firstColumn="0" w:lastColumn="0" w:oddVBand="0" w:evenVBand="0" w:oddHBand="0" w:evenHBand="0" w:firstRowFirstColumn="0" w:firstRowLastColumn="0" w:lastRowFirstColumn="0" w:lastRowLastColumn="0"/>
              <w:jc w:val="left"/>
              <w:rPr>
                <w:szCs w:val="24"/>
              </w:rPr>
            </w:pPr>
            <w:r w:rsidRPr="00F67E0C">
              <w:rPr>
                <w:szCs w:val="24"/>
              </w:rPr>
              <w:t>Resilience</w:t>
            </w:r>
          </w:p>
        </w:tc>
      </w:tr>
      <w:tr w14:paraId="1E3F97B7" w14:textId="77777777" w:rsidR="00567F6D" w:rsidRPr="00F67E0C" w:rsidTr="00F67E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20" w:type="dxa"/>
          </w:tcPr>
          <w:p w:rsidR="00567F6D" w:rsidRDefault="00000000" w14:paraId="1E810337" w14:textId="77777777" w:rsidRPr="00F67E0C">
            <w:pPr>
              <w:jc w:val="left"/>
              <w:rPr>
                <w:szCs w:val="24"/>
              </w:rPr>
            </w:pPr>
            <w:r w:rsidRPr="00F67E0C">
              <w:rPr>
                <w:szCs w:val="24"/>
              </w:rPr>
              <w:t>Retention / margin</w:t>
            </w:r>
          </w:p>
        </w:tc>
        <w:tc>
          <w:tcPr>
            <w:tcW w:w="1655" w:type="dxa"/>
          </w:tcPr>
          <w:p w:rsidR="00567F6D" w:rsidRDefault="00000000" w14:paraId="566529A6" w14:textId="77777777"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Annual</w:t>
            </w:r>
          </w:p>
        </w:tc>
        <w:tc>
          <w:tcPr>
            <w:tcW w:w="1944" w:type="dxa"/>
          </w:tcPr>
          <w:p w:rsidR="00567F6D" w:rsidRDefault="00000000" w14:paraId="01FBA8E3" w14:textId="77777777"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Positive effect</w:t>
            </w:r>
          </w:p>
        </w:tc>
        <w:tc>
          <w:tcPr>
            <w:tcW w:w="2664" w:type="dxa"/>
          </w:tcPr>
          <w:p w:rsidR="00567F6D" w:rsidRDefault="00000000" w14:paraId="2E8ACF4D" w14:textId="77777777" w:rsidRPr="00F67E0C">
            <w:pPr>
              <w:cnfStyle w:val="000000100000" w:firstRow="0" w:lastRow="0" w:firstColumn="0" w:lastColumn="0" w:oddVBand="0" w:evenVBand="0" w:oddHBand="1" w:evenHBand="0" w:firstRowFirstColumn="0" w:firstRowLastColumn="0" w:lastRowFirstColumn="0" w:lastRowLastColumn="0"/>
              <w:jc w:val="left"/>
              <w:rPr>
                <w:szCs w:val="24"/>
              </w:rPr>
            </w:pPr>
            <w:r w:rsidRPr="00F67E0C">
              <w:rPr>
                <w:szCs w:val="24"/>
              </w:rPr>
              <w:t>Willingness to pay</w:t>
            </w:r>
          </w:p>
        </w:tc>
      </w:tr>
    </w:tbl>
    <w:p w:rsidR="00071C62" w:rsidRDefault="00071C62" w14:paraId="08AC10B0" w14:textId="77777777" w:rsidP="00071C62">
      <w:r>
        <w:t xml:space="preserve">South32 should use both market and operational measures of success: product-carbon data coverage, customer co-development agreements, emissions intensity, low-carbon electricity contracted, and contract retention or incremental margin. The gate should be </w:t>
      </w:r>
      <w:r>
        <w:t>used to make decisions whether to expand pilots or to pause or even stop them. It will help to keep the strategy evidence-based and reduce the sunk-cost effect.</w:t>
        <w:lastRenderedPageBreak/>
      </w:r>
    </w:p>
    <w:p w:rsidR="00071C62" w:rsidRDefault="00071C62" w14:paraId="4C08F52C" w14:textId="77777777" w:rsidP="00071C62">
      <w:pPr>
        <w:pStyle w:val="Heading1"/>
      </w:pPr>
      <w:bookmarkStart w:id="8" w:name="_Toc243493488"/>
      <w:r>
        <w:rPr>
          <w:rFonts w:cs="Arial" w:eastAsia="Arial"/>
        </w:rPr>
        <w:t>4. Task 3: Managerial and Professional Reflection</w:t>
      </w:r>
      <w:bookmarkEnd w:id="8"/>
      <w:r>
        <w:rPr>
          <w:rFonts w:cs="Arial" w:eastAsia="Arial"/>
        </w:rPr>
        <w:t xml:space="preserve"> </w:t>
      </w:r>
    </w:p>
    <w:p w:rsidR="00071C62" w:rsidRDefault="00071C62" w14:paraId="0EB26C88" w14:textId="77777777" w:rsidP="00071C62" w:rsidRPr="00071C62">
      <w:pPr>
        <w:rPr>
          <w:lang w:val="en-IN"/>
        </w:rPr>
      </w:pPr>
      <w:r w:rsidRPr="00071C62">
        <w:rPr>
          <w:lang w:val="en-IN"/>
        </w:rPr>
        <w:t xml:space="preserve">I selected the company because it provides a good example of a strategic tension between environmental risks and opportunities. Portfolio transformation demonstrates that the lower-carbon transition is changing the way the company allocates its capital and is exposed to commodities. At the same time, its current operating assets have to operate under constraints of energy and climate (South32, 2025a). </w:t>
      </w:r>
      <w:r>
        <w:rPr>
          <w:lang w:val="en-IN"/>
          <w:color w:val="000000"/>
        </w:rPr>
        <w:t>I selected the actors purposefully: the natural environment creates physical and market pressure; political and legal requirements convert climate objectives into operational rules; and social stakeholders influence whether lower-carbon performance is commercially valuable to communities.</w:t>
      </w:r>
    </w:p>
    <w:p w:rsidR="00071C62" w:rsidRDefault="00071C62" w14:paraId="6DFA652F" w14:textId="6EE76B03" w:rsidP="00071C62" w:rsidRPr="00071C62">
      <w:pPr>
        <w:rPr>
          <w:lang w:val="en-IN"/>
        </w:rPr>
      </w:pPr>
      <w:r w:rsidRPr="00071C62">
        <w:rPr>
          <w:lang w:val="en-IN"/>
        </w:rPr>
        <w:t xml:space="preserve">The most important judgement I made has been to prefer product development to diversification. It is based on the Ansoff logic and evidence. South32 already has relevant production capabilities, connections and exposure to transition metals, so improvement of its current products is less risky than entry into an unrelated market (South32, 2025a; Kotler </w:t>
      </w:r>
      <w:r w:rsidR="00061A49" w:rsidRPr="00061A49">
        <w:rPr>
          <w:iCs/>
          <w:lang w:val="en-IN"/>
          <w:i/>
        </w:rPr>
        <w:t>et al</w:t>
      </w:r>
      <w:r w:rsidRPr="00071C62">
        <w:rPr>
          <w:lang w:val="en-IN"/>
        </w:rPr>
        <w:t>., 2024). I consider differentiation strategy more realistic than cost leadership, as renewable electricity, infrastructure and regulatory policies vary by location.</w:t>
      </w:r>
    </w:p>
    <w:p w:rsidR="00071C62" w:rsidRDefault="00071C62" w14:paraId="3A08BCBA" w14:textId="77777777" w:rsidP="00071C62" w:rsidRPr="00071C62">
      <w:pPr>
        <w:rPr>
          <w:lang w:val="en-IN"/>
        </w:rPr>
      </w:pPr>
      <w:r w:rsidRPr="00071C62">
        <w:rPr>
          <w:lang w:val="en-IN"/>
        </w:rPr>
        <w:t>There are several limitations to my analysis. Company-reported emissions depend on changes in portfolio and methodology, so year-on-year changes in figures cannot always be considered as operational improvement (South32, 2025a). The report is based on publicly available secondary information and does not include any interviews with customers, regulators and local communities. Demand projections are scenario-based and depend on technology, policy and economic changes (IEA, 2024). There is no customer-level willingness to pay data, contract margins and asset-level marginal abatement costs in the analysis.</w:t>
      </w:r>
    </w:p>
    <w:p w:rsidR="00071C62" w:rsidRDefault="00071C62" w14:paraId="7C3D00C3" w14:textId="77777777" w:rsidP="00071C62" w:rsidRPr="00071C62">
      <w:pPr>
        <w:rPr>
          <w:lang w:val="en-IN"/>
        </w:rPr>
      </w:pPr>
      <w:r w:rsidRPr="00071C62">
        <w:rPr>
          <w:lang w:val="en-IN"/>
        </w:rPr>
        <w:t>In reality, I would try to conduct customer research about preferred attributes and willingness to pay, competitor benchmarking on product-carbon claims, asset-level cost curves, verified product life-cycle assessment, regulatory scenarios and availability/reliability/price of low-carbon electricity. I would also use sensitivity analysis to check the recommendation. The final decision should depend on whether customers find the lower-carbon products valuable enough to cover the incremental cost and whether the proposition will remain credible in case of commodity prices and energy conditions change.</w:t>
      </w:r>
    </w:p>
    <w:p w:rsidR="00071C62" w:rsidRDefault="00071C62" w14:paraId="4B5326D6" w14:textId="77777777" w:rsidP="00071C62">
      <w:pPr>
        <w:pStyle w:val="Heading1"/>
      </w:pPr>
      <w:bookmarkStart w:id="9" w:name="_Toc243493489"/>
      <w:r>
        <w:rPr>
          <w:rFonts w:cs="Arial" w:eastAsia="Arial"/>
        </w:rPr>
        <w:t>5. Conclusion</w:t>
        <w:lastRenderedPageBreak/>
      </w:r>
      <w:bookmarkEnd w:id="9"/>
    </w:p>
    <w:p w:rsidR="00061A49" w:rsidRDefault="00061A49" w14:paraId="0F19C33A" w14:textId="77777777" w:rsidP="00061A49" w:rsidRPr="00061A49">
      <w:pPr>
        <w:rPr>
          <w:color w:val="000000"/>
        </w:rPr>
      </w:pPr>
      <w:r w:rsidRPr="00061A49">
        <w:rPr>
          <w:color w:val="000000"/>
        </w:rPr>
        <w:t xml:space="preserve">South32 is under intense external pressure to </w:t>
      </w:r>
      <w:proofErr w:type="spellStart"/>
      <w:r w:rsidRPr="00061A49">
        <w:rPr>
          <w:color w:val="000000"/>
        </w:rPr>
        <w:t>decarbonise</w:t>
      </w:r>
      <w:proofErr w:type="spellEnd"/>
      <w:r w:rsidRPr="00061A49">
        <w:rPr>
          <w:color w:val="000000"/>
        </w:rPr>
        <w:t>, but the process itself opens up new growth opportunities since the demand for energy transition minerals is growing. In this case, the environment plays the leading role, and the political, legal, and social pressures are translated into climate-related operational and market pressures. The suggested approach includes the development of products, selected market development, and market differentiation. First and foremost, the task is to transform the reductions in carbon emissions, transparency of product information, and co-development with clients into market opportunities</w:t>
      </w:r>
      <w:r w:rsidRPr="00061A49">
        <w:rPr>
          <w:color w:val="000000"/>
        </w:rPr>
        <w:t>.</w:t>
      </w:r>
    </w:p>
    <w:p w:rsidR="00061A49" w:rsidRDefault="00061A49" w14:paraId="7669659F" w14:textId="77777777">
      <w:pPr>
        <w:jc w:val="left"/>
        <w:spacing w:before="0" w:after="200" w:line="276" w:lineRule="auto"/>
        <w:rPr>
          <w:bCs/>
          <w:b/>
          <w:rFonts w:eastAsiaTheme="majorEastAsia" w:cstheme="majorBidi"/>
          <w:szCs w:val="28"/>
        </w:rPr>
      </w:pPr>
      <w:r>
        <w:br w:type="page"/>
      </w:r>
    </w:p>
    <w:p w:rsidR="00567F6D" w:rsidRDefault="00000000" w14:paraId="39FECF8B" w14:textId="74081DBA" w:rsidP="00061A49">
      <w:pPr>
        <w:pStyle w:val="Heading1"/>
      </w:pPr>
      <w:bookmarkStart w:id="10" w:name="_Toc243493490"/>
      <w:r>
        <w:t>References</w:t>
        <w:lastRenderedPageBreak/>
      </w:r>
      <w:bookmarkEnd w:id="10"/>
    </w:p>
    <w:p w:rsidR="00567F6D" w:rsidRDefault="00000000" w14:paraId="7F6CDF02" w14:textId="77777777" w:rsidP="00F67E0C" w:rsidRPr="00F67E0C">
      <w:pPr>
        <w:jc w:val="left"/>
        <w:rPr>
          <w:szCs w:val="24"/>
        </w:rPr>
      </w:pPr>
      <w:r w:rsidRPr="00F67E0C">
        <w:rPr>
          <w:szCs w:val="24"/>
        </w:rPr>
        <w:t xml:space="preserve">Baah, C., Opoku-Agyeman, D., Acquah, I.S.K., Agyabeng-Mensah, Y., Afum, E., Faibil, D. and Abdoulaye, F.A.M. (2021) </w:t>
      </w:r>
      <w:r w:rsidR="00F60324">
        <w:rPr>
          <w:szCs w:val="24"/>
        </w:rPr>
        <w:t>“</w:t>
      </w:r>
      <w:r w:rsidRPr="00F67E0C">
        <w:rPr>
          <w:szCs w:val="24"/>
        </w:rPr>
        <w:t>Examining stakeholder pressure, green production practices and green performance: the mediating role of green innovation</w:t>
      </w:r>
      <w:r w:rsidR="00F60324">
        <w:rPr>
          <w:szCs w:val="24"/>
        </w:rPr>
        <w:t>”</w:t>
      </w:r>
      <w:r w:rsidRPr="00F67E0C">
        <w:rPr>
          <w:szCs w:val="24"/>
        </w:rPr>
        <w:t xml:space="preserve">, Sustainable Production and Consumption, 27, pp. 100-114. Available at: </w:t>
      </w:r>
      <w:hyperlink r:id="rId11">
        <w:r w:rsidR="00567F6D" w:rsidRPr="00F67E0C">
          <w:rPr>
            <w:u w:val="single"/>
            <w:color w:val="1F4E79"/>
            <w:szCs w:val="24"/>
          </w:rPr>
          <w:t>https://doi.org/10.1016/j.spc.2020.10.015</w:t>
        </w:r>
      </w:hyperlink>
    </w:p>
    <w:p w:rsidR="00567F6D" w:rsidRDefault="00000000" w14:paraId="0EB455ED" w14:textId="77777777" w:rsidP="00F67E0C" w:rsidRPr="00F67E0C">
      <w:pPr>
        <w:jc w:val="left"/>
        <w:rPr>
          <w:szCs w:val="24"/>
        </w:rPr>
      </w:pPr>
      <w:r w:rsidRPr="00F67E0C">
        <w:rPr>
          <w:szCs w:val="24"/>
        </w:rPr>
        <w:t xml:space="preserve">Barforoush, N., Etebarian, A., Naghsh, A. and Shahin, A. (2021) </w:t>
      </w:r>
      <w:r w:rsidR="00F60324">
        <w:rPr>
          <w:szCs w:val="24"/>
        </w:rPr>
        <w:t>“</w:t>
      </w:r>
      <w:r w:rsidRPr="00F67E0C">
        <w:rPr>
          <w:szCs w:val="24"/>
        </w:rPr>
        <w:t>Green innovation as a strategic resource to attain competitive advantage</w:t>
      </w:r>
      <w:r w:rsidR="00F60324">
        <w:rPr>
          <w:szCs w:val="24"/>
        </w:rPr>
        <w:t>”</w:t>
      </w:r>
      <w:r w:rsidRPr="00F67E0C">
        <w:rPr>
          <w:szCs w:val="24"/>
        </w:rPr>
        <w:t xml:space="preserve">, International Journal of Innovation Science, 13(5), pp. 645-663. Available at: </w:t>
      </w:r>
      <w:hyperlink r:id="rId12">
        <w:r w:rsidR="00567F6D" w:rsidRPr="00F67E0C">
          <w:rPr>
            <w:u w:val="single"/>
            <w:color w:val="1F4E79"/>
            <w:szCs w:val="24"/>
          </w:rPr>
          <w:t>https://doi.org/10.1108/IJIS-10-2020-0180</w:t>
        </w:r>
      </w:hyperlink>
    </w:p>
    <w:p w:rsidR="00567F6D" w:rsidRDefault="00000000" w14:paraId="375124DD" w14:textId="77777777" w:rsidP="00F67E0C" w:rsidRPr="00F67E0C">
      <w:pPr>
        <w:jc w:val="left"/>
        <w:rPr>
          <w:szCs w:val="24"/>
        </w:rPr>
      </w:pPr>
      <w:r w:rsidRPr="00F67E0C">
        <w:rPr>
          <w:szCs w:val="24"/>
        </w:rPr>
        <w:t xml:space="preserve">Čater, T., Uršic, D., Čater, B. and Žabkar, V. (2025) </w:t>
      </w:r>
      <w:r w:rsidR="00F60324">
        <w:rPr>
          <w:szCs w:val="24"/>
        </w:rPr>
        <w:t>“</w:t>
      </w:r>
      <w:r w:rsidRPr="00F67E0C">
        <w:rPr>
          <w:szCs w:val="24"/>
        </w:rPr>
        <w:t>The nexus of technological innovation, green product/process innovation and environmental strategy</w:t>
      </w:r>
      <w:r w:rsidR="00F60324">
        <w:rPr>
          <w:szCs w:val="24"/>
        </w:rPr>
        <w:t>”</w:t>
      </w:r>
      <w:r w:rsidRPr="00F67E0C">
        <w:rPr>
          <w:szCs w:val="24"/>
        </w:rPr>
        <w:t xml:space="preserve">, Technology Analysis &amp; Strategic Management, pp. 521-535. Available at: </w:t>
      </w:r>
      <w:hyperlink r:id="rId13">
        <w:r w:rsidR="00567F6D" w:rsidRPr="00F67E0C">
          <w:rPr>
            <w:u w:val="single"/>
            <w:color w:val="1F4E79"/>
            <w:szCs w:val="24"/>
          </w:rPr>
          <w:t>https://doi.org/10.1080/09537325.2025.2486010</w:t>
        </w:r>
      </w:hyperlink>
    </w:p>
    <w:p w:rsidR="00567F6D" w:rsidRDefault="00000000" w14:paraId="3EFFFBDD" w14:textId="77777777" w:rsidP="00F67E0C" w:rsidRPr="00F67E0C">
      <w:pPr>
        <w:jc w:val="left"/>
        <w:rPr>
          <w:szCs w:val="24"/>
        </w:rPr>
      </w:pPr>
      <w:r w:rsidRPr="00F67E0C">
        <w:rPr>
          <w:szCs w:val="24"/>
        </w:rPr>
        <w:t xml:space="preserve">Clean Energy Regulator (2025) </w:t>
      </w:r>
      <w:r w:rsidR="00F60324">
        <w:rPr>
          <w:szCs w:val="24"/>
        </w:rPr>
        <w:t>“</w:t>
      </w:r>
      <w:r w:rsidRPr="00F67E0C">
        <w:rPr>
          <w:szCs w:val="24"/>
        </w:rPr>
        <w:t>Explore 2023-24 Safeguard Mechanism data</w:t>
      </w:r>
      <w:r w:rsidR="00F60324">
        <w:rPr>
          <w:szCs w:val="24"/>
        </w:rPr>
        <w:t>”</w:t>
      </w:r>
      <w:r w:rsidRPr="00F67E0C">
        <w:rPr>
          <w:szCs w:val="24"/>
        </w:rPr>
        <w:t xml:space="preserve">. Available at: </w:t>
      </w:r>
      <w:hyperlink r:id="rId14">
        <w:r w:rsidR="00567F6D" w:rsidRPr="00F67E0C">
          <w:rPr>
            <w:u w:val="single"/>
            <w:color w:val="1F4E79"/>
            <w:szCs w:val="24"/>
          </w:rPr>
          <w:t>https://cer.gov.au/news-and-media/news/2025/april/explore-2023-24-safeguard-mechanism-data</w:t>
        </w:r>
      </w:hyperlink>
    </w:p>
    <w:p w:rsidR="00567F6D" w:rsidRDefault="00000000" w14:paraId="7D6E355B" w14:textId="77777777" w:rsidP="00F67E0C" w:rsidRPr="00F67E0C">
      <w:pPr>
        <w:jc w:val="left"/>
        <w:rPr>
          <w:szCs w:val="24"/>
        </w:rPr>
      </w:pPr>
      <w:r w:rsidRPr="00F67E0C">
        <w:rPr>
          <w:szCs w:val="24"/>
        </w:rPr>
        <w:t xml:space="preserve">Cui, J., Dai, J., Wang, Z. and Zhao, X. (2022) </w:t>
      </w:r>
      <w:r w:rsidR="00F60324">
        <w:rPr>
          <w:szCs w:val="24"/>
        </w:rPr>
        <w:t>“</w:t>
      </w:r>
      <w:r w:rsidRPr="00F67E0C">
        <w:rPr>
          <w:szCs w:val="24"/>
        </w:rPr>
        <w:t>Environmental regulation and green innovation: evidence from firms in China</w:t>
      </w:r>
      <w:r w:rsidR="00F60324">
        <w:rPr>
          <w:szCs w:val="24"/>
        </w:rPr>
        <w:t>”</w:t>
      </w:r>
      <w:r w:rsidRPr="00F67E0C">
        <w:rPr>
          <w:szCs w:val="24"/>
        </w:rPr>
        <w:t xml:space="preserve">, Technological Forecasting and Social Change, 176, 121492. Available at: </w:t>
      </w:r>
      <w:hyperlink r:id="rId15">
        <w:r w:rsidR="00567F6D" w:rsidRPr="00F67E0C">
          <w:rPr>
            <w:u w:val="single"/>
            <w:color w:val="1F4E79"/>
            <w:szCs w:val="24"/>
          </w:rPr>
          <w:t>https://doi.org/10.1016/j.techfore.2021.121492</w:t>
        </w:r>
      </w:hyperlink>
    </w:p>
    <w:p w:rsidR="00567F6D" w:rsidRDefault="00000000" w14:paraId="0801EFBB" w14:textId="77777777" w:rsidP="00F67E0C" w:rsidRPr="00F67E0C">
      <w:pPr>
        <w:jc w:val="left"/>
        <w:rPr>
          <w:szCs w:val="24"/>
        </w:rPr>
      </w:pPr>
      <w:r w:rsidRPr="00F67E0C">
        <w:rPr>
          <w:szCs w:val="24"/>
        </w:rPr>
        <w:t xml:space="preserve">Department of Climate Change, Energy, the Environment and Water (DCCEEW) (2024) </w:t>
      </w:r>
      <w:r w:rsidR="00F60324">
        <w:rPr>
          <w:szCs w:val="24"/>
        </w:rPr>
        <w:t>“</w:t>
      </w:r>
      <w:r w:rsidRPr="00F67E0C">
        <w:rPr>
          <w:szCs w:val="24"/>
        </w:rPr>
        <w:t>Safeguard Mechanism reforms</w:t>
      </w:r>
      <w:r w:rsidR="00F60324">
        <w:rPr>
          <w:szCs w:val="24"/>
        </w:rPr>
        <w:t>”</w:t>
      </w:r>
      <w:r w:rsidRPr="00F67E0C">
        <w:rPr>
          <w:szCs w:val="24"/>
        </w:rPr>
        <w:t xml:space="preserve">. Available at: </w:t>
      </w:r>
      <w:hyperlink r:id="rId16">
        <w:r w:rsidR="00567F6D" w:rsidRPr="00F67E0C">
          <w:rPr>
            <w:u w:val="single"/>
            <w:color w:val="1F4E79"/>
            <w:szCs w:val="24"/>
          </w:rPr>
          <w:t>https://www.dcceew.gov.au/sites/default/files/documents/safeguard-mechanism-reforms-factsheet-2023.pdf</w:t>
        </w:r>
      </w:hyperlink>
    </w:p>
    <w:p w:rsidR="00567F6D" w:rsidRDefault="00000000" w14:paraId="4D567C39" w14:textId="77777777" w:rsidP="00F67E0C" w:rsidRPr="00F67E0C">
      <w:pPr>
        <w:jc w:val="left"/>
        <w:rPr>
          <w:szCs w:val="24"/>
        </w:rPr>
      </w:pPr>
      <w:r w:rsidRPr="00F67E0C">
        <w:rPr>
          <w:szCs w:val="24"/>
        </w:rPr>
        <w:t xml:space="preserve">Deloitte (2025) Tracking the Trends 2025: The top 10 issues shaping the future of mining and metals. Available at: </w:t>
      </w:r>
      <w:hyperlink r:id="rId17">
        <w:r w:rsidR="00567F6D" w:rsidRPr="00F67E0C">
          <w:rPr>
            <w:u w:val="single"/>
            <w:color w:val="1F4E79"/>
            <w:szCs w:val="24"/>
          </w:rPr>
          <w:t>https://www.deloitte.com/tw/en/Industries/mining-metals/research/tracking-the-trends.html</w:t>
        </w:r>
      </w:hyperlink>
    </w:p>
    <w:p w:rsidR="00567F6D" w:rsidRDefault="00000000" w14:paraId="09E885C1" w14:textId="77777777" w:rsidP="00F67E0C" w:rsidRPr="00F67E0C">
      <w:pPr>
        <w:jc w:val="left"/>
        <w:rPr>
          <w:szCs w:val="24"/>
        </w:rPr>
      </w:pPr>
      <w:r w:rsidRPr="00F67E0C">
        <w:rPr>
          <w:szCs w:val="24"/>
        </w:rPr>
        <w:t xml:space="preserve">Du, L., Lin, W., Du, J., Jin, M. and Fan, M. (2022) </w:t>
      </w:r>
      <w:r w:rsidR="00F60324">
        <w:rPr>
          <w:szCs w:val="24"/>
        </w:rPr>
        <w:t>“</w:t>
      </w:r>
      <w:r w:rsidRPr="00F67E0C">
        <w:rPr>
          <w:szCs w:val="24"/>
        </w:rPr>
        <w:t>Environmental regulation and green innovation: evidence from firm-level data</w:t>
      </w:r>
      <w:r w:rsidR="00F60324">
        <w:rPr>
          <w:szCs w:val="24"/>
        </w:rPr>
        <w:t>”</w:t>
      </w:r>
      <w:r w:rsidRPr="00F67E0C">
        <w:rPr>
          <w:szCs w:val="24"/>
        </w:rPr>
        <w:t xml:space="preserve">, Journal of Environmental Management, 317, 115349. Available at: </w:t>
      </w:r>
      <w:hyperlink r:id="rId18">
        <w:r w:rsidR="00567F6D" w:rsidRPr="00F67E0C">
          <w:rPr>
            <w:u w:val="single"/>
            <w:color w:val="1F4E79"/>
            <w:szCs w:val="24"/>
          </w:rPr>
          <w:t>https://doi.org/10.1016/j.jenvman.2022.115349</w:t>
        </w:r>
      </w:hyperlink>
    </w:p>
    <w:p w:rsidR="00567F6D" w:rsidRDefault="00000000" w14:paraId="385FF7EF" w14:textId="77777777" w:rsidP="00F67E0C" w:rsidRPr="00F67E0C">
      <w:pPr>
        <w:jc w:val="left"/>
        <w:rPr>
          <w:szCs w:val="24"/>
        </w:rPr>
      </w:pPr>
      <w:r w:rsidRPr="00F67E0C">
        <w:rPr>
          <w:szCs w:val="24"/>
        </w:rPr>
        <w:t xml:space="preserve">Han, M. and Xu, B. (2021) </w:t>
      </w:r>
      <w:r w:rsidR="00F60324">
        <w:rPr>
          <w:szCs w:val="24"/>
        </w:rPr>
        <w:t>“</w:t>
      </w:r>
      <w:r w:rsidRPr="00F67E0C">
        <w:rPr>
          <w:szCs w:val="24"/>
        </w:rPr>
        <w:t>Distance with customers effects on green product innovation in SMEs: a way through green value co-creation</w:t>
      </w:r>
      <w:r w:rsidR="00F60324">
        <w:rPr>
          <w:szCs w:val="24"/>
        </w:rPr>
        <w:t>”</w:t>
      </w:r>
      <w:r w:rsidRPr="00F67E0C">
        <w:rPr>
          <w:szCs w:val="24"/>
        </w:rPr>
        <w:t xml:space="preserve">, SAGE Open, 11(4), pp. 1-17. Available at: </w:t>
      </w:r>
      <w:hyperlink r:id="rId19">
        <w:r w:rsidR="00567F6D" w:rsidRPr="00F67E0C">
          <w:rPr>
            <w:u w:val="single"/>
            <w:color w:val="1F4E79"/>
            <w:szCs w:val="24"/>
          </w:rPr>
          <w:t>https://doi.org/10.1177/21582440211061539</w:t>
        </w:r>
      </w:hyperlink>
    </w:p>
    <w:p w:rsidR="00567F6D" w:rsidRDefault="00000000" w14:paraId="54B755DA" w14:textId="77777777" w:rsidP="00F67E0C" w:rsidRPr="00F67E0C">
      <w:pPr>
        <w:jc w:val="left"/>
        <w:rPr>
          <w:szCs w:val="24"/>
        </w:rPr>
      </w:pPr>
      <w:r w:rsidRPr="00F67E0C">
        <w:rPr>
          <w:szCs w:val="24"/>
        </w:rPr>
        <w:t xml:space="preserve">International Energy Agency (IEA) (2024) Global Critical Minerals Outlook 2024. Paris: IEA. Available at: </w:t>
        <w:lastRenderedPageBreak/>
      </w:r>
      <w:hyperlink r:id="rId20">
        <w:r w:rsidR="00567F6D" w:rsidRPr="00F67E0C">
          <w:rPr>
            <w:u w:val="single"/>
            <w:color w:val="1F4E79"/>
            <w:szCs w:val="24"/>
          </w:rPr>
          <w:t>https://www.iea.org/reports/global-critical-minerals-outlook-2024</w:t>
        </w:r>
      </w:hyperlink>
    </w:p>
    <w:p w:rsidR="00567F6D" w:rsidRDefault="00000000" w14:paraId="186577B8" w14:textId="77777777" w:rsidP="00F67E0C" w:rsidRPr="00F67E0C">
      <w:pPr>
        <w:jc w:val="left"/>
        <w:rPr>
          <w:szCs w:val="24"/>
        </w:rPr>
      </w:pPr>
      <w:r w:rsidRPr="00F67E0C">
        <w:rPr>
          <w:szCs w:val="24"/>
        </w:rPr>
        <w:t xml:space="preserve">IPCC (2023) Climate Change 2023: Synthesis Report. Geneva: Intergovernmental Panel on Climate Change. Available at: </w:t>
      </w:r>
      <w:hyperlink r:id="rId21">
        <w:r w:rsidR="00567F6D" w:rsidRPr="00F67E0C">
          <w:rPr>
            <w:u w:val="single"/>
            <w:color w:val="1F4E79"/>
            <w:szCs w:val="24"/>
          </w:rPr>
          <w:t>https://www.ipcc.ch/report/ar6/syr/</w:t>
        </w:r>
      </w:hyperlink>
    </w:p>
    <w:p w:rsidR="00567F6D" w:rsidRDefault="00000000" w14:paraId="07AE9A6D" w14:textId="77777777" w:rsidP="00F67E0C" w:rsidRPr="00F67E0C">
      <w:pPr>
        <w:jc w:val="left"/>
        <w:rPr>
          <w:szCs w:val="24"/>
        </w:rPr>
      </w:pPr>
      <w:r w:rsidRPr="00F67E0C">
        <w:rPr>
          <w:szCs w:val="24"/>
        </w:rPr>
        <w:t xml:space="preserve">Khan, S.J., Dhir, A., Parida, V. and Papa, A. (2021) </w:t>
      </w:r>
      <w:r w:rsidR="00F60324">
        <w:rPr>
          <w:szCs w:val="24"/>
        </w:rPr>
        <w:t>“</w:t>
      </w:r>
      <w:r w:rsidRPr="00F67E0C">
        <w:rPr>
          <w:szCs w:val="24"/>
        </w:rPr>
        <w:t>Past, present, and future of green product innovation</w:t>
      </w:r>
      <w:r w:rsidR="00F60324">
        <w:rPr>
          <w:szCs w:val="24"/>
        </w:rPr>
        <w:t>”</w:t>
      </w:r>
      <w:r w:rsidRPr="00F67E0C">
        <w:rPr>
          <w:szCs w:val="24"/>
        </w:rPr>
        <w:t xml:space="preserve">, Business Strategy and the Environment, 30(8), pp. 4081-4106. Available at: </w:t>
      </w:r>
      <w:hyperlink r:id="rId22">
        <w:r w:rsidR="00567F6D" w:rsidRPr="00F67E0C">
          <w:rPr>
            <w:u w:val="single"/>
            <w:color w:val="1F4E79"/>
            <w:szCs w:val="24"/>
          </w:rPr>
          <w:t>https://doi.org/10.1002/bse.2858</w:t>
        </w:r>
      </w:hyperlink>
    </w:p>
    <w:p w:rsidR="00567F6D" w:rsidRDefault="00000000" w14:paraId="5066ED23" w14:textId="77777777" w:rsidP="00F67E0C" w:rsidRPr="00F67E0C">
      <w:pPr>
        <w:jc w:val="left"/>
        <w:rPr>
          <w:szCs w:val="24"/>
        </w:rPr>
      </w:pPr>
      <w:r w:rsidRPr="00F67E0C">
        <w:rPr>
          <w:szCs w:val="24"/>
        </w:rPr>
        <w:t xml:space="preserve">Kitsis, A.M. and Chen, I.J. (2021) </w:t>
      </w:r>
      <w:r w:rsidR="00F60324">
        <w:rPr>
          <w:szCs w:val="24"/>
        </w:rPr>
        <w:t>“</w:t>
      </w:r>
      <w:r w:rsidRPr="00F67E0C">
        <w:rPr>
          <w:szCs w:val="24"/>
        </w:rPr>
        <w:t>Stakeholder pressures and green supply chain practices: the mediating effect of top management commitment</w:t>
      </w:r>
      <w:r w:rsidR="00F60324">
        <w:rPr>
          <w:szCs w:val="24"/>
        </w:rPr>
        <w:t>”</w:t>
      </w:r>
      <w:r w:rsidRPr="00F67E0C">
        <w:rPr>
          <w:szCs w:val="24"/>
        </w:rPr>
        <w:t xml:space="preserve">, Journal of Cleaner Production, 316, 128258. Available at: </w:t>
      </w:r>
      <w:hyperlink r:id="rId23">
        <w:r w:rsidR="00567F6D" w:rsidRPr="00F67E0C">
          <w:rPr>
            <w:u w:val="single"/>
            <w:color w:val="1F4E79"/>
            <w:szCs w:val="24"/>
          </w:rPr>
          <w:t>https://doi.org/10.1016/j.jclepro.2021.128258</w:t>
        </w:r>
      </w:hyperlink>
    </w:p>
    <w:p w:rsidR="00567F6D" w:rsidRDefault="00000000" w14:paraId="17A431A2" w14:textId="77777777" w:rsidP="00F67E0C" w:rsidRPr="00F67E0C">
      <w:pPr>
        <w:jc w:val="left"/>
        <w:rPr>
          <w:szCs w:val="24"/>
        </w:rPr>
      </w:pPr>
      <w:r w:rsidRPr="00F67E0C">
        <w:rPr>
          <w:szCs w:val="24"/>
        </w:rPr>
        <w:t xml:space="preserve">Kotler, P., Armstrong, G., Harris, L.C. and He, H. (2024) Principles of Marketing. 19th edn. Harlow: Pearson. Available at: </w:t>
      </w:r>
      <w:hyperlink r:id="rId24">
        <w:r w:rsidR="00567F6D" w:rsidRPr="00F67E0C">
          <w:rPr>
            <w:u w:val="single"/>
            <w:color w:val="1F4E79"/>
            <w:szCs w:val="24"/>
          </w:rPr>
          <w:t>https://www.pearson.com/en-us/subject-catalog/p/principles-of-marketing/P200000009859/9780137991839</w:t>
        </w:r>
      </w:hyperlink>
    </w:p>
    <w:p w:rsidR="00567F6D" w:rsidRDefault="00000000" w14:paraId="1110C622" w14:textId="77777777" w:rsidP="00F67E0C" w:rsidRPr="00F67E0C">
      <w:pPr>
        <w:jc w:val="left"/>
        <w:rPr>
          <w:szCs w:val="24"/>
        </w:rPr>
      </w:pPr>
      <w:r w:rsidRPr="00F67E0C">
        <w:rPr>
          <w:szCs w:val="24"/>
        </w:rPr>
        <w:t xml:space="preserve">Liu, L., Feng, A. and Liu, M. (2024) </w:t>
      </w:r>
      <w:r w:rsidR="00F60324">
        <w:rPr>
          <w:szCs w:val="24"/>
        </w:rPr>
        <w:t>“</w:t>
      </w:r>
      <w:r w:rsidRPr="00F67E0C">
        <w:rPr>
          <w:szCs w:val="24"/>
        </w:rPr>
        <w:t>The effect of green innovation on corporate financial performance: does quality matter?</w:t>
      </w:r>
      <w:r w:rsidR="00F60324">
        <w:rPr>
          <w:szCs w:val="24"/>
        </w:rPr>
        <w:t>”</w:t>
      </w:r>
      <w:r w:rsidRPr="00F67E0C">
        <w:rPr>
          <w:szCs w:val="24"/>
        </w:rPr>
        <w:t xml:space="preserve">, Finance Research Letters, 62, 105255. Available at: </w:t>
      </w:r>
      <w:hyperlink r:id="rId25">
        <w:r w:rsidR="00567F6D" w:rsidRPr="00F67E0C">
          <w:rPr>
            <w:u w:val="single"/>
            <w:color w:val="1F4E79"/>
            <w:szCs w:val="24"/>
          </w:rPr>
          <w:t>https://doi.org/10.1016/j.frl.2024.105255</w:t>
        </w:r>
      </w:hyperlink>
    </w:p>
    <w:p w:rsidR="00567F6D" w:rsidRDefault="00000000" w14:paraId="4B8DB542" w14:textId="77777777" w:rsidP="00F67E0C" w:rsidRPr="00F67E0C">
      <w:pPr>
        <w:jc w:val="left"/>
        <w:rPr>
          <w:szCs w:val="24"/>
        </w:rPr>
      </w:pPr>
      <w:r w:rsidRPr="00F67E0C">
        <w:rPr>
          <w:szCs w:val="24"/>
        </w:rPr>
        <w:t xml:space="preserve">Nuryakin, N. and Maryati, T. (2022) </w:t>
      </w:r>
      <w:r w:rsidR="00F60324">
        <w:rPr>
          <w:szCs w:val="24"/>
        </w:rPr>
        <w:t>“</w:t>
      </w:r>
      <w:r w:rsidRPr="00F67E0C">
        <w:rPr>
          <w:szCs w:val="24"/>
        </w:rPr>
        <w:t>Do green marketing orientation, green innovation and green competitive advantage enhance business performance?</w:t>
      </w:r>
      <w:r w:rsidR="00F60324">
        <w:rPr>
          <w:szCs w:val="24"/>
        </w:rPr>
        <w:t>”</w:t>
      </w:r>
      <w:r w:rsidRPr="00F67E0C">
        <w:rPr>
          <w:szCs w:val="24"/>
        </w:rPr>
        <w:t xml:space="preserve">, Cogent Business &amp; Management, 9(1), 2065948. Available at: </w:t>
      </w:r>
      <w:hyperlink r:id="rId26">
        <w:r w:rsidR="00567F6D" w:rsidRPr="00F67E0C">
          <w:rPr>
            <w:u w:val="single"/>
            <w:color w:val="1F4E79"/>
            <w:szCs w:val="24"/>
          </w:rPr>
          <w:t>https://doi.org/10.1080/23311975.2022.2065948</w:t>
        </w:r>
      </w:hyperlink>
    </w:p>
    <w:p w:rsidR="00567F6D" w:rsidRDefault="00000000" w14:paraId="166F7394" w14:textId="77777777" w:rsidP="00F67E0C" w:rsidRPr="00F67E0C">
      <w:pPr>
        <w:jc w:val="left"/>
        <w:rPr>
          <w:szCs w:val="24"/>
        </w:rPr>
      </w:pPr>
      <w:r w:rsidRPr="00F67E0C">
        <w:rPr>
          <w:szCs w:val="24"/>
        </w:rPr>
        <w:t xml:space="preserve">South32 Limited (2023) Sustainable Development Report 2023. Perth: South32 Limited. Available at: </w:t>
      </w:r>
      <w:hyperlink r:id="rId27">
        <w:r w:rsidR="00567F6D" w:rsidRPr="00F67E0C">
          <w:rPr>
            <w:u w:val="single"/>
            <w:color w:val="1F4E79"/>
            <w:szCs w:val="24"/>
          </w:rPr>
          <w:t>https://www.south32.net/docs/default-source/annual-reporting-suite/2023/sustainable-development-report-2023.pdf?sfvrsn=2e57d4d2_4</w:t>
        </w:r>
      </w:hyperlink>
    </w:p>
    <w:p w:rsidR="00567F6D" w:rsidRDefault="00000000" w14:paraId="4CB1BCFF" w14:textId="77777777" w:rsidP="00F67E0C" w:rsidRPr="00F67E0C">
      <w:pPr>
        <w:jc w:val="left"/>
        <w:rPr>
          <w:szCs w:val="24"/>
        </w:rPr>
      </w:pPr>
      <w:r w:rsidRPr="00F67E0C">
        <w:rPr>
          <w:szCs w:val="24"/>
        </w:rPr>
        <w:t xml:space="preserve">South32 Limited (2025a) Annual Report 2025. Perth: South32 Limited. Available at: </w:t>
      </w:r>
      <w:hyperlink r:id="rId28">
        <w:r w:rsidR="00567F6D" w:rsidRPr="00F67E0C">
          <w:rPr>
            <w:u w:val="single"/>
            <w:color w:val="1F4E79"/>
            <w:szCs w:val="24"/>
          </w:rPr>
          <w:t>https://www.south32.net/docs/default-source/annual-reporting-suite/2025/annual-report-2025.pdf?sfvrsn=11e4e0c_2</w:t>
        </w:r>
      </w:hyperlink>
    </w:p>
    <w:p w:rsidR="00567F6D" w:rsidRDefault="00000000" w14:paraId="59AC605F" w14:textId="77777777" w:rsidP="00F67E0C" w:rsidRPr="00F67E0C">
      <w:pPr>
        <w:jc w:val="left"/>
        <w:rPr>
          <w:szCs w:val="24"/>
        </w:rPr>
      </w:pPr>
      <w:r w:rsidRPr="00F67E0C">
        <w:rPr>
          <w:szCs w:val="24"/>
        </w:rPr>
        <w:t xml:space="preserve">South32 Limited (2025b) Climate Change Action Plan 2025. Perth: South32 Limited. Available at: </w:t>
      </w:r>
      <w:hyperlink r:id="rId29">
        <w:r w:rsidR="00567F6D" w:rsidRPr="00F67E0C">
          <w:rPr>
            <w:u w:val="single"/>
            <w:color w:val="1F4E79"/>
            <w:szCs w:val="24"/>
          </w:rPr>
          <w:t>https://www.south32.net/docs/default-source/annual-reporting-suite/2025/climate-change-action-plan-2025.pdf</w:t>
        </w:r>
      </w:hyperlink>
    </w:p>
    <w:p w:rsidR="00567F6D" w:rsidRDefault="00000000" w14:paraId="44F9FF44" w14:textId="77777777" w:rsidP="00F67E0C" w:rsidRPr="00F67E0C">
      <w:pPr>
        <w:jc w:val="left"/>
        <w:rPr>
          <w:szCs w:val="24"/>
        </w:rPr>
      </w:pPr>
      <w:r w:rsidRPr="00F67E0C">
        <w:rPr>
          <w:szCs w:val="24"/>
        </w:rPr>
        <w:t xml:space="preserve">South32 Limited (2025c) Climate-related Risk and Reporting Methodology 2025. Perth: South32 Limited. Available at: </w:t>
      </w:r>
      <w:hyperlink r:id="rId30">
        <w:r w:rsidR="00567F6D" w:rsidRPr="00F67E0C">
          <w:rPr>
            <w:u w:val="single"/>
            <w:color w:val="1F4E79"/>
            <w:szCs w:val="24"/>
          </w:rPr>
          <w:t>https://www.south32.net/docs/default-source/annual-</w:t>
        </w:r>
        <w:r w:rsidR="00567F6D" w:rsidRPr="00F67E0C">
          <w:rPr>
            <w:u w:val="single"/>
            <w:color w:val="1F4E79"/>
            <w:szCs w:val="24"/>
          </w:rPr>
          <w:t>reporting-suite/2025/climate-related-risk-and-reporting-methodology-2025.pdf?sfvrsn=9e410e18_1</w:t>
          <w:lastRenderedPageBreak/>
        </w:r>
      </w:hyperlink>
    </w:p>
    <w:p w:rsidR="00567F6D" w:rsidRDefault="00000000" w14:paraId="45C2BCFA" w14:textId="77777777" w:rsidP="00F67E0C" w:rsidRPr="00F67E0C">
      <w:pPr>
        <w:jc w:val="left"/>
        <w:rPr>
          <w:szCs w:val="24"/>
        </w:rPr>
      </w:pPr>
      <w:r w:rsidRPr="00F67E0C">
        <w:rPr>
          <w:szCs w:val="24"/>
        </w:rPr>
        <w:t xml:space="preserve">Tu, Y. and Wu, W. (2021) </w:t>
      </w:r>
      <w:r w:rsidR="00F60324">
        <w:rPr>
          <w:szCs w:val="24"/>
        </w:rPr>
        <w:t>“</w:t>
      </w:r>
      <w:r w:rsidRPr="00F67E0C">
        <w:rPr>
          <w:szCs w:val="24"/>
        </w:rPr>
        <w:t>How does green innovation improve enterprises</w:t>
      </w:r>
      <w:r w:rsidR="00F60324">
        <w:rPr>
          <w:szCs w:val="24"/>
        </w:rPr>
        <w:t>”</w:t>
      </w:r>
      <w:r w:rsidRPr="00F67E0C">
        <w:rPr>
          <w:szCs w:val="24"/>
        </w:rPr>
        <w:t xml:space="preserve"> competitive advantage? The role of organizational learning</w:t>
      </w:r>
      <w:r w:rsidR="00F60324">
        <w:rPr>
          <w:szCs w:val="24"/>
        </w:rPr>
        <w:t>”</w:t>
      </w:r>
      <w:r w:rsidRPr="00F67E0C">
        <w:rPr>
          <w:szCs w:val="24"/>
        </w:rPr>
        <w:t xml:space="preserve">, Sustainable Production and Consumption, 26, pp. 504-516. Available at: </w:t>
      </w:r>
      <w:hyperlink r:id="rId31">
        <w:r w:rsidR="00567F6D" w:rsidRPr="00F67E0C">
          <w:rPr>
            <w:u w:val="single"/>
            <w:color w:val="1F4E79"/>
            <w:szCs w:val="24"/>
          </w:rPr>
          <w:t>https://doi.org/10.1016/j.spc.2020.12.031</w:t>
        </w:r>
      </w:hyperlink>
    </w:p>
    <w:p w:rsidR="00567F6D" w:rsidRDefault="00000000" w14:paraId="5AD8A487" w14:textId="77777777" w:rsidP="00F67E0C" w:rsidRPr="00F67E0C">
      <w:pPr>
        <w:jc w:val="left"/>
        <w:rPr>
          <w:szCs w:val="24"/>
        </w:rPr>
      </w:pPr>
      <w:r w:rsidRPr="00F67E0C">
        <w:rPr>
          <w:szCs w:val="24"/>
        </w:rPr>
        <w:t xml:space="preserve">World Bank (2020) </w:t>
      </w:r>
      <w:r w:rsidR="00F60324">
        <w:rPr>
          <w:szCs w:val="24"/>
        </w:rPr>
        <w:t>“</w:t>
      </w:r>
      <w:r w:rsidRPr="00F67E0C">
        <w:rPr>
          <w:szCs w:val="24"/>
        </w:rPr>
        <w:t>Mineral production to soar as demand for clean energy increases</w:t>
      </w:r>
      <w:r w:rsidR="00F60324">
        <w:rPr>
          <w:szCs w:val="24"/>
        </w:rPr>
        <w:t>”</w:t>
      </w:r>
      <w:r w:rsidRPr="00F67E0C">
        <w:rPr>
          <w:szCs w:val="24"/>
        </w:rPr>
        <w:t xml:space="preserve">. Available at: </w:t>
      </w:r>
      <w:hyperlink r:id="rId32">
        <w:r w:rsidR="00567F6D" w:rsidRPr="00F67E0C">
          <w:rPr>
            <w:u w:val="single"/>
            <w:color w:val="1F4E79"/>
            <w:szCs w:val="24"/>
          </w:rPr>
          <w:t>https://www.worldbank.org/en/news/press-release/2020/05/11/mineral-production-to-soar-as-demand-for-clean-energy-increases</w:t>
        </w:r>
      </w:hyperlink>
    </w:p>
    <w:p w:rsidR="00567F6D" w:rsidRDefault="00000000" w14:paraId="442CA37D" w14:textId="77777777" w:rsidP="00F67E0C" w:rsidRPr="00F67E0C">
      <w:pPr>
        <w:jc w:val="left"/>
        <w:rPr>
          <w:szCs w:val="24"/>
        </w:rPr>
      </w:pPr>
      <w:r w:rsidRPr="00F67E0C">
        <w:rPr>
          <w:szCs w:val="24"/>
        </w:rPr>
        <w:t xml:space="preserve">Zarzycka, E. and Krasodomska, J. (2021) </w:t>
      </w:r>
      <w:r w:rsidR="00F60324">
        <w:rPr>
          <w:szCs w:val="24"/>
        </w:rPr>
        <w:t>“</w:t>
      </w:r>
      <w:r w:rsidRPr="00F67E0C">
        <w:rPr>
          <w:szCs w:val="24"/>
        </w:rPr>
        <w:t>Environmental key performance indicators: the role of regulations and stakeholder influence</w:t>
      </w:r>
      <w:r w:rsidR="00F60324">
        <w:rPr>
          <w:szCs w:val="24"/>
        </w:rPr>
        <w:t>”</w:t>
      </w:r>
      <w:r w:rsidRPr="00F67E0C">
        <w:rPr>
          <w:szCs w:val="24"/>
        </w:rPr>
        <w:t xml:space="preserve">, Environment Systems and Decisions, 41, pp. 651-666. Available at: </w:t>
      </w:r>
      <w:hyperlink r:id="rId33">
        <w:r w:rsidR="00567F6D" w:rsidRPr="00F67E0C">
          <w:rPr>
            <w:u w:val="single"/>
            <w:color w:val="1F4E79"/>
            <w:szCs w:val="24"/>
          </w:rPr>
          <w:t>https://doi.org/10.1007/s10669-021-09825-z</w:t>
        </w:r>
      </w:hyperlink>
    </w:p>
    <w:p w:rsidR="00567F6D" w:rsidRDefault="00000000" w14:paraId="7F88C115" w14:textId="77777777" w:rsidP="00F67E0C" w:rsidRPr="00F67E0C">
      <w:pPr>
        <w:jc w:val="left"/>
        <w:rPr>
          <w:szCs w:val="24"/>
        </w:rPr>
      </w:pPr>
      <w:r w:rsidRPr="00F67E0C">
        <w:rPr>
          <w:szCs w:val="24"/>
        </w:rPr>
        <w:t xml:space="preserve">Zhang, D. (2022) </w:t>
      </w:r>
      <w:r w:rsidR="00F60324">
        <w:rPr>
          <w:szCs w:val="24"/>
        </w:rPr>
        <w:t>“</w:t>
      </w:r>
      <w:r w:rsidRPr="00F67E0C">
        <w:rPr>
          <w:szCs w:val="24"/>
        </w:rPr>
        <w:t>Environmental regulation, green innovation and export product quality: does greenwashing matter?</w:t>
      </w:r>
      <w:r w:rsidR="00F60324">
        <w:rPr>
          <w:szCs w:val="24"/>
        </w:rPr>
        <w:t>”</w:t>
      </w:r>
      <w:r w:rsidRPr="00F67E0C">
        <w:rPr>
          <w:szCs w:val="24"/>
        </w:rPr>
        <w:t xml:space="preserve">, International Review of Financial Analysis, 83, 102311. Available at: </w:t>
      </w:r>
      <w:hyperlink r:id="rId34">
        <w:r w:rsidR="00567F6D" w:rsidRPr="00F67E0C">
          <w:rPr>
            <w:u w:val="single"/>
            <w:color w:val="1F4E79"/>
            <w:szCs w:val="24"/>
          </w:rPr>
          <w:t>https://doi.org/10.1016/j.irfa.2022.102311</w:t>
        </w:r>
      </w:hyperlink>
    </w:p>
    <w:sectPr w:rsidR="00567F6D" w:rsidRPr="00F67E0C" w:rsidSect="00F67E0C">
      <w:docGrid w:linePitch="360"/>
      <w:headerReference r:id="rId37" w:type="first"/>
      <w:headerReference r:id="rId35" w:type="default"/>
      <w:footerReference r:id="rId38" w:type="first"/>
      <w:footerReference r:id="rId36" w:type="default"/>
      <w:pgSz w:w="11906" w:h="16838"/>
      <w:pgMar w:left="1152" w:right="1152" w:top="1152" w:bottom="108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FD970" w14:textId="77777777" w:rsidR="005C2313" w:rsidRDefault="005C2313">
      <w:pPr>
        <w:spacing w:before="0" w:after="0" w:line="240" w:lineRule="auto"/>
      </w:pPr>
      <w:r>
        <w:separator/>
      </w:r>
    </w:p>
  </w:endnote>
  <w:endnote w:type="continuationSeparator" w:id="0">
    <w:p w14:paraId="0813BBB5" w14:textId="77777777" w:rsidR="005C2313" w:rsidRDefault="005C2313">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4094A" w14:textId="77777777" w:rsidR="00567F6D" w:rsidRDefault="00000000">
    <w:pPr>
      <w:pStyle w:val="Footer"/>
      <w:jc w:val="center"/>
    </w:pPr>
    <w:r>
      <w:rPr>
        <w:color w:val="5A5A5A"/>
        <w:sz w:val="19"/>
      </w:rPr>
      <w:t xml:space="preserve">Page </w:t>
    </w:r>
    <w:r>
      <w:rPr>
        <w:sz w:val="20"/>
      </w:rPr>
      <w:fldChar w:fldCharType="begin"/>
    </w:r>
    <w:r>
      <w:rPr>
        <w:sz w:val="20"/>
      </w:rPr>
      <w:instrText>PAGE</w:instrText>
    </w:r>
    <w:r>
      <w:rPr>
        <w:sz w:val="20"/>
      </w:rPr>
      <w:fldChar w:fldCharType="separate"/>
    </w:r>
    <w:r w:rsidR="00F67E0C">
      <w:rPr>
        <w:noProof/>
        <w:sz w:val="20"/>
      </w:rPr>
      <w:t>2</w:t>
    </w:r>
    <w:r>
      <w:rPr>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D6F1D" w14:textId="77777777" w:rsidR="00A237C8" w:rsidRDefault="00A23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147343" w14:textId="77777777" w:rsidR="005C2313" w:rsidRDefault="005C2313">
      <w:pPr>
        <w:spacing w:before="0" w:after="0" w:line="240" w:lineRule="auto"/>
      </w:pPr>
      <w:r>
        <w:separator/>
      </w:r>
    </w:p>
  </w:footnote>
  <w:footnote w:type="continuationSeparator" w:id="0">
    <w:p w14:paraId="6A2E72FB" w14:textId="77777777" w:rsidR="005C2313" w:rsidRDefault="005C231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CC8D7" w14:textId="77777777" w:rsidR="00A237C8" w:rsidRDefault="00A237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C0F5B" w14:textId="77777777" w:rsidR="00A237C8" w:rsidRDefault="00A237C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singleLevel"/>
    <w:nsid w:val="FFFFFF7C"/>
    <w:tmpl w:val="C310EC42"/>
    <w:lvl w:ilvl="0">
      <w:numFmt w:val="decimal"/>
      <w:lvlText w:val="%1."/>
      <w:start w:val="1"/>
      <w:pPr>
        <w:ind w:left="1800"/>
        <w:ind w:hanging="360"/>
        <w:tabs>
          <w:tab w:val="num" w:pos="1800"/>
        </w:tabs>
      </w:pPr>
      <w:lvlJc w:val="left"/>
    </w:lvl>
  </w:abstractNum>
  <w:abstractNum w:abstractNumId="1">
    <w:multiLevelType w:val="singleLevel"/>
    <w:nsid w:val="FFFFFF7D"/>
    <w:tmpl w:val="E4089024"/>
    <w:lvl w:ilvl="0">
      <w:numFmt w:val="decimal"/>
      <w:lvlText w:val="%1."/>
      <w:start w:val="1"/>
      <w:pPr>
        <w:ind w:left="1440"/>
        <w:ind w:hanging="360"/>
        <w:tabs>
          <w:tab w:val="num" w:pos="1440"/>
        </w:tabs>
      </w:pPr>
      <w:lvlJc w:val="left"/>
    </w:lvl>
  </w:abstractNum>
  <w:abstractNum w:abstractNumId="2">
    <w:multiLevelType w:val="singleLevel"/>
    <w:nsid w:val="FFFFFF7E"/>
    <w:tmpl w:val="FB12693A"/>
    <w:lvl w:ilvl="0">
      <w:numFmt w:val="decimal"/>
      <w:lvlText w:val="%1."/>
      <w:start w:val="1"/>
      <w:pPr>
        <w:ind w:left="1080"/>
        <w:ind w:hanging="360"/>
        <w:tabs>
          <w:tab w:val="num" w:pos="1080"/>
        </w:tabs>
      </w:pPr>
      <w:pStyle w:val="ListNumber3"/>
      <w:lvlJc w:val="left"/>
    </w:lvl>
  </w:abstractNum>
  <w:abstractNum w:abstractNumId="3">
    <w:multiLevelType w:val="singleLevel"/>
    <w:nsid w:val="FFFFFF7F"/>
    <w:tmpl w:val="38441652"/>
    <w:lvl w:ilvl="0">
      <w:numFmt w:val="decimal"/>
      <w:lvlText w:val="%1."/>
      <w:start w:val="1"/>
      <w:pPr>
        <w:ind w:left="720"/>
        <w:ind w:hanging="360"/>
        <w:tabs>
          <w:tab w:val="num" w:pos="720"/>
        </w:tabs>
      </w:pPr>
      <w:pStyle w:val="ListNumber2"/>
      <w:lvlJc w:val="left"/>
    </w:lvl>
  </w:abstractNum>
  <w:abstractNum w:abstractNumId="4">
    <w:multiLevelType w:val="singleLevel"/>
    <w:nsid w:val="FFFFFF81"/>
    <w:tmpl w:val="171AC3A4"/>
    <w:lvl w:ilvl="0">
      <w:numFmt w:val="bullet"/>
      <w:lvlText w:val=""/>
      <w:start w:val="1"/>
      <w:rPr>
        <w:rFonts w:ascii="Symbol" w:hAnsi="Symbol" w:hint="default"/>
      </w:rPr>
      <w:pPr>
        <w:ind w:left="1440"/>
        <w:ind w:hanging="360"/>
        <w:tabs>
          <w:tab w:val="num" w:pos="1440"/>
        </w:tabs>
      </w:pPr>
      <w:lvlJc w:val="left"/>
    </w:lvl>
  </w:abstractNum>
  <w:abstractNum w:abstractNumId="5">
    <w:multiLevelType w:val="singleLevel"/>
    <w:nsid w:val="FFFFFF82"/>
    <w:tmpl w:val="F3EAFDEC"/>
    <w:lvl w:ilvl="0">
      <w:numFmt w:val="bullet"/>
      <w:lvlText w:val=""/>
      <w:start w:val="1"/>
      <w:rPr>
        <w:rFonts w:ascii="Symbol" w:hAnsi="Symbol" w:hint="default"/>
      </w:rPr>
      <w:pPr>
        <w:ind w:left="1080"/>
        <w:ind w:hanging="360"/>
        <w:tabs>
          <w:tab w:val="num" w:pos="1080"/>
        </w:tabs>
      </w:pPr>
      <w:pStyle w:val="ListBullet3"/>
      <w:lvlJc w:val="left"/>
    </w:lvl>
  </w:abstractNum>
  <w:abstractNum w:abstractNumId="6">
    <w:multiLevelType w:val="singleLevel"/>
    <w:nsid w:val="FFFFFF83"/>
    <w:tmpl w:val="3D1EFFD4"/>
    <w:lvl w:ilvl="0">
      <w:numFmt w:val="bullet"/>
      <w:lvlText w:val=""/>
      <w:start w:val="1"/>
      <w:rPr>
        <w:rFonts w:ascii="Symbol" w:hAnsi="Symbol" w:hint="default"/>
      </w:rPr>
      <w:pPr>
        <w:ind w:left="720"/>
        <w:ind w:hanging="360"/>
        <w:tabs>
          <w:tab w:val="num" w:pos="720"/>
        </w:tabs>
      </w:pPr>
      <w:pStyle w:val="ListBullet2"/>
      <w:lvlJc w:val="left"/>
    </w:lvl>
  </w:abstractNum>
  <w:abstractNum w:abstractNumId="7">
    <w:multiLevelType w:val="singleLevel"/>
    <w:nsid w:val="FFFFFF88"/>
    <w:tmpl w:val="D0A62B40"/>
    <w:lvl w:ilvl="0">
      <w:numFmt w:val="decimal"/>
      <w:lvlText w:val="%1."/>
      <w:start w:val="1"/>
      <w:pPr>
        <w:ind w:left="360"/>
        <w:ind w:hanging="360"/>
        <w:tabs>
          <w:tab w:val="num" w:pos="360"/>
        </w:tabs>
      </w:pPr>
      <w:pStyle w:val="ListNumber"/>
      <w:lvlJc w:val="left"/>
    </w:lvl>
  </w:abstractNum>
  <w:abstractNum w:abstractNumId="8">
    <w:multiLevelType w:val="singleLevel"/>
    <w:nsid w:val="FFFFFF89"/>
    <w:tmpl w:val="29761A62"/>
    <w:lvl w:ilvl="0">
      <w:numFmt w:val="bullet"/>
      <w:lvlText w:val=""/>
      <w:start w:val="1"/>
      <w:rPr>
        <w:rFonts w:ascii="Symbol" w:hAnsi="Symbol" w:hint="default"/>
      </w:rPr>
      <w:pPr>
        <w:ind w:left="360"/>
        <w:ind w:hanging="360"/>
        <w:tabs>
          <w:tab w:val="num" w:pos="360"/>
        </w:tabs>
      </w:pPr>
      <w:pStyle w:val="ListBullet"/>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A53B67"/>
  <w14:defaultImageDpi w14:val="300"/>
  <w15:docId w15:val="{34806EF7-6431-4131-98A6-990FC5FF715F}"/>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C62"/>
    <w:pPr>
      <w:spacing w:before="120" w:after="120" w:line="360" w:lineRule="auto"/>
      <w:jc w:val="both"/>
    </w:pPr>
    <w:rPr>
      <w:rFonts w:ascii="Arial" w:eastAsia="Arial" w:hAnsi="Arial" w:cs="Arial"/>
      <w:sz w:val="24"/>
    </w:rPr>
  </w:style>
  <w:style w:type="paragraph" w:styleId="Heading1">
    <w:name w:val="heading 1"/>
    <w:basedOn w:val="Normal"/>
    <w:next w:val="Normal"/>
    <w:link w:val="Heading1Char"/>
    <w:uiPriority w:val="9"/>
    <w:qFormat/>
    <w:rsid w:val="00F67E0C"/>
    <w:pPr>
      <w:keepNext/>
      <w:keepLines/>
      <w:outlineLvl w:val="0"/>
    </w:pPr>
    <w:rPr>
      <w:rFonts w:eastAsiaTheme="majorEastAsia" w:cstheme="majorBidi"/>
      <w:b/>
      <w:bCs/>
      <w:szCs w:val="28"/>
    </w:rPr>
  </w:style>
  <w:style w:type="paragraph" w:styleId="Heading2">
    <w:name w:val="heading 2"/>
    <w:basedOn w:val="Heading1"/>
    <w:next w:val="Normal"/>
    <w:link w:val="Heading2Char"/>
    <w:uiPriority w:val="9"/>
    <w:unhideWhenUsed/>
    <w:qFormat/>
    <w:rsid w:val="00F67E0C"/>
    <w:pPr>
      <w:outlineLvl w:val="1"/>
    </w:pPr>
    <w:rPr>
      <w:rFonts w:eastAsia="Arial" w:cs="Arial"/>
    </w:rPr>
  </w:style>
  <w:style w:type="paragraph" w:styleId="Heading3">
    <w:name w:val="heading 3"/>
    <w:basedOn w:val="Heading2"/>
    <w:next w:val="Normal"/>
    <w:link w:val="Heading3Char"/>
    <w:uiPriority w:val="9"/>
    <w:unhideWhenUsed/>
    <w:qFormat/>
    <w:rsid w:val="00F67E0C"/>
    <w:pPr>
      <w:outlineLvl w:val="2"/>
    </w:p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rPr>
      <w:rFonts w:ascii="Arial" w:eastAsia="Arial" w:hAnsi="Arial" w:cs="Arial"/>
    </w:r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rPr>
      <w:rFonts w:ascii="Arial" w:eastAsia="Arial" w:hAnsi="Arial" w:cs="Arial"/>
    </w:rPr>
  </w:style>
  <w:style w:type="paragraph" w:styleId="NoSpacing">
    <w:name w:val="No Spacing"/>
    <w:uiPriority w:val="1"/>
    <w:qFormat/>
    <w:rsid w:val="00FC693F"/>
    <w:pPr>
      <w:spacing w:after="0" w:line="240" w:lineRule="auto"/>
    </w:pPr>
    <w:rPr>
      <w:rFonts w:ascii="Arial" w:eastAsia="Arial" w:hAnsi="Arial" w:cs="Arial"/>
    </w:rPr>
  </w:style>
  <w:style w:type="character" w:customStyle="1" w:styleId="Heading1Char">
    <w:name w:val="Heading 1 Char"/>
    <w:basedOn w:val="DefaultParagraphFont"/>
    <w:link w:val="Heading1"/>
    <w:uiPriority w:val="9"/>
    <w:rsid w:val="00F67E0C"/>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F67E0C"/>
    <w:rPr>
      <w:rFonts w:ascii="Arial" w:eastAsiaTheme="majorEastAsia" w:hAnsi="Arial" w:cstheme="majorBidi"/>
      <w:b/>
      <w:bCs/>
      <w:sz w:val="24"/>
      <w:szCs w:val="28"/>
    </w:rPr>
  </w:style>
  <w:style w:type="character" w:customStyle="1" w:styleId="Heading3Char">
    <w:name w:val="Heading 3 Char"/>
    <w:basedOn w:val="DefaultParagraphFont"/>
    <w:link w:val="Heading3"/>
    <w:uiPriority w:val="9"/>
    <w:rsid w:val="00F67E0C"/>
    <w:rPr>
      <w:rFonts w:ascii="Arial" w:eastAsiaTheme="majorEastAsia" w:hAnsi="Arial" w:cstheme="majorBidi"/>
      <w:b/>
      <w:bCs/>
      <w:sz w:val="24"/>
      <w:szCs w:val="28"/>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rPr>
      <w:rFonts w:ascii="Arial" w:eastAsia="Arial" w:hAnsi="Arial" w:cs="Arial"/>
    </w:rPr>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rPr>
      <w:rFonts w:ascii="Arial" w:eastAsia="Arial" w:hAnsi="Arial" w:cs="Arial"/>
    </w:rPr>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rFonts w:ascii="Arial" w:eastAsia="Arial" w:hAnsi="Arial" w:cs="Arial"/>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eastAsia="Arial" w:hAnsi="Arial" w:cs="Arial"/>
      <w:sz w:val="20"/>
      <w:szCs w:val="20"/>
    </w:rPr>
  </w:style>
  <w:style w:type="character" w:customStyle="1" w:styleId="MacroTextChar">
    <w:name w:val="Macro Text Char"/>
    <w:basedOn w:val="DefaultParagraphFont"/>
    <w:link w:val="MacroText"/>
    <w:uiPriority w:val="99"/>
    <w:rsid w:val="0029639D"/>
    <w:rPr>
      <w:rFonts w:ascii="Arial" w:eastAsia="Arial" w:hAnsi="Arial" w:cs="Arial"/>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rFonts w:ascii="Arial" w:eastAsia="Arial" w:hAnsi="Arial" w:cs="Arial"/>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rFonts w:ascii="Arial" w:eastAsia="Arial" w:hAnsi="Arial" w:cs="Arial"/>
      <w:b/>
      <w:bCs/>
    </w:rPr>
  </w:style>
  <w:style w:type="character" w:styleId="Emphasis">
    <w:name w:val="Emphasis"/>
    <w:basedOn w:val="DefaultParagraphFont"/>
    <w:uiPriority w:val="20"/>
    <w:qFormat/>
    <w:rsid w:val="00FC693F"/>
    <w:rPr>
      <w:rFonts w:ascii="Arial" w:eastAsia="Arial" w:hAnsi="Arial" w:cs="Arial"/>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rFonts w:ascii="Arial" w:eastAsia="Arial" w:hAnsi="Arial" w:cs="Arial"/>
      <w:b/>
      <w:bCs/>
      <w:i/>
      <w:iCs/>
      <w:color w:val="4F81BD" w:themeColor="accent1"/>
    </w:rPr>
  </w:style>
  <w:style w:type="character" w:styleId="SubtleEmphasis">
    <w:name w:val="Subtle Emphasis"/>
    <w:basedOn w:val="DefaultParagraphFont"/>
    <w:uiPriority w:val="19"/>
    <w:qFormat/>
    <w:rsid w:val="00FC693F"/>
    <w:rPr>
      <w:rFonts w:ascii="Arial" w:eastAsia="Arial" w:hAnsi="Arial" w:cs="Arial"/>
      <w:i/>
      <w:iCs/>
      <w:color w:val="808080" w:themeColor="text1" w:themeTint="7F"/>
    </w:rPr>
  </w:style>
  <w:style w:type="character" w:styleId="IntenseEmphasis">
    <w:name w:val="Intense Emphasis"/>
    <w:basedOn w:val="DefaultParagraphFont"/>
    <w:uiPriority w:val="21"/>
    <w:qFormat/>
    <w:rsid w:val="00FC693F"/>
    <w:rPr>
      <w:rFonts w:ascii="Arial" w:eastAsia="Arial" w:hAnsi="Arial" w:cs="Arial"/>
      <w:b/>
      <w:bCs/>
      <w:i/>
      <w:iCs/>
      <w:color w:val="4F81BD" w:themeColor="accent1"/>
    </w:rPr>
  </w:style>
  <w:style w:type="character" w:styleId="SubtleReference">
    <w:name w:val="Subtle Reference"/>
    <w:basedOn w:val="DefaultParagraphFont"/>
    <w:uiPriority w:val="31"/>
    <w:qFormat/>
    <w:rsid w:val="00FC693F"/>
    <w:rPr>
      <w:rFonts w:ascii="Arial" w:eastAsia="Arial" w:hAnsi="Arial" w:cs="Arial"/>
      <w:smallCaps/>
      <w:color w:val="C0504D" w:themeColor="accent2"/>
      <w:u w:val="single"/>
    </w:rPr>
  </w:style>
  <w:style w:type="character" w:styleId="IntenseReference">
    <w:name w:val="Intense Reference"/>
    <w:basedOn w:val="DefaultParagraphFont"/>
    <w:uiPriority w:val="32"/>
    <w:qFormat/>
    <w:rsid w:val="00FC693F"/>
    <w:rPr>
      <w:rFonts w:ascii="Arial" w:eastAsia="Arial" w:hAnsi="Arial" w:cs="Arial"/>
      <w:b/>
      <w:bCs/>
      <w:smallCaps/>
      <w:color w:val="C0504D" w:themeColor="accent2"/>
      <w:spacing w:val="5"/>
      <w:u w:val="single"/>
    </w:rPr>
  </w:style>
  <w:style w:type="character" w:styleId="BookTitle">
    <w:name w:val="Book Title"/>
    <w:basedOn w:val="DefaultParagraphFont"/>
    <w:uiPriority w:val="33"/>
    <w:qFormat/>
    <w:rsid w:val="00FC693F"/>
    <w:rPr>
      <w:rFonts w:ascii="Arial" w:eastAsia="Arial" w:hAnsi="Arial" w:cs="Arial"/>
      <w:b/>
      <w:bCs/>
      <w:smallCaps/>
      <w:spacing w:val="5"/>
    </w:rPr>
  </w:style>
  <w:style w:type="paragraph" w:styleId="TOCHeading">
    <w:name w:val="TOC Heading"/>
    <w:basedOn w:val="Heading1"/>
    <w:next w:val="Normal"/>
    <w:uiPriority w:val="39"/>
    <w:unhideWhenUsed/>
    <w:qFormat/>
    <w:rsid w:val="00FC693F"/>
    <w:pPr>
      <w:outlineLvl w:val="9"/>
    </w:pPr>
    <w:rPr>
      <w:rFonts w:eastAsia="Arial" w:cs="Arial"/>
    </w:rPr>
  </w:style>
  <w:style w:type="table" w:styleId="TableGrid">
    <w:name w:val="Table Grid"/>
    <w:basedOn w:val="TableNormal"/>
    <w:uiPriority w:val="59"/>
    <w:rsid w:val="00FC693F"/>
    <w:pPr>
      <w:spacing w:after="0" w:line="240" w:lineRule="auto"/>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rFonts w:ascii="Arial" w:eastAsia="Arial" w:hAnsi="Arial" w:cs="Arial"/>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rFonts w:ascii="Arial" w:eastAsia="Arial" w:hAnsi="Arial" w:cs="Arial"/>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rFonts w:ascii="Arial" w:eastAsia="Arial" w:hAnsi="Arial" w:cs="Arial"/>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rFonts w:ascii="Arial" w:eastAsia="Arial" w:hAnsi="Arial" w:cs="Arial"/>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rFonts w:ascii="Arial" w:eastAsia="Arial" w:hAnsi="Arial" w:cs="Arial"/>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rFonts w:ascii="Arial" w:eastAsia="Arial" w:hAnsi="Arial" w:cs="Arial"/>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rFonts w:ascii="Arial" w:eastAsia="Arial" w:hAnsi="Arial" w:cs="Arial"/>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rFonts w:ascii="Arial" w:eastAsia="Arial" w:hAnsi="Arial" w:cs="Arial"/>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rFonts w:ascii="Arial" w:eastAsia="Arial" w:hAnsi="Arial" w:cs="Arial"/>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rFonts w:ascii="Arial" w:eastAsia="Arial" w:hAnsi="Arial" w:cs="Arial"/>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rFonts w:ascii="Arial" w:eastAsia="Arial" w:hAnsi="Arial" w:cs="Arial"/>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rFonts w:ascii="Arial" w:eastAsia="Arial" w:hAnsi="Arial" w:cs="Arial"/>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rFonts w:ascii="Arial" w:eastAsia="Arial" w:hAnsi="Arial" w:cs="Arial"/>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rFonts w:ascii="Arial" w:eastAsia="Arial" w:hAnsi="Arial" w:cs="Arial"/>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rFonts w:ascii="Arial" w:eastAsia="Arial" w:hAnsi="Arial" w:cs="Arial"/>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rFonts w:ascii="Arial" w:eastAsia="Arial" w:hAnsi="Arial" w:cs="Arial"/>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rFonts w:ascii="Arial" w:eastAsia="Arial" w:hAnsi="Arial" w:cs="Arial"/>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rFonts w:ascii="Arial" w:eastAsia="Arial" w:hAnsi="Arial" w:cs="Arial"/>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rFonts w:ascii="Arial" w:eastAsia="Arial" w:hAnsi="Arial" w:cs="Arial"/>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rFonts w:ascii="Arial" w:eastAsia="Arial" w:hAnsi="Arial" w:cs="Arial"/>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rFonts w:ascii="Arial" w:eastAsia="Arial" w:hAnsi="Arial" w:cs="Arial"/>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rPr>
      <w:rFonts w:ascii="Arial" w:eastAsia="Arial" w:hAnsi="Arial" w:cs="Arial"/>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rFonts w:ascii="Arial" w:eastAsia="Arial" w:hAnsi="Arial" w:cs="Arial"/>
        <w:b/>
        <w:bCs/>
        <w:color w:val="FFFFFF" w:themeColor="background1"/>
      </w:rPr>
      <w:tblPr/>
      <w:tcPr>
        <w:shd w:val="clear" w:color="auto" w:fill="000000" w:themeFill="text1"/>
      </w:tcPr>
    </w:tblStylePr>
    <w:tblStylePr w:type="lastRow">
      <w:pPr>
        <w:spacing w:before="0" w:after="0" w:line="240" w:lineRule="auto"/>
      </w:pPr>
      <w:rPr>
        <w:rFonts w:ascii="Arial" w:eastAsia="Arial" w:hAnsi="Arial" w:cs="Arial"/>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rPr>
      <w:rFonts w:ascii="Arial" w:eastAsia="Arial" w:hAnsi="Arial" w:cs="Arial"/>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rFonts w:ascii="Arial" w:eastAsia="Arial" w:hAnsi="Arial" w:cs="Arial"/>
        <w:b/>
        <w:bCs/>
        <w:color w:val="FFFFFF" w:themeColor="background1"/>
      </w:rPr>
      <w:tblPr/>
      <w:tcPr>
        <w:shd w:val="clear" w:color="auto" w:fill="4F81BD" w:themeFill="accent1"/>
      </w:tcPr>
    </w:tblStylePr>
    <w:tblStylePr w:type="lastRow">
      <w:pPr>
        <w:spacing w:before="0" w:after="0" w:line="240" w:lineRule="auto"/>
      </w:pPr>
      <w:rPr>
        <w:rFonts w:ascii="Arial" w:eastAsia="Arial" w:hAnsi="Arial" w:cs="Arial"/>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rPr>
      <w:rFonts w:ascii="Arial" w:eastAsia="Arial" w:hAnsi="Arial" w:cs="Arial"/>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rFonts w:ascii="Arial" w:eastAsia="Arial" w:hAnsi="Arial" w:cs="Arial"/>
        <w:b/>
        <w:bCs/>
        <w:color w:val="FFFFFF" w:themeColor="background1"/>
      </w:rPr>
      <w:tblPr/>
      <w:tcPr>
        <w:shd w:val="clear" w:color="auto" w:fill="C0504D" w:themeFill="accent2"/>
      </w:tcPr>
    </w:tblStylePr>
    <w:tblStylePr w:type="lastRow">
      <w:pPr>
        <w:spacing w:before="0" w:after="0" w:line="240" w:lineRule="auto"/>
      </w:pPr>
      <w:rPr>
        <w:rFonts w:ascii="Arial" w:eastAsia="Arial" w:hAnsi="Arial" w:cs="Arial"/>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rPr>
      <w:rFonts w:ascii="Arial" w:eastAsia="Arial" w:hAnsi="Arial" w:cs="Arial"/>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rFonts w:ascii="Arial" w:eastAsia="Arial" w:hAnsi="Arial" w:cs="Arial"/>
        <w:b/>
        <w:bCs/>
        <w:color w:val="FFFFFF" w:themeColor="background1"/>
      </w:rPr>
      <w:tblPr/>
      <w:tcPr>
        <w:shd w:val="clear" w:color="auto" w:fill="9BBB59" w:themeFill="accent3"/>
      </w:tcPr>
    </w:tblStylePr>
    <w:tblStylePr w:type="lastRow">
      <w:pPr>
        <w:spacing w:before="0" w:after="0" w:line="240" w:lineRule="auto"/>
      </w:pPr>
      <w:rPr>
        <w:rFonts w:ascii="Arial" w:eastAsia="Arial" w:hAnsi="Arial" w:cs="Arial"/>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rPr>
      <w:rFonts w:ascii="Arial" w:eastAsia="Arial" w:hAnsi="Arial" w:cs="Arial"/>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rFonts w:ascii="Arial" w:eastAsia="Arial" w:hAnsi="Arial" w:cs="Arial"/>
        <w:b/>
        <w:bCs/>
        <w:color w:val="FFFFFF" w:themeColor="background1"/>
      </w:rPr>
      <w:tblPr/>
      <w:tcPr>
        <w:shd w:val="clear" w:color="auto" w:fill="8064A2" w:themeFill="accent4"/>
      </w:tcPr>
    </w:tblStylePr>
    <w:tblStylePr w:type="lastRow">
      <w:pPr>
        <w:spacing w:before="0" w:after="0" w:line="240" w:lineRule="auto"/>
      </w:pPr>
      <w:rPr>
        <w:rFonts w:ascii="Arial" w:eastAsia="Arial" w:hAnsi="Arial" w:cs="Arial"/>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rPr>
      <w:rFonts w:ascii="Arial" w:eastAsia="Arial" w:hAnsi="Arial" w:cs="Arial"/>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rFonts w:ascii="Arial" w:eastAsia="Arial" w:hAnsi="Arial" w:cs="Arial"/>
        <w:b/>
        <w:bCs/>
        <w:color w:val="FFFFFF" w:themeColor="background1"/>
      </w:rPr>
      <w:tblPr/>
      <w:tcPr>
        <w:shd w:val="clear" w:color="auto" w:fill="4BACC6" w:themeFill="accent5"/>
      </w:tcPr>
    </w:tblStylePr>
    <w:tblStylePr w:type="lastRow">
      <w:pPr>
        <w:spacing w:before="0" w:after="0" w:line="240" w:lineRule="auto"/>
      </w:pPr>
      <w:rPr>
        <w:rFonts w:ascii="Arial" w:eastAsia="Arial" w:hAnsi="Arial" w:cs="Arial"/>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rPr>
      <w:rFonts w:ascii="Arial" w:eastAsia="Arial" w:hAnsi="Arial" w:cs="Arial"/>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rFonts w:ascii="Arial" w:eastAsia="Arial" w:hAnsi="Arial" w:cs="Arial"/>
        <w:b/>
        <w:bCs/>
        <w:color w:val="FFFFFF" w:themeColor="background1"/>
      </w:rPr>
      <w:tblPr/>
      <w:tcPr>
        <w:shd w:val="clear" w:color="auto" w:fill="F79646" w:themeFill="accent6"/>
      </w:tcPr>
    </w:tblStylePr>
    <w:tblStylePr w:type="lastRow">
      <w:pPr>
        <w:spacing w:before="0" w:after="0" w:line="240" w:lineRule="auto"/>
      </w:pPr>
      <w:rPr>
        <w:rFonts w:ascii="Arial" w:eastAsia="Arial" w:hAnsi="Arial" w:cs="Arial"/>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rPr>
      <w:rFonts w:ascii="Arial" w:eastAsia="Arial" w:hAnsi="Arial" w:cs="Arial"/>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rPr>
      <w:rFonts w:ascii="Arial" w:eastAsia="Arial" w:hAnsi="Arial" w:cs="Arial"/>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rPr>
      <w:rFonts w:ascii="Arial" w:eastAsia="Arial" w:hAnsi="Arial" w:cs="Arial"/>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rPr>
      <w:rFonts w:ascii="Arial" w:eastAsia="Arial" w:hAnsi="Arial" w:cs="Arial"/>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rPr>
      <w:rFonts w:ascii="Arial" w:eastAsia="Arial" w:hAnsi="Arial" w:cs="Arial"/>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rPr>
      <w:rFonts w:ascii="Arial" w:eastAsia="Arial" w:hAnsi="Arial" w:cs="Arial"/>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rPr>
      <w:rFonts w:ascii="Arial" w:eastAsia="Arial" w:hAnsi="Arial" w:cs="Arial"/>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rPr>
      <w:rFonts w:ascii="Arial" w:eastAsia="Arial" w:hAnsi="Arial" w:cs="Arial"/>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rFonts w:ascii="Arial" w:eastAsia="Arial" w:hAnsi="Arial" w:cs="Arial"/>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rFonts w:ascii="Arial" w:eastAsia="Arial" w:hAnsi="Arial" w:cs="Arial"/>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rPr>
      <w:rFonts w:ascii="Arial" w:eastAsia="Arial" w:hAnsi="Arial" w:cs="Arial"/>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rFonts w:ascii="Arial" w:eastAsia="Arial" w:hAnsi="Arial" w:cs="Arial"/>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rFonts w:ascii="Arial" w:eastAsia="Arial" w:hAnsi="Arial" w:cs="Arial"/>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rPr>
      <w:rFonts w:ascii="Arial" w:eastAsia="Arial" w:hAnsi="Arial" w:cs="Arial"/>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rFonts w:ascii="Arial" w:eastAsia="Arial" w:hAnsi="Arial" w:cs="Arial"/>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rFonts w:ascii="Arial" w:eastAsia="Arial" w:hAnsi="Arial" w:cs="Arial"/>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rPr>
      <w:rFonts w:ascii="Arial" w:eastAsia="Arial" w:hAnsi="Arial" w:cs="Arial"/>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rFonts w:ascii="Arial" w:eastAsia="Arial" w:hAnsi="Arial" w:cs="Arial"/>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rFonts w:ascii="Arial" w:eastAsia="Arial" w:hAnsi="Arial" w:cs="Arial"/>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rPr>
      <w:rFonts w:ascii="Arial" w:eastAsia="Arial" w:hAnsi="Arial" w:cs="Arial"/>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rFonts w:ascii="Arial" w:eastAsia="Arial" w:hAnsi="Arial" w:cs="Arial"/>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rFonts w:ascii="Arial" w:eastAsia="Arial" w:hAnsi="Arial" w:cs="Arial"/>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rPr>
      <w:rFonts w:ascii="Arial" w:eastAsia="Arial" w:hAnsi="Arial" w:cs="Arial"/>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rFonts w:ascii="Arial" w:eastAsia="Arial" w:hAnsi="Arial" w:cs="Arial"/>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rFonts w:ascii="Arial" w:eastAsia="Arial" w:hAnsi="Arial" w:cs="Arial"/>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rPr>
      <w:rFonts w:ascii="Arial" w:eastAsia="Arial" w:hAnsi="Arial" w:cs="Arial"/>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rFonts w:ascii="Arial" w:eastAsia="Arial" w:hAnsi="Arial" w:cs="Arial"/>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rFonts w:ascii="Arial" w:eastAsia="Arial" w:hAnsi="Arial" w:cs="Arial"/>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rFonts w:ascii="Arial" w:eastAsia="Arial" w:hAnsi="Arial" w:cs="Arial"/>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rFonts w:ascii="Arial" w:eastAsia="Arial" w:hAnsi="Arial" w:cs="Arial"/>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rFonts w:ascii="Arial" w:eastAsia="Arial" w:hAnsi="Arial" w:cs="Arial"/>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rFonts w:ascii="Arial" w:eastAsia="Arial" w:hAnsi="Arial" w:cs="Arial"/>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rFonts w:ascii="Arial" w:eastAsia="Arial" w:hAnsi="Arial" w:cs="Arial"/>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rFonts w:ascii="Arial" w:eastAsia="Arial" w:hAnsi="Arial" w:cs="Arial"/>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rFonts w:ascii="Arial" w:eastAsia="Arial" w:hAnsi="Arial" w:cs="Arial"/>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rFonts w:ascii="Arial" w:eastAsia="Arial" w:hAnsi="Arial" w:cs="Arial"/>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rFonts w:ascii="Arial" w:eastAsia="Arial" w:hAnsi="Arial" w:cs="Arial"/>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rFonts w:ascii="Arial" w:eastAsia="Arial" w:hAnsi="Arial" w:cs="Arial"/>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rFonts w:ascii="Arial" w:eastAsia="Arial" w:hAnsi="Arial" w:cs="Arial"/>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rFonts w:ascii="Arial" w:eastAsia="Arial" w:hAnsi="Arial" w:cs="Arial"/>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rFonts w:ascii="Arial" w:eastAsia="Arial" w:hAnsi="Arial" w:cs="Arial"/>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rFonts w:ascii="Arial" w:eastAsia="Arial" w:hAnsi="Arial" w:cs="Arial"/>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rFonts w:ascii="Arial" w:eastAsia="Arial" w:hAnsi="Arial" w:cs="Arial"/>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rFonts w:ascii="Arial" w:eastAsia="Arial" w:hAnsi="Arial" w:cs="Arial"/>
        <w:b/>
        <w:bCs/>
        <w:color w:val="1F497D" w:themeColor="text2"/>
      </w:rPr>
      <w:tblPr/>
      <w:tcPr>
        <w:tcBorders>
          <w:top w:val="single" w:sz="8" w:space="0" w:color="000000" w:themeColor="text1"/>
          <w:bottom w:val="single" w:sz="8" w:space="0" w:color="000000" w:themeColor="text1"/>
        </w:tcBorders>
      </w:tcPr>
    </w:tblStylePr>
    <w:tblStylePr w:type="firstCol">
      <w:rPr>
        <w:rFonts w:ascii="Arial" w:eastAsia="Arial" w:hAnsi="Arial" w:cs="Arial"/>
        <w:b/>
        <w:bCs/>
      </w:rPr>
    </w:tblStylePr>
    <w:tblStylePr w:type="lastCol">
      <w:rPr>
        <w:rFonts w:ascii="Arial" w:eastAsia="Arial" w:hAnsi="Arial" w:cs="Arial"/>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rFonts w:ascii="Arial" w:eastAsia="Arial" w:hAnsi="Arial" w:cs="Arial"/>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rFonts w:ascii="Arial" w:eastAsia="Arial" w:hAnsi="Arial" w:cs="Arial"/>
        <w:b/>
        <w:bCs/>
        <w:color w:val="1F497D" w:themeColor="text2"/>
      </w:rPr>
      <w:tblPr/>
      <w:tcPr>
        <w:tcBorders>
          <w:top w:val="single" w:sz="8" w:space="0" w:color="4F81BD" w:themeColor="accent1"/>
          <w:bottom w:val="single" w:sz="8" w:space="0" w:color="4F81BD" w:themeColor="accent1"/>
        </w:tcBorders>
      </w:tcPr>
    </w:tblStylePr>
    <w:tblStylePr w:type="firstCol">
      <w:rPr>
        <w:rFonts w:ascii="Arial" w:eastAsia="Arial" w:hAnsi="Arial" w:cs="Arial"/>
        <w:b/>
        <w:bCs/>
      </w:rPr>
    </w:tblStylePr>
    <w:tblStylePr w:type="lastCol">
      <w:rPr>
        <w:rFonts w:ascii="Arial" w:eastAsia="Arial" w:hAnsi="Arial" w:cs="Arial"/>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rFonts w:ascii="Arial" w:eastAsia="Arial" w:hAnsi="Arial" w:cs="Arial"/>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rFonts w:ascii="Arial" w:eastAsia="Arial" w:hAnsi="Arial" w:cs="Arial"/>
        <w:b/>
        <w:bCs/>
        <w:color w:val="1F497D" w:themeColor="text2"/>
      </w:rPr>
      <w:tblPr/>
      <w:tcPr>
        <w:tcBorders>
          <w:top w:val="single" w:sz="8" w:space="0" w:color="C0504D" w:themeColor="accent2"/>
          <w:bottom w:val="single" w:sz="8" w:space="0" w:color="C0504D" w:themeColor="accent2"/>
        </w:tcBorders>
      </w:tcPr>
    </w:tblStylePr>
    <w:tblStylePr w:type="firstCol">
      <w:rPr>
        <w:rFonts w:ascii="Arial" w:eastAsia="Arial" w:hAnsi="Arial" w:cs="Arial"/>
        <w:b/>
        <w:bCs/>
      </w:rPr>
    </w:tblStylePr>
    <w:tblStylePr w:type="lastCol">
      <w:rPr>
        <w:rFonts w:ascii="Arial" w:eastAsia="Arial" w:hAnsi="Arial" w:cs="Arial"/>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rFonts w:ascii="Arial" w:eastAsia="Arial" w:hAnsi="Arial" w:cs="Arial"/>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rFonts w:ascii="Arial" w:eastAsia="Arial" w:hAnsi="Arial" w:cs="Arial"/>
        <w:b/>
        <w:bCs/>
        <w:color w:val="1F497D" w:themeColor="text2"/>
      </w:rPr>
      <w:tblPr/>
      <w:tcPr>
        <w:tcBorders>
          <w:top w:val="single" w:sz="8" w:space="0" w:color="9BBB59" w:themeColor="accent3"/>
          <w:bottom w:val="single" w:sz="8" w:space="0" w:color="9BBB59" w:themeColor="accent3"/>
        </w:tcBorders>
      </w:tcPr>
    </w:tblStylePr>
    <w:tblStylePr w:type="firstCol">
      <w:rPr>
        <w:rFonts w:ascii="Arial" w:eastAsia="Arial" w:hAnsi="Arial" w:cs="Arial"/>
        <w:b/>
        <w:bCs/>
      </w:rPr>
    </w:tblStylePr>
    <w:tblStylePr w:type="lastCol">
      <w:rPr>
        <w:rFonts w:ascii="Arial" w:eastAsia="Arial" w:hAnsi="Arial" w:cs="Arial"/>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rFonts w:ascii="Arial" w:eastAsia="Arial" w:hAnsi="Arial" w:cs="Arial"/>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rFonts w:ascii="Arial" w:eastAsia="Arial" w:hAnsi="Arial" w:cs="Arial"/>
        <w:b/>
        <w:bCs/>
        <w:color w:val="1F497D" w:themeColor="text2"/>
      </w:rPr>
      <w:tblPr/>
      <w:tcPr>
        <w:tcBorders>
          <w:top w:val="single" w:sz="8" w:space="0" w:color="8064A2" w:themeColor="accent4"/>
          <w:bottom w:val="single" w:sz="8" w:space="0" w:color="8064A2" w:themeColor="accent4"/>
        </w:tcBorders>
      </w:tcPr>
    </w:tblStylePr>
    <w:tblStylePr w:type="firstCol">
      <w:rPr>
        <w:rFonts w:ascii="Arial" w:eastAsia="Arial" w:hAnsi="Arial" w:cs="Arial"/>
        <w:b/>
        <w:bCs/>
      </w:rPr>
    </w:tblStylePr>
    <w:tblStylePr w:type="lastCol">
      <w:rPr>
        <w:rFonts w:ascii="Arial" w:eastAsia="Arial" w:hAnsi="Arial" w:cs="Arial"/>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rFonts w:ascii="Arial" w:eastAsia="Arial" w:hAnsi="Arial" w:cs="Arial"/>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rFonts w:ascii="Arial" w:eastAsia="Arial" w:hAnsi="Arial" w:cs="Arial"/>
        <w:b/>
        <w:bCs/>
        <w:color w:val="1F497D" w:themeColor="text2"/>
      </w:rPr>
      <w:tblPr/>
      <w:tcPr>
        <w:tcBorders>
          <w:top w:val="single" w:sz="8" w:space="0" w:color="4BACC6" w:themeColor="accent5"/>
          <w:bottom w:val="single" w:sz="8" w:space="0" w:color="4BACC6" w:themeColor="accent5"/>
        </w:tcBorders>
      </w:tcPr>
    </w:tblStylePr>
    <w:tblStylePr w:type="firstCol">
      <w:rPr>
        <w:rFonts w:ascii="Arial" w:eastAsia="Arial" w:hAnsi="Arial" w:cs="Arial"/>
        <w:b/>
        <w:bCs/>
      </w:rPr>
    </w:tblStylePr>
    <w:tblStylePr w:type="lastCol">
      <w:rPr>
        <w:rFonts w:ascii="Arial" w:eastAsia="Arial" w:hAnsi="Arial" w:cs="Arial"/>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rFonts w:ascii="Arial" w:eastAsia="Arial" w:hAnsi="Arial" w:cs="Arial"/>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rFonts w:ascii="Arial" w:eastAsia="Arial" w:hAnsi="Arial" w:cs="Arial"/>
        <w:b/>
        <w:bCs/>
        <w:color w:val="1F497D" w:themeColor="text2"/>
      </w:rPr>
      <w:tblPr/>
      <w:tcPr>
        <w:tcBorders>
          <w:top w:val="single" w:sz="8" w:space="0" w:color="F79646" w:themeColor="accent6"/>
          <w:bottom w:val="single" w:sz="8" w:space="0" w:color="F79646" w:themeColor="accent6"/>
        </w:tcBorders>
      </w:tcPr>
    </w:tblStylePr>
    <w:tblStylePr w:type="firstCol">
      <w:rPr>
        <w:rFonts w:ascii="Arial" w:eastAsia="Arial" w:hAnsi="Arial" w:cs="Arial"/>
        <w:b/>
        <w:bCs/>
      </w:rPr>
    </w:tblStylePr>
    <w:tblStylePr w:type="lastCol">
      <w:rPr>
        <w:rFonts w:ascii="Arial" w:eastAsia="Arial" w:hAnsi="Arial" w:cs="Arial"/>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rFonts w:ascii="Arial" w:eastAsia="Arial" w:hAnsi="Arial" w:cs="Arial"/>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rFonts w:ascii="Arial" w:eastAsia="Arial" w:hAnsi="Arial" w:cs="Arial"/>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rFonts w:ascii="Arial" w:eastAsia="Arial" w:hAnsi="Arial" w:cs="Arial"/>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rFonts w:ascii="Arial" w:eastAsia="Arial" w:hAnsi="Arial" w:cs="Arial"/>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rFonts w:ascii="Arial" w:eastAsia="Arial" w:hAnsi="Arial" w:cs="Arial"/>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rFonts w:ascii="Arial" w:eastAsia="Arial" w:hAnsi="Arial" w:cs="Arial"/>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rFonts w:ascii="Arial" w:eastAsia="Arial" w:hAnsi="Arial" w:cs="Arial"/>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rPr>
      <w:rFonts w:ascii="Arial" w:eastAsia="Arial" w:hAnsi="Arial" w:cs="Arial"/>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rFonts w:ascii="Arial" w:eastAsia="Arial" w:hAnsi="Arial" w:cs="Arial"/>
        <w:b/>
        <w:bCs/>
      </w:rPr>
    </w:tblStylePr>
    <w:tblStylePr w:type="lastRow">
      <w:rPr>
        <w:rFonts w:ascii="Arial" w:eastAsia="Arial" w:hAnsi="Arial" w:cs="Arial"/>
        <w:b/>
        <w:bCs/>
      </w:rPr>
      <w:tblPr/>
      <w:tcPr>
        <w:tcBorders>
          <w:top w:val="single" w:sz="18" w:space="0" w:color="404040" w:themeColor="text1" w:themeTint="BF"/>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rPr>
      <w:rFonts w:ascii="Arial" w:eastAsia="Arial" w:hAnsi="Arial" w:cs="Arial"/>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rFonts w:ascii="Arial" w:eastAsia="Arial" w:hAnsi="Arial" w:cs="Arial"/>
        <w:b/>
        <w:bCs/>
      </w:rPr>
    </w:tblStylePr>
    <w:tblStylePr w:type="lastRow">
      <w:rPr>
        <w:rFonts w:ascii="Arial" w:eastAsia="Arial" w:hAnsi="Arial" w:cs="Arial"/>
        <w:b/>
        <w:bCs/>
      </w:rPr>
      <w:tblPr/>
      <w:tcPr>
        <w:tcBorders>
          <w:top w:val="single" w:sz="18" w:space="0" w:color="7BA0CD" w:themeColor="accent1" w:themeTint="BF"/>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rPr>
      <w:rFonts w:ascii="Arial" w:eastAsia="Arial" w:hAnsi="Arial" w:cs="Arial"/>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rFonts w:ascii="Arial" w:eastAsia="Arial" w:hAnsi="Arial" w:cs="Arial"/>
        <w:b/>
        <w:bCs/>
      </w:rPr>
    </w:tblStylePr>
    <w:tblStylePr w:type="lastRow">
      <w:rPr>
        <w:rFonts w:ascii="Arial" w:eastAsia="Arial" w:hAnsi="Arial" w:cs="Arial"/>
        <w:b/>
        <w:bCs/>
      </w:rPr>
      <w:tblPr/>
      <w:tcPr>
        <w:tcBorders>
          <w:top w:val="single" w:sz="18" w:space="0" w:color="CF7B79" w:themeColor="accent2" w:themeTint="BF"/>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rPr>
      <w:rFonts w:ascii="Arial" w:eastAsia="Arial" w:hAnsi="Arial" w:cs="Arial"/>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rFonts w:ascii="Arial" w:eastAsia="Arial" w:hAnsi="Arial" w:cs="Arial"/>
        <w:b/>
        <w:bCs/>
      </w:rPr>
    </w:tblStylePr>
    <w:tblStylePr w:type="lastRow">
      <w:rPr>
        <w:rFonts w:ascii="Arial" w:eastAsia="Arial" w:hAnsi="Arial" w:cs="Arial"/>
        <w:b/>
        <w:bCs/>
      </w:rPr>
      <w:tblPr/>
      <w:tcPr>
        <w:tcBorders>
          <w:top w:val="single" w:sz="18" w:space="0" w:color="B3CC82" w:themeColor="accent3" w:themeTint="BF"/>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rPr>
      <w:rFonts w:ascii="Arial" w:eastAsia="Arial" w:hAnsi="Arial" w:cs="Arial"/>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rFonts w:ascii="Arial" w:eastAsia="Arial" w:hAnsi="Arial" w:cs="Arial"/>
        <w:b/>
        <w:bCs/>
      </w:rPr>
    </w:tblStylePr>
    <w:tblStylePr w:type="lastRow">
      <w:rPr>
        <w:rFonts w:ascii="Arial" w:eastAsia="Arial" w:hAnsi="Arial" w:cs="Arial"/>
        <w:b/>
        <w:bCs/>
      </w:rPr>
      <w:tblPr/>
      <w:tcPr>
        <w:tcBorders>
          <w:top w:val="single" w:sz="18" w:space="0" w:color="9F8AB9" w:themeColor="accent4" w:themeTint="BF"/>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rPr>
      <w:rFonts w:ascii="Arial" w:eastAsia="Arial" w:hAnsi="Arial" w:cs="Arial"/>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rFonts w:ascii="Arial" w:eastAsia="Arial" w:hAnsi="Arial" w:cs="Arial"/>
        <w:b/>
        <w:bCs/>
      </w:rPr>
    </w:tblStylePr>
    <w:tblStylePr w:type="lastRow">
      <w:rPr>
        <w:rFonts w:ascii="Arial" w:eastAsia="Arial" w:hAnsi="Arial" w:cs="Arial"/>
        <w:b/>
        <w:bCs/>
      </w:rPr>
      <w:tblPr/>
      <w:tcPr>
        <w:tcBorders>
          <w:top w:val="single" w:sz="18" w:space="0" w:color="78C0D4" w:themeColor="accent5" w:themeTint="BF"/>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rPr>
      <w:rFonts w:ascii="Arial" w:eastAsia="Arial" w:hAnsi="Arial" w:cs="Arial"/>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rFonts w:ascii="Arial" w:eastAsia="Arial" w:hAnsi="Arial" w:cs="Arial"/>
        <w:b/>
        <w:bCs/>
      </w:rPr>
    </w:tblStylePr>
    <w:tblStylePr w:type="lastRow">
      <w:rPr>
        <w:rFonts w:ascii="Arial" w:eastAsia="Arial" w:hAnsi="Arial" w:cs="Arial"/>
        <w:b/>
        <w:bCs/>
      </w:rPr>
      <w:tblPr/>
      <w:tcPr>
        <w:tcBorders>
          <w:top w:val="single" w:sz="18" w:space="0" w:color="F9B074" w:themeColor="accent6" w:themeTint="BF"/>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rFonts w:ascii="Arial" w:eastAsia="Arial" w:hAnsi="Arial" w:cs="Arial"/>
        <w:b/>
        <w:bCs/>
        <w:color w:val="000000" w:themeColor="text1"/>
      </w:rPr>
      <w:tblPr/>
      <w:tcPr>
        <w:shd w:val="clear" w:color="auto" w:fill="E6E6E6" w:themeFill="text1" w:themeFillTint="19"/>
      </w:tcPr>
    </w:tblStylePr>
    <w:tblStylePr w:type="lastRow">
      <w:rPr>
        <w:rFonts w:ascii="Arial" w:eastAsia="Arial" w:hAnsi="Arial" w:cs="Arial"/>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rFonts w:ascii="Arial" w:eastAsia="Arial" w:hAnsi="Arial" w:cs="Arial"/>
        <w:b/>
        <w:bCs/>
        <w:color w:val="000000" w:themeColor="text1"/>
      </w:rPr>
      <w:tblPr/>
      <w:tcPr>
        <w:shd w:val="clear" w:color="auto" w:fill="EDF2F8" w:themeFill="accent1" w:themeFillTint="19"/>
      </w:tcPr>
    </w:tblStylePr>
    <w:tblStylePr w:type="lastRow">
      <w:rPr>
        <w:rFonts w:ascii="Arial" w:eastAsia="Arial" w:hAnsi="Arial" w:cs="Arial"/>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rFonts w:ascii="Arial" w:eastAsia="Arial" w:hAnsi="Arial" w:cs="Arial"/>
        <w:b/>
        <w:bCs/>
        <w:color w:val="000000" w:themeColor="text1"/>
      </w:rPr>
      <w:tblPr/>
      <w:tcPr>
        <w:shd w:val="clear" w:color="auto" w:fill="F8EDED" w:themeFill="accent2" w:themeFillTint="19"/>
      </w:tcPr>
    </w:tblStylePr>
    <w:tblStylePr w:type="lastRow">
      <w:rPr>
        <w:rFonts w:ascii="Arial" w:eastAsia="Arial" w:hAnsi="Arial" w:cs="Arial"/>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rFonts w:ascii="Arial" w:eastAsia="Arial" w:hAnsi="Arial" w:cs="Arial"/>
        <w:b/>
        <w:bCs/>
        <w:color w:val="000000" w:themeColor="text1"/>
      </w:rPr>
      <w:tblPr/>
      <w:tcPr>
        <w:shd w:val="clear" w:color="auto" w:fill="F5F8EE" w:themeFill="accent3" w:themeFillTint="19"/>
      </w:tcPr>
    </w:tblStylePr>
    <w:tblStylePr w:type="lastRow">
      <w:rPr>
        <w:rFonts w:ascii="Arial" w:eastAsia="Arial" w:hAnsi="Arial" w:cs="Arial"/>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rFonts w:ascii="Arial" w:eastAsia="Arial" w:hAnsi="Arial" w:cs="Arial"/>
        <w:b/>
        <w:bCs/>
        <w:color w:val="000000" w:themeColor="text1"/>
      </w:rPr>
      <w:tblPr/>
      <w:tcPr>
        <w:shd w:val="clear" w:color="auto" w:fill="F2EFF6" w:themeFill="accent4" w:themeFillTint="19"/>
      </w:tcPr>
    </w:tblStylePr>
    <w:tblStylePr w:type="lastRow">
      <w:rPr>
        <w:rFonts w:ascii="Arial" w:eastAsia="Arial" w:hAnsi="Arial" w:cs="Arial"/>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rFonts w:ascii="Arial" w:eastAsia="Arial" w:hAnsi="Arial" w:cs="Arial"/>
        <w:b/>
        <w:bCs/>
        <w:color w:val="000000" w:themeColor="text1"/>
      </w:rPr>
      <w:tblPr/>
      <w:tcPr>
        <w:shd w:val="clear" w:color="auto" w:fill="EDF6F9" w:themeFill="accent5" w:themeFillTint="19"/>
      </w:tcPr>
    </w:tblStylePr>
    <w:tblStylePr w:type="lastRow">
      <w:rPr>
        <w:rFonts w:ascii="Arial" w:eastAsia="Arial" w:hAnsi="Arial" w:cs="Arial"/>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rFonts w:ascii="Arial" w:eastAsia="Arial" w:hAnsi="Arial" w:cs="Arial"/>
        <w:b/>
        <w:bCs/>
        <w:color w:val="000000" w:themeColor="text1"/>
      </w:rPr>
      <w:tblPr/>
      <w:tcPr>
        <w:shd w:val="clear" w:color="auto" w:fill="FEF4EC" w:themeFill="accent6" w:themeFillTint="19"/>
      </w:tcPr>
    </w:tblStylePr>
    <w:tblStylePr w:type="lastRow">
      <w:rPr>
        <w:rFonts w:ascii="Arial" w:eastAsia="Arial" w:hAnsi="Arial" w:cs="Arial"/>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rPr>
      <w:rFonts w:ascii="Arial" w:eastAsia="Arial" w:hAnsi="Arial" w:cs="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rFonts w:ascii="Arial" w:eastAsia="Arial" w:hAnsi="Arial" w:cs="Arial"/>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rFonts w:ascii="Arial" w:eastAsia="Arial" w:hAnsi="Arial" w:cs="Arial"/>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rFonts w:ascii="Arial" w:eastAsia="Arial" w:hAnsi="Arial" w:cs="Arial"/>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rFonts w:ascii="Arial" w:eastAsia="Arial" w:hAnsi="Arial" w:cs="Arial"/>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rPr>
      <w:rFonts w:ascii="Arial" w:eastAsia="Arial" w:hAnsi="Arial" w:cs="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rFonts w:ascii="Arial" w:eastAsia="Arial" w:hAnsi="Arial" w:cs="Arial"/>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rFonts w:ascii="Arial" w:eastAsia="Arial" w:hAnsi="Arial" w:cs="Arial"/>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rFonts w:ascii="Arial" w:eastAsia="Arial" w:hAnsi="Arial" w:cs="Arial"/>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rFonts w:ascii="Arial" w:eastAsia="Arial" w:hAnsi="Arial" w:cs="Arial"/>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rPr>
      <w:rFonts w:ascii="Arial" w:eastAsia="Arial" w:hAnsi="Arial" w:cs="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rFonts w:ascii="Arial" w:eastAsia="Arial" w:hAnsi="Arial" w:cs="Arial"/>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rFonts w:ascii="Arial" w:eastAsia="Arial" w:hAnsi="Arial" w:cs="Arial"/>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rFonts w:ascii="Arial" w:eastAsia="Arial" w:hAnsi="Arial" w:cs="Arial"/>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rFonts w:ascii="Arial" w:eastAsia="Arial" w:hAnsi="Arial" w:cs="Arial"/>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rPr>
      <w:rFonts w:ascii="Arial" w:eastAsia="Arial" w:hAnsi="Arial" w:cs="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rFonts w:ascii="Arial" w:eastAsia="Arial" w:hAnsi="Arial" w:cs="Arial"/>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rFonts w:ascii="Arial" w:eastAsia="Arial" w:hAnsi="Arial" w:cs="Arial"/>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rFonts w:ascii="Arial" w:eastAsia="Arial" w:hAnsi="Arial" w:cs="Arial"/>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rFonts w:ascii="Arial" w:eastAsia="Arial" w:hAnsi="Arial" w:cs="Arial"/>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rPr>
      <w:rFonts w:ascii="Arial" w:eastAsia="Arial" w:hAnsi="Arial" w:cs="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rFonts w:ascii="Arial" w:eastAsia="Arial" w:hAnsi="Arial" w:cs="Arial"/>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rFonts w:ascii="Arial" w:eastAsia="Arial" w:hAnsi="Arial" w:cs="Arial"/>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rFonts w:ascii="Arial" w:eastAsia="Arial" w:hAnsi="Arial" w:cs="Arial"/>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rFonts w:ascii="Arial" w:eastAsia="Arial" w:hAnsi="Arial" w:cs="Arial"/>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rPr>
      <w:rFonts w:ascii="Arial" w:eastAsia="Arial" w:hAnsi="Arial" w:cs="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rFonts w:ascii="Arial" w:eastAsia="Arial" w:hAnsi="Arial" w:cs="Arial"/>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rFonts w:ascii="Arial" w:eastAsia="Arial" w:hAnsi="Arial" w:cs="Arial"/>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rFonts w:ascii="Arial" w:eastAsia="Arial" w:hAnsi="Arial" w:cs="Arial"/>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rFonts w:ascii="Arial" w:eastAsia="Arial" w:hAnsi="Arial" w:cs="Arial"/>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rPr>
      <w:rFonts w:ascii="Arial" w:eastAsia="Arial" w:hAnsi="Arial" w:cs="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rFonts w:ascii="Arial" w:eastAsia="Arial" w:hAnsi="Arial" w:cs="Arial"/>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rFonts w:ascii="Arial" w:eastAsia="Arial" w:hAnsi="Arial" w:cs="Arial"/>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rFonts w:ascii="Arial" w:eastAsia="Arial" w:hAnsi="Arial" w:cs="Arial"/>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rFonts w:ascii="Arial" w:eastAsia="Arial" w:hAnsi="Arial" w:cs="Arial"/>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rFonts w:ascii="Arial" w:eastAsia="Arial" w:hAnsi="Arial" w:cs="Arial"/>
      <w:color w:val="FFFFFF" w:themeColor="background1"/>
    </w:rPr>
    <w:tblPr>
      <w:tblStyleRowBandSize w:val="1"/>
      <w:tblStyleColBandSize w:val="1"/>
    </w:tblPr>
    <w:tcPr>
      <w:shd w:val="clear" w:color="auto" w:fill="000000" w:themeFill="text1"/>
    </w:tcPr>
    <w:tblStylePr w:type="firstRow">
      <w:rPr>
        <w:rFonts w:ascii="Arial" w:eastAsia="Arial" w:hAnsi="Arial" w:cs="Arial"/>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rFonts w:ascii="Arial" w:eastAsia="Arial" w:hAnsi="Arial" w:cs="Arial"/>
      <w:color w:val="FFFFFF" w:themeColor="background1"/>
    </w:rPr>
    <w:tblPr>
      <w:tblStyleRowBandSize w:val="1"/>
      <w:tblStyleColBandSize w:val="1"/>
    </w:tblPr>
    <w:tcPr>
      <w:shd w:val="clear" w:color="auto" w:fill="4F81BD" w:themeFill="accent1"/>
    </w:tcPr>
    <w:tblStylePr w:type="firstRow">
      <w:rPr>
        <w:rFonts w:ascii="Arial" w:eastAsia="Arial" w:hAnsi="Arial" w:cs="Arial"/>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rFonts w:ascii="Arial" w:eastAsia="Arial" w:hAnsi="Arial" w:cs="Arial"/>
      <w:color w:val="FFFFFF" w:themeColor="background1"/>
    </w:rPr>
    <w:tblPr>
      <w:tblStyleRowBandSize w:val="1"/>
      <w:tblStyleColBandSize w:val="1"/>
    </w:tblPr>
    <w:tcPr>
      <w:shd w:val="clear" w:color="auto" w:fill="C0504D" w:themeFill="accent2"/>
    </w:tcPr>
    <w:tblStylePr w:type="firstRow">
      <w:rPr>
        <w:rFonts w:ascii="Arial" w:eastAsia="Arial" w:hAnsi="Arial" w:cs="Arial"/>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rFonts w:ascii="Arial" w:eastAsia="Arial" w:hAnsi="Arial" w:cs="Arial"/>
      <w:color w:val="FFFFFF" w:themeColor="background1"/>
    </w:rPr>
    <w:tblPr>
      <w:tblStyleRowBandSize w:val="1"/>
      <w:tblStyleColBandSize w:val="1"/>
    </w:tblPr>
    <w:tcPr>
      <w:shd w:val="clear" w:color="auto" w:fill="9BBB59" w:themeFill="accent3"/>
    </w:tcPr>
    <w:tblStylePr w:type="firstRow">
      <w:rPr>
        <w:rFonts w:ascii="Arial" w:eastAsia="Arial" w:hAnsi="Arial" w:cs="Arial"/>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rFonts w:ascii="Arial" w:eastAsia="Arial" w:hAnsi="Arial" w:cs="Arial"/>
      <w:color w:val="FFFFFF" w:themeColor="background1"/>
    </w:rPr>
    <w:tblPr>
      <w:tblStyleRowBandSize w:val="1"/>
      <w:tblStyleColBandSize w:val="1"/>
    </w:tblPr>
    <w:tcPr>
      <w:shd w:val="clear" w:color="auto" w:fill="8064A2" w:themeFill="accent4"/>
    </w:tcPr>
    <w:tblStylePr w:type="firstRow">
      <w:rPr>
        <w:rFonts w:ascii="Arial" w:eastAsia="Arial" w:hAnsi="Arial" w:cs="Arial"/>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rFonts w:ascii="Arial" w:eastAsia="Arial" w:hAnsi="Arial" w:cs="Arial"/>
      <w:color w:val="FFFFFF" w:themeColor="background1"/>
    </w:rPr>
    <w:tblPr>
      <w:tblStyleRowBandSize w:val="1"/>
      <w:tblStyleColBandSize w:val="1"/>
    </w:tblPr>
    <w:tcPr>
      <w:shd w:val="clear" w:color="auto" w:fill="4BACC6" w:themeFill="accent5"/>
    </w:tcPr>
    <w:tblStylePr w:type="firstRow">
      <w:rPr>
        <w:rFonts w:ascii="Arial" w:eastAsia="Arial" w:hAnsi="Arial" w:cs="Arial"/>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rFonts w:ascii="Arial" w:eastAsia="Arial" w:hAnsi="Arial" w:cs="Arial"/>
      <w:color w:val="FFFFFF" w:themeColor="background1"/>
    </w:rPr>
    <w:tblPr>
      <w:tblStyleRowBandSize w:val="1"/>
      <w:tblStyleColBandSize w:val="1"/>
    </w:tblPr>
    <w:tcPr>
      <w:shd w:val="clear" w:color="auto" w:fill="F79646" w:themeFill="accent6"/>
    </w:tcPr>
    <w:tblStylePr w:type="firstRow">
      <w:rPr>
        <w:rFonts w:ascii="Arial" w:eastAsia="Arial" w:hAnsi="Arial" w:cs="Arial"/>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rFonts w:ascii="Arial" w:eastAsia="Arial" w:hAnsi="Arial" w:cs="Arial"/>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rFonts w:ascii="Arial" w:eastAsia="Arial" w:hAnsi="Arial" w:cs="Arial"/>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rFonts w:ascii="Arial" w:eastAsia="Arial" w:hAnsi="Arial" w:cs="Arial"/>
        <w:b/>
        <w:bCs/>
        <w:color w:val="FFFFFF" w:themeColor="background1"/>
      </w:rPr>
      <w:tblPr/>
      <w:tcPr>
        <w:tcBorders>
          <w:top w:val="single" w:sz="6" w:space="0" w:color="FFFFFF" w:themeColor="background1"/>
        </w:tcBorders>
        <w:shd w:val="clear" w:color="auto" w:fill="000000" w:themeFill="text1" w:themeFillShade="99"/>
      </w:tcPr>
    </w:tblStylePr>
    <w:tblStylePr w:type="firstCol">
      <w:rPr>
        <w:rFonts w:ascii="Arial" w:eastAsia="Arial" w:hAnsi="Arial" w:cs="Arial"/>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rFonts w:ascii="Arial" w:eastAsia="Arial" w:hAnsi="Arial" w:cs="Arial"/>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rFonts w:ascii="Arial" w:eastAsia="Arial" w:hAnsi="Arial" w:cs="Arial"/>
        <w:color w:val="000000" w:themeColor="text1"/>
      </w:rPr>
    </w:tblStylePr>
    <w:tblStylePr w:type="nwCell">
      <w:rPr>
        <w:rFonts w:ascii="Arial" w:eastAsia="Arial" w:hAnsi="Arial" w:cs="Arial"/>
        <w:color w:val="000000" w:themeColor="text1"/>
      </w:rPr>
    </w:tblStylePr>
  </w:style>
  <w:style w:type="table" w:styleId="ColorfulShading-Accent1">
    <w:name w:val="Colorful Shading Accent 1"/>
    <w:basedOn w:val="TableNormal"/>
    <w:uiPriority w:val="71"/>
    <w:rsid w:val="00CB0664"/>
    <w:pPr>
      <w:spacing w:after="0" w:line="240" w:lineRule="auto"/>
    </w:pPr>
    <w:rPr>
      <w:rFonts w:ascii="Arial" w:eastAsia="Arial" w:hAnsi="Arial" w:cs="Arial"/>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rFonts w:ascii="Arial" w:eastAsia="Arial" w:hAnsi="Arial" w:cs="Arial"/>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rFonts w:ascii="Arial" w:eastAsia="Arial" w:hAnsi="Arial" w:cs="Arial"/>
        <w:b/>
        <w:bCs/>
        <w:color w:val="FFFFFF" w:themeColor="background1"/>
      </w:rPr>
      <w:tblPr/>
      <w:tcPr>
        <w:tcBorders>
          <w:top w:val="single" w:sz="6" w:space="0" w:color="FFFFFF" w:themeColor="background1"/>
        </w:tcBorders>
        <w:shd w:val="clear" w:color="auto" w:fill="2C4C74" w:themeFill="accent1" w:themeFillShade="99"/>
      </w:tcPr>
    </w:tblStylePr>
    <w:tblStylePr w:type="firstCol">
      <w:rPr>
        <w:rFonts w:ascii="Arial" w:eastAsia="Arial" w:hAnsi="Arial" w:cs="Arial"/>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rFonts w:ascii="Arial" w:eastAsia="Arial" w:hAnsi="Arial" w:cs="Arial"/>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rFonts w:ascii="Arial" w:eastAsia="Arial" w:hAnsi="Arial" w:cs="Arial"/>
        <w:color w:val="000000" w:themeColor="text1"/>
      </w:rPr>
    </w:tblStylePr>
    <w:tblStylePr w:type="nwCell">
      <w:rPr>
        <w:rFonts w:ascii="Arial" w:eastAsia="Arial" w:hAnsi="Arial" w:cs="Arial"/>
        <w:color w:val="000000" w:themeColor="text1"/>
      </w:rPr>
    </w:tblStylePr>
  </w:style>
  <w:style w:type="table" w:styleId="ColorfulShading-Accent2">
    <w:name w:val="Colorful Shading Accent 2"/>
    <w:basedOn w:val="TableNormal"/>
    <w:uiPriority w:val="71"/>
    <w:rsid w:val="00CB0664"/>
    <w:pPr>
      <w:spacing w:after="0" w:line="240" w:lineRule="auto"/>
    </w:pPr>
    <w:rPr>
      <w:rFonts w:ascii="Arial" w:eastAsia="Arial" w:hAnsi="Arial" w:cs="Arial"/>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rFonts w:ascii="Arial" w:eastAsia="Arial" w:hAnsi="Arial" w:cs="Arial"/>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rFonts w:ascii="Arial" w:eastAsia="Arial" w:hAnsi="Arial" w:cs="Arial"/>
        <w:b/>
        <w:bCs/>
        <w:color w:val="FFFFFF" w:themeColor="background1"/>
      </w:rPr>
      <w:tblPr/>
      <w:tcPr>
        <w:tcBorders>
          <w:top w:val="single" w:sz="6" w:space="0" w:color="FFFFFF" w:themeColor="background1"/>
        </w:tcBorders>
        <w:shd w:val="clear" w:color="auto" w:fill="772C2A" w:themeFill="accent2" w:themeFillShade="99"/>
      </w:tcPr>
    </w:tblStylePr>
    <w:tblStylePr w:type="firstCol">
      <w:rPr>
        <w:rFonts w:ascii="Arial" w:eastAsia="Arial" w:hAnsi="Arial" w:cs="Arial"/>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rFonts w:ascii="Arial" w:eastAsia="Arial" w:hAnsi="Arial" w:cs="Arial"/>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rFonts w:ascii="Arial" w:eastAsia="Arial" w:hAnsi="Arial" w:cs="Arial"/>
        <w:color w:val="000000" w:themeColor="text1"/>
      </w:rPr>
    </w:tblStylePr>
    <w:tblStylePr w:type="nwCell">
      <w:rPr>
        <w:rFonts w:ascii="Arial" w:eastAsia="Arial" w:hAnsi="Arial" w:cs="Arial"/>
        <w:color w:val="000000" w:themeColor="text1"/>
      </w:rPr>
    </w:tblStylePr>
  </w:style>
  <w:style w:type="table" w:styleId="ColorfulShading-Accent3">
    <w:name w:val="Colorful Shading Accent 3"/>
    <w:basedOn w:val="TableNormal"/>
    <w:uiPriority w:val="71"/>
    <w:rsid w:val="00CB0664"/>
    <w:pPr>
      <w:spacing w:after="0" w:line="240" w:lineRule="auto"/>
    </w:pPr>
    <w:rPr>
      <w:rFonts w:ascii="Arial" w:eastAsia="Arial" w:hAnsi="Arial" w:cs="Arial"/>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rFonts w:ascii="Arial" w:eastAsia="Arial" w:hAnsi="Arial" w:cs="Arial"/>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rFonts w:ascii="Arial" w:eastAsia="Arial" w:hAnsi="Arial" w:cs="Arial"/>
        <w:b/>
        <w:bCs/>
        <w:color w:val="FFFFFF" w:themeColor="background1"/>
      </w:rPr>
      <w:tblPr/>
      <w:tcPr>
        <w:tcBorders>
          <w:top w:val="single" w:sz="6" w:space="0" w:color="FFFFFF" w:themeColor="background1"/>
        </w:tcBorders>
        <w:shd w:val="clear" w:color="auto" w:fill="5E7530" w:themeFill="accent3" w:themeFillShade="99"/>
      </w:tcPr>
    </w:tblStylePr>
    <w:tblStylePr w:type="firstCol">
      <w:rPr>
        <w:rFonts w:ascii="Arial" w:eastAsia="Arial" w:hAnsi="Arial" w:cs="Arial"/>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rFonts w:ascii="Arial" w:eastAsia="Arial" w:hAnsi="Arial" w:cs="Arial"/>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rFonts w:ascii="Arial" w:eastAsia="Arial" w:hAnsi="Arial" w:cs="Arial"/>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rFonts w:ascii="Arial" w:eastAsia="Arial" w:hAnsi="Arial" w:cs="Arial"/>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rFonts w:ascii="Arial" w:eastAsia="Arial" w:hAnsi="Arial" w:cs="Arial"/>
        <w:b/>
        <w:bCs/>
        <w:color w:val="FFFFFF" w:themeColor="background1"/>
      </w:rPr>
      <w:tblPr/>
      <w:tcPr>
        <w:tcBorders>
          <w:top w:val="single" w:sz="6" w:space="0" w:color="FFFFFF" w:themeColor="background1"/>
        </w:tcBorders>
        <w:shd w:val="clear" w:color="auto" w:fill="4C3B62" w:themeFill="accent4" w:themeFillShade="99"/>
      </w:tcPr>
    </w:tblStylePr>
    <w:tblStylePr w:type="firstCol">
      <w:rPr>
        <w:rFonts w:ascii="Arial" w:eastAsia="Arial" w:hAnsi="Arial" w:cs="Arial"/>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rFonts w:ascii="Arial" w:eastAsia="Arial" w:hAnsi="Arial" w:cs="Arial"/>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rFonts w:ascii="Arial" w:eastAsia="Arial" w:hAnsi="Arial" w:cs="Arial"/>
        <w:color w:val="000000" w:themeColor="text1"/>
      </w:rPr>
    </w:tblStylePr>
    <w:tblStylePr w:type="nwCell">
      <w:rPr>
        <w:rFonts w:ascii="Arial" w:eastAsia="Arial" w:hAnsi="Arial" w:cs="Arial"/>
        <w:color w:val="000000" w:themeColor="text1"/>
      </w:rPr>
    </w:tblStylePr>
  </w:style>
  <w:style w:type="table" w:styleId="ColorfulShading-Accent5">
    <w:name w:val="Colorful Shading Accent 5"/>
    <w:basedOn w:val="TableNormal"/>
    <w:uiPriority w:val="71"/>
    <w:rsid w:val="00CB0664"/>
    <w:pPr>
      <w:spacing w:after="0" w:line="240" w:lineRule="auto"/>
    </w:pPr>
    <w:rPr>
      <w:rFonts w:ascii="Arial" w:eastAsia="Arial" w:hAnsi="Arial" w:cs="Arial"/>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rFonts w:ascii="Arial" w:eastAsia="Arial" w:hAnsi="Arial" w:cs="Arial"/>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rFonts w:ascii="Arial" w:eastAsia="Arial" w:hAnsi="Arial" w:cs="Arial"/>
        <w:b/>
        <w:bCs/>
        <w:color w:val="FFFFFF" w:themeColor="background1"/>
      </w:rPr>
      <w:tblPr/>
      <w:tcPr>
        <w:tcBorders>
          <w:top w:val="single" w:sz="6" w:space="0" w:color="FFFFFF" w:themeColor="background1"/>
        </w:tcBorders>
        <w:shd w:val="clear" w:color="auto" w:fill="276A7C" w:themeFill="accent5" w:themeFillShade="99"/>
      </w:tcPr>
    </w:tblStylePr>
    <w:tblStylePr w:type="firstCol">
      <w:rPr>
        <w:rFonts w:ascii="Arial" w:eastAsia="Arial" w:hAnsi="Arial" w:cs="Arial"/>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rFonts w:ascii="Arial" w:eastAsia="Arial" w:hAnsi="Arial" w:cs="Arial"/>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rFonts w:ascii="Arial" w:eastAsia="Arial" w:hAnsi="Arial" w:cs="Arial"/>
        <w:color w:val="000000" w:themeColor="text1"/>
      </w:rPr>
    </w:tblStylePr>
    <w:tblStylePr w:type="nwCell">
      <w:rPr>
        <w:rFonts w:ascii="Arial" w:eastAsia="Arial" w:hAnsi="Arial" w:cs="Arial"/>
        <w:color w:val="000000" w:themeColor="text1"/>
      </w:rPr>
    </w:tblStylePr>
  </w:style>
  <w:style w:type="table" w:styleId="ColorfulShading-Accent6">
    <w:name w:val="Colorful Shading Accent 6"/>
    <w:basedOn w:val="TableNormal"/>
    <w:uiPriority w:val="71"/>
    <w:rsid w:val="00CB0664"/>
    <w:pPr>
      <w:spacing w:after="0" w:line="240" w:lineRule="auto"/>
    </w:pPr>
    <w:rPr>
      <w:rFonts w:ascii="Arial" w:eastAsia="Arial" w:hAnsi="Arial" w:cs="Arial"/>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rFonts w:ascii="Arial" w:eastAsia="Arial" w:hAnsi="Arial" w:cs="Arial"/>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rFonts w:ascii="Arial" w:eastAsia="Arial" w:hAnsi="Arial" w:cs="Arial"/>
        <w:b/>
        <w:bCs/>
        <w:color w:val="FFFFFF" w:themeColor="background1"/>
      </w:rPr>
      <w:tblPr/>
      <w:tcPr>
        <w:tcBorders>
          <w:top w:val="single" w:sz="6" w:space="0" w:color="FFFFFF" w:themeColor="background1"/>
        </w:tcBorders>
        <w:shd w:val="clear" w:color="auto" w:fill="B65608" w:themeFill="accent6" w:themeFillShade="99"/>
      </w:tcPr>
    </w:tblStylePr>
    <w:tblStylePr w:type="firstCol">
      <w:rPr>
        <w:rFonts w:ascii="Arial" w:eastAsia="Arial" w:hAnsi="Arial" w:cs="Arial"/>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rFonts w:ascii="Arial" w:eastAsia="Arial" w:hAnsi="Arial" w:cs="Arial"/>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rFonts w:ascii="Arial" w:eastAsia="Arial" w:hAnsi="Arial" w:cs="Arial"/>
        <w:color w:val="000000" w:themeColor="text1"/>
      </w:rPr>
    </w:tblStylePr>
    <w:tblStylePr w:type="nwCell">
      <w:rPr>
        <w:rFonts w:ascii="Arial" w:eastAsia="Arial" w:hAnsi="Arial" w:cs="Arial"/>
        <w:color w:val="000000" w:themeColor="text1"/>
      </w:rPr>
    </w:tblStylePr>
  </w:style>
  <w:style w:type="table" w:styleId="ColorfulList">
    <w:name w:val="Colorful List"/>
    <w:basedOn w:val="TableNormal"/>
    <w:uiPriority w:val="72"/>
    <w:rsid w:val="00CB0664"/>
    <w:pPr>
      <w:spacing w:after="0" w:line="240" w:lineRule="auto"/>
    </w:pPr>
    <w:rPr>
      <w:rFonts w:ascii="Arial" w:eastAsia="Arial" w:hAnsi="Arial" w:cs="Arial"/>
      <w:color w:val="000000" w:themeColor="text1"/>
    </w:rPr>
    <w:tblPr>
      <w:tblStyleRowBandSize w:val="1"/>
      <w:tblStyleColBandSize w:val="1"/>
    </w:tblPr>
    <w:tcPr>
      <w:shd w:val="clear" w:color="auto" w:fill="E6E6E6" w:themeFill="text1" w:themeFillTint="19"/>
    </w:tcPr>
    <w:tblStylePr w:type="firstRow">
      <w:rPr>
        <w:rFonts w:ascii="Arial" w:eastAsia="Arial" w:hAnsi="Arial" w:cs="Arial"/>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rFonts w:ascii="Arial" w:eastAsia="Arial" w:hAnsi="Arial" w:cs="Arial"/>
        <w:b/>
        <w:bCs/>
        <w:color w:val="9E3A38" w:themeColor="accent2" w:themeShade="CC"/>
      </w:rPr>
      <w:tblPr/>
      <w:tcPr>
        <w:tcBorders>
          <w:top w:val="single" w:sz="12" w:space="0" w:color="000000" w:themeColor="text1"/>
        </w:tcBorders>
        <w:shd w:val="clear" w:color="auto" w:fill="FFFFFF" w:themeFill="background1"/>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rFonts w:ascii="Arial" w:eastAsia="Arial" w:hAnsi="Arial" w:cs="Arial"/>
      <w:color w:val="000000" w:themeColor="text1"/>
    </w:rPr>
    <w:tblPr>
      <w:tblStyleRowBandSize w:val="1"/>
      <w:tblStyleColBandSize w:val="1"/>
    </w:tblPr>
    <w:tcPr>
      <w:shd w:val="clear" w:color="auto" w:fill="EDF2F8" w:themeFill="accent1" w:themeFillTint="19"/>
    </w:tcPr>
    <w:tblStylePr w:type="firstRow">
      <w:rPr>
        <w:rFonts w:ascii="Arial" w:eastAsia="Arial" w:hAnsi="Arial" w:cs="Arial"/>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rFonts w:ascii="Arial" w:eastAsia="Arial" w:hAnsi="Arial" w:cs="Arial"/>
        <w:b/>
        <w:bCs/>
        <w:color w:val="9E3A38" w:themeColor="accent2" w:themeShade="CC"/>
      </w:rPr>
      <w:tblPr/>
      <w:tcPr>
        <w:tcBorders>
          <w:top w:val="single" w:sz="12" w:space="0" w:color="000000" w:themeColor="text1"/>
        </w:tcBorders>
        <w:shd w:val="clear" w:color="auto" w:fill="FFFFFF" w:themeFill="background1"/>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rFonts w:ascii="Arial" w:eastAsia="Arial" w:hAnsi="Arial" w:cs="Arial"/>
      <w:color w:val="000000" w:themeColor="text1"/>
    </w:rPr>
    <w:tblPr>
      <w:tblStyleRowBandSize w:val="1"/>
      <w:tblStyleColBandSize w:val="1"/>
    </w:tblPr>
    <w:tcPr>
      <w:shd w:val="clear" w:color="auto" w:fill="F8EDED" w:themeFill="accent2" w:themeFillTint="19"/>
    </w:tcPr>
    <w:tblStylePr w:type="firstRow">
      <w:rPr>
        <w:rFonts w:ascii="Arial" w:eastAsia="Arial" w:hAnsi="Arial" w:cs="Arial"/>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rFonts w:ascii="Arial" w:eastAsia="Arial" w:hAnsi="Arial" w:cs="Arial"/>
        <w:b/>
        <w:bCs/>
        <w:color w:val="9E3A38" w:themeColor="accent2" w:themeShade="CC"/>
      </w:rPr>
      <w:tblPr/>
      <w:tcPr>
        <w:tcBorders>
          <w:top w:val="single" w:sz="12" w:space="0" w:color="000000" w:themeColor="text1"/>
        </w:tcBorders>
        <w:shd w:val="clear" w:color="auto" w:fill="FFFFFF" w:themeFill="background1"/>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rFonts w:ascii="Arial" w:eastAsia="Arial" w:hAnsi="Arial" w:cs="Arial"/>
      <w:color w:val="000000" w:themeColor="text1"/>
    </w:rPr>
    <w:tblPr>
      <w:tblStyleRowBandSize w:val="1"/>
      <w:tblStyleColBandSize w:val="1"/>
    </w:tblPr>
    <w:tcPr>
      <w:shd w:val="clear" w:color="auto" w:fill="F5F8EE" w:themeFill="accent3" w:themeFillTint="19"/>
    </w:tcPr>
    <w:tblStylePr w:type="firstRow">
      <w:rPr>
        <w:rFonts w:ascii="Arial" w:eastAsia="Arial" w:hAnsi="Arial" w:cs="Arial"/>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rFonts w:ascii="Arial" w:eastAsia="Arial" w:hAnsi="Arial" w:cs="Arial"/>
        <w:b/>
        <w:bCs/>
        <w:color w:val="664E82" w:themeColor="accent4" w:themeShade="CC"/>
      </w:rPr>
      <w:tblPr/>
      <w:tcPr>
        <w:tcBorders>
          <w:top w:val="single" w:sz="12" w:space="0" w:color="000000" w:themeColor="text1"/>
        </w:tcBorders>
        <w:shd w:val="clear" w:color="auto" w:fill="FFFFFF" w:themeFill="background1"/>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rFonts w:ascii="Arial" w:eastAsia="Arial" w:hAnsi="Arial" w:cs="Arial"/>
      <w:color w:val="000000" w:themeColor="text1"/>
    </w:rPr>
    <w:tblPr>
      <w:tblStyleRowBandSize w:val="1"/>
      <w:tblStyleColBandSize w:val="1"/>
    </w:tblPr>
    <w:tcPr>
      <w:shd w:val="clear" w:color="auto" w:fill="F2EFF6" w:themeFill="accent4" w:themeFillTint="19"/>
    </w:tcPr>
    <w:tblStylePr w:type="firstRow">
      <w:rPr>
        <w:rFonts w:ascii="Arial" w:eastAsia="Arial" w:hAnsi="Arial" w:cs="Arial"/>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rFonts w:ascii="Arial" w:eastAsia="Arial" w:hAnsi="Arial" w:cs="Arial"/>
        <w:b/>
        <w:bCs/>
        <w:color w:val="7E9C40" w:themeColor="accent3" w:themeShade="CC"/>
      </w:rPr>
      <w:tblPr/>
      <w:tcPr>
        <w:tcBorders>
          <w:top w:val="single" w:sz="12" w:space="0" w:color="000000" w:themeColor="text1"/>
        </w:tcBorders>
        <w:shd w:val="clear" w:color="auto" w:fill="FFFFFF" w:themeFill="background1"/>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rFonts w:ascii="Arial" w:eastAsia="Arial" w:hAnsi="Arial" w:cs="Arial"/>
      <w:color w:val="000000" w:themeColor="text1"/>
    </w:rPr>
    <w:tblPr>
      <w:tblStyleRowBandSize w:val="1"/>
      <w:tblStyleColBandSize w:val="1"/>
    </w:tblPr>
    <w:tcPr>
      <w:shd w:val="clear" w:color="auto" w:fill="EDF6F9" w:themeFill="accent5" w:themeFillTint="19"/>
    </w:tcPr>
    <w:tblStylePr w:type="firstRow">
      <w:rPr>
        <w:rFonts w:ascii="Arial" w:eastAsia="Arial" w:hAnsi="Arial" w:cs="Arial"/>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rFonts w:ascii="Arial" w:eastAsia="Arial" w:hAnsi="Arial" w:cs="Arial"/>
        <w:b/>
        <w:bCs/>
        <w:color w:val="F2730A" w:themeColor="accent6" w:themeShade="CC"/>
      </w:rPr>
      <w:tblPr/>
      <w:tcPr>
        <w:tcBorders>
          <w:top w:val="single" w:sz="12" w:space="0" w:color="000000" w:themeColor="text1"/>
        </w:tcBorders>
        <w:shd w:val="clear" w:color="auto" w:fill="FFFFFF" w:themeFill="background1"/>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rFonts w:ascii="Arial" w:eastAsia="Arial" w:hAnsi="Arial" w:cs="Arial"/>
      <w:color w:val="000000" w:themeColor="text1"/>
    </w:rPr>
    <w:tblPr>
      <w:tblStyleRowBandSize w:val="1"/>
      <w:tblStyleColBandSize w:val="1"/>
    </w:tblPr>
    <w:tcPr>
      <w:shd w:val="clear" w:color="auto" w:fill="FEF4EC" w:themeFill="accent6" w:themeFillTint="19"/>
    </w:tcPr>
    <w:tblStylePr w:type="firstRow">
      <w:rPr>
        <w:rFonts w:ascii="Arial" w:eastAsia="Arial" w:hAnsi="Arial" w:cs="Arial"/>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rFonts w:ascii="Arial" w:eastAsia="Arial" w:hAnsi="Arial" w:cs="Arial"/>
        <w:b/>
        <w:bCs/>
        <w:color w:val="348DA5" w:themeColor="accent5" w:themeShade="CC"/>
      </w:rPr>
      <w:tblPr/>
      <w:tcPr>
        <w:tcBorders>
          <w:top w:val="single" w:sz="12" w:space="0" w:color="000000" w:themeColor="text1"/>
        </w:tcBorders>
        <w:shd w:val="clear" w:color="auto" w:fill="FFFFFF" w:themeFill="background1"/>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rFonts w:ascii="Arial" w:eastAsia="Arial" w:hAnsi="Arial" w:cs="Arial"/>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rFonts w:ascii="Arial" w:eastAsia="Arial" w:hAnsi="Arial" w:cs="Arial"/>
        <w:b/>
        <w:bCs/>
      </w:rPr>
      <w:tblPr/>
      <w:tcPr>
        <w:shd w:val="clear" w:color="auto" w:fill="999999" w:themeFill="text1" w:themeFillTint="66"/>
      </w:tcPr>
    </w:tblStylePr>
    <w:tblStylePr w:type="lastRow">
      <w:rPr>
        <w:rFonts w:ascii="Arial" w:eastAsia="Arial" w:hAnsi="Arial" w:cs="Arial"/>
        <w:b/>
        <w:bCs/>
        <w:color w:val="000000" w:themeColor="text1"/>
      </w:rPr>
      <w:tblPr/>
      <w:tcPr>
        <w:shd w:val="clear" w:color="auto" w:fill="999999" w:themeFill="text1" w:themeFillTint="66"/>
      </w:tcPr>
    </w:tblStylePr>
    <w:tblStylePr w:type="firstCol">
      <w:rPr>
        <w:rFonts w:ascii="Arial" w:eastAsia="Arial" w:hAnsi="Arial" w:cs="Arial"/>
        <w:color w:val="FFFFFF" w:themeColor="background1"/>
      </w:rPr>
      <w:tblPr/>
      <w:tcPr>
        <w:shd w:val="clear" w:color="auto" w:fill="000000" w:themeFill="text1" w:themeFillShade="BF"/>
      </w:tcPr>
    </w:tblStylePr>
    <w:tblStylePr w:type="lastCol">
      <w:rPr>
        <w:rFonts w:ascii="Arial" w:eastAsia="Arial" w:hAnsi="Arial" w:cs="Arial"/>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rFonts w:ascii="Arial" w:eastAsia="Arial" w:hAnsi="Arial" w:cs="Arial"/>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rFonts w:ascii="Arial" w:eastAsia="Arial" w:hAnsi="Arial" w:cs="Arial"/>
        <w:b/>
        <w:bCs/>
      </w:rPr>
      <w:tblPr/>
      <w:tcPr>
        <w:shd w:val="clear" w:color="auto" w:fill="B8CCE4" w:themeFill="accent1" w:themeFillTint="66"/>
      </w:tcPr>
    </w:tblStylePr>
    <w:tblStylePr w:type="lastRow">
      <w:rPr>
        <w:rFonts w:ascii="Arial" w:eastAsia="Arial" w:hAnsi="Arial" w:cs="Arial"/>
        <w:b/>
        <w:bCs/>
        <w:color w:val="000000" w:themeColor="text1"/>
      </w:rPr>
      <w:tblPr/>
      <w:tcPr>
        <w:shd w:val="clear" w:color="auto" w:fill="B8CCE4" w:themeFill="accent1" w:themeFillTint="66"/>
      </w:tcPr>
    </w:tblStylePr>
    <w:tblStylePr w:type="firstCol">
      <w:rPr>
        <w:rFonts w:ascii="Arial" w:eastAsia="Arial" w:hAnsi="Arial" w:cs="Arial"/>
        <w:color w:val="FFFFFF" w:themeColor="background1"/>
      </w:rPr>
      <w:tblPr/>
      <w:tcPr>
        <w:shd w:val="clear" w:color="auto" w:fill="365F91" w:themeFill="accent1" w:themeFillShade="BF"/>
      </w:tcPr>
    </w:tblStylePr>
    <w:tblStylePr w:type="lastCol">
      <w:rPr>
        <w:rFonts w:ascii="Arial" w:eastAsia="Arial" w:hAnsi="Arial" w:cs="Arial"/>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rFonts w:ascii="Arial" w:eastAsia="Arial" w:hAnsi="Arial" w:cs="Arial"/>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rFonts w:ascii="Arial" w:eastAsia="Arial" w:hAnsi="Arial" w:cs="Arial"/>
        <w:b/>
        <w:bCs/>
      </w:rPr>
      <w:tblPr/>
      <w:tcPr>
        <w:shd w:val="clear" w:color="auto" w:fill="E5B8B7" w:themeFill="accent2" w:themeFillTint="66"/>
      </w:tcPr>
    </w:tblStylePr>
    <w:tblStylePr w:type="lastRow">
      <w:rPr>
        <w:rFonts w:ascii="Arial" w:eastAsia="Arial" w:hAnsi="Arial" w:cs="Arial"/>
        <w:b/>
        <w:bCs/>
        <w:color w:val="000000" w:themeColor="text1"/>
      </w:rPr>
      <w:tblPr/>
      <w:tcPr>
        <w:shd w:val="clear" w:color="auto" w:fill="E5B8B7" w:themeFill="accent2" w:themeFillTint="66"/>
      </w:tcPr>
    </w:tblStylePr>
    <w:tblStylePr w:type="firstCol">
      <w:rPr>
        <w:rFonts w:ascii="Arial" w:eastAsia="Arial" w:hAnsi="Arial" w:cs="Arial"/>
        <w:color w:val="FFFFFF" w:themeColor="background1"/>
      </w:rPr>
      <w:tblPr/>
      <w:tcPr>
        <w:shd w:val="clear" w:color="auto" w:fill="943634" w:themeFill="accent2" w:themeFillShade="BF"/>
      </w:tcPr>
    </w:tblStylePr>
    <w:tblStylePr w:type="lastCol">
      <w:rPr>
        <w:rFonts w:ascii="Arial" w:eastAsia="Arial" w:hAnsi="Arial" w:cs="Arial"/>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rFonts w:ascii="Arial" w:eastAsia="Arial" w:hAnsi="Arial" w:cs="Arial"/>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rFonts w:ascii="Arial" w:eastAsia="Arial" w:hAnsi="Arial" w:cs="Arial"/>
        <w:b/>
        <w:bCs/>
      </w:rPr>
      <w:tblPr/>
      <w:tcPr>
        <w:shd w:val="clear" w:color="auto" w:fill="D6E3BC" w:themeFill="accent3" w:themeFillTint="66"/>
      </w:tcPr>
    </w:tblStylePr>
    <w:tblStylePr w:type="lastRow">
      <w:rPr>
        <w:rFonts w:ascii="Arial" w:eastAsia="Arial" w:hAnsi="Arial" w:cs="Arial"/>
        <w:b/>
        <w:bCs/>
        <w:color w:val="000000" w:themeColor="text1"/>
      </w:rPr>
      <w:tblPr/>
      <w:tcPr>
        <w:shd w:val="clear" w:color="auto" w:fill="D6E3BC" w:themeFill="accent3" w:themeFillTint="66"/>
      </w:tcPr>
    </w:tblStylePr>
    <w:tblStylePr w:type="firstCol">
      <w:rPr>
        <w:rFonts w:ascii="Arial" w:eastAsia="Arial" w:hAnsi="Arial" w:cs="Arial"/>
        <w:color w:val="FFFFFF" w:themeColor="background1"/>
      </w:rPr>
      <w:tblPr/>
      <w:tcPr>
        <w:shd w:val="clear" w:color="auto" w:fill="76923C" w:themeFill="accent3" w:themeFillShade="BF"/>
      </w:tcPr>
    </w:tblStylePr>
    <w:tblStylePr w:type="lastCol">
      <w:rPr>
        <w:rFonts w:ascii="Arial" w:eastAsia="Arial" w:hAnsi="Arial" w:cs="Arial"/>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rFonts w:ascii="Arial" w:eastAsia="Arial" w:hAnsi="Arial" w:cs="Arial"/>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rFonts w:ascii="Arial" w:eastAsia="Arial" w:hAnsi="Arial" w:cs="Arial"/>
        <w:b/>
        <w:bCs/>
      </w:rPr>
      <w:tblPr/>
      <w:tcPr>
        <w:shd w:val="clear" w:color="auto" w:fill="CCC0D9" w:themeFill="accent4" w:themeFillTint="66"/>
      </w:tcPr>
    </w:tblStylePr>
    <w:tblStylePr w:type="lastRow">
      <w:rPr>
        <w:rFonts w:ascii="Arial" w:eastAsia="Arial" w:hAnsi="Arial" w:cs="Arial"/>
        <w:b/>
        <w:bCs/>
        <w:color w:val="000000" w:themeColor="text1"/>
      </w:rPr>
      <w:tblPr/>
      <w:tcPr>
        <w:shd w:val="clear" w:color="auto" w:fill="CCC0D9" w:themeFill="accent4" w:themeFillTint="66"/>
      </w:tcPr>
    </w:tblStylePr>
    <w:tblStylePr w:type="firstCol">
      <w:rPr>
        <w:rFonts w:ascii="Arial" w:eastAsia="Arial" w:hAnsi="Arial" w:cs="Arial"/>
        <w:color w:val="FFFFFF" w:themeColor="background1"/>
      </w:rPr>
      <w:tblPr/>
      <w:tcPr>
        <w:shd w:val="clear" w:color="auto" w:fill="5F497A" w:themeFill="accent4" w:themeFillShade="BF"/>
      </w:tcPr>
    </w:tblStylePr>
    <w:tblStylePr w:type="lastCol">
      <w:rPr>
        <w:rFonts w:ascii="Arial" w:eastAsia="Arial" w:hAnsi="Arial" w:cs="Arial"/>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rFonts w:ascii="Arial" w:eastAsia="Arial" w:hAnsi="Arial" w:cs="Arial"/>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rFonts w:ascii="Arial" w:eastAsia="Arial" w:hAnsi="Arial" w:cs="Arial"/>
        <w:b/>
        <w:bCs/>
      </w:rPr>
      <w:tblPr/>
      <w:tcPr>
        <w:shd w:val="clear" w:color="auto" w:fill="B6DDE8" w:themeFill="accent5" w:themeFillTint="66"/>
      </w:tcPr>
    </w:tblStylePr>
    <w:tblStylePr w:type="lastRow">
      <w:rPr>
        <w:rFonts w:ascii="Arial" w:eastAsia="Arial" w:hAnsi="Arial" w:cs="Arial"/>
        <w:b/>
        <w:bCs/>
        <w:color w:val="000000" w:themeColor="text1"/>
      </w:rPr>
      <w:tblPr/>
      <w:tcPr>
        <w:shd w:val="clear" w:color="auto" w:fill="B6DDE8" w:themeFill="accent5" w:themeFillTint="66"/>
      </w:tcPr>
    </w:tblStylePr>
    <w:tblStylePr w:type="firstCol">
      <w:rPr>
        <w:rFonts w:ascii="Arial" w:eastAsia="Arial" w:hAnsi="Arial" w:cs="Arial"/>
        <w:color w:val="FFFFFF" w:themeColor="background1"/>
      </w:rPr>
      <w:tblPr/>
      <w:tcPr>
        <w:shd w:val="clear" w:color="auto" w:fill="31849B" w:themeFill="accent5" w:themeFillShade="BF"/>
      </w:tcPr>
    </w:tblStylePr>
    <w:tblStylePr w:type="lastCol">
      <w:rPr>
        <w:rFonts w:ascii="Arial" w:eastAsia="Arial" w:hAnsi="Arial" w:cs="Arial"/>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rFonts w:ascii="Arial" w:eastAsia="Arial" w:hAnsi="Arial" w:cs="Arial"/>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rFonts w:ascii="Arial" w:eastAsia="Arial" w:hAnsi="Arial" w:cs="Arial"/>
        <w:b/>
        <w:bCs/>
      </w:rPr>
      <w:tblPr/>
      <w:tcPr>
        <w:shd w:val="clear" w:color="auto" w:fill="FBD4B4" w:themeFill="accent6" w:themeFillTint="66"/>
      </w:tcPr>
    </w:tblStylePr>
    <w:tblStylePr w:type="lastRow">
      <w:rPr>
        <w:rFonts w:ascii="Arial" w:eastAsia="Arial" w:hAnsi="Arial" w:cs="Arial"/>
        <w:b/>
        <w:bCs/>
        <w:color w:val="000000" w:themeColor="text1"/>
      </w:rPr>
      <w:tblPr/>
      <w:tcPr>
        <w:shd w:val="clear" w:color="auto" w:fill="FBD4B4" w:themeFill="accent6" w:themeFillTint="66"/>
      </w:tcPr>
    </w:tblStylePr>
    <w:tblStylePr w:type="firstCol">
      <w:rPr>
        <w:rFonts w:ascii="Arial" w:eastAsia="Arial" w:hAnsi="Arial" w:cs="Arial"/>
        <w:color w:val="FFFFFF" w:themeColor="background1"/>
      </w:rPr>
      <w:tblPr/>
      <w:tcPr>
        <w:shd w:val="clear" w:color="auto" w:fill="E36C0A" w:themeFill="accent6" w:themeFillShade="BF"/>
      </w:tcPr>
    </w:tblStylePr>
    <w:tblStylePr w:type="lastCol">
      <w:rPr>
        <w:rFonts w:ascii="Arial" w:eastAsia="Arial" w:hAnsi="Arial" w:cs="Arial"/>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67E0C"/>
    <w:pPr>
      <w:spacing w:after="100"/>
    </w:pPr>
  </w:style>
  <w:style w:type="paragraph" w:styleId="TOC2">
    <w:name w:val="toc 2"/>
    <w:basedOn w:val="Normal"/>
    <w:next w:val="Normal"/>
    <w:autoRedefine/>
    <w:uiPriority w:val="39"/>
    <w:unhideWhenUsed/>
    <w:rsid w:val="00F67E0C"/>
    <w:pPr>
      <w:spacing w:after="100"/>
      <w:ind w:left="240"/>
    </w:pPr>
  </w:style>
  <w:style w:type="character" w:styleId="Hyperlink">
    <w:name w:val="Hyperlink"/>
    <w:basedOn w:val="DefaultParagraphFont"/>
    <w:uiPriority w:val="99"/>
    <w:unhideWhenUsed/>
    <w:rsid w:val="00F67E0C"/>
    <w:rPr>
      <w:rFonts w:ascii="Arial" w:eastAsia="Arial" w:hAnsi="Arial" w:cs="Arial"/>
      <w:color w:val="0000FF" w:themeColor="hyperlink"/>
      <w:u w:val="single"/>
    </w:rPr>
  </w:style>
  <w:style w:type="table" w:styleId="GridTable4-Accent5">
    <w:name w:val="Grid Table 4 Accent 5"/>
    <w:basedOn w:val="TableNormal"/>
    <w:uiPriority w:val="49"/>
    <w:rsid w:val="00F67E0C"/>
    <w:pPr>
      <w:spacing w:after="0" w:line="240" w:lineRule="auto"/>
    </w:pPr>
    <w:rPr>
      <w:rFonts w:ascii="Arial" w:eastAsia="Arial" w:hAnsi="Arial" w:cs="Arial"/>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rFonts w:ascii="Arial" w:eastAsia="Arial" w:hAnsi="Arial" w:cs="Arial"/>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rFonts w:ascii="Arial" w:eastAsia="Arial" w:hAnsi="Arial" w:cs="Arial"/>
        <w:b/>
        <w:bCs/>
      </w:rPr>
      <w:tblPr/>
      <w:tcPr>
        <w:tcBorders>
          <w:top w:val="double" w:sz="4" w:space="0" w:color="4BACC6" w:themeColor="accent5"/>
        </w:tcBorders>
      </w:tcPr>
    </w:tblStylePr>
    <w:tblStylePr w:type="firstCol">
      <w:rPr>
        <w:rFonts w:ascii="Arial" w:eastAsia="Arial" w:hAnsi="Arial" w:cs="Arial"/>
        <w:b/>
        <w:bCs/>
      </w:rPr>
    </w:tblStylePr>
    <w:tblStylePr w:type="lastCol">
      <w:rPr>
        <w:rFonts w:ascii="Arial" w:eastAsia="Arial" w:hAnsi="Arial" w:cs="Arial"/>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5Dark-Accent6">
    <w:name w:val="Grid Table 5 Dark Accent 6"/>
    <w:basedOn w:val="TableNormal"/>
    <w:uiPriority w:val="50"/>
    <w:rsid w:val="00F67E0C"/>
    <w:pPr>
      <w:spacing w:after="0" w:line="240" w:lineRule="auto"/>
    </w:pPr>
    <w:rPr>
      <w:rFonts w:ascii="Arial" w:eastAsia="Arial" w:hAnsi="Arial" w:cs="Ari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rFonts w:ascii="Arial" w:eastAsia="Arial" w:hAnsi="Arial" w:cs="Arial"/>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rFonts w:ascii="Arial" w:eastAsia="Arial" w:hAnsi="Arial" w:cs="Arial"/>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rFonts w:ascii="Arial" w:eastAsia="Arial" w:hAnsi="Arial" w:cs="Arial"/>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rFonts w:ascii="Arial" w:eastAsia="Arial" w:hAnsi="Arial" w:cs="Arial"/>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537325.2025.2486010" TargetMode="External"/><Relationship Id="rId18" Type="http://schemas.openxmlformats.org/officeDocument/2006/relationships/hyperlink" Target="https://doi.org/10.1016/j.jenvman.2022.115349" TargetMode="External"/><Relationship Id="rId26" Type="http://schemas.openxmlformats.org/officeDocument/2006/relationships/hyperlink" Target="https://doi.org/10.1080/23311975.2022.2065948" TargetMode="External"/><Relationship Id="rId39" Type="http://schemas.openxmlformats.org/officeDocument/2006/relationships/fontTable" Target="fontTable.xml"/><Relationship Id="rId21" Type="http://schemas.openxmlformats.org/officeDocument/2006/relationships/hyperlink" Target="https://www.ipcc.ch/report/ar6/syr/" TargetMode="External"/><Relationship Id="rId34" Type="http://schemas.openxmlformats.org/officeDocument/2006/relationships/hyperlink" Target="https://doi.org/10.1016/j.irfa.2022.102311" TargetMode="External"/><Relationship Id="rId7" Type="http://schemas.openxmlformats.org/officeDocument/2006/relationships/endnotes" Target="endnotes.xml"/><Relationship Id="rId12" Type="http://schemas.openxmlformats.org/officeDocument/2006/relationships/hyperlink" Target="https://doi.org/10.1108/IJIS-10-2020-0180" TargetMode="External"/><Relationship Id="rId17" Type="http://schemas.openxmlformats.org/officeDocument/2006/relationships/hyperlink" Target="https://www.deloitte.com/tw/en/Industries/mining-metals/research/tracking-the-trends.html" TargetMode="External"/><Relationship Id="rId25" Type="http://schemas.openxmlformats.org/officeDocument/2006/relationships/hyperlink" Target="https://doi.org/10.1016/j.frl.2024.105255" TargetMode="External"/><Relationship Id="rId33" Type="http://schemas.openxmlformats.org/officeDocument/2006/relationships/hyperlink" Target="https://doi.org/10.1007/s10669-021-09825-z"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dcceew.gov.au/sites/default/files/documents/safeguard-mechanism-reforms-factsheet-2023.pdf" TargetMode="External"/><Relationship Id="rId20" Type="http://schemas.openxmlformats.org/officeDocument/2006/relationships/hyperlink" Target="https://www.iea.org/reports/global-critical-minerals-outlook-2024" TargetMode="External"/><Relationship Id="rId29" Type="http://schemas.openxmlformats.org/officeDocument/2006/relationships/hyperlink" Target="https://www.south32.net/docs/default-source/annual-reporting-suite/2025/climate-change-action-plan-202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spc.2020.10.015" TargetMode="External"/><Relationship Id="rId24" Type="http://schemas.openxmlformats.org/officeDocument/2006/relationships/hyperlink" Target="https://www.pearson.com/en-us/subject-catalog/p/principles-of-marketing/P200000009859/9780137991839" TargetMode="External"/><Relationship Id="rId32" Type="http://schemas.openxmlformats.org/officeDocument/2006/relationships/hyperlink" Target="https://www.worldbank.org/en/news/press-release/2020/05/11/mineral-production-to-soar-as-demand-for-clean-energy-increases"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techfore.2021.121492" TargetMode="External"/><Relationship Id="rId23" Type="http://schemas.openxmlformats.org/officeDocument/2006/relationships/hyperlink" Target="https://doi.org/10.1016/j.jclepro.2021.128258" TargetMode="External"/><Relationship Id="rId28" Type="http://schemas.openxmlformats.org/officeDocument/2006/relationships/hyperlink" Target="https://www.south32.net/docs/default-source/annual-reporting-suite/2025/annual-report-2025.pdf?sfvrsn=11e4e0c_2"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177/21582440211061539" TargetMode="External"/><Relationship Id="rId31" Type="http://schemas.openxmlformats.org/officeDocument/2006/relationships/hyperlink" Target="https://doi.org/10.1016/j.spc.2020.12.03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er.gov.au/news-and-media/news/2025/april/explore-2023-24-safeguard-mechanism-data" TargetMode="External"/><Relationship Id="rId22" Type="http://schemas.openxmlformats.org/officeDocument/2006/relationships/hyperlink" Target="https://doi.org/10.1002/bse.2858" TargetMode="External"/><Relationship Id="rId27" Type="http://schemas.openxmlformats.org/officeDocument/2006/relationships/hyperlink" Target="https://www.south32.net/docs/default-source/annual-reporting-suite/2023/sustainable-development-report-2023.pdf?sfvrsn=2e57d4d2_4" TargetMode="External"/><Relationship Id="rId30" Type="http://schemas.openxmlformats.org/officeDocument/2006/relationships/hyperlink" Target="https://www.south32.net/docs/default-source/annual-reporting-suite/2025/climate-related-risk-and-reporting-methodology-2025.pdf?sfvrsn=9e410e18_1"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41" Type="http://schemas.openxmlformats.org/officeDocument/2006/relationships/image" Target="media/image3.png"/><Relationship Id="rId42" Type="http://schemas.openxmlformats.org/officeDocument/2006/relationships/image" Target="media/image2.png"/><Relationship Id="rId43" Type="http://schemas.openxmlformats.org/officeDocument/2006/relationships/image" Target="media/image1.png"/><Relationship Id="rId44" Type="http://schemas.openxmlformats.org/officeDocument/2006/relationships/image" Target="media/image3.png"/><Relationship Id="rId45" Type="http://schemas.openxmlformats.org/officeDocument/2006/relationships/image" Target="media/image2.png"/><Relationship Id="rId46" Type="http://schemas.openxmlformats.org/officeDocument/2006/relationships/image" Target="media/image1.png"/><Relationship Id="rId47" Type="http://schemas.openxmlformats.org/officeDocument/2006/relationships/image" Target="media/image3.png"/><Relationship Id="rId48" Type="http://schemas.openxmlformats.org/officeDocument/2006/relationships/image" Target="media/image2.png"/><Relationship Id="rId4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14</Pages>
  <Words>4056</Words>
  <Characters>23123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Marketing Environment Analysis and Strategic Growth of South32 Limited</vt:lpstr>
    </vt:vector>
  </TitlesOfParts>
  <Manager/>
  <Company/>
  <LinksUpToDate>false</LinksUpToDate>
  <CharactersWithSpaces>27125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terms:modified xsi:type="dcterms:W3CDTF">2026-10-21T11:14:00Z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29b86cd60ff7b9c5037400c4c7fb259afd7a16fc84492523264581b44bf2eec8</vt:lpwstr>
  </property>
</Properties>
</file>