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747FE" w14:textId="2B553796" w:rsidR="006B6F21" w:rsidRPr="00EE314F" w:rsidRDefault="00612135" w:rsidP="0058755A">
      <w:pPr>
        <w:jc w:val="center"/>
        <w:rPr>
          <w:rFonts w:ascii="Arial" w:hAnsi="Arial" w:cs="Arial"/>
          <w:b/>
          <w:bCs/>
          <w:sz w:val="40"/>
          <w:szCs w:val="40"/>
        </w:rPr>
      </w:pPr>
      <w:r w:rsidRPr="00EE314F">
        <w:rPr>
          <w:rFonts w:ascii="Arial" w:hAnsi="Arial" w:cs="Arial"/>
          <w:noProof/>
        </w:rPr>
        <w:drawing>
          <wp:anchor distT="0" distB="0" distL="114300" distR="114300" simplePos="0" relativeHeight="251658240" behindDoc="0" locked="0" layoutInCell="1" allowOverlap="1" wp14:anchorId="052959DE" wp14:editId="2B57FF2B">
            <wp:simplePos x="0" y="0"/>
            <wp:positionH relativeFrom="page">
              <wp:posOffset>-47625</wp:posOffset>
            </wp:positionH>
            <wp:positionV relativeFrom="margin">
              <wp:posOffset>9896475</wp:posOffset>
            </wp:positionV>
            <wp:extent cx="7619365" cy="10711180"/>
            <wp:effectExtent l="0" t="0" r="635" b="0"/>
            <wp:wrapSquare wrapText="bothSides"/>
            <wp:docPr id="519302504" name="Picture 1" descr="How to Prevent and Reverse Type 2 Diabetes in Children">
              <a:extLst xmlns:a="http://schemas.openxmlformats.org/drawingml/2006/main">
                <a:ext uri="{FF2B5EF4-FFF2-40B4-BE49-F238E27FC236}">
                  <a16:creationId xmlns:a16="http://schemas.microsoft.com/office/drawing/2014/main" id="{308CF477-EA41-42F9-B483-0DC5A7931E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ow to Prevent and Reverse Type 2 Diabetes in Childre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19365" cy="10711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B6F21" w:rsidRPr="00EE314F">
        <w:rPr>
          <w:rFonts w:ascii="Arial" w:hAnsi="Arial" w:cs="Arial"/>
          <w:b/>
          <w:bCs/>
          <w:sz w:val="40"/>
          <w:szCs w:val="40"/>
        </w:rPr>
        <w:t>Parveen Akhtar</w:t>
      </w:r>
    </w:p>
    <w:p w14:paraId="1640544C" w14:textId="49EF3807" w:rsidR="006B6F21" w:rsidRPr="00EE314F" w:rsidRDefault="006B6F21" w:rsidP="0058755A">
      <w:pPr>
        <w:jc w:val="center"/>
        <w:rPr>
          <w:rFonts w:ascii="Arial" w:hAnsi="Arial" w:cs="Arial"/>
          <w:b/>
          <w:bCs/>
          <w:sz w:val="40"/>
          <w:szCs w:val="40"/>
        </w:rPr>
      </w:pPr>
      <w:r w:rsidRPr="00EE314F">
        <w:rPr>
          <w:rFonts w:ascii="Arial" w:hAnsi="Arial" w:cs="Arial"/>
          <w:b/>
          <w:bCs/>
          <w:sz w:val="40"/>
          <w:szCs w:val="40"/>
        </w:rPr>
        <w:t>2309185</w:t>
      </w:r>
    </w:p>
    <w:p w14:paraId="6F3515C1" w14:textId="3A00FC0B" w:rsidR="006B6F21" w:rsidRPr="00EE314F" w:rsidRDefault="005E7DE3" w:rsidP="0058755A">
      <w:pPr>
        <w:jc w:val="center"/>
        <w:rPr>
          <w:rFonts w:ascii="Arial" w:hAnsi="Arial" w:cs="Arial"/>
          <w:b/>
          <w:bCs/>
          <w:sz w:val="40"/>
          <w:szCs w:val="40"/>
        </w:rPr>
      </w:pPr>
      <w:r w:rsidRPr="00EE314F">
        <w:rPr>
          <w:rFonts w:ascii="Arial" w:hAnsi="Arial" w:cs="Arial"/>
          <w:b/>
          <w:bCs/>
          <w:sz w:val="40"/>
          <w:szCs w:val="40"/>
        </w:rPr>
        <w:t>Module: Community Care and Management of Long</w:t>
      </w:r>
      <w:r w:rsidR="0058755A" w:rsidRPr="00EE314F">
        <w:rPr>
          <w:rFonts w:ascii="Arial" w:hAnsi="Arial" w:cs="Arial"/>
          <w:b/>
          <w:bCs/>
          <w:sz w:val="40"/>
          <w:szCs w:val="40"/>
        </w:rPr>
        <w:t>er</w:t>
      </w:r>
      <w:r w:rsidRPr="00EE314F">
        <w:rPr>
          <w:rFonts w:ascii="Arial" w:hAnsi="Arial" w:cs="Arial"/>
          <w:b/>
          <w:bCs/>
          <w:sz w:val="40"/>
          <w:szCs w:val="40"/>
        </w:rPr>
        <w:t>-term Conditions</w:t>
      </w:r>
    </w:p>
    <w:p w14:paraId="5C7F208C" w14:textId="00E47229" w:rsidR="0058755A" w:rsidRPr="00EE314F" w:rsidRDefault="0058755A" w:rsidP="0058755A">
      <w:pPr>
        <w:jc w:val="center"/>
        <w:rPr>
          <w:rFonts w:ascii="Arial" w:hAnsi="Arial" w:cs="Arial"/>
          <w:b/>
          <w:bCs/>
          <w:sz w:val="40"/>
          <w:szCs w:val="40"/>
        </w:rPr>
      </w:pPr>
      <w:r w:rsidRPr="00EE314F">
        <w:rPr>
          <w:rFonts w:ascii="Arial" w:hAnsi="Arial" w:cs="Arial"/>
          <w:b/>
          <w:bCs/>
          <w:sz w:val="40"/>
          <w:szCs w:val="40"/>
        </w:rPr>
        <w:t>Module Code: LCHS7003</w:t>
      </w:r>
    </w:p>
    <w:p w14:paraId="253217B5" w14:textId="08DFC561" w:rsidR="0058755A" w:rsidRPr="00EE314F" w:rsidRDefault="0058755A" w:rsidP="0058755A">
      <w:pPr>
        <w:jc w:val="center"/>
        <w:rPr>
          <w:rFonts w:ascii="Arial" w:hAnsi="Arial" w:cs="Arial"/>
          <w:b/>
          <w:bCs/>
          <w:sz w:val="40"/>
          <w:szCs w:val="40"/>
        </w:rPr>
      </w:pPr>
      <w:r w:rsidRPr="00EE314F">
        <w:rPr>
          <w:rFonts w:ascii="Arial" w:hAnsi="Arial" w:cs="Arial"/>
          <w:b/>
          <w:bCs/>
          <w:sz w:val="40"/>
          <w:szCs w:val="40"/>
        </w:rPr>
        <w:t>Lecturer:</w:t>
      </w:r>
      <w:r w:rsidR="004D4FDF" w:rsidRPr="00EE314F">
        <w:rPr>
          <w:rFonts w:ascii="Arial" w:hAnsi="Arial" w:cs="Arial"/>
          <w:b/>
          <w:bCs/>
          <w:sz w:val="40"/>
          <w:szCs w:val="40"/>
        </w:rPr>
        <w:t xml:space="preserve"> </w:t>
      </w:r>
      <w:r w:rsidR="00750D97" w:rsidRPr="00EE314F">
        <w:rPr>
          <w:rFonts w:ascii="Arial" w:hAnsi="Arial" w:cs="Arial"/>
          <w:b/>
          <w:bCs/>
          <w:sz w:val="40"/>
          <w:szCs w:val="40"/>
        </w:rPr>
        <w:t xml:space="preserve">Dr </w:t>
      </w:r>
      <w:r w:rsidR="004D4FDF" w:rsidRPr="00EE314F">
        <w:rPr>
          <w:rFonts w:ascii="Arial" w:hAnsi="Arial" w:cs="Arial"/>
          <w:b/>
          <w:bCs/>
          <w:sz w:val="40"/>
          <w:szCs w:val="40"/>
        </w:rPr>
        <w:t xml:space="preserve">Aishat Bakre </w:t>
      </w:r>
    </w:p>
    <w:p w14:paraId="6D3F78DE" w14:textId="77777777" w:rsidR="001E6DA9" w:rsidRDefault="001E6DA9"/>
    <w:p w14:paraId="03C67162" w14:textId="77777777" w:rsidR="001E6DA9" w:rsidRDefault="001E6DA9"/>
    <w:p w14:paraId="496F7DC7" w14:textId="77777777" w:rsidR="001E6DA9" w:rsidRDefault="001E6DA9"/>
    <w:p w14:paraId="099C0EA6" w14:textId="77777777" w:rsidR="001E6DA9" w:rsidRDefault="001E6DA9"/>
    <w:p w14:paraId="3F7A6F96" w14:textId="77777777" w:rsidR="001E6DA9" w:rsidRDefault="001E6DA9"/>
    <w:p w14:paraId="42A62C1A" w14:textId="77777777" w:rsidR="001E6DA9" w:rsidRDefault="001E6DA9"/>
    <w:p w14:paraId="426D7D59" w14:textId="77777777" w:rsidR="001E6DA9" w:rsidRDefault="001E6DA9"/>
    <w:p w14:paraId="177578F8" w14:textId="77777777" w:rsidR="001E6DA9" w:rsidRDefault="001E6DA9"/>
    <w:p w14:paraId="11682220" w14:textId="77777777" w:rsidR="001E6DA9" w:rsidRDefault="001E6DA9"/>
    <w:p w14:paraId="75503306" w14:textId="77777777" w:rsidR="001E6DA9" w:rsidRDefault="001E6DA9"/>
    <w:p w14:paraId="5EC59085" w14:textId="77777777" w:rsidR="001E6DA9" w:rsidRDefault="001E6DA9"/>
    <w:p w14:paraId="082227D2" w14:textId="77777777" w:rsidR="001E6DA9" w:rsidRDefault="001E6DA9"/>
    <w:p w14:paraId="3947E4FE" w14:textId="77777777" w:rsidR="001E6DA9" w:rsidRDefault="001E6DA9"/>
    <w:p w14:paraId="30607AC2" w14:textId="77777777" w:rsidR="001E6DA9" w:rsidRDefault="001E6DA9"/>
    <w:p w14:paraId="6A538774" w14:textId="77777777" w:rsidR="001E6DA9" w:rsidRDefault="001E6DA9"/>
    <w:p w14:paraId="55FB5405" w14:textId="77777777" w:rsidR="001E6DA9" w:rsidRDefault="001E6DA9"/>
    <w:p w14:paraId="2F1CE818" w14:textId="77777777" w:rsidR="001E6DA9" w:rsidRDefault="001E6DA9"/>
    <w:p w14:paraId="4A0B1F46" w14:textId="77777777" w:rsidR="001E6DA9" w:rsidRDefault="001E6DA9"/>
    <w:p w14:paraId="629317D1" w14:textId="77777777" w:rsidR="001E6DA9" w:rsidRDefault="001E6DA9"/>
    <w:p w14:paraId="33AA69DA" w14:textId="77777777" w:rsidR="001E6DA9" w:rsidRDefault="001E6DA9"/>
    <w:p w14:paraId="7356708F" w14:textId="63367D61" w:rsidR="001E6DA9" w:rsidRDefault="001E6DA9"/>
    <w:p w14:paraId="0270D02D" w14:textId="2FD69AC4" w:rsidR="001E6DA9" w:rsidRDefault="001E6DA9"/>
    <w:p w14:paraId="6EBCDB61" w14:textId="4D30F4E6" w:rsidR="005650DC" w:rsidRPr="00EF5909" w:rsidRDefault="005650DC" w:rsidP="005650DC">
      <w:pPr>
        <w:jc w:val="center"/>
        <w:rPr>
          <w:rFonts w:ascii="Arial" w:hAnsi="Arial" w:cs="Arial"/>
          <w:b/>
          <w:bCs/>
          <w:sz w:val="28"/>
          <w:szCs w:val="28"/>
        </w:rPr>
      </w:pPr>
      <w:r w:rsidRPr="00EF5909">
        <w:rPr>
          <w:rFonts w:ascii="Arial" w:hAnsi="Arial" w:cs="Arial"/>
          <w:b/>
          <w:bCs/>
          <w:sz w:val="28"/>
          <w:szCs w:val="28"/>
        </w:rPr>
        <w:lastRenderedPageBreak/>
        <w:t>Type 2 Diabetes Mellitus- Understanding, Managing and Living well with a Long-Term condition in the UK.</w:t>
      </w:r>
    </w:p>
    <w:p w14:paraId="3A5C13DA" w14:textId="3B929401" w:rsidR="001E6DA9" w:rsidRDefault="001E6DA9">
      <w:pPr>
        <w:rPr>
          <w:noProof/>
        </w:rPr>
      </w:pPr>
    </w:p>
    <w:p w14:paraId="7356F48E" w14:textId="0144CAA6" w:rsidR="00B37A50" w:rsidRDefault="00DF2C7C">
      <w:pPr>
        <w:rPr>
          <w:noProof/>
        </w:rPr>
      </w:pPr>
      <w:r>
        <w:rPr>
          <w:noProof/>
        </w:rPr>
        <w:drawing>
          <wp:anchor distT="0" distB="0" distL="114300" distR="114300" simplePos="0" relativeHeight="251659264" behindDoc="0" locked="0" layoutInCell="1" allowOverlap="1" wp14:anchorId="41B8F4B3" wp14:editId="1F64B404">
            <wp:simplePos x="0" y="0"/>
            <wp:positionH relativeFrom="column">
              <wp:posOffset>104775</wp:posOffset>
            </wp:positionH>
            <wp:positionV relativeFrom="page">
              <wp:posOffset>1914525</wp:posOffset>
            </wp:positionV>
            <wp:extent cx="5731510" cy="3820795"/>
            <wp:effectExtent l="0" t="0" r="2540" b="8255"/>
            <wp:wrapThrough wrapText="bothSides">
              <wp:wrapPolygon edited="0">
                <wp:start x="0" y="0"/>
                <wp:lineTo x="0" y="21539"/>
                <wp:lineTo x="21538" y="21539"/>
                <wp:lineTo x="21538" y="0"/>
                <wp:lineTo x="0" y="0"/>
              </wp:wrapPolygon>
            </wp:wrapThrough>
            <wp:docPr id="627355716" name="Picture 3" descr="How to Prevent and Reverse Type 2 Diabetes in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Prevent and Reverse Type 2 Diabetes in Childre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anchor>
        </w:drawing>
      </w:r>
    </w:p>
    <w:p w14:paraId="7C9DE1A3" w14:textId="77777777" w:rsidR="00B37A50" w:rsidRDefault="00B37A50">
      <w:pPr>
        <w:rPr>
          <w:noProof/>
        </w:rPr>
      </w:pPr>
    </w:p>
    <w:p w14:paraId="4D54CCD7" w14:textId="77777777" w:rsidR="00B37A50" w:rsidRDefault="00B37A50">
      <w:pPr>
        <w:rPr>
          <w:noProof/>
        </w:rPr>
      </w:pPr>
    </w:p>
    <w:p w14:paraId="31A54A52" w14:textId="77777777" w:rsidR="00B37A50" w:rsidRDefault="00B37A50">
      <w:pPr>
        <w:rPr>
          <w:noProof/>
        </w:rPr>
      </w:pPr>
    </w:p>
    <w:p w14:paraId="63AE8804" w14:textId="77777777" w:rsidR="00B37A50" w:rsidRDefault="00B37A50">
      <w:pPr>
        <w:rPr>
          <w:noProof/>
        </w:rPr>
      </w:pPr>
    </w:p>
    <w:p w14:paraId="07F5D5F6" w14:textId="77777777" w:rsidR="00B37A50" w:rsidRDefault="00B37A50">
      <w:pPr>
        <w:rPr>
          <w:noProof/>
        </w:rPr>
      </w:pPr>
    </w:p>
    <w:p w14:paraId="7FA5EAB7" w14:textId="77777777" w:rsidR="00B37A50" w:rsidRDefault="00B37A50">
      <w:pPr>
        <w:rPr>
          <w:noProof/>
        </w:rPr>
      </w:pPr>
    </w:p>
    <w:p w14:paraId="4771AF79" w14:textId="77777777" w:rsidR="00B37A50" w:rsidRDefault="00B37A50">
      <w:pPr>
        <w:rPr>
          <w:noProof/>
        </w:rPr>
      </w:pPr>
    </w:p>
    <w:p w14:paraId="2820C2E4" w14:textId="77777777" w:rsidR="00B37A50" w:rsidRDefault="00B37A50">
      <w:pPr>
        <w:rPr>
          <w:noProof/>
        </w:rPr>
      </w:pPr>
    </w:p>
    <w:p w14:paraId="64A2B958" w14:textId="77777777" w:rsidR="00B37A50" w:rsidRDefault="00B37A50">
      <w:pPr>
        <w:rPr>
          <w:noProof/>
        </w:rPr>
      </w:pPr>
    </w:p>
    <w:p w14:paraId="2B0BC01C" w14:textId="77777777" w:rsidR="00B37A50" w:rsidRDefault="00B37A50">
      <w:pPr>
        <w:rPr>
          <w:noProof/>
        </w:rPr>
      </w:pPr>
    </w:p>
    <w:p w14:paraId="3374B586" w14:textId="77777777" w:rsidR="00DF2C7C" w:rsidRDefault="00DF2C7C">
      <w:pPr>
        <w:rPr>
          <w:noProof/>
        </w:rPr>
      </w:pPr>
    </w:p>
    <w:p w14:paraId="31791B55" w14:textId="77777777" w:rsidR="00B37A50" w:rsidRDefault="00B37A50">
      <w:pPr>
        <w:rPr>
          <w:noProof/>
        </w:rPr>
      </w:pPr>
    </w:p>
    <w:p w14:paraId="22BAB82D" w14:textId="77777777" w:rsidR="00B37A50" w:rsidRDefault="00B37A50">
      <w:pPr>
        <w:rPr>
          <w:noProof/>
        </w:rPr>
      </w:pPr>
    </w:p>
    <w:p w14:paraId="3EED01DA" w14:textId="6C7DA48F" w:rsidR="00B37A50" w:rsidRDefault="00B37A50"/>
    <w:p w14:paraId="6D409B4E" w14:textId="713F7C24" w:rsidR="00DB71D0" w:rsidRDefault="00404AA9">
      <w:pPr>
        <w:pStyle w:val="TOC1"/>
        <w:tabs>
          <w:tab w:val="right" w:leader="dot" w:pos="9016"/>
        </w:tabs>
        <w:rPr>
          <w:rFonts w:eastAsiaTheme="minorEastAsia"/>
          <w:noProof/>
          <w:sz w:val="24"/>
          <w:szCs w:val="24"/>
          <w:lang w:eastAsia="en-GB"/>
        </w:rPr>
      </w:pPr>
      <w:r w:rsidRPr="00B254D2">
        <w:rPr>
          <w:rFonts w:ascii="Arial" w:hAnsi="Arial" w:cs="Arial"/>
          <w:b/>
          <w:bCs/>
        </w:rPr>
        <w:lastRenderedPageBreak/>
        <w:fldChar w:fldCharType="begin"/>
      </w:r>
      <w:r w:rsidRPr="00B254D2">
        <w:rPr>
          <w:rFonts w:ascii="Arial" w:hAnsi="Arial" w:cs="Arial"/>
          <w:b/>
          <w:bCs/>
        </w:rPr>
        <w:instrText xml:space="preserve"> TOC \o \h \z \u </w:instrText>
      </w:r>
      <w:r w:rsidRPr="00B254D2">
        <w:rPr>
          <w:rFonts w:ascii="Arial" w:hAnsi="Arial" w:cs="Arial"/>
          <w:b/>
          <w:bCs/>
        </w:rPr>
        <w:fldChar w:fldCharType="separate"/>
      </w:r>
      <w:hyperlink w:anchor="_Toc243590750" w:history="1">
        <w:r w:rsidR="00DB71D0" w:rsidRPr="007B71E6">
          <w:rPr>
            <w:rStyle w:val="Hyperlink"/>
            <w:rFonts w:ascii="Arial" w:hAnsi="Arial" w:cs="Arial"/>
            <w:b/>
            <w:bCs/>
            <w:noProof/>
          </w:rPr>
          <w:t>Definition</w:t>
        </w:r>
        <w:r w:rsidR="00DB71D0">
          <w:rPr>
            <w:noProof/>
            <w:webHidden/>
          </w:rPr>
          <w:tab/>
        </w:r>
        <w:r w:rsidR="00DB71D0">
          <w:rPr>
            <w:noProof/>
            <w:webHidden/>
          </w:rPr>
          <w:fldChar w:fldCharType="begin"/>
        </w:r>
        <w:r w:rsidR="00DB71D0">
          <w:rPr>
            <w:noProof/>
            <w:webHidden/>
          </w:rPr>
          <w:instrText xml:space="preserve"> PAGEREF _Toc243590750 \h </w:instrText>
        </w:r>
        <w:r w:rsidR="00DB71D0">
          <w:rPr>
            <w:noProof/>
            <w:webHidden/>
          </w:rPr>
        </w:r>
        <w:r w:rsidR="00DB71D0">
          <w:rPr>
            <w:noProof/>
            <w:webHidden/>
          </w:rPr>
          <w:fldChar w:fldCharType="separate"/>
        </w:r>
        <w:r w:rsidR="00DB71D0">
          <w:rPr>
            <w:noProof/>
            <w:webHidden/>
          </w:rPr>
          <w:t>4</w:t>
        </w:r>
        <w:r w:rsidR="00DB71D0">
          <w:rPr>
            <w:noProof/>
            <w:webHidden/>
          </w:rPr>
          <w:fldChar w:fldCharType="end"/>
        </w:r>
      </w:hyperlink>
    </w:p>
    <w:p w14:paraId="6292FEDD" w14:textId="12F6B1B2" w:rsidR="00DB71D0" w:rsidRDefault="00DB71D0" w:rsidP="00DB71D0">
      <w:pPr>
        <w:pStyle w:val="TOC2"/>
        <w:tabs>
          <w:tab w:val="right" w:leader="dot" w:pos="9016"/>
        </w:tabs>
        <w:ind w:left="0"/>
        <w:rPr>
          <w:rFonts w:eastAsiaTheme="minorEastAsia"/>
          <w:noProof/>
          <w:sz w:val="24"/>
          <w:szCs w:val="24"/>
          <w:lang w:eastAsia="en-GB"/>
        </w:rPr>
      </w:pPr>
      <w:hyperlink w:anchor="_Toc243590751" w:history="1">
        <w:r w:rsidRPr="007B71E6">
          <w:rPr>
            <w:rStyle w:val="Hyperlink"/>
            <w:rFonts w:ascii="Arial" w:hAnsi="Arial" w:cs="Arial"/>
            <w:b/>
            <w:bCs/>
            <w:noProof/>
          </w:rPr>
          <w:t>What is T2D?</w:t>
        </w:r>
        <w:r>
          <w:rPr>
            <w:noProof/>
            <w:webHidden/>
          </w:rPr>
          <w:tab/>
        </w:r>
        <w:r>
          <w:rPr>
            <w:noProof/>
            <w:webHidden/>
          </w:rPr>
          <w:fldChar w:fldCharType="begin"/>
        </w:r>
        <w:r>
          <w:rPr>
            <w:noProof/>
            <w:webHidden/>
          </w:rPr>
          <w:instrText xml:space="preserve"> PAGEREF _Toc243590751 \h </w:instrText>
        </w:r>
        <w:r>
          <w:rPr>
            <w:noProof/>
            <w:webHidden/>
          </w:rPr>
        </w:r>
        <w:r>
          <w:rPr>
            <w:noProof/>
            <w:webHidden/>
          </w:rPr>
          <w:fldChar w:fldCharType="separate"/>
        </w:r>
        <w:r>
          <w:rPr>
            <w:noProof/>
            <w:webHidden/>
          </w:rPr>
          <w:t>4</w:t>
        </w:r>
        <w:r>
          <w:rPr>
            <w:noProof/>
            <w:webHidden/>
          </w:rPr>
          <w:fldChar w:fldCharType="end"/>
        </w:r>
      </w:hyperlink>
    </w:p>
    <w:p w14:paraId="3C48441E" w14:textId="039D1BA1" w:rsidR="00DB71D0" w:rsidRDefault="00DB71D0" w:rsidP="00DB71D0">
      <w:pPr>
        <w:pStyle w:val="TOC3"/>
        <w:tabs>
          <w:tab w:val="right" w:leader="dot" w:pos="9016"/>
        </w:tabs>
        <w:ind w:left="0"/>
        <w:rPr>
          <w:rFonts w:eastAsiaTheme="minorEastAsia"/>
          <w:noProof/>
          <w:sz w:val="24"/>
          <w:szCs w:val="24"/>
          <w:lang w:eastAsia="en-GB"/>
        </w:rPr>
      </w:pPr>
      <w:hyperlink w:anchor="_Toc243590752" w:history="1">
        <w:r w:rsidRPr="007B71E6">
          <w:rPr>
            <w:rStyle w:val="Hyperlink"/>
            <w:rFonts w:ascii="Arial" w:hAnsi="Arial" w:cs="Arial"/>
            <w:b/>
            <w:bCs/>
            <w:noProof/>
          </w:rPr>
          <w:t>Global and UK Prevalence/burden of T2D</w:t>
        </w:r>
        <w:r>
          <w:rPr>
            <w:noProof/>
            <w:webHidden/>
          </w:rPr>
          <w:tab/>
        </w:r>
        <w:r>
          <w:rPr>
            <w:noProof/>
            <w:webHidden/>
          </w:rPr>
          <w:fldChar w:fldCharType="begin"/>
        </w:r>
        <w:r>
          <w:rPr>
            <w:noProof/>
            <w:webHidden/>
          </w:rPr>
          <w:instrText xml:space="preserve"> PAGEREF _Toc243590752 \h </w:instrText>
        </w:r>
        <w:r>
          <w:rPr>
            <w:noProof/>
            <w:webHidden/>
          </w:rPr>
        </w:r>
        <w:r>
          <w:rPr>
            <w:noProof/>
            <w:webHidden/>
          </w:rPr>
          <w:fldChar w:fldCharType="separate"/>
        </w:r>
        <w:r>
          <w:rPr>
            <w:noProof/>
            <w:webHidden/>
          </w:rPr>
          <w:t>4</w:t>
        </w:r>
        <w:r>
          <w:rPr>
            <w:noProof/>
            <w:webHidden/>
          </w:rPr>
          <w:fldChar w:fldCharType="end"/>
        </w:r>
      </w:hyperlink>
    </w:p>
    <w:p w14:paraId="3B6A18F4" w14:textId="4425B1A6" w:rsidR="00DB71D0" w:rsidRDefault="00DB71D0" w:rsidP="00DB71D0">
      <w:pPr>
        <w:pStyle w:val="TOC4"/>
        <w:tabs>
          <w:tab w:val="right" w:leader="dot" w:pos="9016"/>
        </w:tabs>
        <w:ind w:left="0"/>
        <w:rPr>
          <w:rFonts w:eastAsiaTheme="minorEastAsia"/>
          <w:noProof/>
          <w:sz w:val="24"/>
          <w:szCs w:val="24"/>
          <w:lang w:eastAsia="en-GB"/>
        </w:rPr>
      </w:pPr>
      <w:hyperlink w:anchor="_Toc243590753" w:history="1">
        <w:r w:rsidRPr="007B71E6">
          <w:rPr>
            <w:rStyle w:val="Hyperlink"/>
            <w:rFonts w:ascii="Arial" w:hAnsi="Arial" w:cs="Arial"/>
            <w:b/>
            <w:bCs/>
            <w:noProof/>
          </w:rPr>
          <w:t>Risk factors and aetiology</w:t>
        </w:r>
        <w:r>
          <w:rPr>
            <w:noProof/>
            <w:webHidden/>
          </w:rPr>
          <w:tab/>
        </w:r>
        <w:r>
          <w:rPr>
            <w:noProof/>
            <w:webHidden/>
          </w:rPr>
          <w:fldChar w:fldCharType="begin"/>
        </w:r>
        <w:r>
          <w:rPr>
            <w:noProof/>
            <w:webHidden/>
          </w:rPr>
          <w:instrText xml:space="preserve"> PAGEREF _Toc243590753 \h </w:instrText>
        </w:r>
        <w:r>
          <w:rPr>
            <w:noProof/>
            <w:webHidden/>
          </w:rPr>
        </w:r>
        <w:r>
          <w:rPr>
            <w:noProof/>
            <w:webHidden/>
          </w:rPr>
          <w:fldChar w:fldCharType="separate"/>
        </w:r>
        <w:r>
          <w:rPr>
            <w:noProof/>
            <w:webHidden/>
          </w:rPr>
          <w:t>5</w:t>
        </w:r>
        <w:r>
          <w:rPr>
            <w:noProof/>
            <w:webHidden/>
          </w:rPr>
          <w:fldChar w:fldCharType="end"/>
        </w:r>
      </w:hyperlink>
    </w:p>
    <w:p w14:paraId="704C0B40" w14:textId="73CABD94" w:rsidR="00DB71D0" w:rsidRDefault="00DB71D0" w:rsidP="00DB71D0">
      <w:pPr>
        <w:pStyle w:val="TOC5"/>
        <w:tabs>
          <w:tab w:val="right" w:leader="dot" w:pos="9016"/>
        </w:tabs>
        <w:ind w:left="0"/>
        <w:rPr>
          <w:rFonts w:eastAsiaTheme="minorEastAsia"/>
          <w:noProof/>
          <w:sz w:val="24"/>
          <w:szCs w:val="24"/>
          <w:lang w:eastAsia="en-GB"/>
        </w:rPr>
      </w:pPr>
      <w:hyperlink w:anchor="_Toc243590754" w:history="1">
        <w:r w:rsidRPr="007B71E6">
          <w:rPr>
            <w:rStyle w:val="Hyperlink"/>
            <w:rFonts w:ascii="Arial" w:hAnsi="Arial" w:cs="Arial"/>
            <w:b/>
            <w:bCs/>
            <w:noProof/>
          </w:rPr>
          <w:t>Physical, psychological and social impact</w:t>
        </w:r>
        <w:r>
          <w:rPr>
            <w:noProof/>
            <w:webHidden/>
          </w:rPr>
          <w:tab/>
        </w:r>
        <w:r>
          <w:rPr>
            <w:noProof/>
            <w:webHidden/>
          </w:rPr>
          <w:fldChar w:fldCharType="begin"/>
        </w:r>
        <w:r>
          <w:rPr>
            <w:noProof/>
            <w:webHidden/>
          </w:rPr>
          <w:instrText xml:space="preserve"> PAGEREF _Toc243590754 \h </w:instrText>
        </w:r>
        <w:r>
          <w:rPr>
            <w:noProof/>
            <w:webHidden/>
          </w:rPr>
        </w:r>
        <w:r>
          <w:rPr>
            <w:noProof/>
            <w:webHidden/>
          </w:rPr>
          <w:fldChar w:fldCharType="separate"/>
        </w:r>
        <w:r>
          <w:rPr>
            <w:noProof/>
            <w:webHidden/>
          </w:rPr>
          <w:t>6</w:t>
        </w:r>
        <w:r>
          <w:rPr>
            <w:noProof/>
            <w:webHidden/>
          </w:rPr>
          <w:fldChar w:fldCharType="end"/>
        </w:r>
      </w:hyperlink>
    </w:p>
    <w:p w14:paraId="30588273" w14:textId="495645BD" w:rsidR="00DB71D0" w:rsidRDefault="00DB71D0" w:rsidP="00DB71D0">
      <w:pPr>
        <w:pStyle w:val="TOC6"/>
        <w:tabs>
          <w:tab w:val="right" w:leader="dot" w:pos="9016"/>
        </w:tabs>
        <w:ind w:left="0"/>
        <w:rPr>
          <w:rFonts w:eastAsiaTheme="minorEastAsia"/>
          <w:noProof/>
          <w:sz w:val="24"/>
          <w:szCs w:val="24"/>
          <w:lang w:eastAsia="en-GB"/>
        </w:rPr>
      </w:pPr>
      <w:hyperlink w:anchor="_Toc243590755" w:history="1">
        <w:r w:rsidRPr="007B71E6">
          <w:rPr>
            <w:rStyle w:val="Hyperlink"/>
            <w:rFonts w:ascii="Arial" w:hAnsi="Arial" w:cs="Arial"/>
            <w:b/>
            <w:bCs/>
            <w:noProof/>
          </w:rPr>
          <w:t>Impact on families and carers</w:t>
        </w:r>
        <w:r>
          <w:rPr>
            <w:noProof/>
            <w:webHidden/>
          </w:rPr>
          <w:tab/>
        </w:r>
        <w:r>
          <w:rPr>
            <w:noProof/>
            <w:webHidden/>
          </w:rPr>
          <w:fldChar w:fldCharType="begin"/>
        </w:r>
        <w:r>
          <w:rPr>
            <w:noProof/>
            <w:webHidden/>
          </w:rPr>
          <w:instrText xml:space="preserve"> PAGEREF _Toc243590755 \h </w:instrText>
        </w:r>
        <w:r>
          <w:rPr>
            <w:noProof/>
            <w:webHidden/>
          </w:rPr>
        </w:r>
        <w:r>
          <w:rPr>
            <w:noProof/>
            <w:webHidden/>
          </w:rPr>
          <w:fldChar w:fldCharType="separate"/>
        </w:r>
        <w:r>
          <w:rPr>
            <w:noProof/>
            <w:webHidden/>
          </w:rPr>
          <w:t>7</w:t>
        </w:r>
        <w:r>
          <w:rPr>
            <w:noProof/>
            <w:webHidden/>
          </w:rPr>
          <w:fldChar w:fldCharType="end"/>
        </w:r>
      </w:hyperlink>
    </w:p>
    <w:p w14:paraId="4E913458" w14:textId="5697C5AE" w:rsidR="00DB71D0" w:rsidRDefault="00DB71D0" w:rsidP="00DB71D0">
      <w:pPr>
        <w:pStyle w:val="TOC7"/>
        <w:tabs>
          <w:tab w:val="right" w:leader="dot" w:pos="9016"/>
        </w:tabs>
        <w:ind w:left="0"/>
        <w:rPr>
          <w:rFonts w:eastAsiaTheme="minorEastAsia"/>
          <w:noProof/>
          <w:sz w:val="24"/>
          <w:szCs w:val="24"/>
          <w:lang w:eastAsia="en-GB"/>
        </w:rPr>
      </w:pPr>
      <w:hyperlink w:anchor="_Toc243590756" w:history="1">
        <w:r w:rsidRPr="007B71E6">
          <w:rPr>
            <w:rStyle w:val="Hyperlink"/>
            <w:rFonts w:ascii="Arial" w:hAnsi="Arial" w:cs="Arial"/>
            <w:b/>
            <w:bCs/>
            <w:noProof/>
          </w:rPr>
          <w:t>Evidence-based treatment and management through the NHS</w:t>
        </w:r>
        <w:r>
          <w:rPr>
            <w:noProof/>
            <w:webHidden/>
          </w:rPr>
          <w:tab/>
        </w:r>
        <w:r>
          <w:rPr>
            <w:noProof/>
            <w:webHidden/>
          </w:rPr>
          <w:fldChar w:fldCharType="begin"/>
        </w:r>
        <w:r>
          <w:rPr>
            <w:noProof/>
            <w:webHidden/>
          </w:rPr>
          <w:instrText xml:space="preserve"> PAGEREF _Toc243590756 \h </w:instrText>
        </w:r>
        <w:r>
          <w:rPr>
            <w:noProof/>
            <w:webHidden/>
          </w:rPr>
        </w:r>
        <w:r>
          <w:rPr>
            <w:noProof/>
            <w:webHidden/>
          </w:rPr>
          <w:fldChar w:fldCharType="separate"/>
        </w:r>
        <w:r>
          <w:rPr>
            <w:noProof/>
            <w:webHidden/>
          </w:rPr>
          <w:t>7</w:t>
        </w:r>
        <w:r>
          <w:rPr>
            <w:noProof/>
            <w:webHidden/>
          </w:rPr>
          <w:fldChar w:fldCharType="end"/>
        </w:r>
      </w:hyperlink>
    </w:p>
    <w:p w14:paraId="3391E125" w14:textId="447CE493" w:rsidR="00DB71D0" w:rsidRDefault="00DB71D0" w:rsidP="00DB71D0">
      <w:pPr>
        <w:pStyle w:val="TOC8"/>
        <w:tabs>
          <w:tab w:val="right" w:leader="dot" w:pos="9016"/>
        </w:tabs>
        <w:ind w:left="0"/>
        <w:rPr>
          <w:rFonts w:eastAsiaTheme="minorEastAsia"/>
          <w:noProof/>
          <w:sz w:val="24"/>
          <w:szCs w:val="24"/>
          <w:lang w:eastAsia="en-GB"/>
        </w:rPr>
      </w:pPr>
      <w:hyperlink w:anchor="_Toc243590757" w:history="1">
        <w:r w:rsidRPr="007B71E6">
          <w:rPr>
            <w:rStyle w:val="Hyperlink"/>
            <w:rFonts w:ascii="Arial" w:hAnsi="Arial" w:cs="Arial"/>
            <w:b/>
            <w:bCs/>
            <w:noProof/>
          </w:rPr>
          <w:t>Current theoretical perspectives and models</w:t>
        </w:r>
        <w:r>
          <w:rPr>
            <w:noProof/>
            <w:webHidden/>
          </w:rPr>
          <w:tab/>
        </w:r>
        <w:r>
          <w:rPr>
            <w:noProof/>
            <w:webHidden/>
          </w:rPr>
          <w:fldChar w:fldCharType="begin"/>
        </w:r>
        <w:r>
          <w:rPr>
            <w:noProof/>
            <w:webHidden/>
          </w:rPr>
          <w:instrText xml:space="preserve"> PAGEREF _Toc243590757 \h </w:instrText>
        </w:r>
        <w:r>
          <w:rPr>
            <w:noProof/>
            <w:webHidden/>
          </w:rPr>
        </w:r>
        <w:r>
          <w:rPr>
            <w:noProof/>
            <w:webHidden/>
          </w:rPr>
          <w:fldChar w:fldCharType="separate"/>
        </w:r>
        <w:r>
          <w:rPr>
            <w:noProof/>
            <w:webHidden/>
          </w:rPr>
          <w:t>9</w:t>
        </w:r>
        <w:r>
          <w:rPr>
            <w:noProof/>
            <w:webHidden/>
          </w:rPr>
          <w:fldChar w:fldCharType="end"/>
        </w:r>
      </w:hyperlink>
    </w:p>
    <w:p w14:paraId="7E7725B9" w14:textId="3B6DF2FB" w:rsidR="00DB71D0" w:rsidRDefault="00DB71D0" w:rsidP="00DB71D0">
      <w:pPr>
        <w:pStyle w:val="TOC9"/>
        <w:tabs>
          <w:tab w:val="right" w:leader="dot" w:pos="9016"/>
        </w:tabs>
        <w:ind w:left="0"/>
        <w:rPr>
          <w:rFonts w:eastAsiaTheme="minorEastAsia"/>
          <w:noProof/>
          <w:sz w:val="24"/>
          <w:szCs w:val="24"/>
          <w:lang w:eastAsia="en-GB"/>
        </w:rPr>
      </w:pPr>
      <w:hyperlink w:anchor="_Toc243590758" w:history="1">
        <w:r w:rsidRPr="007B71E6">
          <w:rPr>
            <w:rStyle w:val="Hyperlink"/>
            <w:rFonts w:ascii="Arial" w:hAnsi="Arial" w:cs="Arial"/>
            <w:b/>
            <w:bCs/>
            <w:noProof/>
          </w:rPr>
          <w:t>UK model- House of Care</w:t>
        </w:r>
        <w:r>
          <w:rPr>
            <w:noProof/>
            <w:webHidden/>
          </w:rPr>
          <w:tab/>
        </w:r>
        <w:r>
          <w:rPr>
            <w:noProof/>
            <w:webHidden/>
          </w:rPr>
          <w:fldChar w:fldCharType="begin"/>
        </w:r>
        <w:r>
          <w:rPr>
            <w:noProof/>
            <w:webHidden/>
          </w:rPr>
          <w:instrText xml:space="preserve"> PAGEREF _Toc243590758 \h </w:instrText>
        </w:r>
        <w:r>
          <w:rPr>
            <w:noProof/>
            <w:webHidden/>
          </w:rPr>
        </w:r>
        <w:r>
          <w:rPr>
            <w:noProof/>
            <w:webHidden/>
          </w:rPr>
          <w:fldChar w:fldCharType="separate"/>
        </w:r>
        <w:r>
          <w:rPr>
            <w:noProof/>
            <w:webHidden/>
          </w:rPr>
          <w:t>10</w:t>
        </w:r>
        <w:r>
          <w:rPr>
            <w:noProof/>
            <w:webHidden/>
          </w:rPr>
          <w:fldChar w:fldCharType="end"/>
        </w:r>
      </w:hyperlink>
    </w:p>
    <w:p w14:paraId="3BEF2FE1" w14:textId="5A2CF5D4" w:rsidR="00DB71D0" w:rsidRDefault="00DB71D0" w:rsidP="00DB71D0">
      <w:pPr>
        <w:pStyle w:val="TOC9"/>
        <w:tabs>
          <w:tab w:val="right" w:leader="dot" w:pos="9016"/>
        </w:tabs>
        <w:ind w:left="0"/>
        <w:rPr>
          <w:rFonts w:eastAsiaTheme="minorEastAsia"/>
          <w:noProof/>
          <w:sz w:val="24"/>
          <w:szCs w:val="24"/>
          <w:lang w:eastAsia="en-GB"/>
        </w:rPr>
      </w:pPr>
      <w:hyperlink w:anchor="_Toc243590759" w:history="1">
        <w:r w:rsidRPr="007B71E6">
          <w:rPr>
            <w:rStyle w:val="Hyperlink"/>
            <w:rFonts w:ascii="Arial" w:hAnsi="Arial" w:cs="Arial"/>
            <w:b/>
            <w:bCs/>
            <w:noProof/>
          </w:rPr>
          <w:t>International model- Chronic Care Model</w:t>
        </w:r>
        <w:r>
          <w:rPr>
            <w:noProof/>
            <w:webHidden/>
          </w:rPr>
          <w:tab/>
        </w:r>
        <w:r>
          <w:rPr>
            <w:noProof/>
            <w:webHidden/>
          </w:rPr>
          <w:fldChar w:fldCharType="begin"/>
        </w:r>
        <w:r>
          <w:rPr>
            <w:noProof/>
            <w:webHidden/>
          </w:rPr>
          <w:instrText xml:space="preserve"> PAGEREF _Toc243590759 \h </w:instrText>
        </w:r>
        <w:r>
          <w:rPr>
            <w:noProof/>
            <w:webHidden/>
          </w:rPr>
        </w:r>
        <w:r>
          <w:rPr>
            <w:noProof/>
            <w:webHidden/>
          </w:rPr>
          <w:fldChar w:fldCharType="separate"/>
        </w:r>
        <w:r>
          <w:rPr>
            <w:noProof/>
            <w:webHidden/>
          </w:rPr>
          <w:t>11</w:t>
        </w:r>
        <w:r>
          <w:rPr>
            <w:noProof/>
            <w:webHidden/>
          </w:rPr>
          <w:fldChar w:fldCharType="end"/>
        </w:r>
      </w:hyperlink>
    </w:p>
    <w:p w14:paraId="620CA660" w14:textId="6534ED03" w:rsidR="00DB71D0" w:rsidRDefault="00DB71D0" w:rsidP="00DB71D0">
      <w:pPr>
        <w:pStyle w:val="TOC9"/>
        <w:tabs>
          <w:tab w:val="right" w:leader="dot" w:pos="9016"/>
        </w:tabs>
        <w:ind w:left="0"/>
        <w:rPr>
          <w:rFonts w:eastAsiaTheme="minorEastAsia"/>
          <w:noProof/>
          <w:sz w:val="24"/>
          <w:szCs w:val="24"/>
          <w:lang w:eastAsia="en-GB"/>
        </w:rPr>
      </w:pPr>
      <w:hyperlink w:anchor="_Toc243590760" w:history="1">
        <w:r w:rsidRPr="007B71E6">
          <w:rPr>
            <w:rStyle w:val="Hyperlink"/>
            <w:rFonts w:ascii="Arial" w:hAnsi="Arial" w:cs="Arial"/>
            <w:b/>
            <w:bCs/>
            <w:noProof/>
          </w:rPr>
          <w:t>Local health and social care agenda</w:t>
        </w:r>
        <w:r>
          <w:rPr>
            <w:noProof/>
            <w:webHidden/>
          </w:rPr>
          <w:tab/>
        </w:r>
        <w:r>
          <w:rPr>
            <w:noProof/>
            <w:webHidden/>
          </w:rPr>
          <w:fldChar w:fldCharType="begin"/>
        </w:r>
        <w:r>
          <w:rPr>
            <w:noProof/>
            <w:webHidden/>
          </w:rPr>
          <w:instrText xml:space="preserve"> PAGEREF _Toc243590760 \h </w:instrText>
        </w:r>
        <w:r>
          <w:rPr>
            <w:noProof/>
            <w:webHidden/>
          </w:rPr>
        </w:r>
        <w:r>
          <w:rPr>
            <w:noProof/>
            <w:webHidden/>
          </w:rPr>
          <w:fldChar w:fldCharType="separate"/>
        </w:r>
        <w:r>
          <w:rPr>
            <w:noProof/>
            <w:webHidden/>
          </w:rPr>
          <w:t>12</w:t>
        </w:r>
        <w:r>
          <w:rPr>
            <w:noProof/>
            <w:webHidden/>
          </w:rPr>
          <w:fldChar w:fldCharType="end"/>
        </w:r>
      </w:hyperlink>
    </w:p>
    <w:p w14:paraId="1A579056" w14:textId="45108A6B" w:rsidR="00DB71D0" w:rsidRDefault="00DB71D0" w:rsidP="00DB71D0">
      <w:pPr>
        <w:pStyle w:val="TOC9"/>
        <w:tabs>
          <w:tab w:val="right" w:leader="dot" w:pos="9016"/>
        </w:tabs>
        <w:ind w:left="0"/>
        <w:rPr>
          <w:rFonts w:eastAsiaTheme="minorEastAsia"/>
          <w:noProof/>
          <w:sz w:val="24"/>
          <w:szCs w:val="24"/>
          <w:lang w:eastAsia="en-GB"/>
        </w:rPr>
      </w:pPr>
      <w:hyperlink w:anchor="_Toc243590761" w:history="1">
        <w:r w:rsidRPr="007B71E6">
          <w:rPr>
            <w:rStyle w:val="Hyperlink"/>
            <w:rFonts w:ascii="Arial" w:hAnsi="Arial" w:cs="Arial"/>
            <w:b/>
            <w:bCs/>
            <w:noProof/>
          </w:rPr>
          <w:t>National political and health agendas</w:t>
        </w:r>
        <w:r>
          <w:rPr>
            <w:noProof/>
            <w:webHidden/>
          </w:rPr>
          <w:tab/>
        </w:r>
        <w:r>
          <w:rPr>
            <w:noProof/>
            <w:webHidden/>
          </w:rPr>
          <w:fldChar w:fldCharType="begin"/>
        </w:r>
        <w:r>
          <w:rPr>
            <w:noProof/>
            <w:webHidden/>
          </w:rPr>
          <w:instrText xml:space="preserve"> PAGEREF _Toc243590761 \h </w:instrText>
        </w:r>
        <w:r>
          <w:rPr>
            <w:noProof/>
            <w:webHidden/>
          </w:rPr>
        </w:r>
        <w:r>
          <w:rPr>
            <w:noProof/>
            <w:webHidden/>
          </w:rPr>
          <w:fldChar w:fldCharType="separate"/>
        </w:r>
        <w:r>
          <w:rPr>
            <w:noProof/>
            <w:webHidden/>
          </w:rPr>
          <w:t>12</w:t>
        </w:r>
        <w:r>
          <w:rPr>
            <w:noProof/>
            <w:webHidden/>
          </w:rPr>
          <w:fldChar w:fldCharType="end"/>
        </w:r>
      </w:hyperlink>
    </w:p>
    <w:p w14:paraId="2C48F674" w14:textId="2286BD82" w:rsidR="00DB71D0" w:rsidRDefault="00DB71D0" w:rsidP="00DB71D0">
      <w:pPr>
        <w:pStyle w:val="TOC9"/>
        <w:tabs>
          <w:tab w:val="right" w:leader="dot" w:pos="9016"/>
        </w:tabs>
        <w:ind w:left="0"/>
        <w:rPr>
          <w:rFonts w:eastAsiaTheme="minorEastAsia"/>
          <w:noProof/>
          <w:sz w:val="24"/>
          <w:szCs w:val="24"/>
          <w:lang w:eastAsia="en-GB"/>
        </w:rPr>
      </w:pPr>
      <w:hyperlink w:anchor="_Toc243590762" w:history="1">
        <w:r w:rsidRPr="007B71E6">
          <w:rPr>
            <w:rStyle w:val="Hyperlink"/>
            <w:rFonts w:ascii="Arial" w:hAnsi="Arial" w:cs="Arial"/>
            <w:b/>
            <w:bCs/>
            <w:noProof/>
          </w:rPr>
          <w:t>Person-Centred care</w:t>
        </w:r>
        <w:r>
          <w:rPr>
            <w:noProof/>
            <w:webHidden/>
          </w:rPr>
          <w:tab/>
        </w:r>
        <w:r>
          <w:rPr>
            <w:noProof/>
            <w:webHidden/>
          </w:rPr>
          <w:fldChar w:fldCharType="begin"/>
        </w:r>
        <w:r>
          <w:rPr>
            <w:noProof/>
            <w:webHidden/>
          </w:rPr>
          <w:instrText xml:space="preserve"> PAGEREF _Toc243590762 \h </w:instrText>
        </w:r>
        <w:r>
          <w:rPr>
            <w:noProof/>
            <w:webHidden/>
          </w:rPr>
        </w:r>
        <w:r>
          <w:rPr>
            <w:noProof/>
            <w:webHidden/>
          </w:rPr>
          <w:fldChar w:fldCharType="separate"/>
        </w:r>
        <w:r>
          <w:rPr>
            <w:noProof/>
            <w:webHidden/>
          </w:rPr>
          <w:t>13</w:t>
        </w:r>
        <w:r>
          <w:rPr>
            <w:noProof/>
            <w:webHidden/>
          </w:rPr>
          <w:fldChar w:fldCharType="end"/>
        </w:r>
      </w:hyperlink>
    </w:p>
    <w:p w14:paraId="0623975C" w14:textId="590D9760" w:rsidR="00DB71D0" w:rsidRDefault="00DB71D0" w:rsidP="00DB71D0">
      <w:pPr>
        <w:pStyle w:val="TOC9"/>
        <w:tabs>
          <w:tab w:val="right" w:leader="dot" w:pos="9016"/>
        </w:tabs>
        <w:ind w:left="0"/>
        <w:rPr>
          <w:rFonts w:eastAsiaTheme="minorEastAsia"/>
          <w:noProof/>
          <w:sz w:val="24"/>
          <w:szCs w:val="24"/>
          <w:lang w:eastAsia="en-GB"/>
        </w:rPr>
      </w:pPr>
      <w:hyperlink w:anchor="_Toc243590763" w:history="1">
        <w:r w:rsidRPr="007B71E6">
          <w:rPr>
            <w:rStyle w:val="Hyperlink"/>
            <w:rFonts w:ascii="Arial" w:hAnsi="Arial" w:cs="Arial"/>
            <w:b/>
            <w:bCs/>
            <w:noProof/>
          </w:rPr>
          <w:t>Self-management</w:t>
        </w:r>
        <w:r>
          <w:rPr>
            <w:noProof/>
            <w:webHidden/>
          </w:rPr>
          <w:tab/>
        </w:r>
        <w:r>
          <w:rPr>
            <w:noProof/>
            <w:webHidden/>
          </w:rPr>
          <w:fldChar w:fldCharType="begin"/>
        </w:r>
        <w:r>
          <w:rPr>
            <w:noProof/>
            <w:webHidden/>
          </w:rPr>
          <w:instrText xml:space="preserve"> PAGEREF _Toc243590763 \h </w:instrText>
        </w:r>
        <w:r>
          <w:rPr>
            <w:noProof/>
            <w:webHidden/>
          </w:rPr>
        </w:r>
        <w:r>
          <w:rPr>
            <w:noProof/>
            <w:webHidden/>
          </w:rPr>
          <w:fldChar w:fldCharType="separate"/>
        </w:r>
        <w:r>
          <w:rPr>
            <w:noProof/>
            <w:webHidden/>
          </w:rPr>
          <w:t>13</w:t>
        </w:r>
        <w:r>
          <w:rPr>
            <w:noProof/>
            <w:webHidden/>
          </w:rPr>
          <w:fldChar w:fldCharType="end"/>
        </w:r>
      </w:hyperlink>
    </w:p>
    <w:p w14:paraId="1E726862" w14:textId="1D4F2B51" w:rsidR="00DB71D0" w:rsidRDefault="00DB71D0" w:rsidP="00DB71D0">
      <w:pPr>
        <w:pStyle w:val="TOC9"/>
        <w:tabs>
          <w:tab w:val="right" w:leader="dot" w:pos="9016"/>
        </w:tabs>
        <w:ind w:left="0"/>
        <w:rPr>
          <w:rFonts w:eastAsiaTheme="minorEastAsia"/>
          <w:noProof/>
          <w:sz w:val="24"/>
          <w:szCs w:val="24"/>
          <w:lang w:eastAsia="en-GB"/>
        </w:rPr>
      </w:pPr>
      <w:hyperlink w:anchor="_Toc243590764" w:history="1">
        <w:r w:rsidRPr="007B71E6">
          <w:rPr>
            <w:rStyle w:val="Hyperlink"/>
            <w:rFonts w:ascii="Arial" w:hAnsi="Arial" w:cs="Arial"/>
            <w:b/>
            <w:bCs/>
            <w:noProof/>
          </w:rPr>
          <w:t>End-of-life care</w:t>
        </w:r>
        <w:r>
          <w:rPr>
            <w:noProof/>
            <w:webHidden/>
          </w:rPr>
          <w:tab/>
        </w:r>
        <w:r>
          <w:rPr>
            <w:noProof/>
            <w:webHidden/>
          </w:rPr>
          <w:fldChar w:fldCharType="begin"/>
        </w:r>
        <w:r>
          <w:rPr>
            <w:noProof/>
            <w:webHidden/>
          </w:rPr>
          <w:instrText xml:space="preserve"> PAGEREF _Toc243590764 \h </w:instrText>
        </w:r>
        <w:r>
          <w:rPr>
            <w:noProof/>
            <w:webHidden/>
          </w:rPr>
        </w:r>
        <w:r>
          <w:rPr>
            <w:noProof/>
            <w:webHidden/>
          </w:rPr>
          <w:fldChar w:fldCharType="separate"/>
        </w:r>
        <w:r>
          <w:rPr>
            <w:noProof/>
            <w:webHidden/>
          </w:rPr>
          <w:t>14</w:t>
        </w:r>
        <w:r>
          <w:rPr>
            <w:noProof/>
            <w:webHidden/>
          </w:rPr>
          <w:fldChar w:fldCharType="end"/>
        </w:r>
      </w:hyperlink>
    </w:p>
    <w:p w14:paraId="261B47C7" w14:textId="30BB0FBE" w:rsidR="00DB71D0" w:rsidRDefault="00DB71D0" w:rsidP="00DB71D0">
      <w:pPr>
        <w:pStyle w:val="TOC9"/>
        <w:tabs>
          <w:tab w:val="right" w:leader="dot" w:pos="9016"/>
        </w:tabs>
        <w:ind w:left="0"/>
        <w:rPr>
          <w:rFonts w:eastAsiaTheme="minorEastAsia"/>
          <w:noProof/>
          <w:sz w:val="24"/>
          <w:szCs w:val="24"/>
          <w:lang w:eastAsia="en-GB"/>
        </w:rPr>
      </w:pPr>
      <w:hyperlink w:anchor="_Toc243590765" w:history="1">
        <w:r w:rsidRPr="007B71E6">
          <w:rPr>
            <w:rStyle w:val="Hyperlink"/>
            <w:rFonts w:ascii="Arial" w:hAnsi="Arial" w:cs="Arial"/>
            <w:b/>
            <w:bCs/>
            <w:noProof/>
          </w:rPr>
          <w:t>Recommendations for improvement</w:t>
        </w:r>
        <w:r>
          <w:rPr>
            <w:noProof/>
            <w:webHidden/>
          </w:rPr>
          <w:tab/>
        </w:r>
        <w:r>
          <w:rPr>
            <w:noProof/>
            <w:webHidden/>
          </w:rPr>
          <w:fldChar w:fldCharType="begin"/>
        </w:r>
        <w:r>
          <w:rPr>
            <w:noProof/>
            <w:webHidden/>
          </w:rPr>
          <w:instrText xml:space="preserve"> PAGEREF _Toc243590765 \h </w:instrText>
        </w:r>
        <w:r>
          <w:rPr>
            <w:noProof/>
            <w:webHidden/>
          </w:rPr>
        </w:r>
        <w:r>
          <w:rPr>
            <w:noProof/>
            <w:webHidden/>
          </w:rPr>
          <w:fldChar w:fldCharType="separate"/>
        </w:r>
        <w:r>
          <w:rPr>
            <w:noProof/>
            <w:webHidden/>
          </w:rPr>
          <w:t>14</w:t>
        </w:r>
        <w:r>
          <w:rPr>
            <w:noProof/>
            <w:webHidden/>
          </w:rPr>
          <w:fldChar w:fldCharType="end"/>
        </w:r>
      </w:hyperlink>
    </w:p>
    <w:p w14:paraId="7F9D5E67" w14:textId="2799A01E" w:rsidR="00DB71D0" w:rsidRDefault="00DB71D0" w:rsidP="00DB71D0">
      <w:pPr>
        <w:pStyle w:val="TOC9"/>
        <w:tabs>
          <w:tab w:val="right" w:leader="dot" w:pos="9016"/>
        </w:tabs>
        <w:ind w:left="0"/>
        <w:rPr>
          <w:rFonts w:eastAsiaTheme="minorEastAsia"/>
          <w:noProof/>
          <w:sz w:val="24"/>
          <w:szCs w:val="24"/>
          <w:lang w:eastAsia="en-GB"/>
        </w:rPr>
      </w:pPr>
      <w:hyperlink w:anchor="_Toc243590766" w:history="1">
        <w:r w:rsidRPr="007B71E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_Toc243590766 \h </w:instrText>
        </w:r>
        <w:r>
          <w:rPr>
            <w:noProof/>
            <w:webHidden/>
          </w:rPr>
        </w:r>
        <w:r>
          <w:rPr>
            <w:noProof/>
            <w:webHidden/>
          </w:rPr>
          <w:fldChar w:fldCharType="separate"/>
        </w:r>
        <w:r>
          <w:rPr>
            <w:noProof/>
            <w:webHidden/>
          </w:rPr>
          <w:t>15</w:t>
        </w:r>
        <w:r>
          <w:rPr>
            <w:noProof/>
            <w:webHidden/>
          </w:rPr>
          <w:fldChar w:fldCharType="end"/>
        </w:r>
      </w:hyperlink>
    </w:p>
    <w:p w14:paraId="533B8FB3" w14:textId="6488A050" w:rsidR="00DB71D0" w:rsidRDefault="00DB71D0" w:rsidP="00DB71D0">
      <w:pPr>
        <w:pStyle w:val="TOC9"/>
        <w:tabs>
          <w:tab w:val="right" w:leader="dot" w:pos="9016"/>
        </w:tabs>
        <w:ind w:left="0"/>
        <w:rPr>
          <w:rFonts w:eastAsiaTheme="minorEastAsia"/>
          <w:noProof/>
          <w:sz w:val="24"/>
          <w:szCs w:val="24"/>
          <w:lang w:eastAsia="en-GB"/>
        </w:rPr>
      </w:pPr>
      <w:hyperlink w:anchor="_Toc243590767" w:history="1">
        <w:r w:rsidRPr="007B71E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_Toc243590767 \h </w:instrText>
        </w:r>
        <w:r>
          <w:rPr>
            <w:noProof/>
            <w:webHidden/>
          </w:rPr>
        </w:r>
        <w:r>
          <w:rPr>
            <w:noProof/>
            <w:webHidden/>
          </w:rPr>
          <w:fldChar w:fldCharType="separate"/>
        </w:r>
        <w:r>
          <w:rPr>
            <w:noProof/>
            <w:webHidden/>
          </w:rPr>
          <w:t>16</w:t>
        </w:r>
        <w:r>
          <w:rPr>
            <w:noProof/>
            <w:webHidden/>
          </w:rPr>
          <w:fldChar w:fldCharType="end"/>
        </w:r>
      </w:hyperlink>
    </w:p>
    <w:p w14:paraId="2E289BEB" w14:textId="2F04B0A7" w:rsidR="00355B88" w:rsidRDefault="00404AA9" w:rsidP="00355B88">
      <w:r w:rsidRPr="00B254D2">
        <w:rPr>
          <w:rFonts w:ascii="Arial" w:hAnsi="Arial" w:cs="Arial"/>
          <w:b/>
          <w:bCs/>
        </w:rPr>
        <w:fldChar w:fldCharType="end"/>
      </w:r>
    </w:p>
    <w:p w14:paraId="6F861183" w14:textId="0392B4A4" w:rsidR="0058755A" w:rsidRDefault="0058755A"/>
    <w:p w14:paraId="0397634B" w14:textId="77777777" w:rsidR="0058755A" w:rsidRDefault="0058755A"/>
    <w:p w14:paraId="73601686" w14:textId="77777777" w:rsidR="0058755A" w:rsidRDefault="0058755A"/>
    <w:p w14:paraId="4D1FB933" w14:textId="77777777" w:rsidR="0058755A" w:rsidRDefault="0058755A"/>
    <w:p w14:paraId="7D4508BD" w14:textId="77777777" w:rsidR="0058755A" w:rsidRDefault="0058755A"/>
    <w:p w14:paraId="651EE5F7" w14:textId="77777777" w:rsidR="0058755A" w:rsidRDefault="0058755A"/>
    <w:p w14:paraId="743553A1" w14:textId="77777777" w:rsidR="0058755A" w:rsidRDefault="0058755A"/>
    <w:p w14:paraId="008C8574" w14:textId="77777777" w:rsidR="0058755A" w:rsidRDefault="0058755A"/>
    <w:p w14:paraId="523CFE03" w14:textId="77777777" w:rsidR="0058755A" w:rsidRDefault="0058755A"/>
    <w:p w14:paraId="05C8DE3D" w14:textId="77777777" w:rsidR="0058755A" w:rsidRDefault="0058755A"/>
    <w:p w14:paraId="290DA2B7" w14:textId="77777777" w:rsidR="0058755A" w:rsidRDefault="0058755A"/>
    <w:p w14:paraId="1BA68FE6" w14:textId="77777777" w:rsidR="0058755A" w:rsidRDefault="0058755A"/>
    <w:p w14:paraId="62E18807" w14:textId="77777777" w:rsidR="00692016" w:rsidRDefault="00692016"/>
    <w:p w14:paraId="323E0BDC" w14:textId="77777777" w:rsidR="001E6DA9" w:rsidRPr="00757C83" w:rsidRDefault="001E6DA9" w:rsidP="001E6DA9">
      <w:pPr>
        <w:jc w:val="center"/>
        <w:rPr>
          <w:rFonts w:ascii="Arial" w:hAnsi="Arial" w:cs="Arial"/>
          <w:b/>
          <w:bCs/>
          <w:sz w:val="28"/>
          <w:szCs w:val="28"/>
        </w:rPr>
      </w:pPr>
    </w:p>
    <w:p w14:paraId="3A64A0E3" w14:textId="62133521" w:rsidR="00C42805" w:rsidRPr="00B94F2C" w:rsidRDefault="00C42805" w:rsidP="002E37D8">
      <w:pPr>
        <w:pStyle w:val="Heading1"/>
        <w:rPr>
          <w:rFonts w:ascii="Arial" w:hAnsi="Arial" w:cs="Arial"/>
          <w:b/>
          <w:bCs/>
          <w:color w:val="auto"/>
          <w:sz w:val="28"/>
          <w:szCs w:val="28"/>
        </w:rPr>
      </w:pPr>
      <w:bookmarkStart w:id="0" w:name="_Toc243232204"/>
      <w:bookmarkStart w:id="1" w:name="_Toc243590750"/>
      <w:r w:rsidRPr="00B94F2C">
        <w:rPr>
          <w:rFonts w:ascii="Arial" w:hAnsi="Arial" w:cs="Arial"/>
          <w:b/>
          <w:bCs/>
          <w:color w:val="auto"/>
          <w:sz w:val="28"/>
          <w:szCs w:val="28"/>
        </w:rPr>
        <w:lastRenderedPageBreak/>
        <w:t>Definition</w:t>
      </w:r>
      <w:bookmarkEnd w:id="0"/>
      <w:bookmarkEnd w:id="1"/>
      <w:r w:rsidRPr="00B94F2C">
        <w:rPr>
          <w:rFonts w:ascii="Arial" w:hAnsi="Arial" w:cs="Arial"/>
          <w:b/>
          <w:bCs/>
          <w:color w:val="auto"/>
          <w:sz w:val="28"/>
          <w:szCs w:val="28"/>
        </w:rPr>
        <w:t xml:space="preserve">  </w:t>
      </w:r>
    </w:p>
    <w:p w14:paraId="6F268209" w14:textId="51942EA5" w:rsidR="00CE06F0" w:rsidRPr="009D7256" w:rsidRDefault="00C42805" w:rsidP="00EF5909">
      <w:pPr>
        <w:spacing w:line="360" w:lineRule="auto"/>
        <w:rPr>
          <w:rFonts w:ascii="Arial" w:hAnsi="Arial" w:cs="Arial"/>
        </w:rPr>
      </w:pPr>
      <w:r w:rsidRPr="00EF5909">
        <w:rPr>
          <w:rFonts w:ascii="Arial" w:hAnsi="Arial" w:cs="Arial"/>
        </w:rPr>
        <w:t>Type 2 diabetes mellitus (T2DM) is a long-term metabolic condition and a major public health concern in the UK and worldwide. It occurs when the body becomes less responsive to insulin and over time, the pancreas may not produce sufficient insulin to maintain healthy blood glucose levels (WHO, 2024). The increasing prevalence of T2D creates significant consequences for individuals, families, health and social care services and the wider economy.</w:t>
      </w:r>
    </w:p>
    <w:p w14:paraId="3620CE17" w14:textId="77777777" w:rsidR="001B5A14" w:rsidRPr="001B5A14" w:rsidRDefault="001B5A14" w:rsidP="00EF5909">
      <w:pPr>
        <w:spacing w:line="360" w:lineRule="auto"/>
        <w:rPr>
          <w:rFonts w:ascii="Arial" w:hAnsi="Arial" w:cs="Arial"/>
        </w:rPr>
      </w:pPr>
    </w:p>
    <w:p w14:paraId="2EDA4A71" w14:textId="65AF47B9" w:rsidR="006B6F21" w:rsidRDefault="006B6F21" w:rsidP="002E37D8">
      <w:pPr>
        <w:pStyle w:val="Heading2"/>
        <w:rPr>
          <w:rFonts w:ascii="Arial" w:hAnsi="Arial" w:cs="Arial"/>
          <w:b/>
          <w:bCs/>
          <w:color w:val="auto"/>
          <w:sz w:val="28"/>
          <w:szCs w:val="28"/>
        </w:rPr>
      </w:pPr>
      <w:bookmarkStart w:id="2" w:name="_Toc243232205"/>
      <w:bookmarkStart w:id="3" w:name="_Toc243590751"/>
      <w:r w:rsidRPr="00B94F2C">
        <w:rPr>
          <w:rFonts w:ascii="Arial" w:hAnsi="Arial" w:cs="Arial"/>
          <w:b/>
          <w:bCs/>
          <w:color w:val="auto"/>
          <w:sz w:val="28"/>
          <w:szCs w:val="28"/>
        </w:rPr>
        <w:t>What is T2D?</w:t>
      </w:r>
      <w:bookmarkEnd w:id="2"/>
      <w:bookmarkEnd w:id="3"/>
      <w:r w:rsidRPr="00B94F2C">
        <w:rPr>
          <w:rFonts w:ascii="Arial" w:hAnsi="Arial" w:cs="Arial"/>
          <w:b/>
          <w:bCs/>
          <w:color w:val="auto"/>
          <w:sz w:val="28"/>
          <w:szCs w:val="28"/>
        </w:rPr>
        <w:t> </w:t>
      </w:r>
    </w:p>
    <w:p w14:paraId="23EA1188" w14:textId="77777777" w:rsidR="001B5A14" w:rsidRPr="001B5A14" w:rsidRDefault="001B5A14" w:rsidP="001B5A14">
      <w:pPr>
        <w:pStyle w:val="ListParagraph"/>
      </w:pPr>
    </w:p>
    <w:p w14:paraId="7F656628" w14:textId="77777777" w:rsidR="00605B3C" w:rsidRDefault="00F7408B" w:rsidP="00EF5909">
      <w:pPr>
        <w:spacing w:line="360" w:lineRule="auto"/>
        <w:rPr>
          <w:rFonts w:ascii="Arial" w:hAnsi="Arial" w:cs="Arial"/>
        </w:rPr>
      </w:pPr>
      <w:r w:rsidRPr="00EF5909">
        <w:rPr>
          <w:rFonts w:ascii="Arial" w:hAnsi="Arial" w:cs="Arial"/>
        </w:rPr>
        <w:t>Type 2 diabetes (T2D) is a chronic condition where the body cannot use insulin effectively, and the pancreas gradually produces less insulin, causing high blood glucose levels (Rahman, 2021).</w:t>
      </w:r>
      <w:r w:rsidR="00962DE9">
        <w:rPr>
          <w:rFonts w:ascii="Arial" w:hAnsi="Arial" w:cs="Arial"/>
        </w:rPr>
        <w:t xml:space="preserve"> </w:t>
      </w:r>
      <w:r w:rsidR="00700B9C" w:rsidRPr="00EF5909">
        <w:rPr>
          <w:rFonts w:ascii="Arial" w:hAnsi="Arial" w:cs="Arial"/>
        </w:rPr>
        <w:t>Symptoms include excessive thirst, frequent urination, fatigue, blurred vision and slow wound healing. However, some people have no symptoms and remain undiagnosed for years, increasing their risk of complications (Diabetes UK, 2017; Evans et al., 2020).</w:t>
      </w:r>
    </w:p>
    <w:p w14:paraId="0ECB44D7" w14:textId="32C66033" w:rsidR="00DE0C20" w:rsidRPr="00EF5909" w:rsidRDefault="00DE0C20" w:rsidP="00EF5909">
      <w:pPr>
        <w:spacing w:line="360" w:lineRule="auto"/>
        <w:rPr>
          <w:rFonts w:ascii="Arial" w:hAnsi="Arial" w:cs="Arial"/>
        </w:rPr>
      </w:pPr>
      <w:r w:rsidRPr="00EF5909">
        <w:rPr>
          <w:rFonts w:ascii="Arial" w:hAnsi="Arial" w:cs="Arial"/>
        </w:rPr>
        <w:t>T2D is usually lifelong, but some people can achieve remission through significant, sustained weight loss. However, remission may not be permanent, highlighting the importance of long-term monitoring (Lean et al., 2018).</w:t>
      </w:r>
    </w:p>
    <w:p w14:paraId="3A7CA0F2" w14:textId="77777777" w:rsidR="006B6F21" w:rsidRPr="00EF5909" w:rsidRDefault="006B6F21" w:rsidP="00EF5909">
      <w:pPr>
        <w:spacing w:line="360" w:lineRule="auto"/>
        <w:rPr>
          <w:rFonts w:ascii="Arial" w:hAnsi="Arial" w:cs="Arial"/>
          <w:b/>
          <w:bCs/>
        </w:rPr>
      </w:pPr>
      <w:r w:rsidRPr="00EF5909">
        <w:rPr>
          <w:rFonts w:ascii="Arial" w:hAnsi="Arial" w:cs="Arial"/>
        </w:rPr>
        <w:t>This booklet aims to examines the causes, prevalence and impact of T2D and critically evaluates evidence-based treatment available through the NHS. It also considers the House of Care and Chronic Care Model, local and national health agendas, person-centred care, self-management and palliative care. Recommendations are proposed to improve outcomes while reducing health inequalities.</w:t>
      </w:r>
    </w:p>
    <w:p w14:paraId="64847330" w14:textId="50207E82" w:rsidR="003747E7" w:rsidRDefault="003747E7" w:rsidP="002E37D8">
      <w:pPr>
        <w:pStyle w:val="Heading3"/>
        <w:rPr>
          <w:rFonts w:ascii="Arial" w:hAnsi="Arial" w:cs="Arial"/>
          <w:b/>
          <w:bCs/>
          <w:color w:val="auto"/>
        </w:rPr>
      </w:pPr>
      <w:bookmarkStart w:id="4" w:name="_Toc243232206"/>
      <w:bookmarkStart w:id="5" w:name="_Toc243590752"/>
      <w:r w:rsidRPr="00B94F2C">
        <w:rPr>
          <w:rFonts w:ascii="Arial" w:hAnsi="Arial" w:cs="Arial"/>
          <w:b/>
          <w:bCs/>
          <w:color w:val="auto"/>
        </w:rPr>
        <w:t xml:space="preserve">Global and UK </w:t>
      </w:r>
      <w:r w:rsidR="0030038E">
        <w:rPr>
          <w:rFonts w:ascii="Arial" w:hAnsi="Arial" w:cs="Arial"/>
          <w:b/>
          <w:bCs/>
          <w:color w:val="auto"/>
        </w:rPr>
        <w:t>Prevalence/</w:t>
      </w:r>
      <w:r w:rsidRPr="00B94F2C">
        <w:rPr>
          <w:rFonts w:ascii="Arial" w:hAnsi="Arial" w:cs="Arial"/>
          <w:b/>
          <w:bCs/>
          <w:color w:val="auto"/>
        </w:rPr>
        <w:t>burden of T2D</w:t>
      </w:r>
      <w:bookmarkEnd w:id="4"/>
      <w:bookmarkEnd w:id="5"/>
    </w:p>
    <w:p w14:paraId="6BAF8AD3" w14:textId="77777777" w:rsidR="001B5A14" w:rsidRPr="001B5A14" w:rsidRDefault="001B5A14" w:rsidP="001B5A14">
      <w:pPr>
        <w:pStyle w:val="ListParagraph"/>
      </w:pPr>
    </w:p>
    <w:p w14:paraId="7D39B777" w14:textId="6DEE1B97" w:rsidR="003747E7" w:rsidRPr="00EF5909" w:rsidRDefault="003747E7" w:rsidP="00EF5909">
      <w:pPr>
        <w:spacing w:line="360" w:lineRule="auto"/>
        <w:rPr>
          <w:rFonts w:ascii="Arial" w:hAnsi="Arial" w:cs="Arial"/>
        </w:rPr>
      </w:pPr>
      <w:r w:rsidRPr="00EF5909">
        <w:rPr>
          <w:rFonts w:ascii="Arial" w:hAnsi="Arial" w:cs="Arial"/>
        </w:rPr>
        <w:t>Diabetes represents a substantial global health burden. WHO (2024) reports that the number of adults living with diabetes increased from approximately 200 million in 1990 to 830 million in 2022. In 2022, approximately 14% of adults aged 18 years and over were living with diabetes, compared with 7% in 1990. More than 95% of individuals with diabetes have T2D (WHO, 2024).</w:t>
      </w:r>
    </w:p>
    <w:p w14:paraId="21E8A51E" w14:textId="63DB2B18" w:rsidR="003747E7" w:rsidRPr="00EF5909" w:rsidRDefault="003747E7" w:rsidP="00EF5909">
      <w:pPr>
        <w:spacing w:line="360" w:lineRule="auto"/>
        <w:rPr>
          <w:rFonts w:ascii="Arial" w:hAnsi="Arial" w:cs="Arial"/>
        </w:rPr>
      </w:pPr>
      <w:r w:rsidRPr="00EF5909">
        <w:rPr>
          <w:rFonts w:ascii="Arial" w:hAnsi="Arial" w:cs="Arial"/>
        </w:rPr>
        <w:t xml:space="preserve">The burden is particularly significant in low- and middle-income countries, where the increase in diabetes has occurred alongside limitations in access to diagnosis, medication </w:t>
      </w:r>
      <w:r w:rsidRPr="00EF5909">
        <w:rPr>
          <w:rFonts w:ascii="Arial" w:hAnsi="Arial" w:cs="Arial"/>
        </w:rPr>
        <w:lastRenderedPageBreak/>
        <w:t>and ongoing care. WHO</w:t>
      </w:r>
      <w:r w:rsidR="004F3ACE" w:rsidRPr="00EF5909">
        <w:rPr>
          <w:rFonts w:ascii="Arial" w:hAnsi="Arial" w:cs="Arial"/>
        </w:rPr>
        <w:t xml:space="preserve"> (2024)</w:t>
      </w:r>
      <w:r w:rsidRPr="00EF5909">
        <w:rPr>
          <w:rFonts w:ascii="Arial" w:hAnsi="Arial" w:cs="Arial"/>
        </w:rPr>
        <w:t xml:space="preserve"> reported that 59% of adults aged 30 years and over living with diabetes were not taking medication in 2022.</w:t>
      </w:r>
      <w:r w:rsidR="004F3ACE" w:rsidRPr="00EF5909">
        <w:rPr>
          <w:rFonts w:ascii="Arial" w:hAnsi="Arial" w:cs="Arial"/>
        </w:rPr>
        <w:t xml:space="preserve"> This demonstrates that diabetes inequalities involve not only differences in disease prevalence but also unequal access to effective treatment (WHO, 2024).</w:t>
      </w:r>
    </w:p>
    <w:p w14:paraId="554DAACB" w14:textId="17026E8A" w:rsidR="00543FF2" w:rsidRPr="00EF5909" w:rsidRDefault="004F3ACE" w:rsidP="00EF5909">
      <w:pPr>
        <w:spacing w:line="360" w:lineRule="auto"/>
        <w:rPr>
          <w:rFonts w:ascii="Arial" w:hAnsi="Arial" w:cs="Arial"/>
        </w:rPr>
      </w:pPr>
      <w:r w:rsidRPr="00EF5909">
        <w:rPr>
          <w:rFonts w:ascii="Arial" w:hAnsi="Arial" w:cs="Arial"/>
        </w:rPr>
        <w:t>The UK has also experienced substantial growth. Diabetes UK (2023) estimates that almost 6 million people in the UK are living with diabetes, including more than 4.7 million people with a recorded diagnosis. Approximately 90% of diagnosed diabetes is T2D. Diabetes UK (2023) further estimates that almost 1.3 million people may have undiagnosed T2D and approximately 6.9 million people are at increased risk of developing the condition.</w:t>
      </w:r>
      <w:r w:rsidR="00A74638">
        <w:rPr>
          <w:rFonts w:ascii="Arial" w:hAnsi="Arial" w:cs="Arial"/>
        </w:rPr>
        <w:t xml:space="preserve"> </w:t>
      </w:r>
      <w:r w:rsidR="00543FF2" w:rsidRPr="00EF5909">
        <w:rPr>
          <w:rFonts w:ascii="Arial" w:hAnsi="Arial" w:cs="Arial"/>
        </w:rPr>
        <w:t>T2D disproportionately affects South Asian, Chinese, Black African and Black Caribbean populations (Diabetes UK, 2023)</w:t>
      </w:r>
      <w:r w:rsidR="00543FF2" w:rsidRPr="00981F2B">
        <w:rPr>
          <w:rFonts w:ascii="Arial" w:hAnsi="Arial" w:cs="Arial"/>
          <w:color w:val="EE0000"/>
        </w:rPr>
        <w:t>.</w:t>
      </w:r>
    </w:p>
    <w:p w14:paraId="148C2C90" w14:textId="7E5D77A0" w:rsidR="008A204B" w:rsidRPr="00EF5909" w:rsidRDefault="000F142F" w:rsidP="00EF5909">
      <w:pPr>
        <w:spacing w:line="360" w:lineRule="auto"/>
        <w:rPr>
          <w:rFonts w:ascii="Arial" w:hAnsi="Arial" w:cs="Arial"/>
        </w:rPr>
      </w:pPr>
      <w:r w:rsidRPr="00EF5909">
        <w:rPr>
          <w:rFonts w:ascii="Arial" w:hAnsi="Arial" w:cs="Arial"/>
        </w:rPr>
        <w:t>Diabetes creates significant economic costs due to complications such as cardiovascular and kidney disease. NHS England promotes prevention, structured education and nine key care processes to reduce complications and healthcare demand (NHS RightCare Pathway: Diabetes, 2018).</w:t>
      </w:r>
    </w:p>
    <w:p w14:paraId="1F30015E" w14:textId="1A3714DE" w:rsidR="008A204B" w:rsidRDefault="008A204B" w:rsidP="00B23A46">
      <w:pPr>
        <w:pStyle w:val="Heading4"/>
        <w:rPr>
          <w:rFonts w:ascii="Arial" w:hAnsi="Arial" w:cs="Arial"/>
          <w:b/>
          <w:bCs/>
          <w:i w:val="0"/>
          <w:iCs w:val="0"/>
          <w:color w:val="auto"/>
          <w:sz w:val="28"/>
          <w:szCs w:val="28"/>
        </w:rPr>
      </w:pPr>
      <w:bookmarkStart w:id="6" w:name="_Toc243590753"/>
      <w:r w:rsidRPr="00B94F2C">
        <w:rPr>
          <w:rFonts w:ascii="Arial" w:hAnsi="Arial" w:cs="Arial"/>
          <w:b/>
          <w:bCs/>
          <w:i w:val="0"/>
          <w:iCs w:val="0"/>
          <w:color w:val="auto"/>
          <w:sz w:val="28"/>
          <w:szCs w:val="28"/>
        </w:rPr>
        <w:t>Risk factors and aetiology</w:t>
      </w:r>
      <w:bookmarkEnd w:id="6"/>
    </w:p>
    <w:p w14:paraId="3B07678C" w14:textId="77777777" w:rsidR="001B5A14" w:rsidRPr="001B5A14" w:rsidRDefault="001B5A14" w:rsidP="001B5A14"/>
    <w:p w14:paraId="78C681F2" w14:textId="77777777" w:rsidR="003A0044" w:rsidRPr="00EF5909" w:rsidRDefault="008A204B" w:rsidP="00EF5909">
      <w:pPr>
        <w:spacing w:line="360" w:lineRule="auto"/>
        <w:rPr>
          <w:rFonts w:ascii="Arial" w:hAnsi="Arial" w:cs="Arial"/>
        </w:rPr>
      </w:pPr>
      <w:r w:rsidRPr="00EF5909">
        <w:rPr>
          <w:rFonts w:ascii="Arial" w:hAnsi="Arial" w:cs="Arial"/>
        </w:rPr>
        <w:t xml:space="preserve">T2D has a multifactorial </w:t>
      </w:r>
      <w:r w:rsidR="00790EF7" w:rsidRPr="00EF5909">
        <w:rPr>
          <w:rFonts w:ascii="Arial" w:hAnsi="Arial" w:cs="Arial"/>
        </w:rPr>
        <w:t>aetiology</w:t>
      </w:r>
      <w:r w:rsidRPr="00EF5909">
        <w:rPr>
          <w:rFonts w:ascii="Arial" w:hAnsi="Arial" w:cs="Arial"/>
        </w:rPr>
        <w:t xml:space="preserve"> involving biological, behavioural and social factors. Age is an important risk factor as insulin sensitivity and pancreatic function change as people become older</w:t>
      </w:r>
      <w:r w:rsidR="00790EF7" w:rsidRPr="00EF5909">
        <w:rPr>
          <w:rFonts w:ascii="Arial" w:hAnsi="Arial" w:cs="Arial"/>
        </w:rPr>
        <w:t xml:space="preserve"> (Yan et al., 2023).</w:t>
      </w:r>
      <w:r w:rsidRPr="00EF5909">
        <w:rPr>
          <w:rFonts w:ascii="Arial" w:hAnsi="Arial" w:cs="Arial"/>
        </w:rPr>
        <w:t xml:space="preserve"> Family history also contributes to risk, </w:t>
      </w:r>
      <w:r w:rsidR="00790EF7" w:rsidRPr="00EF5909">
        <w:rPr>
          <w:rFonts w:ascii="Arial" w:hAnsi="Arial" w:cs="Arial"/>
        </w:rPr>
        <w:t>indicating the importance of genetic susceptibility (Annis et al., 2005).</w:t>
      </w:r>
    </w:p>
    <w:p w14:paraId="1C7983F4" w14:textId="72741F51" w:rsidR="008A204B" w:rsidRPr="00EF5909" w:rsidRDefault="00790EF7" w:rsidP="00EF5909">
      <w:pPr>
        <w:spacing w:line="360" w:lineRule="auto"/>
        <w:rPr>
          <w:rFonts w:ascii="Arial" w:hAnsi="Arial" w:cs="Arial"/>
        </w:rPr>
      </w:pPr>
      <w:r w:rsidRPr="00EF5909">
        <w:rPr>
          <w:rFonts w:ascii="Arial" w:hAnsi="Arial" w:cs="Arial"/>
        </w:rPr>
        <w:t>Overweight and obesity are strongly associated with insulin resistance. Excess adipose tissue, particularly visceral fat, can lead to metabolic dysfunction (Chait and den Hartigh, 2020). Physical inactivity can further increase risk because regular activity improves insulin sensitivity and helps with weight management</w:t>
      </w:r>
      <w:r w:rsidR="003A0044" w:rsidRPr="00EF5909">
        <w:rPr>
          <w:rFonts w:ascii="Arial" w:hAnsi="Arial" w:cs="Arial"/>
        </w:rPr>
        <w:t xml:space="preserve"> (Yaribeygi et al., 2021).</w:t>
      </w:r>
    </w:p>
    <w:p w14:paraId="6440A5FF" w14:textId="1C2405CE" w:rsidR="003A0044" w:rsidRPr="00EF5909" w:rsidRDefault="003A0044" w:rsidP="00EF5909">
      <w:pPr>
        <w:spacing w:line="360" w:lineRule="auto"/>
        <w:rPr>
          <w:rFonts w:ascii="Arial" w:hAnsi="Arial" w:cs="Arial"/>
        </w:rPr>
      </w:pPr>
      <w:r w:rsidRPr="00EF5909">
        <w:rPr>
          <w:rFonts w:ascii="Arial" w:hAnsi="Arial" w:cs="Arial"/>
        </w:rPr>
        <w:t>Dietary patterns can also influence risk. Diets high in energy-dense foods and low in fibre may contribute to excess weight and metabolic disease (Godsey, Eden and Emerson, 2025). However, dietary risk should be considered within a wider social context. Briazu et al. (2024) report people experiencing financial hardship may have fewer opportunities to purchase healthier foods.</w:t>
      </w:r>
    </w:p>
    <w:p w14:paraId="463C71EA" w14:textId="2B7E2F07" w:rsidR="003A0044" w:rsidRPr="00EF5909" w:rsidRDefault="003A0044" w:rsidP="00EF5909">
      <w:pPr>
        <w:spacing w:line="360" w:lineRule="auto"/>
        <w:rPr>
          <w:rFonts w:ascii="Arial" w:hAnsi="Arial" w:cs="Arial"/>
        </w:rPr>
      </w:pPr>
      <w:r w:rsidRPr="00EF5909">
        <w:rPr>
          <w:rFonts w:ascii="Arial" w:hAnsi="Arial" w:cs="Arial"/>
        </w:rPr>
        <w:t>Ethnicity is also important. South Asian, Black African, Black Caribbean and Chinese populations can develop T2D at younger ages and at lower BMI levels than White European populations (Diabetes UK, 2020). This suggests that prevention strategies based solely on general BMI thresholds may fail to identify some people early enough.</w:t>
      </w:r>
    </w:p>
    <w:p w14:paraId="2C838DE2" w14:textId="5BE1F716" w:rsidR="003A0044" w:rsidRPr="00EF5909" w:rsidRDefault="007E6774" w:rsidP="00EF5909">
      <w:pPr>
        <w:spacing w:line="360" w:lineRule="auto"/>
        <w:rPr>
          <w:rFonts w:ascii="Arial" w:hAnsi="Arial" w:cs="Arial"/>
        </w:rPr>
      </w:pPr>
      <w:r w:rsidRPr="00EF5909">
        <w:rPr>
          <w:rFonts w:ascii="Arial" w:hAnsi="Arial" w:cs="Arial"/>
        </w:rPr>
        <w:lastRenderedPageBreak/>
        <w:t>Social determinants of health are therefore significant. Low income, poor housing, unemployment, education, food insecurity and limited access to health services may increase exposure to risk and reduce opportunities for prevention (Cuddapah et al., 2022). Marmot et al., (2020) argues that health inequalities are strongly connected with social and economic circumstances.</w:t>
      </w:r>
    </w:p>
    <w:p w14:paraId="4463E87F" w14:textId="7A7B69CF" w:rsidR="007E6774" w:rsidRDefault="007E6774" w:rsidP="00EF5909">
      <w:pPr>
        <w:spacing w:line="360" w:lineRule="auto"/>
        <w:rPr>
          <w:rFonts w:ascii="Arial" w:hAnsi="Arial" w:cs="Arial"/>
        </w:rPr>
      </w:pPr>
      <w:r w:rsidRPr="00EF5909">
        <w:rPr>
          <w:rFonts w:ascii="Arial" w:hAnsi="Arial" w:cs="Arial"/>
        </w:rPr>
        <w:t>A critical understanding of aetiology therefore avoids presenting diabetes as simply a lifestyle disease. Lifestyle behaviours matter, but they are influenced by the environment in which people live. Effective prevention should combine individual education with measures addressing obesity, food environments, physical activity and inequalities.</w:t>
      </w:r>
    </w:p>
    <w:p w14:paraId="7EE601C4" w14:textId="77777777" w:rsidR="00B94F2C" w:rsidRPr="00EF5909" w:rsidRDefault="00B94F2C" w:rsidP="00EF5909">
      <w:pPr>
        <w:spacing w:line="360" w:lineRule="auto"/>
        <w:rPr>
          <w:rFonts w:ascii="Arial" w:hAnsi="Arial" w:cs="Arial"/>
        </w:rPr>
      </w:pPr>
    </w:p>
    <w:p w14:paraId="3C1A422F" w14:textId="77777777" w:rsidR="007E6774" w:rsidRPr="00EF5909" w:rsidRDefault="007E6774" w:rsidP="00EF5909">
      <w:pPr>
        <w:spacing w:line="360" w:lineRule="auto"/>
        <w:rPr>
          <w:rFonts w:ascii="Arial" w:hAnsi="Arial" w:cs="Arial"/>
        </w:rPr>
      </w:pPr>
    </w:p>
    <w:p w14:paraId="57C4CD47" w14:textId="0542ADC9" w:rsidR="00581929" w:rsidRPr="00B94F2C" w:rsidRDefault="00581929" w:rsidP="00B23A46">
      <w:pPr>
        <w:pStyle w:val="Heading5"/>
        <w:rPr>
          <w:rFonts w:ascii="Arial" w:hAnsi="Arial" w:cs="Arial"/>
          <w:b/>
          <w:bCs/>
          <w:color w:val="auto"/>
          <w:sz w:val="28"/>
          <w:szCs w:val="28"/>
        </w:rPr>
      </w:pPr>
      <w:bookmarkStart w:id="7" w:name="_Toc243590754"/>
      <w:r w:rsidRPr="00B94F2C">
        <w:rPr>
          <w:rFonts w:ascii="Arial" w:hAnsi="Arial" w:cs="Arial"/>
          <w:b/>
          <w:bCs/>
          <w:color w:val="auto"/>
          <w:sz w:val="28"/>
          <w:szCs w:val="28"/>
        </w:rPr>
        <w:t>Physical, psychological and social impact</w:t>
      </w:r>
      <w:bookmarkEnd w:id="7"/>
    </w:p>
    <w:p w14:paraId="3861E34E" w14:textId="77777777" w:rsidR="00B94F2C" w:rsidRDefault="00B94F2C" w:rsidP="00EF5909">
      <w:pPr>
        <w:spacing w:line="360" w:lineRule="auto"/>
        <w:rPr>
          <w:rFonts w:ascii="Arial" w:hAnsi="Arial" w:cs="Arial"/>
        </w:rPr>
      </w:pPr>
    </w:p>
    <w:p w14:paraId="62C0D635" w14:textId="4E4140DB" w:rsidR="00D91805" w:rsidRPr="00EF5909" w:rsidRDefault="00D91805" w:rsidP="00EF5909">
      <w:pPr>
        <w:spacing w:line="360" w:lineRule="auto"/>
        <w:rPr>
          <w:rFonts w:ascii="Arial" w:hAnsi="Arial" w:cs="Arial"/>
        </w:rPr>
      </w:pPr>
      <w:r w:rsidRPr="00EF5909">
        <w:rPr>
          <w:rFonts w:ascii="Arial" w:hAnsi="Arial" w:cs="Arial"/>
        </w:rPr>
        <w:t>Persistent high blood glucose in T2D can damage blood vessels and nerves, increasing the risk of cardiovascular disease, stroke, kidney disease and retinopathy. Poor circulation and reduced foot sensation can also cause ulcers and, in severe cases, amputation, highlighting the need for ongoing monitoring (WHO, 2024).</w:t>
      </w:r>
    </w:p>
    <w:p w14:paraId="72A81E1A" w14:textId="21C3CE44" w:rsidR="00F27BFC" w:rsidRPr="00EF5909" w:rsidRDefault="00F27BFC" w:rsidP="00EF5909">
      <w:pPr>
        <w:spacing w:line="360" w:lineRule="auto"/>
        <w:rPr>
          <w:rFonts w:ascii="Arial" w:hAnsi="Arial" w:cs="Arial"/>
        </w:rPr>
      </w:pPr>
      <w:r w:rsidRPr="00EF5909">
        <w:rPr>
          <w:rFonts w:ascii="Arial" w:hAnsi="Arial" w:cs="Arial"/>
        </w:rPr>
        <w:t>Arumsari (2025) states T2D can cause psychological distress due to the ongoing demands of managing diet, exercise, medication and appointments</w:t>
      </w:r>
      <w:r w:rsidR="00586821" w:rsidRPr="00EF5909">
        <w:rPr>
          <w:rFonts w:ascii="Arial" w:hAnsi="Arial" w:cs="Arial"/>
        </w:rPr>
        <w:t xml:space="preserve">. </w:t>
      </w:r>
      <w:r w:rsidRPr="00EF5909">
        <w:rPr>
          <w:rFonts w:ascii="Arial" w:hAnsi="Arial" w:cs="Arial"/>
        </w:rPr>
        <w:t>Diabetes distress differs from clinical depression, as it relates specifically to the emotional burden of managing the condition (Morales-Brown, Perez Algorta and Salifu, 2024).</w:t>
      </w:r>
    </w:p>
    <w:p w14:paraId="50680087" w14:textId="265C0B80" w:rsidR="00F12A7D" w:rsidRPr="00EF5909" w:rsidRDefault="00F12A7D" w:rsidP="00EF5909">
      <w:pPr>
        <w:spacing w:line="360" w:lineRule="auto"/>
        <w:rPr>
          <w:rFonts w:ascii="Arial" w:hAnsi="Arial" w:cs="Arial"/>
        </w:rPr>
      </w:pPr>
      <w:r w:rsidRPr="00EF5909">
        <w:rPr>
          <w:rFonts w:ascii="Arial" w:hAnsi="Arial" w:cs="Arial"/>
        </w:rPr>
        <w:t>Furthermore, depression may occur alongside T2D and can make self-management more difficult (Fanelli et al., 2025). However, healthcare professionals should avoid assuming that difficulties with self-management demonstrate a lack of motivation. A person may understand the recommended treatment but face barriers like depression, financial difficulty, or limited social support.</w:t>
      </w:r>
    </w:p>
    <w:p w14:paraId="6D8F0D16" w14:textId="0DA4B2D3" w:rsidR="00581929" w:rsidRPr="00EF5909" w:rsidRDefault="009B0383" w:rsidP="00EF5909">
      <w:pPr>
        <w:spacing w:line="360" w:lineRule="auto"/>
        <w:rPr>
          <w:rFonts w:ascii="Arial" w:hAnsi="Arial" w:cs="Arial"/>
        </w:rPr>
      </w:pPr>
      <w:r w:rsidRPr="00EF5909">
        <w:rPr>
          <w:rFonts w:ascii="Arial" w:hAnsi="Arial" w:cs="Arial"/>
        </w:rPr>
        <w:t>Social effects include difficulties with employment, relationships and participation in social activities (Hill, 2013). Frequent appointments and dietary restrictions can affect family routines. Liu et al. (2017) reports people may also experience stigma because T2D is sometimes incorrectly shown as being entirely caused by personal lifestyle choices.</w:t>
      </w:r>
    </w:p>
    <w:p w14:paraId="1FEE0666" w14:textId="18FDD540" w:rsidR="009B0383" w:rsidRDefault="009B0383" w:rsidP="00EF5909">
      <w:pPr>
        <w:spacing w:line="360" w:lineRule="auto"/>
        <w:rPr>
          <w:rFonts w:ascii="Arial" w:hAnsi="Arial" w:cs="Arial"/>
        </w:rPr>
      </w:pPr>
      <w:r w:rsidRPr="00EF5909">
        <w:rPr>
          <w:rFonts w:ascii="Arial" w:hAnsi="Arial" w:cs="Arial"/>
        </w:rPr>
        <w:t xml:space="preserve">The impacts are therefore interconnected. Physical complications cause psychological distress and reduce social participation, while psychological and social difficulties can make </w:t>
      </w:r>
      <w:r w:rsidRPr="00EF5909">
        <w:rPr>
          <w:rFonts w:ascii="Arial" w:hAnsi="Arial" w:cs="Arial"/>
        </w:rPr>
        <w:lastRenderedPageBreak/>
        <w:t xml:space="preserve">physical management more challenging. A holistic approach is therefore more appropriate than focusing solely on HbA1c. </w:t>
      </w:r>
    </w:p>
    <w:p w14:paraId="47807341" w14:textId="77777777" w:rsidR="00F34E88" w:rsidRDefault="00F34E88" w:rsidP="00EF5909">
      <w:pPr>
        <w:spacing w:line="360" w:lineRule="auto"/>
        <w:rPr>
          <w:rFonts w:ascii="Arial" w:hAnsi="Arial" w:cs="Arial"/>
        </w:rPr>
      </w:pPr>
    </w:p>
    <w:p w14:paraId="531A6F61" w14:textId="682383D6" w:rsidR="009B0383" w:rsidRDefault="009B0383" w:rsidP="00B23A46">
      <w:pPr>
        <w:pStyle w:val="Heading6"/>
        <w:rPr>
          <w:rFonts w:ascii="Arial" w:hAnsi="Arial" w:cs="Arial"/>
          <w:b/>
          <w:bCs/>
          <w:i w:val="0"/>
          <w:iCs w:val="0"/>
          <w:color w:val="auto"/>
          <w:sz w:val="28"/>
          <w:szCs w:val="28"/>
        </w:rPr>
      </w:pPr>
      <w:bookmarkStart w:id="8" w:name="_Toc243590755"/>
      <w:r w:rsidRPr="00B94F2C">
        <w:rPr>
          <w:rFonts w:ascii="Arial" w:hAnsi="Arial" w:cs="Arial"/>
          <w:b/>
          <w:bCs/>
          <w:i w:val="0"/>
          <w:iCs w:val="0"/>
          <w:color w:val="auto"/>
          <w:sz w:val="28"/>
          <w:szCs w:val="28"/>
        </w:rPr>
        <w:t>Impact on families and carers</w:t>
      </w:r>
      <w:bookmarkEnd w:id="8"/>
    </w:p>
    <w:p w14:paraId="7E3A0ADD" w14:textId="77777777" w:rsidR="001B5A14" w:rsidRPr="001B5A14" w:rsidRDefault="001B5A14" w:rsidP="001B5A14"/>
    <w:p w14:paraId="1DC7F864" w14:textId="1EF03FF5" w:rsidR="009B0383" w:rsidRPr="00EF5909" w:rsidRDefault="00EB6806" w:rsidP="00EF5909">
      <w:pPr>
        <w:spacing w:line="360" w:lineRule="auto"/>
        <w:rPr>
          <w:rFonts w:ascii="Arial" w:hAnsi="Arial" w:cs="Arial"/>
        </w:rPr>
      </w:pPr>
      <w:r w:rsidRPr="00EF5909">
        <w:rPr>
          <w:rFonts w:ascii="Arial" w:hAnsi="Arial" w:cs="Arial"/>
        </w:rPr>
        <w:t xml:space="preserve">T2D may affect family members as well as the individual. Relatives may provide support with medication, appointments, healthy eating, exercise and emotional </w:t>
      </w:r>
      <w:r w:rsidR="00C902C9" w:rsidRPr="00EF5909">
        <w:rPr>
          <w:rFonts w:ascii="Arial" w:hAnsi="Arial" w:cs="Arial"/>
        </w:rPr>
        <w:t xml:space="preserve">wellbeing (Madroumi et al., 2024).  If complications develop, the individual’s dependence on relatives may increase. Family involvement can have positive effects when it is welcomed by the person with T2D. Family-based interventions may support improvements in diabetes management (Baig et al., 2015). </w:t>
      </w:r>
    </w:p>
    <w:p w14:paraId="4295EA63" w14:textId="440346C0" w:rsidR="00C902C9" w:rsidRPr="00EF5909" w:rsidRDefault="00C902C9" w:rsidP="00EF5909">
      <w:pPr>
        <w:spacing w:line="360" w:lineRule="auto"/>
        <w:rPr>
          <w:rFonts w:ascii="Arial" w:hAnsi="Arial" w:cs="Arial"/>
        </w:rPr>
      </w:pPr>
      <w:r w:rsidRPr="00EF5909">
        <w:rPr>
          <w:rFonts w:ascii="Arial" w:hAnsi="Arial" w:cs="Arial"/>
        </w:rPr>
        <w:t>However, family involvement may also create difficulties. Relatives may become overly controlling about food, weight or medication, which may increase stress and reduce the individual’s sense of independence</w:t>
      </w:r>
      <w:r w:rsidR="008F33AA" w:rsidRPr="00EF5909">
        <w:rPr>
          <w:rFonts w:ascii="Arial" w:hAnsi="Arial" w:cs="Arial"/>
        </w:rPr>
        <w:t xml:space="preserve"> (Harper, Osborn and Mayberry, 2018). </w:t>
      </w:r>
      <w:r w:rsidRPr="00EF5909">
        <w:rPr>
          <w:rFonts w:ascii="Arial" w:hAnsi="Arial" w:cs="Arial"/>
        </w:rPr>
        <w:t>Person-</w:t>
      </w:r>
      <w:r w:rsidR="008F33AA" w:rsidRPr="00EF5909">
        <w:rPr>
          <w:rFonts w:ascii="Arial" w:hAnsi="Arial" w:cs="Arial"/>
        </w:rPr>
        <w:t>centred</w:t>
      </w:r>
      <w:r w:rsidRPr="00EF5909">
        <w:rPr>
          <w:rFonts w:ascii="Arial" w:hAnsi="Arial" w:cs="Arial"/>
        </w:rPr>
        <w:t xml:space="preserve"> care therefore requires professionals to establish whether and how the individual wants family members involved. </w:t>
      </w:r>
    </w:p>
    <w:p w14:paraId="7ED465BD" w14:textId="7A561F2E" w:rsidR="008F33AA" w:rsidRPr="00EF5909" w:rsidRDefault="008F33AA" w:rsidP="00EF5909">
      <w:pPr>
        <w:spacing w:line="360" w:lineRule="auto"/>
        <w:rPr>
          <w:rFonts w:ascii="Arial" w:hAnsi="Arial" w:cs="Arial"/>
        </w:rPr>
      </w:pPr>
      <w:r w:rsidRPr="00EF5909">
        <w:rPr>
          <w:rFonts w:ascii="Arial" w:hAnsi="Arial" w:cs="Arial"/>
        </w:rPr>
        <w:t xml:space="preserve">Informal carers experience emotional and practical burden. Their needs should not be overlooked, particularly when complications or disability develop. Assessment of carer needs and access to social care and community support should therefore form part of integrated diabetes management (Diabetes UK, 2021). </w:t>
      </w:r>
    </w:p>
    <w:p w14:paraId="2A893953" w14:textId="79C43796" w:rsidR="008F33AA" w:rsidRDefault="008F33AA" w:rsidP="00B23A46">
      <w:pPr>
        <w:pStyle w:val="Heading7"/>
        <w:rPr>
          <w:rFonts w:ascii="Arial" w:hAnsi="Arial" w:cs="Arial"/>
          <w:b/>
          <w:bCs/>
          <w:color w:val="auto"/>
          <w:sz w:val="28"/>
          <w:szCs w:val="28"/>
        </w:rPr>
      </w:pPr>
      <w:bookmarkStart w:id="9" w:name="_Toc243590756"/>
      <w:r w:rsidRPr="001B5A14">
        <w:rPr>
          <w:rFonts w:ascii="Arial" w:hAnsi="Arial" w:cs="Arial"/>
          <w:b/>
          <w:bCs/>
          <w:color w:val="auto"/>
          <w:sz w:val="28"/>
          <w:szCs w:val="28"/>
        </w:rPr>
        <w:t>Evidence-based treatment and management through the NHS</w:t>
      </w:r>
      <w:bookmarkEnd w:id="9"/>
    </w:p>
    <w:p w14:paraId="375AB5BF" w14:textId="77777777" w:rsidR="001B5A14" w:rsidRPr="001B5A14" w:rsidRDefault="001B5A14" w:rsidP="001B5A14"/>
    <w:p w14:paraId="0925E33C" w14:textId="64FB59D3" w:rsidR="002C1D90" w:rsidRPr="00EF5909" w:rsidRDefault="00340606" w:rsidP="00EF5909">
      <w:pPr>
        <w:spacing w:line="360" w:lineRule="auto"/>
        <w:rPr>
          <w:rFonts w:ascii="Arial" w:hAnsi="Arial" w:cs="Arial"/>
        </w:rPr>
      </w:pPr>
      <w:r w:rsidRPr="00EF5909">
        <w:rPr>
          <w:rFonts w:ascii="Arial" w:hAnsi="Arial" w:cs="Arial"/>
        </w:rPr>
        <w:t>Effective T2D management combines lifestyle support, education, medication and monitoring. NICE guidance emphasises personalised treatment that considers blood glucose, cardiovascular and kidney health, weight and other clinical factors (NICE, 2015).</w:t>
      </w:r>
      <w:r w:rsidR="00183A79" w:rsidRPr="00EF5909">
        <w:rPr>
          <w:rFonts w:ascii="Arial" w:hAnsi="Arial" w:cs="Arial"/>
        </w:rPr>
        <w:t xml:space="preserve"> </w:t>
      </w:r>
      <w:r w:rsidR="002C1D90" w:rsidRPr="00EF5909">
        <w:rPr>
          <w:rFonts w:ascii="Arial" w:hAnsi="Arial" w:cs="Arial"/>
        </w:rPr>
        <w:t>Healthy living involves physical activity, balanced nutrition, weight management, stopping smoking and limiting alcohol. Advice should be personalised to cultural preferences, finances and individual circumstances (Shapiro and Grajower, 2024).</w:t>
      </w:r>
    </w:p>
    <w:p w14:paraId="3F16E386" w14:textId="174A7E69" w:rsidR="00D10897" w:rsidRPr="00EF5909" w:rsidRDefault="00D10897" w:rsidP="00EF5909">
      <w:pPr>
        <w:spacing w:line="360" w:lineRule="auto"/>
        <w:rPr>
          <w:rFonts w:ascii="Arial" w:hAnsi="Arial" w:cs="Arial"/>
        </w:rPr>
      </w:pPr>
      <w:r w:rsidRPr="00EF5909">
        <w:rPr>
          <w:rFonts w:ascii="Arial" w:hAnsi="Arial" w:cs="Arial"/>
        </w:rPr>
        <w:t>Structured education programmes, such as X-PERT, improve diabetes knowledge, self-management skills and confidence (Deakin and Whitham, 2009). They can also improve blood glucose control and psychological wellbeing while reducing complications and hospital admissions (Iqbal and Heller, 2017).</w:t>
      </w:r>
    </w:p>
    <w:p w14:paraId="72729115" w14:textId="42ACD587" w:rsidR="000021E1" w:rsidRPr="00EF5909" w:rsidRDefault="000021E1" w:rsidP="00EF5909">
      <w:pPr>
        <w:spacing w:line="360" w:lineRule="auto"/>
        <w:rPr>
          <w:rFonts w:ascii="Arial" w:hAnsi="Arial" w:cs="Arial"/>
        </w:rPr>
      </w:pPr>
      <w:r w:rsidRPr="00EF5909">
        <w:rPr>
          <w:rFonts w:ascii="Arial" w:hAnsi="Arial" w:cs="Arial"/>
        </w:rPr>
        <w:lastRenderedPageBreak/>
        <w:t>Additionally, medication is required. N</w:t>
      </w:r>
      <w:r w:rsidR="00752453" w:rsidRPr="00EF5909">
        <w:rPr>
          <w:rFonts w:ascii="Arial" w:hAnsi="Arial" w:cs="Arial"/>
        </w:rPr>
        <w:t xml:space="preserve">ICE’S 2026 guidance has strengthened, and recommendations concerning the use of medicines such as metformin and SGLT2 inhibitors and considers the benefits of newer medicines for cardiovascular and renal protection (NICE, 2015). GLP-1 receptor agonists and other glucose-lowering treatments may be appropriate for certain individuals according to clinical circumstances (Nauck et al., 2021). </w:t>
      </w:r>
    </w:p>
    <w:p w14:paraId="3B02C916" w14:textId="188C807D" w:rsidR="00752453" w:rsidRPr="00EF5909" w:rsidRDefault="00FC57CE" w:rsidP="00EF5909">
      <w:pPr>
        <w:spacing w:line="360" w:lineRule="auto"/>
        <w:rPr>
          <w:rFonts w:ascii="Arial" w:hAnsi="Arial" w:cs="Arial"/>
        </w:rPr>
      </w:pPr>
      <w:r w:rsidRPr="00EF5909">
        <w:rPr>
          <w:rFonts w:ascii="Arial" w:hAnsi="Arial" w:cs="Arial"/>
        </w:rPr>
        <w:t xml:space="preserve">HbA1c targets should be individualised. NICE recommends discussing and agreeing a target with each person. For some adults, a target of 48 mmol/mol (6.5%) may be appropriate, whereas 53 mmol/mol (7.0%) may be used where treatment poses a risk of hypoglycaemia (Rodríguez-Gutiérrez et al., 2021). Targets may need to be relaxed for older people, those with significant comorbidities or reduced life expectancy (NICE, 2015). </w:t>
      </w:r>
    </w:p>
    <w:p w14:paraId="20A74D2C" w14:textId="35336ED9" w:rsidR="00FC57CE" w:rsidRPr="00EF5909" w:rsidRDefault="00FC57CE" w:rsidP="00EF5909">
      <w:pPr>
        <w:spacing w:line="360" w:lineRule="auto"/>
        <w:rPr>
          <w:rFonts w:ascii="Arial" w:hAnsi="Arial" w:cs="Arial"/>
        </w:rPr>
      </w:pPr>
      <w:r w:rsidRPr="00EF5909">
        <w:rPr>
          <w:rFonts w:ascii="Arial" w:hAnsi="Arial" w:cs="Arial"/>
        </w:rPr>
        <w:t xml:space="preserve">This demonstrates an important aspect of person-centred care; achieving the lowest possible blood glucose is not necessarily the appropriate goal for every individual. </w:t>
      </w:r>
      <w:r w:rsidR="00145358" w:rsidRPr="00EF5909">
        <w:rPr>
          <w:rFonts w:ascii="Arial" w:hAnsi="Arial" w:cs="Arial"/>
        </w:rPr>
        <w:t xml:space="preserve">According to McCoy et al. (2016) </w:t>
      </w:r>
      <w:r w:rsidRPr="00EF5909">
        <w:rPr>
          <w:rFonts w:ascii="Arial" w:hAnsi="Arial" w:cs="Arial"/>
        </w:rPr>
        <w:t xml:space="preserve">Intensive treatment may increase hypoglycaemia or treatment burden and may have limited benefit for people with short life expectancy. </w:t>
      </w:r>
    </w:p>
    <w:p w14:paraId="28BF05BE" w14:textId="230C8D55" w:rsidR="00B90FDA" w:rsidRPr="00EF5909" w:rsidRDefault="009D444F" w:rsidP="00EF5909">
      <w:pPr>
        <w:spacing w:line="360" w:lineRule="auto"/>
        <w:rPr>
          <w:rFonts w:ascii="Arial" w:hAnsi="Arial" w:cs="Arial"/>
        </w:rPr>
      </w:pPr>
      <w:r w:rsidRPr="00EF5909">
        <w:rPr>
          <w:rFonts w:ascii="Arial" w:hAnsi="Arial" w:cs="Arial"/>
        </w:rPr>
        <w:t>Weight management is important in T2D. The NHS Path to Remission Programme supports eligible people through a low-calorie diet and weight-maintenance support. The DiRECT trial showed that significant weight loss can achieve remission (Lean et al., 2018). However, access and weight regain remain challenges, so remission is not a permanent cure (Hartmann-Boyce et al., 2022).</w:t>
      </w:r>
    </w:p>
    <w:p w14:paraId="5CEE98B1" w14:textId="76AE4A2F" w:rsidR="00B258B3" w:rsidRPr="00EF5909" w:rsidRDefault="00CD5C57" w:rsidP="00EF5909">
      <w:pPr>
        <w:spacing w:line="360" w:lineRule="auto"/>
        <w:rPr>
          <w:rFonts w:ascii="Arial" w:hAnsi="Arial" w:cs="Arial"/>
        </w:rPr>
      </w:pPr>
      <w:r w:rsidRPr="00EF5909">
        <w:rPr>
          <w:rFonts w:ascii="Arial" w:hAnsi="Arial" w:cs="Arial"/>
        </w:rPr>
        <w:t>Regular monitoring through the nine diabetes care processes includes HbA1c, blood pressure, weight, eye and foot checks, kidney function, cholesterol and smoking status (NHS RightCare Pathway: Diabetes, 2018). Completing these checks is associated with fewer hospital admissions, deaths and amputations (Gunn et al., 2021).</w:t>
      </w:r>
    </w:p>
    <w:p w14:paraId="78DA22C3" w14:textId="73D45E76" w:rsidR="0058755A" w:rsidRPr="00EF5909" w:rsidRDefault="0058755A" w:rsidP="00EF5909">
      <w:pPr>
        <w:spacing w:line="360" w:lineRule="auto"/>
        <w:jc w:val="center"/>
        <w:rPr>
          <w:rFonts w:ascii="Arial" w:hAnsi="Arial" w:cs="Arial"/>
        </w:rPr>
      </w:pPr>
      <w:r w:rsidRPr="00EF5909">
        <w:rPr>
          <w:rFonts w:ascii="Arial" w:hAnsi="Arial" w:cs="Arial"/>
          <w:noProof/>
        </w:rPr>
        <w:lastRenderedPageBreak/>
        <w:drawing>
          <wp:inline distT="0" distB="0" distL="0" distR="0" wp14:anchorId="20C4DB23" wp14:editId="7429AB73">
            <wp:extent cx="3971925" cy="5563159"/>
            <wp:effectExtent l="0" t="0" r="0" b="0"/>
            <wp:docPr id="1595186589" name="Picture 5" descr="Using Data to Improve Diabetes Care – Diabetes Professional ...">
              <a:extLst xmlns:a="http://schemas.openxmlformats.org/drawingml/2006/main">
                <a:ext uri="{FF2B5EF4-FFF2-40B4-BE49-F238E27FC236}">
                  <a16:creationId xmlns:a16="http://schemas.microsoft.com/office/drawing/2014/main" id="{37093E91-151D-4744-A4EF-5403E439F5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Using Data to Improve Diabetes Care – Diabetes Professional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1197" cy="5590152"/>
                    </a:xfrm>
                    <a:prstGeom prst="rect">
                      <a:avLst/>
                    </a:prstGeom>
                    <a:noFill/>
                    <a:ln>
                      <a:noFill/>
                    </a:ln>
                  </pic:spPr>
                </pic:pic>
              </a:graphicData>
            </a:graphic>
          </wp:inline>
        </w:drawing>
      </w:r>
    </w:p>
    <w:p w14:paraId="5FEB69F1" w14:textId="1C3CCC11" w:rsidR="0058755A" w:rsidRPr="00EF5909" w:rsidRDefault="0058755A" w:rsidP="00EF5909">
      <w:pPr>
        <w:spacing w:line="360" w:lineRule="auto"/>
        <w:jc w:val="right"/>
        <w:rPr>
          <w:rFonts w:ascii="Arial" w:hAnsi="Arial" w:cs="Arial"/>
        </w:rPr>
      </w:pPr>
      <w:r w:rsidRPr="00EF5909">
        <w:rPr>
          <w:rFonts w:ascii="Arial" w:hAnsi="Arial" w:cs="Arial"/>
        </w:rPr>
        <w:t>(Nhslothian.scot, 2024)</w:t>
      </w:r>
    </w:p>
    <w:p w14:paraId="26C4B810" w14:textId="540EBE0F" w:rsidR="00B258B3" w:rsidRPr="00EF5909" w:rsidRDefault="00B258B3" w:rsidP="00EF5909">
      <w:pPr>
        <w:spacing w:line="360" w:lineRule="auto"/>
        <w:rPr>
          <w:rFonts w:ascii="Arial" w:hAnsi="Arial" w:cs="Arial"/>
        </w:rPr>
      </w:pPr>
      <w:r w:rsidRPr="00EF5909">
        <w:rPr>
          <w:rFonts w:ascii="Arial" w:hAnsi="Arial" w:cs="Arial"/>
        </w:rPr>
        <w:t>Overall, NHS treatment has become more holistic, but implementation can be affected by workforce pressures, unequal access and treatment burden. Evidence-based treatment therefore needs to be integrated with accessible and culturally appropriate services.</w:t>
      </w:r>
    </w:p>
    <w:p w14:paraId="08505D7C" w14:textId="77777777" w:rsidR="00396832" w:rsidRPr="001B5A14" w:rsidRDefault="00396832" w:rsidP="00EF5909">
      <w:pPr>
        <w:spacing w:line="360" w:lineRule="auto"/>
        <w:rPr>
          <w:rFonts w:ascii="Arial" w:hAnsi="Arial" w:cs="Arial"/>
          <w:b/>
          <w:bCs/>
          <w:sz w:val="28"/>
          <w:szCs w:val="28"/>
        </w:rPr>
      </w:pPr>
    </w:p>
    <w:p w14:paraId="5A8B20DB" w14:textId="69A1F07E" w:rsidR="00396832" w:rsidRDefault="00396832" w:rsidP="00B23A46">
      <w:pPr>
        <w:pStyle w:val="Heading8"/>
        <w:rPr>
          <w:rFonts w:ascii="Arial" w:hAnsi="Arial" w:cs="Arial"/>
          <w:b/>
          <w:bCs/>
          <w:i w:val="0"/>
          <w:iCs w:val="0"/>
          <w:color w:val="auto"/>
          <w:sz w:val="28"/>
          <w:szCs w:val="28"/>
        </w:rPr>
      </w:pPr>
      <w:bookmarkStart w:id="10" w:name="_Toc243590757"/>
      <w:r w:rsidRPr="001B5A14">
        <w:rPr>
          <w:rFonts w:ascii="Arial" w:hAnsi="Arial" w:cs="Arial"/>
          <w:b/>
          <w:bCs/>
          <w:i w:val="0"/>
          <w:iCs w:val="0"/>
          <w:color w:val="auto"/>
          <w:sz w:val="28"/>
          <w:szCs w:val="28"/>
        </w:rPr>
        <w:t>Current theoretical perspectives and models</w:t>
      </w:r>
      <w:bookmarkEnd w:id="10"/>
    </w:p>
    <w:p w14:paraId="74C32274" w14:textId="77777777" w:rsidR="001B5A14" w:rsidRPr="001B5A14" w:rsidRDefault="001B5A14" w:rsidP="001B5A14"/>
    <w:p w14:paraId="2E640DD3" w14:textId="507103F5" w:rsidR="00396832" w:rsidRPr="00EF5909" w:rsidRDefault="00396832" w:rsidP="00EF5909">
      <w:pPr>
        <w:spacing w:line="360" w:lineRule="auto"/>
        <w:rPr>
          <w:rFonts w:ascii="Arial" w:hAnsi="Arial" w:cs="Arial"/>
        </w:rPr>
      </w:pPr>
      <w:r w:rsidRPr="00EF5909">
        <w:rPr>
          <w:rFonts w:ascii="Arial" w:hAnsi="Arial" w:cs="Arial"/>
        </w:rPr>
        <w:t>Long-term condition management has increasingly shifted from an acute disease-focused approach towards models that support people to manage conditions within their everyday lives</w:t>
      </w:r>
      <w:r w:rsidR="001665B0" w:rsidRPr="00EF5909">
        <w:rPr>
          <w:rFonts w:ascii="Arial" w:hAnsi="Arial" w:cs="Arial"/>
        </w:rPr>
        <w:t xml:space="preserve"> (Ghiyasvandian et al., 2021). Two significant approaches are the UK House of Care and the internationally developed Chronic Care Model. Both emphasise patient participation, </w:t>
      </w:r>
      <w:r w:rsidR="001665B0" w:rsidRPr="00EF5909">
        <w:rPr>
          <w:rFonts w:ascii="Arial" w:hAnsi="Arial" w:cs="Arial"/>
        </w:rPr>
        <w:lastRenderedPageBreak/>
        <w:t>professional support and coordinated services (Coulter et al., 2016). The models are relevant to T2D because effective management occurs largely outside healthcare settings. Individuals make daily decisions about diet, exercise, medications. Therefore, healthcare services must develop people’s knowledge and confidence rather than simply providing instructions.</w:t>
      </w:r>
    </w:p>
    <w:p w14:paraId="3118C522" w14:textId="77777777" w:rsidR="00661908" w:rsidRPr="00EF5909" w:rsidRDefault="00661908" w:rsidP="00B23A46">
      <w:pPr>
        <w:pStyle w:val="Heading9"/>
      </w:pPr>
    </w:p>
    <w:p w14:paraId="3239A2AD" w14:textId="46BB7556" w:rsidR="001665B0" w:rsidRDefault="00661908" w:rsidP="00B23A46">
      <w:pPr>
        <w:pStyle w:val="Heading9"/>
        <w:rPr>
          <w:rFonts w:ascii="Arial" w:hAnsi="Arial" w:cs="Arial"/>
          <w:b/>
          <w:bCs/>
          <w:sz w:val="28"/>
          <w:szCs w:val="28"/>
        </w:rPr>
      </w:pPr>
      <w:bookmarkStart w:id="11" w:name="_Toc243590758"/>
      <w:r w:rsidRPr="001B5A14">
        <w:rPr>
          <w:rFonts w:ascii="Arial" w:hAnsi="Arial" w:cs="Arial"/>
          <w:b/>
          <w:bCs/>
          <w:sz w:val="28"/>
          <w:szCs w:val="28"/>
        </w:rPr>
        <w:t>UK model- House of Care</w:t>
      </w:r>
      <w:bookmarkEnd w:id="11"/>
      <w:r w:rsidR="006F7A38" w:rsidRPr="001B5A14">
        <w:rPr>
          <w:rFonts w:ascii="Arial" w:hAnsi="Arial" w:cs="Arial"/>
          <w:b/>
          <w:bCs/>
          <w:sz w:val="28"/>
          <w:szCs w:val="28"/>
        </w:rPr>
        <w:t xml:space="preserve"> </w:t>
      </w:r>
    </w:p>
    <w:p w14:paraId="11336269" w14:textId="77777777" w:rsidR="001B5A14" w:rsidRPr="001B5A14" w:rsidRDefault="001B5A14" w:rsidP="001B5A14"/>
    <w:p w14:paraId="47B3B933" w14:textId="77777777" w:rsidR="00A74638" w:rsidRDefault="00A74638" w:rsidP="00EF5909">
      <w:pPr>
        <w:spacing w:line="360" w:lineRule="auto"/>
        <w:rPr>
          <w:rFonts w:ascii="Arial" w:hAnsi="Arial" w:cs="Arial"/>
        </w:rPr>
      </w:pPr>
    </w:p>
    <w:p w14:paraId="7D5CA10D" w14:textId="01771260" w:rsidR="00A74638" w:rsidRDefault="00DA3546" w:rsidP="00DA3546">
      <w:pPr>
        <w:spacing w:line="360" w:lineRule="auto"/>
        <w:jc w:val="center"/>
        <w:rPr>
          <w:rFonts w:ascii="Arial" w:hAnsi="Arial" w:cs="Arial"/>
        </w:rPr>
      </w:pPr>
      <w:r w:rsidRPr="00EF5909">
        <w:rPr>
          <w:rFonts w:ascii="Arial" w:hAnsi="Arial" w:cs="Arial"/>
          <w:noProof/>
        </w:rPr>
        <w:drawing>
          <wp:inline distT="0" distB="0" distL="0" distR="0" wp14:anchorId="50089170" wp14:editId="73C0681A">
            <wp:extent cx="2733675" cy="2301240"/>
            <wp:effectExtent l="0" t="0" r="9525" b="3810"/>
            <wp:docPr id="177935926" name="Picture 2" descr="The House of Care Model (NHS England). | Download Scientific Diagram">
              <a:extLst xmlns:a="http://schemas.openxmlformats.org/drawingml/2006/main">
                <a:ext uri="{FF2B5EF4-FFF2-40B4-BE49-F238E27FC236}">
                  <a16:creationId xmlns:a16="http://schemas.microsoft.com/office/drawing/2014/main" id="{2A8DAAAF-3AA1-4473-A088-5569E94BFB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The House of Care Model (NHS England).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3675" cy="2301240"/>
                    </a:xfrm>
                    <a:prstGeom prst="rect">
                      <a:avLst/>
                    </a:prstGeom>
                    <a:noFill/>
                    <a:ln>
                      <a:noFill/>
                    </a:ln>
                  </pic:spPr>
                </pic:pic>
              </a:graphicData>
            </a:graphic>
          </wp:inline>
        </w:drawing>
      </w:r>
    </w:p>
    <w:p w14:paraId="09D66061" w14:textId="77777777" w:rsidR="00DA3546" w:rsidRPr="00EF5909" w:rsidRDefault="00DA3546" w:rsidP="00DA3546">
      <w:pPr>
        <w:spacing w:line="360" w:lineRule="auto"/>
        <w:jc w:val="center"/>
        <w:rPr>
          <w:rFonts w:ascii="Arial" w:hAnsi="Arial" w:cs="Arial"/>
        </w:rPr>
      </w:pPr>
    </w:p>
    <w:p w14:paraId="003C17D9" w14:textId="77777777" w:rsidR="00DA3546" w:rsidRPr="00EF5909" w:rsidRDefault="00DA3546" w:rsidP="00DA3546">
      <w:pPr>
        <w:spacing w:line="360" w:lineRule="auto"/>
        <w:jc w:val="right"/>
        <w:rPr>
          <w:rFonts w:ascii="Arial" w:hAnsi="Arial" w:cs="Arial"/>
        </w:rPr>
      </w:pPr>
      <w:r w:rsidRPr="00EF5909">
        <w:rPr>
          <w:rFonts w:ascii="Arial" w:hAnsi="Arial" w:cs="Arial"/>
        </w:rPr>
        <w:t>(Reidy et al., 2016)</w:t>
      </w:r>
    </w:p>
    <w:p w14:paraId="7BAE6A58" w14:textId="77777777" w:rsidR="00DA3546" w:rsidRDefault="00DA3546" w:rsidP="00EF5909">
      <w:pPr>
        <w:spacing w:line="360" w:lineRule="auto"/>
        <w:rPr>
          <w:rFonts w:ascii="Arial" w:hAnsi="Arial" w:cs="Arial"/>
        </w:rPr>
      </w:pPr>
    </w:p>
    <w:p w14:paraId="39D605B0" w14:textId="4E729C7B" w:rsidR="00661908" w:rsidRPr="00EF5909" w:rsidRDefault="00661908" w:rsidP="00EF5909">
      <w:pPr>
        <w:spacing w:line="360" w:lineRule="auto"/>
        <w:rPr>
          <w:rFonts w:ascii="Arial" w:hAnsi="Arial" w:cs="Arial"/>
        </w:rPr>
      </w:pPr>
      <w:r w:rsidRPr="00EF5909">
        <w:rPr>
          <w:rFonts w:ascii="Arial" w:hAnsi="Arial" w:cs="Arial"/>
        </w:rPr>
        <w:t>The House of Care is a UK framework for supporting personalised care for people with long-term conditions</w:t>
      </w:r>
      <w:r w:rsidR="000E7C46">
        <w:rPr>
          <w:rFonts w:ascii="Arial" w:hAnsi="Arial" w:cs="Arial"/>
        </w:rPr>
        <w:t xml:space="preserve"> such as T2D</w:t>
      </w:r>
      <w:r w:rsidRPr="00EF5909">
        <w:rPr>
          <w:rFonts w:ascii="Arial" w:hAnsi="Arial" w:cs="Arial"/>
        </w:rPr>
        <w:t>. It was developed to encourage people to use more collaborative care planning (Coulter et al., 201</w:t>
      </w:r>
      <w:r w:rsidR="006F7A38" w:rsidRPr="00EF5909">
        <w:rPr>
          <w:rFonts w:ascii="Arial" w:hAnsi="Arial" w:cs="Arial"/>
        </w:rPr>
        <w:t>3</w:t>
      </w:r>
      <w:r w:rsidRPr="00EF5909">
        <w:rPr>
          <w:rFonts w:ascii="Arial" w:hAnsi="Arial" w:cs="Arial"/>
        </w:rPr>
        <w:t>).</w:t>
      </w:r>
      <w:r w:rsidR="006F7A38" w:rsidRPr="00EF5909">
        <w:rPr>
          <w:rFonts w:ascii="Arial" w:hAnsi="Arial" w:cs="Arial"/>
        </w:rPr>
        <w:t xml:space="preserve"> The model represents personalised care as a house. One side represents an engaged and informed person</w:t>
      </w:r>
      <w:r w:rsidR="00CD74F3">
        <w:rPr>
          <w:rFonts w:ascii="Arial" w:hAnsi="Arial" w:cs="Arial"/>
        </w:rPr>
        <w:t xml:space="preserve"> so </w:t>
      </w:r>
      <w:r w:rsidR="001F3124">
        <w:rPr>
          <w:rFonts w:ascii="Arial" w:hAnsi="Arial" w:cs="Arial"/>
        </w:rPr>
        <w:t>giving patients information about T2D</w:t>
      </w:r>
      <w:r w:rsidR="006F7A38" w:rsidRPr="00EF5909">
        <w:rPr>
          <w:rFonts w:ascii="Arial" w:hAnsi="Arial" w:cs="Arial"/>
        </w:rPr>
        <w:t>, while the other represents healthcare professionals committed to partnership working</w:t>
      </w:r>
      <w:r w:rsidR="001F3124">
        <w:rPr>
          <w:rFonts w:ascii="Arial" w:hAnsi="Arial" w:cs="Arial"/>
        </w:rPr>
        <w:t xml:space="preserve"> so professionals working together to listen to the patients needs of T2D.</w:t>
      </w:r>
      <w:r w:rsidR="006F7A38" w:rsidRPr="00EF5909">
        <w:rPr>
          <w:rFonts w:ascii="Arial" w:hAnsi="Arial" w:cs="Arial"/>
        </w:rPr>
        <w:t xml:space="preserve"> The roof represents organisational systems</w:t>
      </w:r>
      <w:r w:rsidR="004B34D2">
        <w:rPr>
          <w:rFonts w:ascii="Arial" w:hAnsi="Arial" w:cs="Arial"/>
        </w:rPr>
        <w:t xml:space="preserve"> where patients have access to diabetes appointments</w:t>
      </w:r>
      <w:r w:rsidR="006F7A38" w:rsidRPr="00EF5909">
        <w:rPr>
          <w:rFonts w:ascii="Arial" w:hAnsi="Arial" w:cs="Arial"/>
        </w:rPr>
        <w:t>, and the foundation includes commissioning and community resources</w:t>
      </w:r>
      <w:r w:rsidR="008D41FB">
        <w:rPr>
          <w:rFonts w:ascii="Arial" w:hAnsi="Arial" w:cs="Arial"/>
        </w:rPr>
        <w:t xml:space="preserve"> </w:t>
      </w:r>
      <w:r w:rsidR="00CF5FBA" w:rsidRPr="00DA3546">
        <w:rPr>
          <w:rFonts w:ascii="Arial" w:hAnsi="Arial" w:cs="Arial"/>
          <w:color w:val="000000" w:themeColor="text1"/>
        </w:rPr>
        <w:t>(</w:t>
      </w:r>
      <w:r w:rsidR="00DA3546" w:rsidRPr="00DA3546">
        <w:rPr>
          <w:rFonts w:ascii="Arial" w:hAnsi="Arial" w:cs="Arial"/>
          <w:color w:val="000000" w:themeColor="text1"/>
        </w:rPr>
        <w:t>Coulter et al., 2013)</w:t>
      </w:r>
      <w:r w:rsidR="004B34D2">
        <w:rPr>
          <w:rFonts w:ascii="Arial" w:hAnsi="Arial" w:cs="Arial"/>
          <w:color w:val="000000" w:themeColor="text1"/>
        </w:rPr>
        <w:t>.</w:t>
      </w:r>
    </w:p>
    <w:p w14:paraId="52C71253" w14:textId="6704075D" w:rsidR="00532233" w:rsidRPr="00EF5909" w:rsidRDefault="006F7A38" w:rsidP="00EF5909">
      <w:pPr>
        <w:spacing w:line="360" w:lineRule="auto"/>
        <w:rPr>
          <w:rFonts w:ascii="Arial" w:hAnsi="Arial" w:cs="Arial"/>
        </w:rPr>
      </w:pPr>
      <w:r w:rsidRPr="00EF5909">
        <w:rPr>
          <w:rFonts w:ascii="Arial" w:hAnsi="Arial" w:cs="Arial"/>
        </w:rPr>
        <w:t xml:space="preserve">A major strength is its emphasis on the patient as an active partner. For T2D, this is appropriate because most of the management takes place in everyday life rather than during GP appointments (van Smoorenburg et al., 2019). A person can therefore contribute </w:t>
      </w:r>
      <w:r w:rsidRPr="00EF5909">
        <w:rPr>
          <w:rFonts w:ascii="Arial" w:hAnsi="Arial" w:cs="Arial"/>
        </w:rPr>
        <w:lastRenderedPageBreak/>
        <w:t>important knowledge about their lifestyle, priorities and barriers. Moreover, the model supports shared decision-making. Instead of providing identical advice to everyone, professionals can negotiate achievable goals</w:t>
      </w:r>
      <w:r w:rsidR="00DD1A6D" w:rsidRPr="00EF5909">
        <w:rPr>
          <w:rFonts w:ascii="Arial" w:hAnsi="Arial" w:cs="Arial"/>
        </w:rPr>
        <w:t xml:space="preserve"> (Coulter and Oldham, 2016). </w:t>
      </w:r>
      <w:r w:rsidRPr="00EF5909">
        <w:rPr>
          <w:rFonts w:ascii="Arial" w:hAnsi="Arial" w:cs="Arial"/>
        </w:rPr>
        <w:t xml:space="preserve"> For instance, physical activity goals can be </w:t>
      </w:r>
      <w:r w:rsidR="00DD1A6D" w:rsidRPr="00EF5909">
        <w:rPr>
          <w:rFonts w:ascii="Arial" w:hAnsi="Arial" w:cs="Arial"/>
        </w:rPr>
        <w:t xml:space="preserve">adapted around disability, employment and caring responsibilities. </w:t>
      </w:r>
    </w:p>
    <w:p w14:paraId="533DD372" w14:textId="01AF6E1C" w:rsidR="00DD1A6D" w:rsidRPr="00EF5909" w:rsidRDefault="00DD1A6D" w:rsidP="00EF5909">
      <w:pPr>
        <w:spacing w:line="360" w:lineRule="auto"/>
        <w:rPr>
          <w:rFonts w:ascii="Arial" w:hAnsi="Arial" w:cs="Arial"/>
        </w:rPr>
      </w:pPr>
      <w:r w:rsidRPr="00EF5909">
        <w:rPr>
          <w:rFonts w:ascii="Arial" w:hAnsi="Arial" w:cs="Arial"/>
        </w:rPr>
        <w:t>However, the model can be challenging to implement if healthcare professionals have limited time, inadequate training or insufficient resources</w:t>
      </w:r>
      <w:r w:rsidR="00532233" w:rsidRPr="00EF5909">
        <w:rPr>
          <w:rFonts w:ascii="Arial" w:hAnsi="Arial" w:cs="Arial"/>
        </w:rPr>
        <w:t xml:space="preserve"> (Richter et al., 2022). Successful implementation requires organisational support and accessible community services.</w:t>
      </w:r>
    </w:p>
    <w:p w14:paraId="05A7853A" w14:textId="73365CD3" w:rsidR="00532233" w:rsidRPr="00EF5909" w:rsidRDefault="00532233" w:rsidP="00B23A46">
      <w:pPr>
        <w:pStyle w:val="Heading9"/>
      </w:pPr>
    </w:p>
    <w:p w14:paraId="55F85F4D" w14:textId="6CD6200C" w:rsidR="00532233" w:rsidRDefault="00532233" w:rsidP="00B23A46">
      <w:pPr>
        <w:pStyle w:val="Heading9"/>
        <w:rPr>
          <w:rFonts w:ascii="Arial" w:hAnsi="Arial" w:cs="Arial"/>
          <w:b/>
          <w:bCs/>
          <w:sz w:val="28"/>
          <w:szCs w:val="28"/>
        </w:rPr>
      </w:pPr>
      <w:bookmarkStart w:id="12" w:name="_Toc243590759"/>
      <w:r w:rsidRPr="001B5A14">
        <w:rPr>
          <w:rFonts w:ascii="Arial" w:hAnsi="Arial" w:cs="Arial"/>
          <w:b/>
          <w:bCs/>
          <w:sz w:val="28"/>
          <w:szCs w:val="28"/>
        </w:rPr>
        <w:t>International model- Chronic Care Model</w:t>
      </w:r>
      <w:bookmarkEnd w:id="12"/>
    </w:p>
    <w:p w14:paraId="3DB5D2A3" w14:textId="77777777" w:rsidR="001B5A14" w:rsidRDefault="001B5A14" w:rsidP="001B5A14"/>
    <w:p w14:paraId="4C0CD4B1" w14:textId="77777777" w:rsidR="00DA3546" w:rsidRDefault="00DA3546" w:rsidP="001B5A14"/>
    <w:p w14:paraId="2C673D0B" w14:textId="71D8DA49" w:rsidR="00DA3546" w:rsidRDefault="00DA3546" w:rsidP="001B5A14">
      <w:r w:rsidRPr="00EF5909">
        <w:rPr>
          <w:rFonts w:ascii="Arial" w:hAnsi="Arial" w:cs="Arial"/>
          <w:noProof/>
        </w:rPr>
        <w:drawing>
          <wp:inline distT="0" distB="0" distL="0" distR="0" wp14:anchorId="273B1011" wp14:editId="6C6E38EE">
            <wp:extent cx="5731510" cy="3931285"/>
            <wp:effectExtent l="0" t="0" r="2540" b="0"/>
            <wp:docPr id="1629760025" name="Picture 4" descr="The Chronic Care Model. Developed by the MacColl Institute, © ACP-JSIM Journals and Books, reprinted with permission from ACP-ASIM Journals and Books. ">
              <a:extLst xmlns:a="http://schemas.openxmlformats.org/drawingml/2006/main">
                <a:ext uri="{FF2B5EF4-FFF2-40B4-BE49-F238E27FC236}">
                  <a16:creationId xmlns:a16="http://schemas.microsoft.com/office/drawing/2014/main" id="{157F9ED9-472B-4FF0-B966-B6200E36CD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The Chronic Care Model. Developed by the MacColl Institute, © ACP-JSIM Journals and Books, reprinted with permission from ACP-ASIM Journals and Book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31285"/>
                    </a:xfrm>
                    <a:prstGeom prst="rect">
                      <a:avLst/>
                    </a:prstGeom>
                    <a:noFill/>
                    <a:ln>
                      <a:noFill/>
                    </a:ln>
                  </pic:spPr>
                </pic:pic>
              </a:graphicData>
            </a:graphic>
          </wp:inline>
        </w:drawing>
      </w:r>
    </w:p>
    <w:p w14:paraId="6278C4E9" w14:textId="77777777" w:rsidR="00DA3546" w:rsidRPr="00EF5909" w:rsidRDefault="00DA3546" w:rsidP="00DA3546">
      <w:pPr>
        <w:spacing w:line="360" w:lineRule="auto"/>
        <w:jc w:val="right"/>
        <w:rPr>
          <w:rFonts w:ascii="Arial" w:hAnsi="Arial" w:cs="Arial"/>
        </w:rPr>
      </w:pPr>
      <w:r w:rsidRPr="00EF5909">
        <w:rPr>
          <w:rFonts w:ascii="Arial" w:hAnsi="Arial" w:cs="Arial"/>
        </w:rPr>
        <w:t>(Gee et al., 2015)</w:t>
      </w:r>
    </w:p>
    <w:p w14:paraId="2C1885CC" w14:textId="77777777" w:rsidR="00DA3546" w:rsidRDefault="00DA3546" w:rsidP="001B5A14"/>
    <w:p w14:paraId="45CDE9E3" w14:textId="7670F2AD" w:rsidR="00DD1A6D" w:rsidRPr="00EF5909" w:rsidRDefault="00532233" w:rsidP="00EF5909">
      <w:pPr>
        <w:spacing w:line="360" w:lineRule="auto"/>
        <w:rPr>
          <w:rFonts w:ascii="Arial" w:hAnsi="Arial" w:cs="Arial"/>
        </w:rPr>
      </w:pPr>
      <w:r w:rsidRPr="00EF5909">
        <w:rPr>
          <w:rFonts w:ascii="Arial" w:hAnsi="Arial" w:cs="Arial"/>
        </w:rPr>
        <w:t>The Chronic Care Model (CCM) was developed internationally to improve the management of chronic illness. It includes six main components: healthcare organisation, community resources</w:t>
      </w:r>
      <w:r w:rsidR="00F11BDF">
        <w:rPr>
          <w:rFonts w:ascii="Arial" w:hAnsi="Arial" w:cs="Arial"/>
        </w:rPr>
        <w:t xml:space="preserve"> where you connect patients with diabetes education and support services</w:t>
      </w:r>
      <w:r w:rsidRPr="00EF5909">
        <w:rPr>
          <w:rFonts w:ascii="Arial" w:hAnsi="Arial" w:cs="Arial"/>
        </w:rPr>
        <w:t>, self-management support</w:t>
      </w:r>
      <w:r w:rsidR="005D7E40">
        <w:rPr>
          <w:rFonts w:ascii="Arial" w:hAnsi="Arial" w:cs="Arial"/>
        </w:rPr>
        <w:t xml:space="preserve"> where you educate patients about managing diabetes</w:t>
      </w:r>
      <w:r w:rsidR="003A13CE">
        <w:rPr>
          <w:rFonts w:ascii="Arial" w:hAnsi="Arial" w:cs="Arial"/>
        </w:rPr>
        <w:t xml:space="preserve"> through diet and </w:t>
      </w:r>
      <w:r w:rsidR="003A13CE">
        <w:rPr>
          <w:rFonts w:ascii="Arial" w:hAnsi="Arial" w:cs="Arial"/>
        </w:rPr>
        <w:lastRenderedPageBreak/>
        <w:t>exercise</w:t>
      </w:r>
      <w:r w:rsidRPr="00EF5909">
        <w:rPr>
          <w:rFonts w:ascii="Arial" w:hAnsi="Arial" w:cs="Arial"/>
        </w:rPr>
        <w:t>, delivery-system design, decision support and clinical information systems</w:t>
      </w:r>
      <w:r w:rsidR="003A13CE">
        <w:rPr>
          <w:rFonts w:ascii="Arial" w:hAnsi="Arial" w:cs="Arial"/>
        </w:rPr>
        <w:t xml:space="preserve"> where you use patient records to monitor </w:t>
      </w:r>
      <w:r w:rsidR="00F11BDF">
        <w:rPr>
          <w:rFonts w:ascii="Arial" w:hAnsi="Arial" w:cs="Arial"/>
        </w:rPr>
        <w:t>blood glucose levels.</w:t>
      </w:r>
      <w:r w:rsidRPr="00EF5909">
        <w:rPr>
          <w:rFonts w:ascii="Arial" w:hAnsi="Arial" w:cs="Arial"/>
        </w:rPr>
        <w:t xml:space="preserve"> (</w:t>
      </w:r>
      <w:r w:rsidR="00331EA6" w:rsidRPr="00EF5909">
        <w:rPr>
          <w:rFonts w:ascii="Arial" w:hAnsi="Arial" w:cs="Arial"/>
        </w:rPr>
        <w:t>Yeoh et al., 2018). The CCM aims to create productive interactions between informed and activated patients and prepared healthcare teams. For T2D, this means patients receive education and support while professionals use evidence-based guidance and coordinated systems. (Coleman et al., 2019).</w:t>
      </w:r>
    </w:p>
    <w:p w14:paraId="66030A8E" w14:textId="26C2FB3A" w:rsidR="00516B93" w:rsidRPr="00EF5909" w:rsidRDefault="00331EA6" w:rsidP="00EF5909">
      <w:pPr>
        <w:spacing w:line="360" w:lineRule="auto"/>
        <w:rPr>
          <w:rFonts w:ascii="Arial" w:hAnsi="Arial" w:cs="Arial"/>
        </w:rPr>
      </w:pPr>
      <w:r w:rsidRPr="00EF5909">
        <w:rPr>
          <w:rFonts w:ascii="Arial" w:hAnsi="Arial" w:cs="Arial"/>
        </w:rPr>
        <w:t xml:space="preserve">Empirical evidence supports the CCM. Goh et al. (2022) published a systematic review and meta-analysis of 17 studies involving 16,845 adults with T2D </w:t>
      </w:r>
      <w:r w:rsidR="00516B93" w:rsidRPr="00EF5909">
        <w:rPr>
          <w:rFonts w:ascii="Arial" w:hAnsi="Arial" w:cs="Arial"/>
        </w:rPr>
        <w:t xml:space="preserve">that </w:t>
      </w:r>
      <w:r w:rsidRPr="00EF5909">
        <w:rPr>
          <w:rFonts w:ascii="Arial" w:hAnsi="Arial" w:cs="Arial"/>
        </w:rPr>
        <w:t>found that CCM interventions significantly improved HbA1c compared with usual care as well reductions in systolic and diastolic blood pressure.</w:t>
      </w:r>
      <w:r w:rsidR="00516B93" w:rsidRPr="00EF5909">
        <w:rPr>
          <w:rFonts w:ascii="Arial" w:hAnsi="Arial" w:cs="Arial"/>
        </w:rPr>
        <w:t xml:space="preserve"> However, the evidence shows limitations. The interventions differed in the number and combination of CCM components used (Goh et al., 2022). It is difficult to identify which individual component produces the greatest benefit.</w:t>
      </w:r>
    </w:p>
    <w:p w14:paraId="49752D61" w14:textId="16AF0D2C" w:rsidR="00516B93" w:rsidRPr="00EF5909" w:rsidRDefault="00516B93" w:rsidP="00EF5909">
      <w:pPr>
        <w:spacing w:line="360" w:lineRule="auto"/>
        <w:rPr>
          <w:rFonts w:ascii="Arial" w:hAnsi="Arial" w:cs="Arial"/>
        </w:rPr>
      </w:pPr>
      <w:r w:rsidRPr="00EF5909">
        <w:rPr>
          <w:rFonts w:ascii="Arial" w:hAnsi="Arial" w:cs="Arial"/>
        </w:rPr>
        <w:t>The House of Care and CCM share important principles, but the House of Care provides a particularly useful UK framework for personalised care, while the CCM provides a broader systems approach. Combining their principles could support both individual empowerment and organisational change.</w:t>
      </w:r>
    </w:p>
    <w:p w14:paraId="50947432" w14:textId="77777777" w:rsidR="00516B93" w:rsidRPr="00EF5909" w:rsidRDefault="00516B93" w:rsidP="00EF5909">
      <w:pPr>
        <w:spacing w:line="360" w:lineRule="auto"/>
        <w:rPr>
          <w:rFonts w:ascii="Arial" w:hAnsi="Arial" w:cs="Arial"/>
          <w:b/>
          <w:bCs/>
        </w:rPr>
      </w:pPr>
    </w:p>
    <w:p w14:paraId="20302CDA" w14:textId="1E381D3A" w:rsidR="00516B93" w:rsidRDefault="00516B93" w:rsidP="00B23A46">
      <w:pPr>
        <w:pStyle w:val="Heading9"/>
        <w:rPr>
          <w:rFonts w:ascii="Arial" w:hAnsi="Arial" w:cs="Arial"/>
          <w:b/>
          <w:bCs/>
          <w:color w:val="auto"/>
          <w:sz w:val="28"/>
          <w:szCs w:val="28"/>
        </w:rPr>
      </w:pPr>
      <w:bookmarkStart w:id="13" w:name="_Toc243590760"/>
      <w:r w:rsidRPr="001B5A14">
        <w:rPr>
          <w:rFonts w:ascii="Arial" w:hAnsi="Arial" w:cs="Arial"/>
          <w:b/>
          <w:bCs/>
          <w:color w:val="auto"/>
          <w:sz w:val="28"/>
          <w:szCs w:val="28"/>
        </w:rPr>
        <w:t>Local health and social care agenda</w:t>
      </w:r>
      <w:bookmarkEnd w:id="13"/>
    </w:p>
    <w:p w14:paraId="170F8D56" w14:textId="77777777" w:rsidR="001B5A14" w:rsidRPr="001B5A14" w:rsidRDefault="001B5A14" w:rsidP="001B5A14"/>
    <w:p w14:paraId="205D017C" w14:textId="69C77583" w:rsidR="00532233" w:rsidRPr="00EF5909" w:rsidRDefault="005B1C6E" w:rsidP="00EF5909">
      <w:pPr>
        <w:spacing w:line="360" w:lineRule="auto"/>
        <w:rPr>
          <w:rFonts w:ascii="Arial" w:hAnsi="Arial" w:cs="Arial"/>
        </w:rPr>
      </w:pPr>
      <w:r w:rsidRPr="00EF5909">
        <w:rPr>
          <w:rFonts w:ascii="Arial" w:hAnsi="Arial" w:cs="Arial"/>
        </w:rPr>
        <w:t xml:space="preserve">Local action is essential because health is influenced by the environments in which people live. Birmingham’s </w:t>
      </w:r>
      <w:r w:rsidRPr="00EF5909">
        <w:rPr>
          <w:rFonts w:ascii="Arial" w:hAnsi="Arial" w:cs="Arial"/>
          <w:i/>
          <w:iCs/>
        </w:rPr>
        <w:t>Creating a Bolder, Healthier City 2022-2030</w:t>
      </w:r>
      <w:r w:rsidRPr="00EF5909">
        <w:rPr>
          <w:rFonts w:ascii="Arial" w:hAnsi="Arial" w:cs="Arial"/>
        </w:rPr>
        <w:t xml:space="preserve"> strategy identifies reducing health inequalities and “Closing the Gap” as central priorities (Birmingham City Council, 2023). This is highly relevant to T2D as diabetes prevalence and risk are linked with deprivation, ethnicity, food access. </w:t>
      </w:r>
    </w:p>
    <w:p w14:paraId="1B6E0F3E" w14:textId="64D8E173" w:rsidR="0020632C" w:rsidRPr="00EF5909" w:rsidRDefault="005B1C6E" w:rsidP="00EF5909">
      <w:pPr>
        <w:spacing w:line="360" w:lineRule="auto"/>
        <w:rPr>
          <w:rFonts w:ascii="Arial" w:hAnsi="Arial" w:cs="Arial"/>
        </w:rPr>
      </w:pPr>
      <w:r w:rsidRPr="00EF5909">
        <w:rPr>
          <w:rFonts w:ascii="Arial" w:hAnsi="Arial" w:cs="Arial"/>
        </w:rPr>
        <w:t>A local approach should therefore include community-based prevention, culturally appropriate education, accessible weight-management programmes, physical activity opportunities and social prescribing.</w:t>
      </w:r>
    </w:p>
    <w:p w14:paraId="18845E57" w14:textId="0846FD7E" w:rsidR="0020632C" w:rsidRPr="00EF5909" w:rsidRDefault="0020632C" w:rsidP="00EF5909">
      <w:pPr>
        <w:spacing w:line="360" w:lineRule="auto"/>
        <w:rPr>
          <w:rFonts w:ascii="Arial" w:hAnsi="Arial" w:cs="Arial"/>
        </w:rPr>
      </w:pPr>
      <w:r w:rsidRPr="00EF5909">
        <w:rPr>
          <w:rFonts w:ascii="Arial" w:hAnsi="Arial" w:cs="Arial"/>
        </w:rPr>
        <w:t xml:space="preserve">Community organisations have an important role in reaching groups who may not engage with traditional healthcare. Community pharmacies, voluntary organisations and cultural organisations could support education and prevention while maintaining clinical links with primary care (Urionagüena et al., 2024). However, local strategies can experience barriers like workforce funding and funding constraints. </w:t>
      </w:r>
    </w:p>
    <w:p w14:paraId="34235D2D" w14:textId="6DD01492" w:rsidR="0020632C" w:rsidRDefault="0020632C" w:rsidP="00B23A46">
      <w:pPr>
        <w:pStyle w:val="Heading9"/>
        <w:rPr>
          <w:rFonts w:ascii="Arial" w:hAnsi="Arial" w:cs="Arial"/>
          <w:b/>
          <w:bCs/>
          <w:color w:val="auto"/>
          <w:sz w:val="28"/>
          <w:szCs w:val="28"/>
        </w:rPr>
      </w:pPr>
      <w:bookmarkStart w:id="14" w:name="_Toc243590761"/>
      <w:r w:rsidRPr="001B5A14">
        <w:rPr>
          <w:rFonts w:ascii="Arial" w:hAnsi="Arial" w:cs="Arial"/>
          <w:b/>
          <w:bCs/>
          <w:color w:val="auto"/>
          <w:sz w:val="28"/>
          <w:szCs w:val="28"/>
        </w:rPr>
        <w:t>National political and health agendas</w:t>
      </w:r>
      <w:bookmarkEnd w:id="14"/>
    </w:p>
    <w:p w14:paraId="4127DB35" w14:textId="77777777" w:rsidR="001B5A14" w:rsidRPr="001B5A14" w:rsidRDefault="001B5A14" w:rsidP="001B5A14"/>
    <w:p w14:paraId="777B27D6" w14:textId="4E1E89A1" w:rsidR="0020632C" w:rsidRPr="00EF5909" w:rsidRDefault="0020632C" w:rsidP="00EF5909">
      <w:pPr>
        <w:spacing w:line="360" w:lineRule="auto"/>
        <w:rPr>
          <w:rFonts w:ascii="Arial" w:hAnsi="Arial" w:cs="Arial"/>
        </w:rPr>
      </w:pPr>
      <w:r w:rsidRPr="00EF5909">
        <w:rPr>
          <w:rFonts w:ascii="Arial" w:hAnsi="Arial" w:cs="Arial"/>
        </w:rPr>
        <w:lastRenderedPageBreak/>
        <w:t xml:space="preserve">National health policy in England emphasises prevention, personalised care, community-based services and digital transformation. The </w:t>
      </w:r>
      <w:r w:rsidR="004A23CE" w:rsidRPr="00EF5909">
        <w:rPr>
          <w:rFonts w:ascii="Arial" w:hAnsi="Arial" w:cs="Arial"/>
        </w:rPr>
        <w:t>10-year</w:t>
      </w:r>
      <w:r w:rsidRPr="00EF5909">
        <w:rPr>
          <w:rFonts w:ascii="Arial" w:hAnsi="Arial" w:cs="Arial"/>
        </w:rPr>
        <w:t xml:space="preserve"> health plan for England, identifies three major shifts: hospital to community, analogue to digital</w:t>
      </w:r>
      <w:r w:rsidR="004A23CE" w:rsidRPr="00EF5909">
        <w:rPr>
          <w:rFonts w:ascii="Arial" w:hAnsi="Arial" w:cs="Arial"/>
        </w:rPr>
        <w:t>, and sickness to prevention (Department of Health and Social Care, 2025). These are relevant to T2D as moving care closer to communities could improve accessibility and enable earlier interventions. Digital tools may help people manage appointments and communicate with services (Heald et al., 2023). However, digital transformation also indicates a potential inequality. Those without internet access, smartphones, digital skills may be disadvantaged (Holmes and Burgess, 2022). Digital care should complement rather than completely replace face-to-face services.</w:t>
      </w:r>
    </w:p>
    <w:p w14:paraId="65CA7258" w14:textId="05A139DE" w:rsidR="00540A73" w:rsidRPr="00EF5909" w:rsidRDefault="00540A73" w:rsidP="00EF5909">
      <w:pPr>
        <w:spacing w:line="360" w:lineRule="auto"/>
        <w:rPr>
          <w:rFonts w:ascii="Arial" w:hAnsi="Arial" w:cs="Arial"/>
        </w:rPr>
      </w:pPr>
      <w:r w:rsidRPr="00EF5909">
        <w:rPr>
          <w:rFonts w:ascii="Arial" w:hAnsi="Arial" w:cs="Arial"/>
        </w:rPr>
        <w:t xml:space="preserve">The NHS Diabetes Prevention Programme is another important national initiative. It identifies people at high risk of developing T2D and offers a structured lifestyle-change programme. NHS England reports a 37% relative reduction in diabetes incidence among programme completers (NHS England, 2025). </w:t>
      </w:r>
    </w:p>
    <w:p w14:paraId="54A74A57" w14:textId="35166C89" w:rsidR="00540A73" w:rsidRPr="00EF5909" w:rsidRDefault="00540A73" w:rsidP="00EF5909">
      <w:pPr>
        <w:spacing w:line="360" w:lineRule="auto"/>
        <w:rPr>
          <w:rFonts w:ascii="Arial" w:hAnsi="Arial" w:cs="Arial"/>
        </w:rPr>
      </w:pPr>
      <w:r w:rsidRPr="00EF5909">
        <w:rPr>
          <w:rFonts w:ascii="Arial" w:hAnsi="Arial" w:cs="Arial"/>
        </w:rPr>
        <w:t>The critical issue of national policies is implementation. National policy can establish standards, but local services determine whether people can access those standards. Thereby, national policy should be implemented alongside strong monitoring of inequalities and patient experience.</w:t>
      </w:r>
    </w:p>
    <w:p w14:paraId="3B90F4E1" w14:textId="77777777" w:rsidR="00540A73" w:rsidRPr="001B5A14" w:rsidRDefault="00540A73" w:rsidP="00EF5909">
      <w:pPr>
        <w:spacing w:line="360" w:lineRule="auto"/>
        <w:rPr>
          <w:rFonts w:ascii="Arial" w:hAnsi="Arial" w:cs="Arial"/>
          <w:b/>
          <w:bCs/>
          <w:sz w:val="28"/>
          <w:szCs w:val="28"/>
        </w:rPr>
      </w:pPr>
    </w:p>
    <w:p w14:paraId="3753D9C9" w14:textId="403D6CA7" w:rsidR="00540A73" w:rsidRDefault="00540A73" w:rsidP="00B23A46">
      <w:pPr>
        <w:pStyle w:val="Heading9"/>
        <w:rPr>
          <w:rFonts w:ascii="Arial" w:hAnsi="Arial" w:cs="Arial"/>
          <w:b/>
          <w:bCs/>
          <w:sz w:val="28"/>
          <w:szCs w:val="28"/>
        </w:rPr>
      </w:pPr>
      <w:bookmarkStart w:id="15" w:name="_Toc243590762"/>
      <w:r w:rsidRPr="001B5A14">
        <w:rPr>
          <w:rFonts w:ascii="Arial" w:hAnsi="Arial" w:cs="Arial"/>
          <w:b/>
          <w:bCs/>
          <w:sz w:val="28"/>
          <w:szCs w:val="28"/>
        </w:rPr>
        <w:t>Person-Centred care</w:t>
      </w:r>
      <w:bookmarkEnd w:id="15"/>
    </w:p>
    <w:p w14:paraId="03A2C669" w14:textId="77777777" w:rsidR="001B5A14" w:rsidRPr="001B5A14" w:rsidRDefault="001B5A14" w:rsidP="001B5A14"/>
    <w:p w14:paraId="6B71FBD0" w14:textId="123DA09D" w:rsidR="0008323A" w:rsidRPr="00EF5909" w:rsidRDefault="00D3294A" w:rsidP="00EF5909">
      <w:pPr>
        <w:spacing w:line="360" w:lineRule="auto"/>
        <w:rPr>
          <w:rFonts w:ascii="Arial" w:hAnsi="Arial" w:cs="Arial"/>
        </w:rPr>
      </w:pPr>
      <w:r w:rsidRPr="00EF5909">
        <w:rPr>
          <w:rFonts w:ascii="Arial" w:hAnsi="Arial" w:cs="Arial"/>
        </w:rPr>
        <w:t xml:space="preserve">Person-centred care means treating the person as an active partner rather than simply a recipient of professional treatment. For T2D, this requires consideration of physical health, mental wellbeing, social circumstances, culture and personal priorities (Coulter, 2016). Shared decision-making is important when selecting medication and agreeing HbA1c targets. NICE (2015) recommends that treatment targets should be discussed and agreed with the individual. Dietary advice should consider cultural foods and family practices. Communication should be adapted for language and health-literacy </w:t>
      </w:r>
      <w:r w:rsidR="00685D20" w:rsidRPr="00EF5909">
        <w:rPr>
          <w:rFonts w:ascii="Arial" w:hAnsi="Arial" w:cs="Arial"/>
        </w:rPr>
        <w:t>needs. Person</w:t>
      </w:r>
      <w:r w:rsidR="00F4572F" w:rsidRPr="00EF5909">
        <w:rPr>
          <w:rFonts w:ascii="Arial" w:hAnsi="Arial" w:cs="Arial"/>
        </w:rPr>
        <w:t>-centred care respects autonomy, with family involvement based on the individual’s consent (Entwistle et al., 2020). However, limited consultation time can restrict genuine personalisation, which requires organisational support and continuity of care (Anis-Syakira et al., 2026).</w:t>
      </w:r>
    </w:p>
    <w:p w14:paraId="4BAD9944" w14:textId="123DA09D" w:rsidR="0008323A" w:rsidRDefault="0008323A" w:rsidP="00B23A46">
      <w:pPr>
        <w:pStyle w:val="Heading9"/>
        <w:rPr>
          <w:rFonts w:ascii="Arial" w:hAnsi="Arial" w:cs="Arial"/>
          <w:b/>
          <w:bCs/>
          <w:color w:val="auto"/>
          <w:sz w:val="28"/>
          <w:szCs w:val="28"/>
        </w:rPr>
      </w:pPr>
      <w:bookmarkStart w:id="16" w:name="_Toc243590763"/>
      <w:r w:rsidRPr="001B5A14">
        <w:rPr>
          <w:rFonts w:ascii="Arial" w:hAnsi="Arial" w:cs="Arial"/>
          <w:b/>
          <w:bCs/>
          <w:color w:val="auto"/>
          <w:sz w:val="28"/>
          <w:szCs w:val="28"/>
        </w:rPr>
        <w:t>Self-management</w:t>
      </w:r>
      <w:bookmarkEnd w:id="16"/>
    </w:p>
    <w:p w14:paraId="6DCD8594" w14:textId="77777777" w:rsidR="001B5A14" w:rsidRPr="001B5A14" w:rsidRDefault="001B5A14" w:rsidP="001B5A14"/>
    <w:p w14:paraId="6A64B77F" w14:textId="29726A39" w:rsidR="0008323A" w:rsidRPr="00EF5909" w:rsidRDefault="0008323A" w:rsidP="00EF5909">
      <w:pPr>
        <w:spacing w:line="360" w:lineRule="auto"/>
        <w:rPr>
          <w:rFonts w:ascii="Arial" w:hAnsi="Arial" w:cs="Arial"/>
        </w:rPr>
      </w:pPr>
      <w:r w:rsidRPr="00EF5909">
        <w:rPr>
          <w:rFonts w:ascii="Arial" w:hAnsi="Arial" w:cs="Arial"/>
        </w:rPr>
        <w:lastRenderedPageBreak/>
        <w:t>Self-management is fundamental to T2D as individuals manage their condition every day. Important behaviours include healthy eating, physical activity, medication adherence, weight management (Puzhakkal et al., 2025). However, self-management should not mean that people are expected to manage T2D alone. Supported self-management involves education and professional advice.</w:t>
      </w:r>
    </w:p>
    <w:p w14:paraId="35669699" w14:textId="34C45CE5" w:rsidR="0008323A" w:rsidRPr="00EF5909" w:rsidRDefault="0008323A" w:rsidP="00EF5909">
      <w:pPr>
        <w:spacing w:line="360" w:lineRule="auto"/>
        <w:rPr>
          <w:rFonts w:ascii="Arial" w:hAnsi="Arial" w:cs="Arial"/>
        </w:rPr>
      </w:pPr>
      <w:r w:rsidRPr="00EF5909">
        <w:rPr>
          <w:rFonts w:ascii="Arial" w:hAnsi="Arial" w:cs="Arial"/>
        </w:rPr>
        <w:t>Structured education increases knowledge and confidence, while peer support may offer practical and emotional encouragement. NHS England identifies structured education as a key diabetes intervention as it supports people and families to develop skills for managing diabetes</w:t>
      </w:r>
      <w:r w:rsidR="00797766" w:rsidRPr="00EF5909">
        <w:rPr>
          <w:rFonts w:ascii="Arial" w:hAnsi="Arial" w:cs="Arial"/>
        </w:rPr>
        <w:t xml:space="preserve"> (Structured education for T2D</w:t>
      </w:r>
      <w:r w:rsidR="00797766" w:rsidRPr="00DA3546">
        <w:rPr>
          <w:rFonts w:ascii="Arial" w:hAnsi="Arial" w:cs="Arial"/>
          <w:color w:val="000000" w:themeColor="text1"/>
        </w:rPr>
        <w:t xml:space="preserve">, </w:t>
      </w:r>
      <w:r w:rsidR="00DA3546" w:rsidRPr="00DA3546">
        <w:rPr>
          <w:rFonts w:ascii="Arial" w:hAnsi="Arial" w:cs="Arial"/>
          <w:color w:val="000000" w:themeColor="text1"/>
        </w:rPr>
        <w:t>2021</w:t>
      </w:r>
      <w:r w:rsidR="00797766" w:rsidRPr="00DA3546">
        <w:rPr>
          <w:rFonts w:ascii="Arial" w:hAnsi="Arial" w:cs="Arial"/>
          <w:color w:val="000000" w:themeColor="text1"/>
        </w:rPr>
        <w:t>)</w:t>
      </w:r>
      <w:r w:rsidR="00371E5F">
        <w:rPr>
          <w:rFonts w:ascii="Arial" w:hAnsi="Arial" w:cs="Arial"/>
          <w:color w:val="000000" w:themeColor="text1"/>
        </w:rPr>
        <w:t>.</w:t>
      </w:r>
    </w:p>
    <w:p w14:paraId="0CA8BF50" w14:textId="6FBEB6D3" w:rsidR="0008323A" w:rsidRPr="00EF5909" w:rsidRDefault="00797766" w:rsidP="00EF5909">
      <w:pPr>
        <w:spacing w:line="360" w:lineRule="auto"/>
        <w:rPr>
          <w:rFonts w:ascii="Arial" w:hAnsi="Arial" w:cs="Arial"/>
        </w:rPr>
      </w:pPr>
      <w:r w:rsidRPr="00EF5909">
        <w:rPr>
          <w:rFonts w:ascii="Arial" w:hAnsi="Arial" w:cs="Arial"/>
        </w:rPr>
        <w:t>Digital tools may provide reminders and educational information, but digital exclusion is a barrier to services. Self-management should be understood as a partnership between the person, healthcare professionals, and family resources.</w:t>
      </w:r>
    </w:p>
    <w:p w14:paraId="6EF67122" w14:textId="68C17D74" w:rsidR="0008323A" w:rsidRPr="001B5A14" w:rsidRDefault="0008323A" w:rsidP="00EF5909">
      <w:pPr>
        <w:spacing w:line="360" w:lineRule="auto"/>
        <w:rPr>
          <w:rFonts w:ascii="Arial" w:hAnsi="Arial" w:cs="Arial"/>
          <w:b/>
          <w:bCs/>
          <w:sz w:val="28"/>
          <w:szCs w:val="28"/>
        </w:rPr>
      </w:pPr>
    </w:p>
    <w:p w14:paraId="2388D8E0" w14:textId="18C8A858" w:rsidR="0008323A" w:rsidRDefault="00797766" w:rsidP="00B23A46">
      <w:pPr>
        <w:pStyle w:val="Heading9"/>
        <w:rPr>
          <w:rFonts w:ascii="Arial" w:hAnsi="Arial" w:cs="Arial"/>
          <w:b/>
          <w:bCs/>
          <w:color w:val="auto"/>
          <w:sz w:val="28"/>
          <w:szCs w:val="28"/>
        </w:rPr>
      </w:pPr>
      <w:bookmarkStart w:id="17" w:name="_Toc243590764"/>
      <w:r w:rsidRPr="001B5A14">
        <w:rPr>
          <w:rFonts w:ascii="Arial" w:hAnsi="Arial" w:cs="Arial"/>
          <w:b/>
          <w:bCs/>
          <w:color w:val="auto"/>
          <w:sz w:val="28"/>
          <w:szCs w:val="28"/>
        </w:rPr>
        <w:t>End-of-life care</w:t>
      </w:r>
      <w:bookmarkEnd w:id="17"/>
    </w:p>
    <w:p w14:paraId="394354BF" w14:textId="77777777" w:rsidR="001B5A14" w:rsidRPr="001B5A14" w:rsidRDefault="001B5A14" w:rsidP="001B5A14"/>
    <w:p w14:paraId="5ED67CD2" w14:textId="3A11B0CF" w:rsidR="00797766" w:rsidRPr="00EF5909" w:rsidRDefault="00797766" w:rsidP="00EF5909">
      <w:pPr>
        <w:spacing w:line="360" w:lineRule="auto"/>
        <w:rPr>
          <w:rFonts w:ascii="Arial" w:hAnsi="Arial" w:cs="Arial"/>
        </w:rPr>
      </w:pPr>
      <w:r w:rsidRPr="00EF5909">
        <w:rPr>
          <w:rFonts w:ascii="Arial" w:hAnsi="Arial" w:cs="Arial"/>
        </w:rPr>
        <w:t>Although T2D can often be managed for many years, some people eventually develop advanced complications or other serious illnesses requiring palliative and end-of-life care (Dunning, 2020). Treatment priorities may change where the focus moves from preventing long-term complications towards comfort and quality of life. Strict glucose targets may no longer provide meaningful benefit and could create unnecessary treatment burden or hypoglycaemia.</w:t>
      </w:r>
    </w:p>
    <w:p w14:paraId="399BD189" w14:textId="7E5F0A53" w:rsidR="00797766" w:rsidRPr="00EF5909" w:rsidRDefault="00A728FE" w:rsidP="00EF5909">
      <w:pPr>
        <w:spacing w:line="360" w:lineRule="auto"/>
        <w:rPr>
          <w:rFonts w:ascii="Arial" w:hAnsi="Arial" w:cs="Arial"/>
        </w:rPr>
      </w:pPr>
      <w:r w:rsidRPr="00EF5909">
        <w:rPr>
          <w:rFonts w:ascii="Arial" w:hAnsi="Arial" w:cs="Arial"/>
        </w:rPr>
        <w:t>Diabetes UK (2024) states that end-of-life diabetes care remains under-researched and requires individualised medication decisions and regular reviews. Advance care planning helps patients express preferences about treatment, place of care and family involvement. Diabetes management should align with palliative care goals rather than intensive targets.</w:t>
      </w:r>
    </w:p>
    <w:p w14:paraId="1C29810C" w14:textId="7E5F0A53" w:rsidR="00797766" w:rsidRDefault="00797766" w:rsidP="00B23A46">
      <w:pPr>
        <w:pStyle w:val="Heading9"/>
        <w:rPr>
          <w:rFonts w:ascii="Arial" w:hAnsi="Arial" w:cs="Arial"/>
          <w:b/>
          <w:bCs/>
          <w:color w:val="auto"/>
          <w:sz w:val="28"/>
          <w:szCs w:val="28"/>
        </w:rPr>
      </w:pPr>
      <w:bookmarkStart w:id="18" w:name="_Toc243590765"/>
      <w:r w:rsidRPr="001B5A14">
        <w:rPr>
          <w:rFonts w:ascii="Arial" w:hAnsi="Arial" w:cs="Arial"/>
          <w:b/>
          <w:bCs/>
          <w:color w:val="auto"/>
          <w:sz w:val="28"/>
          <w:szCs w:val="28"/>
        </w:rPr>
        <w:t>Recommendations for improvement</w:t>
      </w:r>
      <w:bookmarkEnd w:id="18"/>
    </w:p>
    <w:p w14:paraId="45055B2E" w14:textId="77777777" w:rsidR="001B5A14" w:rsidRPr="001B5A14" w:rsidRDefault="001B5A14" w:rsidP="001B5A14"/>
    <w:p w14:paraId="69E1D68A" w14:textId="5D77E616" w:rsidR="00797766" w:rsidRPr="00994A77" w:rsidRDefault="006A201C" w:rsidP="00994A77">
      <w:pPr>
        <w:spacing w:line="360" w:lineRule="auto"/>
        <w:rPr>
          <w:rFonts w:ascii="Arial" w:hAnsi="Arial" w:cs="Arial"/>
        </w:rPr>
      </w:pPr>
      <w:r>
        <w:rPr>
          <w:rFonts w:ascii="Arial" w:hAnsi="Arial" w:cs="Arial"/>
        </w:rPr>
        <w:t>To s</w:t>
      </w:r>
      <w:r w:rsidR="00797766" w:rsidRPr="006A201C">
        <w:rPr>
          <w:rFonts w:ascii="Arial" w:hAnsi="Arial" w:cs="Arial"/>
        </w:rPr>
        <w:t xml:space="preserve">trengthen personalised care planning. People with T2D should have regular opportunities to discuss individual goals, treatment preferences and barriers. Care planning should address physical, psychological and social needs (Social Care Institute for Excellence, 2024). </w:t>
      </w:r>
      <w:r w:rsidR="00994A77" w:rsidRPr="00994A77">
        <w:rPr>
          <w:rFonts w:ascii="Arial" w:hAnsi="Arial" w:cs="Arial"/>
        </w:rPr>
        <w:t>To ex</w:t>
      </w:r>
      <w:r w:rsidR="00797766" w:rsidRPr="00994A77">
        <w:rPr>
          <w:rFonts w:ascii="Arial" w:hAnsi="Arial" w:cs="Arial"/>
        </w:rPr>
        <w:t>pand culturally appropriate education.</w:t>
      </w:r>
      <w:r w:rsidR="00994A77">
        <w:rPr>
          <w:rFonts w:ascii="Arial" w:hAnsi="Arial" w:cs="Arial"/>
        </w:rPr>
        <w:t xml:space="preserve"> </w:t>
      </w:r>
      <w:r w:rsidR="00797766" w:rsidRPr="00994A77">
        <w:rPr>
          <w:rFonts w:ascii="Arial" w:hAnsi="Arial" w:cs="Arial"/>
        </w:rPr>
        <w:t>Structured diabetes education should be provided in accessible language and should reflect cultural dietary practices and health beliefs (Goff et al., 2020</w:t>
      </w:r>
      <w:r w:rsidR="00371E5F" w:rsidRPr="00994A77">
        <w:rPr>
          <w:rFonts w:ascii="Arial" w:hAnsi="Arial" w:cs="Arial"/>
        </w:rPr>
        <w:t>).</w:t>
      </w:r>
      <w:r w:rsidR="00371E5F">
        <w:rPr>
          <w:rFonts w:ascii="Arial" w:hAnsi="Arial" w:cs="Arial"/>
        </w:rPr>
        <w:t xml:space="preserve"> To</w:t>
      </w:r>
      <w:r w:rsidR="00994A77">
        <w:rPr>
          <w:rFonts w:ascii="Arial" w:hAnsi="Arial" w:cs="Arial"/>
        </w:rPr>
        <w:t xml:space="preserve"> re</w:t>
      </w:r>
      <w:r w:rsidR="00797766" w:rsidRPr="00994A77">
        <w:rPr>
          <w:rFonts w:ascii="Arial" w:hAnsi="Arial" w:cs="Arial"/>
        </w:rPr>
        <w:t xml:space="preserve">duce health inequalities. Local services should identify population groups experiencing poorer outcomes. Prevention should address </w:t>
      </w:r>
      <w:r w:rsidR="00797766" w:rsidRPr="00994A77">
        <w:rPr>
          <w:rFonts w:ascii="Arial" w:hAnsi="Arial" w:cs="Arial"/>
        </w:rPr>
        <w:lastRenderedPageBreak/>
        <w:t>social determinants rather than focusing only on individual behaviour (WHO, 2025).</w:t>
      </w:r>
      <w:r w:rsidR="00994A77">
        <w:rPr>
          <w:rFonts w:ascii="Arial" w:hAnsi="Arial" w:cs="Arial"/>
        </w:rPr>
        <w:t xml:space="preserve"> Another recommendation is to i</w:t>
      </w:r>
      <w:r w:rsidR="00797766" w:rsidRPr="00994A77">
        <w:rPr>
          <w:rFonts w:ascii="Arial" w:hAnsi="Arial" w:cs="Arial"/>
        </w:rPr>
        <w:t>mprove supported self-management.</w:t>
      </w:r>
      <w:r w:rsidR="00994A77">
        <w:rPr>
          <w:rFonts w:ascii="Arial" w:hAnsi="Arial" w:cs="Arial"/>
        </w:rPr>
        <w:t xml:space="preserve"> </w:t>
      </w:r>
      <w:r w:rsidR="00797766" w:rsidRPr="00994A77">
        <w:rPr>
          <w:rFonts w:ascii="Arial" w:hAnsi="Arial" w:cs="Arial"/>
        </w:rPr>
        <w:t xml:space="preserve">Individuals should receive continuing education and practical support rather than only information at diagnosis (Mannan et al., 2024). Digital resources should be accompanied by non-digital </w:t>
      </w:r>
      <w:r w:rsidR="00994A77" w:rsidRPr="00994A77">
        <w:rPr>
          <w:rFonts w:ascii="Arial" w:hAnsi="Arial" w:cs="Arial"/>
        </w:rPr>
        <w:t>alternatives.</w:t>
      </w:r>
      <w:r w:rsidR="00994A77">
        <w:rPr>
          <w:rFonts w:ascii="Arial" w:hAnsi="Arial" w:cs="Arial"/>
        </w:rPr>
        <w:t xml:space="preserve"> To s</w:t>
      </w:r>
      <w:r w:rsidR="00797766" w:rsidRPr="00994A77">
        <w:rPr>
          <w:rFonts w:ascii="Arial" w:hAnsi="Arial" w:cs="Arial"/>
        </w:rPr>
        <w:t xml:space="preserve">trengthen family and carer </w:t>
      </w:r>
      <w:r w:rsidR="00994A77" w:rsidRPr="00994A77">
        <w:rPr>
          <w:rFonts w:ascii="Arial" w:hAnsi="Arial" w:cs="Arial"/>
        </w:rPr>
        <w:t>support. With</w:t>
      </w:r>
      <w:r w:rsidR="00797766" w:rsidRPr="00994A77">
        <w:rPr>
          <w:rFonts w:ascii="Arial" w:hAnsi="Arial" w:cs="Arial"/>
        </w:rPr>
        <w:t xml:space="preserve"> patient consent, families should receive information and education (Chamoun et al., 2024</w:t>
      </w:r>
      <w:r w:rsidR="00994A77" w:rsidRPr="00994A77">
        <w:rPr>
          <w:rFonts w:ascii="Arial" w:hAnsi="Arial" w:cs="Arial"/>
        </w:rPr>
        <w:t>).</w:t>
      </w:r>
      <w:r w:rsidR="00994A77">
        <w:rPr>
          <w:rFonts w:ascii="Arial" w:hAnsi="Arial" w:cs="Arial"/>
        </w:rPr>
        <w:t xml:space="preserve"> To </w:t>
      </w:r>
      <w:r w:rsidR="00797766" w:rsidRPr="00994A77">
        <w:rPr>
          <w:rFonts w:ascii="Arial" w:hAnsi="Arial" w:cs="Arial"/>
        </w:rPr>
        <w:t xml:space="preserve">Improve early diagnosis and </w:t>
      </w:r>
      <w:r w:rsidR="00994A77" w:rsidRPr="00994A77">
        <w:rPr>
          <w:rFonts w:ascii="Arial" w:hAnsi="Arial" w:cs="Arial"/>
        </w:rPr>
        <w:t>prevention. The</w:t>
      </w:r>
      <w:r w:rsidR="00797766" w:rsidRPr="00994A77">
        <w:rPr>
          <w:rFonts w:ascii="Arial" w:hAnsi="Arial" w:cs="Arial"/>
        </w:rPr>
        <w:t xml:space="preserve"> NHS Diabetes Prevention Programme should continue to target people at high risk, particularly populations experiencing socioeconomic and ethnic inequalities (Chatzi et al., 2023).</w:t>
      </w:r>
      <w:r w:rsidR="00994A77">
        <w:rPr>
          <w:rFonts w:ascii="Arial" w:hAnsi="Arial" w:cs="Arial"/>
        </w:rPr>
        <w:t xml:space="preserve"> To en</w:t>
      </w:r>
      <w:r w:rsidR="00797766" w:rsidRPr="00994A77">
        <w:rPr>
          <w:rFonts w:ascii="Arial" w:hAnsi="Arial" w:cs="Arial"/>
        </w:rPr>
        <w:t>hance integration between services.</w:t>
      </w:r>
      <w:r w:rsidR="00994A77">
        <w:rPr>
          <w:rFonts w:ascii="Arial" w:hAnsi="Arial" w:cs="Arial"/>
        </w:rPr>
        <w:t xml:space="preserve"> </w:t>
      </w:r>
      <w:r w:rsidR="00797766" w:rsidRPr="00994A77">
        <w:rPr>
          <w:rFonts w:ascii="Arial" w:hAnsi="Arial" w:cs="Arial"/>
        </w:rPr>
        <w:t>Primary care, specialist diabetes services, social care and pharmacies should collaborate to reduce fragmentation (Sze et al., 2025).</w:t>
      </w:r>
      <w:r w:rsidR="00994A77">
        <w:rPr>
          <w:rFonts w:ascii="Arial" w:hAnsi="Arial" w:cs="Arial"/>
        </w:rPr>
        <w:t xml:space="preserve"> A final recommendation is to s</w:t>
      </w:r>
      <w:r w:rsidR="00797766" w:rsidRPr="00994A77">
        <w:rPr>
          <w:rFonts w:ascii="Arial" w:hAnsi="Arial" w:cs="Arial"/>
        </w:rPr>
        <w:t>trengthen end-of-life planning.</w:t>
      </w:r>
      <w:r w:rsidR="00994A77">
        <w:rPr>
          <w:rFonts w:ascii="Arial" w:hAnsi="Arial" w:cs="Arial"/>
        </w:rPr>
        <w:t xml:space="preserve"> </w:t>
      </w:r>
      <w:r w:rsidR="00797766" w:rsidRPr="00994A77">
        <w:rPr>
          <w:rFonts w:ascii="Arial" w:hAnsi="Arial" w:cs="Arial"/>
        </w:rPr>
        <w:t xml:space="preserve">People with T2D should have opportunities to discuss changing treatment goals and advance care planning before a crisis occurs (Diabetes UK, 2024). </w:t>
      </w:r>
    </w:p>
    <w:p w14:paraId="6B91B89F" w14:textId="77777777" w:rsidR="001B5A14" w:rsidRDefault="001B5A14" w:rsidP="001B5A14">
      <w:pPr>
        <w:pStyle w:val="ListParagraph"/>
        <w:tabs>
          <w:tab w:val="left" w:pos="1425"/>
        </w:tabs>
        <w:spacing w:line="360" w:lineRule="auto"/>
        <w:ind w:left="1440"/>
        <w:rPr>
          <w:rFonts w:ascii="Arial" w:hAnsi="Arial" w:cs="Arial"/>
        </w:rPr>
      </w:pPr>
    </w:p>
    <w:p w14:paraId="32F677B2" w14:textId="77777777" w:rsidR="001B5A14" w:rsidRPr="00EF5909" w:rsidRDefault="001B5A14" w:rsidP="001B5A14">
      <w:pPr>
        <w:pStyle w:val="ListParagraph"/>
        <w:tabs>
          <w:tab w:val="left" w:pos="1425"/>
        </w:tabs>
        <w:spacing w:line="360" w:lineRule="auto"/>
        <w:ind w:left="1440"/>
        <w:rPr>
          <w:rFonts w:ascii="Arial" w:hAnsi="Arial" w:cs="Arial"/>
        </w:rPr>
      </w:pPr>
    </w:p>
    <w:p w14:paraId="2BB13C5F" w14:textId="77777777" w:rsidR="00797766" w:rsidRPr="00EF5909" w:rsidRDefault="00797766" w:rsidP="00B23A46">
      <w:pPr>
        <w:pStyle w:val="Heading9"/>
      </w:pPr>
    </w:p>
    <w:p w14:paraId="11A9E4AC" w14:textId="612E05D2" w:rsidR="00797766" w:rsidRDefault="00797766" w:rsidP="00B23A46">
      <w:pPr>
        <w:pStyle w:val="Heading9"/>
        <w:rPr>
          <w:rFonts w:ascii="Arial" w:hAnsi="Arial" w:cs="Arial"/>
          <w:b/>
          <w:bCs/>
          <w:sz w:val="28"/>
          <w:szCs w:val="28"/>
        </w:rPr>
      </w:pPr>
      <w:bookmarkStart w:id="19" w:name="_Toc243590766"/>
      <w:r w:rsidRPr="001B5A14">
        <w:rPr>
          <w:rFonts w:ascii="Arial" w:hAnsi="Arial" w:cs="Arial"/>
          <w:b/>
          <w:bCs/>
          <w:sz w:val="28"/>
          <w:szCs w:val="28"/>
        </w:rPr>
        <w:t>Conclusion</w:t>
      </w:r>
      <w:bookmarkEnd w:id="19"/>
    </w:p>
    <w:p w14:paraId="410EF583" w14:textId="77777777" w:rsidR="001B5A14" w:rsidRPr="001B5A14" w:rsidRDefault="001B5A14" w:rsidP="001B5A14"/>
    <w:p w14:paraId="6F7A9FB7" w14:textId="6BF60607" w:rsidR="00FC1CF8" w:rsidRPr="00EF5909" w:rsidRDefault="00FC1CF8" w:rsidP="00EF5909">
      <w:pPr>
        <w:tabs>
          <w:tab w:val="left" w:pos="1425"/>
        </w:tabs>
        <w:spacing w:line="360" w:lineRule="auto"/>
        <w:rPr>
          <w:rFonts w:ascii="Arial" w:hAnsi="Arial" w:cs="Arial"/>
        </w:rPr>
      </w:pPr>
      <w:r w:rsidRPr="00EF5909">
        <w:rPr>
          <w:rFonts w:ascii="Arial" w:hAnsi="Arial" w:cs="Arial"/>
        </w:rPr>
        <w:t>T2D is a complex long-term condition with significant physical, psychological and social impacts. Its risk is influenced by lifestyle, genetics, ethnicity and social inequalities. NHS management includes lifestyle changes, education, medication, weight management and regular monitoring, guided by personalised care (NICE, 2015). The House of Care and Chronic Care Model support patient involvement and effective organisational care. However, successful implementation requires adequate resources and must address deprivation, unequal access and digital exclusion. National NHS priorities offer opportunities to improve prevention and outcomes.</w:t>
      </w:r>
    </w:p>
    <w:p w14:paraId="53A3CBCC" w14:textId="77777777" w:rsidR="00B23A46" w:rsidRDefault="00797766" w:rsidP="00B23A46">
      <w:pPr>
        <w:tabs>
          <w:tab w:val="left" w:pos="1425"/>
        </w:tabs>
        <w:spacing w:line="360" w:lineRule="auto"/>
        <w:rPr>
          <w:rFonts w:ascii="Arial" w:hAnsi="Arial" w:cs="Arial"/>
        </w:rPr>
      </w:pPr>
      <w:r w:rsidRPr="00EF5909">
        <w:rPr>
          <w:rFonts w:ascii="Arial" w:hAnsi="Arial" w:cs="Arial"/>
        </w:rPr>
        <w:t xml:space="preserve">Ultimately, effective T2D management should be person-centred and should support individuals to make informed choices. Greater emphasis on prevention, personalised care, integrated services, supported self-management, and appropriate end-of-life care could enhance equality of life while reducing complications and inequalities. </w:t>
      </w:r>
    </w:p>
    <w:p w14:paraId="152C2CAA" w14:textId="77777777" w:rsidR="001B5A14" w:rsidRDefault="001B5A14" w:rsidP="00B23A46">
      <w:pPr>
        <w:tabs>
          <w:tab w:val="left" w:pos="1425"/>
        </w:tabs>
        <w:spacing w:line="360" w:lineRule="auto"/>
        <w:rPr>
          <w:rFonts w:ascii="Arial" w:hAnsi="Arial" w:cs="Arial"/>
        </w:rPr>
      </w:pPr>
    </w:p>
    <w:p w14:paraId="33A72AA4" w14:textId="77777777" w:rsidR="001B5A14" w:rsidRDefault="001B5A14" w:rsidP="00B23A46">
      <w:pPr>
        <w:tabs>
          <w:tab w:val="left" w:pos="1425"/>
        </w:tabs>
        <w:spacing w:line="360" w:lineRule="auto"/>
        <w:rPr>
          <w:rFonts w:ascii="Arial" w:hAnsi="Arial" w:cs="Arial"/>
        </w:rPr>
      </w:pPr>
    </w:p>
    <w:p w14:paraId="2C29B21C" w14:textId="77777777" w:rsidR="001B5A14" w:rsidRDefault="001B5A14" w:rsidP="00B23A46">
      <w:pPr>
        <w:tabs>
          <w:tab w:val="left" w:pos="1425"/>
        </w:tabs>
        <w:spacing w:line="360" w:lineRule="auto"/>
        <w:rPr>
          <w:rFonts w:ascii="Arial" w:hAnsi="Arial" w:cs="Arial"/>
        </w:rPr>
      </w:pPr>
    </w:p>
    <w:p w14:paraId="1163ED66" w14:textId="77777777" w:rsidR="001B5A14" w:rsidRDefault="001B5A14" w:rsidP="00B23A46">
      <w:pPr>
        <w:tabs>
          <w:tab w:val="left" w:pos="1425"/>
        </w:tabs>
        <w:spacing w:line="360" w:lineRule="auto"/>
        <w:rPr>
          <w:rFonts w:ascii="Arial" w:hAnsi="Arial" w:cs="Arial"/>
        </w:rPr>
      </w:pPr>
    </w:p>
    <w:p w14:paraId="36AE5CFD" w14:textId="77777777" w:rsidR="001B5A14" w:rsidRDefault="001B5A14" w:rsidP="00B23A46">
      <w:pPr>
        <w:tabs>
          <w:tab w:val="left" w:pos="1425"/>
        </w:tabs>
        <w:spacing w:line="360" w:lineRule="auto"/>
        <w:rPr>
          <w:rFonts w:ascii="Arial" w:hAnsi="Arial" w:cs="Arial"/>
        </w:rPr>
      </w:pPr>
    </w:p>
    <w:p w14:paraId="049A91D6" w14:textId="77777777" w:rsidR="001B5A14" w:rsidRDefault="001B5A14" w:rsidP="00B23A46">
      <w:pPr>
        <w:tabs>
          <w:tab w:val="left" w:pos="1425"/>
        </w:tabs>
        <w:spacing w:line="360" w:lineRule="auto"/>
        <w:rPr>
          <w:rFonts w:ascii="Arial" w:hAnsi="Arial" w:cs="Arial"/>
        </w:rPr>
      </w:pPr>
    </w:p>
    <w:p w14:paraId="63004E43" w14:textId="77777777" w:rsidR="00F34E88" w:rsidRDefault="00F34E88" w:rsidP="00355B88">
      <w:pPr>
        <w:pStyle w:val="Heading9"/>
        <w:rPr>
          <w:rFonts w:ascii="Arial" w:hAnsi="Arial" w:cs="Arial"/>
          <w:b/>
          <w:bCs/>
          <w:sz w:val="28"/>
          <w:szCs w:val="28"/>
        </w:rPr>
      </w:pPr>
    </w:p>
    <w:p w14:paraId="70B6ED8E" w14:textId="77777777" w:rsidR="00371E5F" w:rsidRPr="00371E5F" w:rsidRDefault="00371E5F" w:rsidP="00371E5F"/>
    <w:p w14:paraId="222AEF89" w14:textId="515A86D3" w:rsidR="006B5336" w:rsidRDefault="006B5336" w:rsidP="00355B88">
      <w:pPr>
        <w:pStyle w:val="Heading9"/>
        <w:rPr>
          <w:rFonts w:ascii="Arial" w:hAnsi="Arial" w:cs="Arial"/>
          <w:b/>
          <w:bCs/>
          <w:sz w:val="28"/>
          <w:szCs w:val="28"/>
        </w:rPr>
      </w:pPr>
      <w:bookmarkStart w:id="20" w:name="_Toc243590767"/>
      <w:r w:rsidRPr="001B5A14">
        <w:rPr>
          <w:rFonts w:ascii="Arial" w:hAnsi="Arial" w:cs="Arial"/>
          <w:b/>
          <w:bCs/>
          <w:sz w:val="28"/>
          <w:szCs w:val="28"/>
        </w:rPr>
        <w:t>References:</w:t>
      </w:r>
      <w:bookmarkEnd w:id="20"/>
    </w:p>
    <w:p w14:paraId="26D092C9" w14:textId="77777777" w:rsidR="001B5A14" w:rsidRPr="001B5A14" w:rsidRDefault="001B5A14" w:rsidP="001B5A14"/>
    <w:p w14:paraId="3C68591E" w14:textId="0C4FA28E" w:rsidR="0008323A" w:rsidRPr="00EF5909" w:rsidRDefault="0008323A" w:rsidP="00EF5909">
      <w:pPr>
        <w:spacing w:line="360" w:lineRule="auto"/>
        <w:rPr>
          <w:rFonts w:ascii="Arial" w:hAnsi="Arial" w:cs="Arial"/>
        </w:rPr>
      </w:pPr>
      <w:r w:rsidRPr="00EF5909">
        <w:rPr>
          <w:rFonts w:ascii="Arial" w:hAnsi="Arial" w:cs="Arial"/>
        </w:rPr>
        <w:t xml:space="preserve">Anis-Syakira, J., Balqis-Ali, N.Z., Saw, P.S., Fun, W.H., Sararaks, S. and Lee, S.W.H. (2026). Transforming primary healthcare through person-centred practice: a mixed-method study from the perspectives of healthcare providers. </w:t>
      </w:r>
      <w:r w:rsidRPr="00EF5909">
        <w:rPr>
          <w:rFonts w:ascii="Arial" w:hAnsi="Arial" w:cs="Arial"/>
          <w:i/>
          <w:iCs/>
        </w:rPr>
        <w:t>Family Medicine and Community Health</w:t>
      </w:r>
      <w:r w:rsidRPr="00EF5909">
        <w:rPr>
          <w:rFonts w:ascii="Arial" w:hAnsi="Arial" w:cs="Arial"/>
        </w:rPr>
        <w:t>, 14(2), p.e002967. doi:10.1136/fmch-2024-002967. Accessed: 4 October 2026.</w:t>
      </w:r>
    </w:p>
    <w:p w14:paraId="3B121016" w14:textId="51FB37A0" w:rsidR="00790EF7" w:rsidRPr="00EF5909" w:rsidRDefault="00790EF7" w:rsidP="00EF5909">
      <w:pPr>
        <w:spacing w:line="360" w:lineRule="auto"/>
        <w:rPr>
          <w:rFonts w:ascii="Arial" w:hAnsi="Arial" w:cs="Arial"/>
        </w:rPr>
      </w:pPr>
      <w:r w:rsidRPr="00EF5909">
        <w:rPr>
          <w:rFonts w:ascii="Arial" w:hAnsi="Arial" w:cs="Arial"/>
        </w:rPr>
        <w:t xml:space="preserve">Annis, A.M., Caulder, M.S., Cook, M.L. and Duquette, D. (2005). Family History, Diabetes, and Other Demographic and Risk Factors Among Participants of the National Health and Nutrition Examination Survey 1999–2002. </w:t>
      </w:r>
      <w:r w:rsidRPr="00EF5909">
        <w:rPr>
          <w:rFonts w:ascii="Arial" w:hAnsi="Arial" w:cs="Arial"/>
          <w:i/>
          <w:iCs/>
        </w:rPr>
        <w:t>Preventing Chronic Disease</w:t>
      </w:r>
      <w:r w:rsidRPr="00EF5909">
        <w:rPr>
          <w:rFonts w:ascii="Arial" w:hAnsi="Arial" w:cs="Arial"/>
        </w:rPr>
        <w:t xml:space="preserve">, 2(2), p.A19. Available at: </w:t>
      </w:r>
      <w:hyperlink r:id="rId13" w:history="1">
        <w:r w:rsidRPr="00EF5909">
          <w:rPr>
            <w:rStyle w:val="Hyperlink"/>
            <w:rFonts w:ascii="Arial" w:hAnsi="Arial" w:cs="Arial"/>
            <w:color w:val="auto"/>
          </w:rPr>
          <w:t>https://pmc.ncbi.nlm.nih.gov/articles/PMC1327713/</w:t>
        </w:r>
      </w:hyperlink>
      <w:r w:rsidRPr="00EF5909">
        <w:rPr>
          <w:rFonts w:ascii="Arial" w:hAnsi="Arial" w:cs="Arial"/>
        </w:rPr>
        <w:t>. Accessed: 3 October 2026.</w:t>
      </w:r>
    </w:p>
    <w:p w14:paraId="486AE8F4" w14:textId="5D401BBC" w:rsidR="00F12A7D" w:rsidRPr="00EF5909" w:rsidRDefault="00F12A7D" w:rsidP="00EF5909">
      <w:pPr>
        <w:spacing w:line="360" w:lineRule="auto"/>
        <w:rPr>
          <w:rFonts w:ascii="Arial" w:hAnsi="Arial" w:cs="Arial"/>
        </w:rPr>
      </w:pPr>
      <w:r w:rsidRPr="00EF5909">
        <w:rPr>
          <w:rFonts w:ascii="Arial" w:hAnsi="Arial" w:cs="Arial"/>
        </w:rPr>
        <w:t xml:space="preserve">Arumsari, A.D. (2025). Living with Type 2 Diabetes Mellitus: A Descriptive Phenomenological Study of Healthy Lifestyle Maintenance Among Indonesian Adults. </w:t>
      </w:r>
      <w:r w:rsidRPr="00EF5909">
        <w:rPr>
          <w:rFonts w:ascii="Arial" w:hAnsi="Arial" w:cs="Arial"/>
          <w:i/>
          <w:iCs/>
        </w:rPr>
        <w:t>Sinergi International Journal of Psychology</w:t>
      </w:r>
      <w:r w:rsidRPr="00EF5909">
        <w:rPr>
          <w:rFonts w:ascii="Arial" w:hAnsi="Arial" w:cs="Arial"/>
        </w:rPr>
        <w:t>, 3(4), pp.223–243. doi:10.61194/psychology.v3i4.1129. Accessed: 3 October 2025.</w:t>
      </w:r>
    </w:p>
    <w:p w14:paraId="7BDC3A63" w14:textId="421D23A4" w:rsidR="00C902C9" w:rsidRPr="00EF5909" w:rsidRDefault="00C902C9" w:rsidP="00EF5909">
      <w:pPr>
        <w:spacing w:line="360" w:lineRule="auto"/>
        <w:rPr>
          <w:rFonts w:ascii="Arial" w:hAnsi="Arial" w:cs="Arial"/>
        </w:rPr>
      </w:pPr>
      <w:r w:rsidRPr="00EF5909">
        <w:rPr>
          <w:rFonts w:ascii="Arial" w:hAnsi="Arial" w:cs="Arial"/>
        </w:rPr>
        <w:t xml:space="preserve">Baig, A.A., Benitez, A., Quinn, M.T. and Burnet, D.L. (2015). Family interventions to improve diabetes outcomes for adults. </w:t>
      </w:r>
      <w:r w:rsidRPr="00EF5909">
        <w:rPr>
          <w:rFonts w:ascii="Arial" w:hAnsi="Arial" w:cs="Arial"/>
          <w:i/>
          <w:iCs/>
        </w:rPr>
        <w:t>Annals of the New York Academy of Sciences</w:t>
      </w:r>
      <w:r w:rsidRPr="00EF5909">
        <w:rPr>
          <w:rFonts w:ascii="Arial" w:hAnsi="Arial" w:cs="Arial"/>
        </w:rPr>
        <w:t>,1353(1), pp.89–112. doi:10.1111/nyas.12844. Accessed: 3 October 2026.</w:t>
      </w:r>
    </w:p>
    <w:p w14:paraId="08D1B587" w14:textId="6C0B82BD" w:rsidR="005B1C6E" w:rsidRPr="00EF5909" w:rsidRDefault="005B1C6E" w:rsidP="00EF5909">
      <w:pPr>
        <w:spacing w:line="360" w:lineRule="auto"/>
        <w:rPr>
          <w:rFonts w:ascii="Arial" w:hAnsi="Arial" w:cs="Arial"/>
        </w:rPr>
      </w:pPr>
      <w:r w:rsidRPr="00EF5909">
        <w:rPr>
          <w:rFonts w:ascii="Arial" w:hAnsi="Arial" w:cs="Arial"/>
        </w:rPr>
        <w:t xml:space="preserve">Birmingham City Council (2023). </w:t>
      </w:r>
      <w:r w:rsidRPr="00EF5909">
        <w:rPr>
          <w:rFonts w:ascii="Arial" w:hAnsi="Arial" w:cs="Arial"/>
          <w:i/>
          <w:iCs/>
        </w:rPr>
        <w:t>Health and Wellbeing Strategy</w:t>
      </w:r>
      <w:r w:rsidRPr="00EF5909">
        <w:rPr>
          <w:rFonts w:ascii="Arial" w:hAnsi="Arial" w:cs="Arial"/>
        </w:rPr>
        <w:t xml:space="preserve">. www.birmingham.gov.uk. Available at: </w:t>
      </w:r>
      <w:hyperlink r:id="rId14" w:history="1">
        <w:r w:rsidRPr="00EF5909">
          <w:rPr>
            <w:rStyle w:val="Hyperlink"/>
            <w:rFonts w:ascii="Arial" w:hAnsi="Arial" w:cs="Arial"/>
            <w:color w:val="auto"/>
          </w:rPr>
          <w:t>https://www.birmingham.gov.uk/info/50119/health_and_wellbeing_board/1300/health_and_wellbeing_strategy</w:t>
        </w:r>
      </w:hyperlink>
      <w:r w:rsidRPr="00EF5909">
        <w:rPr>
          <w:rFonts w:ascii="Arial" w:hAnsi="Arial" w:cs="Arial"/>
        </w:rPr>
        <w:t xml:space="preserve">. Accessed: 4 October 2026. </w:t>
      </w:r>
    </w:p>
    <w:p w14:paraId="250672DE" w14:textId="4A994CC4" w:rsidR="008A204B" w:rsidRPr="00EF5909" w:rsidRDefault="003A0044" w:rsidP="00EF5909">
      <w:pPr>
        <w:spacing w:line="360" w:lineRule="auto"/>
        <w:rPr>
          <w:rFonts w:ascii="Arial" w:hAnsi="Arial" w:cs="Arial"/>
        </w:rPr>
      </w:pPr>
      <w:r w:rsidRPr="00EF5909">
        <w:rPr>
          <w:rFonts w:ascii="Arial" w:hAnsi="Arial" w:cs="Arial"/>
        </w:rPr>
        <w:t xml:space="preserve">Briazu, R.A., Masood, F., Hunt, L., Pettinger, C., Wagstaff, C. and McCloy, R. (2024). Barriers and facilitators to healthy eating in disadvantaged adults living in the UK: a scoping review. </w:t>
      </w:r>
      <w:r w:rsidRPr="00EF5909">
        <w:rPr>
          <w:rFonts w:ascii="Arial" w:hAnsi="Arial" w:cs="Arial"/>
          <w:i/>
          <w:iCs/>
        </w:rPr>
        <w:t>BMC public health</w:t>
      </w:r>
      <w:r w:rsidRPr="00EF5909">
        <w:rPr>
          <w:rFonts w:ascii="Arial" w:hAnsi="Arial" w:cs="Arial"/>
        </w:rPr>
        <w:t>, 24(1). doi:10.1186/s12889-024-19259-2. Accessed: 3 October 2026.</w:t>
      </w:r>
    </w:p>
    <w:p w14:paraId="47C60E08" w14:textId="5D9F5505" w:rsidR="00790EF7" w:rsidRPr="00EF5909" w:rsidRDefault="00790EF7" w:rsidP="00EF5909">
      <w:pPr>
        <w:spacing w:line="360" w:lineRule="auto"/>
        <w:rPr>
          <w:rFonts w:ascii="Arial" w:hAnsi="Arial" w:cs="Arial"/>
        </w:rPr>
      </w:pPr>
      <w:r w:rsidRPr="00EF5909">
        <w:rPr>
          <w:rFonts w:ascii="Arial" w:hAnsi="Arial" w:cs="Arial"/>
        </w:rPr>
        <w:t xml:space="preserve">Chait, A. and den Hartigh, L.J. (2020). Adipose Tissue Distribution, Inflammation and Its Metabolic Consequences, Including Diabetes and Cardiovascular Disease. </w:t>
      </w:r>
      <w:r w:rsidRPr="00EF5909">
        <w:rPr>
          <w:rFonts w:ascii="Arial" w:hAnsi="Arial" w:cs="Arial"/>
          <w:i/>
          <w:iCs/>
        </w:rPr>
        <w:t>Frontiers in Cardiovascular Medicine</w:t>
      </w:r>
      <w:r w:rsidRPr="00EF5909">
        <w:rPr>
          <w:rFonts w:ascii="Arial" w:hAnsi="Arial" w:cs="Arial"/>
        </w:rPr>
        <w:t>, 7(22). doi:10.3389/fcvm.2020.00022. Accessed: 3 October 2026.</w:t>
      </w:r>
    </w:p>
    <w:p w14:paraId="614C9133" w14:textId="61772273" w:rsidR="00CE06F0" w:rsidRPr="00EF5909" w:rsidRDefault="00CE06F0" w:rsidP="00EF5909">
      <w:pPr>
        <w:spacing w:line="360" w:lineRule="auto"/>
        <w:rPr>
          <w:rFonts w:ascii="Arial" w:hAnsi="Arial" w:cs="Arial"/>
        </w:rPr>
      </w:pPr>
      <w:r w:rsidRPr="00EF5909">
        <w:rPr>
          <w:rFonts w:ascii="Arial" w:hAnsi="Arial" w:cs="Arial"/>
        </w:rPr>
        <w:lastRenderedPageBreak/>
        <w:t xml:space="preserve">Chakraborty, A. (2025). Systematic Review: Risk Factors for Developing Type 2 Diabetes Mellitus. </w:t>
      </w:r>
      <w:r w:rsidRPr="00EF5909">
        <w:rPr>
          <w:rFonts w:ascii="Arial" w:hAnsi="Arial" w:cs="Arial"/>
          <w:i/>
          <w:iCs/>
        </w:rPr>
        <w:t>European Journal of Cardiovascular Medicine</w:t>
      </w:r>
      <w:r w:rsidRPr="00EF5909">
        <w:rPr>
          <w:rFonts w:ascii="Arial" w:hAnsi="Arial" w:cs="Arial"/>
        </w:rPr>
        <w:t xml:space="preserve">,15(1), pp.382–390. doi:10.5083/ejcm/25-01-62. Accessed: 3 October 2026. </w:t>
      </w:r>
    </w:p>
    <w:p w14:paraId="54353461" w14:textId="4F142FD8" w:rsidR="00797766" w:rsidRPr="00EF5909" w:rsidRDefault="00797766" w:rsidP="00EF5909">
      <w:pPr>
        <w:spacing w:line="360" w:lineRule="auto"/>
        <w:rPr>
          <w:rFonts w:ascii="Arial" w:hAnsi="Arial" w:cs="Arial"/>
        </w:rPr>
      </w:pPr>
      <w:r w:rsidRPr="00EF5909">
        <w:rPr>
          <w:rFonts w:ascii="Arial" w:hAnsi="Arial" w:cs="Arial"/>
        </w:rPr>
        <w:t xml:space="preserve">Chamoun, D., Ramasamy, M., Ziegler, C., Yu, C.H., Wijeyesekera, P., Advani, A. and Pritlove, C. (2024). Patient, family and caregiver engagement in diabetes care: a scoping review protocol. </w:t>
      </w:r>
      <w:r w:rsidRPr="00EF5909">
        <w:rPr>
          <w:rFonts w:ascii="Arial" w:hAnsi="Arial" w:cs="Arial"/>
          <w:i/>
          <w:iCs/>
        </w:rPr>
        <w:t>BMJ Open</w:t>
      </w:r>
      <w:r w:rsidRPr="00EF5909">
        <w:rPr>
          <w:rFonts w:ascii="Arial" w:hAnsi="Arial" w:cs="Arial"/>
        </w:rPr>
        <w:t xml:space="preserve">, 14(8), pp.e086772-e086772. doi:10.1136/bmjopen-2024-086772. Accessed: 4 October 2026. </w:t>
      </w:r>
    </w:p>
    <w:p w14:paraId="3DE99A63" w14:textId="06B02719" w:rsidR="00797766" w:rsidRPr="00EF5909" w:rsidRDefault="00797766" w:rsidP="00EF5909">
      <w:pPr>
        <w:spacing w:line="360" w:lineRule="auto"/>
        <w:rPr>
          <w:rFonts w:ascii="Arial" w:hAnsi="Arial" w:cs="Arial"/>
        </w:rPr>
      </w:pPr>
      <w:r w:rsidRPr="00EF5909">
        <w:rPr>
          <w:rFonts w:ascii="Arial" w:hAnsi="Arial" w:cs="Arial"/>
        </w:rPr>
        <w:t xml:space="preserve">Chatzi, G., Whittaker, W., Chandola, T., Mason, T., Soiland-Reyes, C., Sutton, M. and Bower, P. (2023). Could diabetes prevention programmes result in the widening of sociodemographic inequalities in type 2 diabetes? Comparison of survey and administrative data for England. </w:t>
      </w:r>
      <w:r w:rsidRPr="00EF5909">
        <w:rPr>
          <w:rFonts w:ascii="Arial" w:hAnsi="Arial" w:cs="Arial"/>
          <w:i/>
          <w:iCs/>
        </w:rPr>
        <w:t>J Epidemiol Community Health</w:t>
      </w:r>
      <w:r w:rsidRPr="00EF5909">
        <w:rPr>
          <w:rFonts w:ascii="Arial" w:hAnsi="Arial" w:cs="Arial"/>
        </w:rPr>
        <w:t xml:space="preserve">, 77(9), pp.565–570. doi:10.1136/jech-2022-219654. Accessed: 4 October 2026. </w:t>
      </w:r>
    </w:p>
    <w:p w14:paraId="227E0A02" w14:textId="2839AD9B" w:rsidR="00331EA6" w:rsidRPr="00EF5909" w:rsidRDefault="00331EA6" w:rsidP="00EF5909">
      <w:pPr>
        <w:spacing w:line="360" w:lineRule="auto"/>
        <w:rPr>
          <w:rFonts w:ascii="Arial" w:hAnsi="Arial" w:cs="Arial"/>
        </w:rPr>
      </w:pPr>
      <w:r w:rsidRPr="00EF5909">
        <w:rPr>
          <w:rFonts w:ascii="Arial" w:hAnsi="Arial" w:cs="Arial"/>
        </w:rPr>
        <w:t xml:space="preserve">Coleman, K., Austin, B.T., Brach, C. and Wagner, E.H. (2019). Evidence On The Chronic Care Model In The New Millennium. </w:t>
      </w:r>
      <w:r w:rsidRPr="00EF5909">
        <w:rPr>
          <w:rFonts w:ascii="Arial" w:hAnsi="Arial" w:cs="Arial"/>
          <w:i/>
          <w:iCs/>
        </w:rPr>
        <w:t>Health Affairs</w:t>
      </w:r>
      <w:r w:rsidRPr="00EF5909">
        <w:rPr>
          <w:rFonts w:ascii="Arial" w:hAnsi="Arial" w:cs="Arial"/>
        </w:rPr>
        <w:t>, 28(1), pp.75–85. doi:10.1377/hlthaff.28.1.75. Accessed: 3 October 2026.</w:t>
      </w:r>
    </w:p>
    <w:p w14:paraId="74E12A4D" w14:textId="0E3FA37B" w:rsidR="001665B0" w:rsidRPr="00EF5909" w:rsidRDefault="001665B0" w:rsidP="00EF5909">
      <w:pPr>
        <w:spacing w:line="360" w:lineRule="auto"/>
        <w:rPr>
          <w:rFonts w:ascii="Arial" w:hAnsi="Arial" w:cs="Arial"/>
        </w:rPr>
      </w:pPr>
      <w:r w:rsidRPr="00EF5909">
        <w:rPr>
          <w:rFonts w:ascii="Arial" w:hAnsi="Arial" w:cs="Arial"/>
        </w:rPr>
        <w:t xml:space="preserve">Coulter, A., Kramer, G., Warren, T. and Salisbury, C. (2016). Building the House of Care for People with long-term conditions: the Foundation of the House of Care Framework. </w:t>
      </w:r>
      <w:r w:rsidRPr="00EF5909">
        <w:rPr>
          <w:rFonts w:ascii="Arial" w:hAnsi="Arial" w:cs="Arial"/>
          <w:i/>
          <w:iCs/>
        </w:rPr>
        <w:t>British Journal of General Practice</w:t>
      </w:r>
      <w:r w:rsidRPr="00EF5909">
        <w:rPr>
          <w:rFonts w:ascii="Arial" w:hAnsi="Arial" w:cs="Arial"/>
        </w:rPr>
        <w:t xml:space="preserve">, 66(645), pp.288–290. doi:10.3399/bjgp16x684745. Accessed: 3 October 2026. </w:t>
      </w:r>
    </w:p>
    <w:p w14:paraId="3AD3E828" w14:textId="5DE3DCAF" w:rsidR="00DD1A6D" w:rsidRPr="00EF5909" w:rsidRDefault="00DD1A6D" w:rsidP="00EF5909">
      <w:pPr>
        <w:spacing w:line="360" w:lineRule="auto"/>
        <w:rPr>
          <w:rFonts w:ascii="Arial" w:hAnsi="Arial" w:cs="Arial"/>
        </w:rPr>
      </w:pPr>
      <w:r w:rsidRPr="00EF5909">
        <w:rPr>
          <w:rFonts w:ascii="Arial" w:hAnsi="Arial" w:cs="Arial"/>
        </w:rPr>
        <w:t xml:space="preserve">Coulter, A. and Oldham, J. (2016). Person-centred care: What Is It and How Do We Get there? </w:t>
      </w:r>
      <w:r w:rsidRPr="00EF5909">
        <w:rPr>
          <w:rFonts w:ascii="Arial" w:hAnsi="Arial" w:cs="Arial"/>
          <w:i/>
          <w:iCs/>
        </w:rPr>
        <w:t>Future Hospital Journal</w:t>
      </w:r>
      <w:r w:rsidRPr="00EF5909">
        <w:rPr>
          <w:rFonts w:ascii="Arial" w:hAnsi="Arial" w:cs="Arial"/>
        </w:rPr>
        <w:t xml:space="preserve">, 3(2), pp.114–116. doi:10.7861/futurehosp.3-2-114. Accessed: 3 October 2026. </w:t>
      </w:r>
    </w:p>
    <w:p w14:paraId="7C1B4725" w14:textId="4DC29066" w:rsidR="007E6774" w:rsidRPr="00EF5909" w:rsidRDefault="007E6774" w:rsidP="00EF5909">
      <w:pPr>
        <w:spacing w:line="360" w:lineRule="auto"/>
        <w:rPr>
          <w:rFonts w:ascii="Arial" w:hAnsi="Arial" w:cs="Arial"/>
        </w:rPr>
      </w:pPr>
      <w:r w:rsidRPr="00EF5909">
        <w:rPr>
          <w:rFonts w:ascii="Arial" w:hAnsi="Arial" w:cs="Arial"/>
        </w:rPr>
        <w:t xml:space="preserve">Cuddapah, G.V., Vallivedu Chennakesavulu, P., Pentapurthy, P., Vallakati, M., Kongara, A., Reddivari, P., Singareddy, S., Chandupatla, K.P. and Swamy, M. (2022). Complications in Diabetes Mellitus: Social Determinants and trends. </w:t>
      </w:r>
      <w:r w:rsidRPr="00EF5909">
        <w:rPr>
          <w:rFonts w:ascii="Arial" w:hAnsi="Arial" w:cs="Arial"/>
          <w:i/>
          <w:iCs/>
        </w:rPr>
        <w:t>Cureus</w:t>
      </w:r>
      <w:r w:rsidRPr="00EF5909">
        <w:rPr>
          <w:rFonts w:ascii="Arial" w:hAnsi="Arial" w:cs="Arial"/>
        </w:rPr>
        <w:t>, 14(4). doi:10.7759/cureus.24415. Accessed: 3 October 2026.</w:t>
      </w:r>
    </w:p>
    <w:p w14:paraId="54E73582" w14:textId="4F3634A9" w:rsidR="000021E1" w:rsidRPr="00EF5909" w:rsidRDefault="000021E1" w:rsidP="00EF5909">
      <w:pPr>
        <w:spacing w:line="360" w:lineRule="auto"/>
        <w:rPr>
          <w:rFonts w:ascii="Arial" w:hAnsi="Arial" w:cs="Arial"/>
        </w:rPr>
      </w:pPr>
      <w:r w:rsidRPr="00EF5909">
        <w:rPr>
          <w:rFonts w:ascii="Arial" w:hAnsi="Arial" w:cs="Arial"/>
        </w:rPr>
        <w:t xml:space="preserve">Deakin, T. and Whitham, C. (2009). Structured patient education: the X-PERT Programme. </w:t>
      </w:r>
      <w:r w:rsidRPr="00EF5909">
        <w:rPr>
          <w:rFonts w:ascii="Arial" w:hAnsi="Arial" w:cs="Arial"/>
          <w:i/>
          <w:iCs/>
        </w:rPr>
        <w:t>British Journal of Community Nursing</w:t>
      </w:r>
      <w:r w:rsidRPr="00EF5909">
        <w:rPr>
          <w:rFonts w:ascii="Arial" w:hAnsi="Arial" w:cs="Arial"/>
        </w:rPr>
        <w:t xml:space="preserve">, 14(9), pp.398–404. doi:10.12968/bjcn.2009.14.9.43916. Accessed: 3 October 2026. </w:t>
      </w:r>
    </w:p>
    <w:p w14:paraId="755834C5" w14:textId="3E1056F4" w:rsidR="004A23CE" w:rsidRPr="00EF5909" w:rsidRDefault="004A23CE" w:rsidP="00EF5909">
      <w:pPr>
        <w:spacing w:line="360" w:lineRule="auto"/>
        <w:rPr>
          <w:rFonts w:ascii="Arial" w:hAnsi="Arial" w:cs="Arial"/>
        </w:rPr>
      </w:pPr>
      <w:r w:rsidRPr="00EF5909">
        <w:rPr>
          <w:rFonts w:ascii="Arial" w:hAnsi="Arial" w:cs="Arial"/>
        </w:rPr>
        <w:t xml:space="preserve">Department of Health and Social Care (2025). </w:t>
      </w:r>
      <w:r w:rsidRPr="00EF5909">
        <w:rPr>
          <w:rFonts w:ascii="Arial" w:hAnsi="Arial" w:cs="Arial"/>
          <w:i/>
          <w:iCs/>
        </w:rPr>
        <w:t>10 Year Health Plan for England: Fit for the Future</w:t>
      </w:r>
      <w:r w:rsidRPr="00EF5909">
        <w:rPr>
          <w:rFonts w:ascii="Arial" w:hAnsi="Arial" w:cs="Arial"/>
        </w:rPr>
        <w:t xml:space="preserve">. GOV.UK. Available at: </w:t>
      </w:r>
      <w:hyperlink r:id="rId15" w:history="1">
        <w:r w:rsidRPr="00EF5909">
          <w:rPr>
            <w:rStyle w:val="Hyperlink"/>
            <w:rFonts w:ascii="Arial" w:hAnsi="Arial" w:cs="Arial"/>
            <w:color w:val="auto"/>
          </w:rPr>
          <w:t>https://www.gov.uk/government/publications/10-year-health-plan-for-england-fit-for-the-future</w:t>
        </w:r>
      </w:hyperlink>
      <w:r w:rsidRPr="00EF5909">
        <w:rPr>
          <w:rFonts w:ascii="Arial" w:hAnsi="Arial" w:cs="Arial"/>
        </w:rPr>
        <w:t>. Accessed 4 October 2026.</w:t>
      </w:r>
    </w:p>
    <w:p w14:paraId="581BF919" w14:textId="7F878B5E" w:rsidR="009A35EB" w:rsidRPr="00EF5909" w:rsidRDefault="009A35EB" w:rsidP="00EF5909">
      <w:pPr>
        <w:spacing w:line="360" w:lineRule="auto"/>
        <w:rPr>
          <w:rFonts w:ascii="Arial" w:hAnsi="Arial" w:cs="Arial"/>
        </w:rPr>
      </w:pPr>
      <w:r w:rsidRPr="00EF5909">
        <w:rPr>
          <w:rFonts w:ascii="Arial" w:hAnsi="Arial" w:cs="Arial"/>
        </w:rPr>
        <w:t xml:space="preserve">Diabetes UK (2017). </w:t>
      </w:r>
      <w:r w:rsidRPr="00EF5909">
        <w:rPr>
          <w:rFonts w:ascii="Arial" w:hAnsi="Arial" w:cs="Arial"/>
          <w:i/>
          <w:iCs/>
        </w:rPr>
        <w:t>What are the signs and symptoms of diabetes?</w:t>
      </w:r>
      <w:r w:rsidRPr="00EF5909">
        <w:rPr>
          <w:rFonts w:ascii="Arial" w:hAnsi="Arial" w:cs="Arial"/>
        </w:rPr>
        <w:t xml:space="preserve"> Diabetes UK. Available at: </w:t>
      </w:r>
      <w:hyperlink r:id="rId16" w:history="1">
        <w:r w:rsidRPr="00EF5909">
          <w:rPr>
            <w:rStyle w:val="Hyperlink"/>
            <w:rFonts w:ascii="Arial" w:hAnsi="Arial" w:cs="Arial"/>
            <w:color w:val="auto"/>
          </w:rPr>
          <w:t>https://www.diabetes.org.uk/about-diabetes/symptoms</w:t>
        </w:r>
      </w:hyperlink>
      <w:r w:rsidRPr="00EF5909">
        <w:rPr>
          <w:rFonts w:ascii="Arial" w:hAnsi="Arial" w:cs="Arial"/>
        </w:rPr>
        <w:t>. Accessed: 3 October 2026.</w:t>
      </w:r>
    </w:p>
    <w:p w14:paraId="15D10F5E" w14:textId="44773898" w:rsidR="009A35EB" w:rsidRPr="00EF5909" w:rsidRDefault="009A35EB" w:rsidP="00EF5909">
      <w:pPr>
        <w:spacing w:line="360" w:lineRule="auto"/>
        <w:rPr>
          <w:rFonts w:ascii="Arial" w:hAnsi="Arial" w:cs="Arial"/>
        </w:rPr>
      </w:pPr>
      <w:r w:rsidRPr="00EF5909">
        <w:rPr>
          <w:rFonts w:ascii="Arial" w:hAnsi="Arial" w:cs="Arial"/>
        </w:rPr>
        <w:t xml:space="preserve">Diabetes UK (2017). </w:t>
      </w:r>
      <w:r w:rsidRPr="00EF5909">
        <w:rPr>
          <w:rFonts w:ascii="Arial" w:hAnsi="Arial" w:cs="Arial"/>
          <w:i/>
          <w:iCs/>
        </w:rPr>
        <w:t>What is HbA1c?</w:t>
      </w:r>
      <w:r w:rsidRPr="00EF5909">
        <w:rPr>
          <w:rFonts w:ascii="Arial" w:hAnsi="Arial" w:cs="Arial"/>
        </w:rPr>
        <w:t xml:space="preserve"> Diabetes UK. Available at: </w:t>
      </w:r>
      <w:hyperlink r:id="rId17" w:history="1">
        <w:r w:rsidRPr="00EF5909">
          <w:rPr>
            <w:rStyle w:val="Hyperlink"/>
            <w:rFonts w:ascii="Arial" w:hAnsi="Arial" w:cs="Arial"/>
            <w:color w:val="auto"/>
          </w:rPr>
          <w:t>https://www.diabetes.org.uk/about-diabetes/looking-after-diabetes/hba1c</w:t>
        </w:r>
      </w:hyperlink>
      <w:r w:rsidRPr="00EF5909">
        <w:rPr>
          <w:rFonts w:ascii="Arial" w:hAnsi="Arial" w:cs="Arial"/>
        </w:rPr>
        <w:t xml:space="preserve">. Accessed: 3 October 2026. </w:t>
      </w:r>
    </w:p>
    <w:p w14:paraId="5A57CCB8" w14:textId="07F834EA" w:rsidR="003A0044" w:rsidRPr="00EF5909" w:rsidRDefault="003A0044" w:rsidP="00EF5909">
      <w:pPr>
        <w:spacing w:line="360" w:lineRule="auto"/>
        <w:rPr>
          <w:rFonts w:ascii="Arial" w:hAnsi="Arial" w:cs="Arial"/>
        </w:rPr>
      </w:pPr>
      <w:r w:rsidRPr="00EF5909">
        <w:rPr>
          <w:rFonts w:ascii="Arial" w:hAnsi="Arial" w:cs="Arial"/>
        </w:rPr>
        <w:t xml:space="preserve">Diabetes UK (2020). </w:t>
      </w:r>
      <w:r w:rsidRPr="00EF5909">
        <w:rPr>
          <w:rFonts w:ascii="Arial" w:hAnsi="Arial" w:cs="Arial"/>
          <w:i/>
          <w:iCs/>
        </w:rPr>
        <w:t>Ethnicity and type 2 diabetes</w:t>
      </w:r>
      <w:r w:rsidRPr="00EF5909">
        <w:rPr>
          <w:rFonts w:ascii="Arial" w:hAnsi="Arial" w:cs="Arial"/>
        </w:rPr>
        <w:t>.</w:t>
      </w:r>
      <w:r w:rsidR="007E6774" w:rsidRPr="00EF5909">
        <w:rPr>
          <w:rFonts w:ascii="Arial" w:hAnsi="Arial" w:cs="Arial"/>
        </w:rPr>
        <w:t xml:space="preserve"> </w:t>
      </w:r>
      <w:r w:rsidRPr="00EF5909">
        <w:rPr>
          <w:rFonts w:ascii="Arial" w:hAnsi="Arial" w:cs="Arial"/>
        </w:rPr>
        <w:t xml:space="preserve">Diabetes UK. Available at: </w:t>
      </w:r>
      <w:hyperlink r:id="rId18" w:history="1">
        <w:r w:rsidR="007E6774" w:rsidRPr="00EF5909">
          <w:rPr>
            <w:rStyle w:val="Hyperlink"/>
            <w:rFonts w:ascii="Arial" w:hAnsi="Arial" w:cs="Arial"/>
            <w:color w:val="auto"/>
          </w:rPr>
          <w:t>https://www.diabetes.org.uk/about-diabetes/type-2-diabetes/diabetes-ethnicity</w:t>
        </w:r>
      </w:hyperlink>
      <w:r w:rsidR="007E6774" w:rsidRPr="00EF5909">
        <w:rPr>
          <w:rFonts w:ascii="Arial" w:hAnsi="Arial" w:cs="Arial"/>
        </w:rPr>
        <w:t xml:space="preserve">. </w:t>
      </w:r>
      <w:r w:rsidRPr="00EF5909">
        <w:rPr>
          <w:rFonts w:ascii="Arial" w:hAnsi="Arial" w:cs="Arial"/>
        </w:rPr>
        <w:t>Accessed</w:t>
      </w:r>
      <w:r w:rsidR="007E6774" w:rsidRPr="00EF5909">
        <w:rPr>
          <w:rFonts w:ascii="Arial" w:hAnsi="Arial" w:cs="Arial"/>
        </w:rPr>
        <w:t xml:space="preserve">: </w:t>
      </w:r>
      <w:r w:rsidRPr="00EF5909">
        <w:rPr>
          <w:rFonts w:ascii="Arial" w:hAnsi="Arial" w:cs="Arial"/>
        </w:rPr>
        <w:t>3 Oct</w:t>
      </w:r>
      <w:r w:rsidR="007E6774" w:rsidRPr="00EF5909">
        <w:rPr>
          <w:rFonts w:ascii="Arial" w:hAnsi="Arial" w:cs="Arial"/>
        </w:rPr>
        <w:t>ober</w:t>
      </w:r>
      <w:r w:rsidRPr="00EF5909">
        <w:rPr>
          <w:rFonts w:ascii="Arial" w:hAnsi="Arial" w:cs="Arial"/>
        </w:rPr>
        <w:t xml:space="preserve"> 2026</w:t>
      </w:r>
      <w:r w:rsidR="007E6774" w:rsidRPr="00EF5909">
        <w:rPr>
          <w:rFonts w:ascii="Arial" w:hAnsi="Arial" w:cs="Arial"/>
        </w:rPr>
        <w:t>.</w:t>
      </w:r>
    </w:p>
    <w:p w14:paraId="3E2BEAB7" w14:textId="10D56B87" w:rsidR="00797766" w:rsidRPr="00EF5909" w:rsidRDefault="008F33AA" w:rsidP="00EF5909">
      <w:pPr>
        <w:spacing w:line="360" w:lineRule="auto"/>
        <w:rPr>
          <w:rFonts w:ascii="Arial" w:hAnsi="Arial" w:cs="Arial"/>
        </w:rPr>
      </w:pPr>
      <w:r w:rsidRPr="00EF5909">
        <w:rPr>
          <w:rFonts w:ascii="Arial" w:hAnsi="Arial" w:cs="Arial"/>
        </w:rPr>
        <w:t xml:space="preserve">Diabetes UK (2021). </w:t>
      </w:r>
      <w:r w:rsidRPr="00EF5909">
        <w:rPr>
          <w:rFonts w:ascii="Arial" w:hAnsi="Arial" w:cs="Arial"/>
          <w:i/>
          <w:iCs/>
        </w:rPr>
        <w:t>Supporting someone with diabetes</w:t>
      </w:r>
      <w:r w:rsidRPr="00EF5909">
        <w:rPr>
          <w:rFonts w:ascii="Arial" w:hAnsi="Arial" w:cs="Arial"/>
        </w:rPr>
        <w:t xml:space="preserve">. Diabetes UK. Available at: </w:t>
      </w:r>
      <w:hyperlink r:id="rId19" w:history="1">
        <w:r w:rsidRPr="00EF5909">
          <w:rPr>
            <w:rStyle w:val="Hyperlink"/>
            <w:rFonts w:ascii="Arial" w:hAnsi="Arial" w:cs="Arial"/>
            <w:color w:val="auto"/>
          </w:rPr>
          <w:t>https://www.diabetes.org.uk/living-with-diabetes/supporting-someone-with-diabetes</w:t>
        </w:r>
      </w:hyperlink>
      <w:r w:rsidRPr="00EF5909">
        <w:rPr>
          <w:rFonts w:ascii="Arial" w:hAnsi="Arial" w:cs="Arial"/>
        </w:rPr>
        <w:t>. Accessed 3 October 2026.</w:t>
      </w:r>
    </w:p>
    <w:p w14:paraId="41D46F81" w14:textId="0B948F65" w:rsidR="004F3ACE" w:rsidRPr="00EF5909" w:rsidRDefault="004F3ACE" w:rsidP="00EF5909">
      <w:pPr>
        <w:spacing w:line="360" w:lineRule="auto"/>
        <w:rPr>
          <w:rFonts w:ascii="Arial" w:hAnsi="Arial" w:cs="Arial"/>
        </w:rPr>
      </w:pPr>
      <w:r w:rsidRPr="00EF5909">
        <w:rPr>
          <w:rFonts w:ascii="Arial" w:hAnsi="Arial" w:cs="Arial"/>
        </w:rPr>
        <w:t xml:space="preserve">Diabetes UK (2023). </w:t>
      </w:r>
      <w:r w:rsidRPr="00EF5909">
        <w:rPr>
          <w:rFonts w:ascii="Arial" w:hAnsi="Arial" w:cs="Arial"/>
          <w:i/>
          <w:iCs/>
        </w:rPr>
        <w:t>How Many People in the UK Have diabetes?</w:t>
      </w:r>
      <w:r w:rsidRPr="00EF5909">
        <w:rPr>
          <w:rFonts w:ascii="Arial" w:hAnsi="Arial" w:cs="Arial"/>
        </w:rPr>
        <w:t xml:space="preserve">  Diabetes UK. Available at: </w:t>
      </w:r>
      <w:hyperlink r:id="rId20" w:history="1">
        <w:r w:rsidRPr="00EF5909">
          <w:rPr>
            <w:rStyle w:val="Hyperlink"/>
            <w:rFonts w:ascii="Arial" w:hAnsi="Arial" w:cs="Arial"/>
            <w:color w:val="auto"/>
          </w:rPr>
          <w:t>https://www.diabetes.org.uk/about-us/about-the-charity/our-strategy/statistics</w:t>
        </w:r>
      </w:hyperlink>
      <w:r w:rsidRPr="00EF5909">
        <w:rPr>
          <w:rFonts w:ascii="Arial" w:hAnsi="Arial" w:cs="Arial"/>
        </w:rPr>
        <w:t xml:space="preserve">. Accessed: 3 October 2026. </w:t>
      </w:r>
    </w:p>
    <w:p w14:paraId="51954BB2" w14:textId="2FA2302E" w:rsidR="00797766" w:rsidRPr="00EF5909" w:rsidRDefault="00797766" w:rsidP="00EF5909">
      <w:pPr>
        <w:spacing w:line="360" w:lineRule="auto"/>
        <w:rPr>
          <w:rFonts w:ascii="Arial" w:hAnsi="Arial" w:cs="Arial"/>
        </w:rPr>
      </w:pPr>
      <w:r w:rsidRPr="00EF5909">
        <w:rPr>
          <w:rFonts w:ascii="Arial" w:hAnsi="Arial" w:cs="Arial"/>
        </w:rPr>
        <w:t xml:space="preserve">Diabetes UK. (2024). </w:t>
      </w:r>
      <w:r w:rsidRPr="00EF5909">
        <w:rPr>
          <w:rFonts w:ascii="Arial" w:hAnsi="Arial" w:cs="Arial"/>
          <w:i/>
          <w:iCs/>
        </w:rPr>
        <w:t>End of Life Care (June 2024)</w:t>
      </w:r>
      <w:r w:rsidRPr="00EF5909">
        <w:rPr>
          <w:rFonts w:ascii="Arial" w:hAnsi="Arial" w:cs="Arial"/>
        </w:rPr>
        <w:t xml:space="preserve">. Available at: </w:t>
      </w:r>
      <w:hyperlink r:id="rId21" w:history="1">
        <w:r w:rsidRPr="00EF5909">
          <w:rPr>
            <w:rStyle w:val="Hyperlink"/>
            <w:rFonts w:ascii="Arial" w:hAnsi="Arial" w:cs="Arial"/>
            <w:color w:val="auto"/>
          </w:rPr>
          <w:t>https://www.diabetes.org.uk/for-professionals/improving-care/clinical-recommendations-for-professionals/diagnosis-ongoing-management-monitoring/end-of-life-care</w:t>
        </w:r>
      </w:hyperlink>
      <w:r w:rsidRPr="00EF5909">
        <w:rPr>
          <w:rFonts w:ascii="Arial" w:hAnsi="Arial" w:cs="Arial"/>
        </w:rPr>
        <w:t>. Accessed 4 October 2026.</w:t>
      </w:r>
    </w:p>
    <w:p w14:paraId="725BF647" w14:textId="5AECF042" w:rsidR="00797766" w:rsidRPr="00EF5909" w:rsidRDefault="00797766" w:rsidP="00EF5909">
      <w:pPr>
        <w:spacing w:line="360" w:lineRule="auto"/>
        <w:rPr>
          <w:rFonts w:ascii="Arial" w:hAnsi="Arial" w:cs="Arial"/>
        </w:rPr>
      </w:pPr>
      <w:r w:rsidRPr="00EF5909">
        <w:rPr>
          <w:rFonts w:ascii="Arial" w:hAnsi="Arial" w:cs="Arial"/>
        </w:rPr>
        <w:t xml:space="preserve">Dunning, T.L. (2020). Palliative and End-of-Life Care: Vital Aspects of Holistic Diabetes Care of Older People with Diabetes. </w:t>
      </w:r>
      <w:r w:rsidRPr="00EF5909">
        <w:rPr>
          <w:rFonts w:ascii="Arial" w:hAnsi="Arial" w:cs="Arial"/>
          <w:i/>
          <w:iCs/>
        </w:rPr>
        <w:t>Diabetes Spectrum</w:t>
      </w:r>
      <w:r w:rsidRPr="00EF5909">
        <w:rPr>
          <w:rFonts w:ascii="Arial" w:hAnsi="Arial" w:cs="Arial"/>
        </w:rPr>
        <w:t>,  33(3), pp.246–254. doi:10.2337/ds20-0014. Accessed: 4 October 2026.</w:t>
      </w:r>
    </w:p>
    <w:p w14:paraId="386825B0" w14:textId="17B78216" w:rsidR="00D3294A" w:rsidRPr="00EF5909" w:rsidRDefault="00D3294A" w:rsidP="00EF5909">
      <w:pPr>
        <w:spacing w:line="360" w:lineRule="auto"/>
        <w:rPr>
          <w:rFonts w:ascii="Arial" w:hAnsi="Arial" w:cs="Arial"/>
        </w:rPr>
      </w:pPr>
      <w:r w:rsidRPr="00EF5909">
        <w:rPr>
          <w:rFonts w:ascii="Arial" w:hAnsi="Arial" w:cs="Arial"/>
        </w:rPr>
        <w:t xml:space="preserve">Entwistle, V.A., Carter, S.M., Cribb, A. and McCaffery, K. (2020). Supporting patient autonomy: The importance of clinician-patient relationships. </w:t>
      </w:r>
      <w:r w:rsidRPr="00EF5909">
        <w:rPr>
          <w:rFonts w:ascii="Arial" w:hAnsi="Arial" w:cs="Arial"/>
          <w:i/>
          <w:iCs/>
        </w:rPr>
        <w:t>Journal of General Internal Medicine</w:t>
      </w:r>
      <w:r w:rsidRPr="00EF5909">
        <w:rPr>
          <w:rFonts w:ascii="Arial" w:hAnsi="Arial" w:cs="Arial"/>
        </w:rPr>
        <w:t>, 25(7), pp.741–745. doi:https://doi.org/10.1007/s11606-010-1292-2. Accessed: 4 October 2026.</w:t>
      </w:r>
    </w:p>
    <w:p w14:paraId="18CEACB8" w14:textId="454465B9" w:rsidR="009A35EB" w:rsidRPr="00EF5909" w:rsidRDefault="009A35EB" w:rsidP="00EF5909">
      <w:pPr>
        <w:spacing w:line="360" w:lineRule="auto"/>
        <w:rPr>
          <w:rFonts w:ascii="Arial" w:hAnsi="Arial" w:cs="Arial"/>
        </w:rPr>
      </w:pPr>
      <w:r w:rsidRPr="00EF5909">
        <w:rPr>
          <w:rFonts w:ascii="Arial" w:hAnsi="Arial" w:cs="Arial"/>
        </w:rPr>
        <w:t xml:space="preserve">Evans, M., Morgan, A.R., Patel, D., Dhatariya, K., Greenwood, S., Newland-Jones, P., Hicks, D., Yousef, Z., Moore, J., Kelly, B., Davies, S. and Dashora, U. (2020). Risk Prediction of the Diabetes Missing Million: Identifying Individuals at High Risk of Diabetes and Related Complications. </w:t>
      </w:r>
      <w:r w:rsidRPr="00EF5909">
        <w:rPr>
          <w:rFonts w:ascii="Arial" w:hAnsi="Arial" w:cs="Arial"/>
          <w:i/>
          <w:iCs/>
        </w:rPr>
        <w:t>Diabetes Therapy</w:t>
      </w:r>
      <w:r w:rsidRPr="00EF5909">
        <w:rPr>
          <w:rFonts w:ascii="Arial" w:hAnsi="Arial" w:cs="Arial"/>
        </w:rPr>
        <w:t xml:space="preserve">, 12(1), pp.87–105. doi:10.1007/s13300-020-00963-2. Accessed: 3 October 2026. </w:t>
      </w:r>
    </w:p>
    <w:p w14:paraId="132E6649" w14:textId="54554757" w:rsidR="00F12A7D" w:rsidRPr="00EF5909" w:rsidRDefault="00F12A7D" w:rsidP="00EF5909">
      <w:pPr>
        <w:spacing w:line="360" w:lineRule="auto"/>
        <w:rPr>
          <w:rFonts w:ascii="Arial" w:hAnsi="Arial" w:cs="Arial"/>
        </w:rPr>
      </w:pPr>
      <w:r w:rsidRPr="00EF5909">
        <w:rPr>
          <w:rFonts w:ascii="Arial" w:hAnsi="Arial" w:cs="Arial"/>
        </w:rPr>
        <w:t xml:space="preserve">Fanelli, G., Raschi, E., Hafez, G., Matura, S., Schiweck, C., Poluzzi, E. and Lunghi, C. (2025). The interface of depression and diabetes: treatment considerations. </w:t>
      </w:r>
      <w:r w:rsidRPr="00EF5909">
        <w:rPr>
          <w:rFonts w:ascii="Arial" w:hAnsi="Arial" w:cs="Arial"/>
          <w:i/>
          <w:iCs/>
        </w:rPr>
        <w:t>Translational Psychiatry</w:t>
      </w:r>
      <w:r w:rsidRPr="00EF5909">
        <w:rPr>
          <w:rFonts w:ascii="Arial" w:hAnsi="Arial" w:cs="Arial"/>
        </w:rPr>
        <w:t xml:space="preserve">, 15(1). doi:10.1038/s41398-025-03234-5. Accessed: 3 October 2026. </w:t>
      </w:r>
    </w:p>
    <w:p w14:paraId="19E33B4A" w14:textId="6EF3B07E" w:rsidR="0058755A" w:rsidRPr="00EF5909" w:rsidRDefault="0058755A" w:rsidP="00EF5909">
      <w:pPr>
        <w:spacing w:line="360" w:lineRule="auto"/>
        <w:rPr>
          <w:rFonts w:ascii="Arial" w:hAnsi="Arial" w:cs="Arial"/>
        </w:rPr>
      </w:pPr>
      <w:r w:rsidRPr="00EF5909">
        <w:rPr>
          <w:rFonts w:ascii="Arial" w:hAnsi="Arial" w:cs="Arial"/>
        </w:rPr>
        <w:t xml:space="preserve">Gee, P.M., Greenwood, D.A., Paterniti, D.A., Ward, D. and Miller, L.M.S. (2015). The eHealth enhanced chronic care model: A theory derivation approach. </w:t>
      </w:r>
      <w:r w:rsidRPr="00EF5909">
        <w:rPr>
          <w:rFonts w:ascii="Arial" w:hAnsi="Arial" w:cs="Arial"/>
          <w:i/>
          <w:iCs/>
        </w:rPr>
        <w:t>Journal of Medical Internet Research</w:t>
      </w:r>
      <w:r w:rsidRPr="00EF5909">
        <w:rPr>
          <w:rFonts w:ascii="Arial" w:hAnsi="Arial" w:cs="Arial"/>
        </w:rPr>
        <w:t xml:space="preserve">, 17(4), p.e86. doi:10.2196/jmir.4067. Accessed: 17 October 2026. </w:t>
      </w:r>
    </w:p>
    <w:p w14:paraId="480E59AD" w14:textId="366630CB" w:rsidR="003A0044" w:rsidRPr="00EF5909" w:rsidRDefault="003A0044" w:rsidP="00EF5909">
      <w:pPr>
        <w:spacing w:line="360" w:lineRule="auto"/>
        <w:rPr>
          <w:rFonts w:ascii="Arial" w:hAnsi="Arial" w:cs="Arial"/>
        </w:rPr>
      </w:pPr>
      <w:r w:rsidRPr="00EF5909">
        <w:rPr>
          <w:rFonts w:ascii="Arial" w:hAnsi="Arial" w:cs="Arial"/>
        </w:rPr>
        <w:t xml:space="preserve">Godsey, T.J., Eden, T. and Emerson, S.R. (2025). Ultra-Processed Foods and Metabolic Dysfunction: A Narrative Review of Dietary Processing, Behavioral Drivers and Chronic Disease Risk. </w:t>
      </w:r>
      <w:r w:rsidRPr="00EF5909">
        <w:rPr>
          <w:rFonts w:ascii="Arial" w:hAnsi="Arial" w:cs="Arial"/>
          <w:i/>
          <w:iCs/>
        </w:rPr>
        <w:t>Metabolites</w:t>
      </w:r>
      <w:r w:rsidRPr="00EF5909">
        <w:rPr>
          <w:rFonts w:ascii="Arial" w:hAnsi="Arial" w:cs="Arial"/>
        </w:rPr>
        <w:t xml:space="preserve">, 15(12), p.784. doi:10.3390/metabo15120784. Accessed: 3 October 2026. </w:t>
      </w:r>
    </w:p>
    <w:p w14:paraId="71C53FAF" w14:textId="4A84B918" w:rsidR="001665B0" w:rsidRPr="00EF5909" w:rsidRDefault="001665B0" w:rsidP="00EF5909">
      <w:pPr>
        <w:spacing w:line="360" w:lineRule="auto"/>
        <w:rPr>
          <w:rFonts w:ascii="Arial" w:hAnsi="Arial" w:cs="Arial"/>
        </w:rPr>
      </w:pPr>
      <w:r w:rsidRPr="00EF5909">
        <w:rPr>
          <w:rFonts w:ascii="Arial" w:hAnsi="Arial" w:cs="Arial"/>
        </w:rPr>
        <w:t xml:space="preserve">Ghiyasvandian, S., Shahsavari, H., Matourypour, P. and Golestannejad, M.R. (2021). Integrated Care model: Transition from acute to chronic care. </w:t>
      </w:r>
      <w:r w:rsidRPr="00EF5909">
        <w:rPr>
          <w:rFonts w:ascii="Arial" w:hAnsi="Arial" w:cs="Arial"/>
          <w:i/>
          <w:iCs/>
        </w:rPr>
        <w:t>Revista Brasileira de Enfermagem</w:t>
      </w:r>
      <w:r w:rsidRPr="00EF5909">
        <w:rPr>
          <w:rFonts w:ascii="Arial" w:hAnsi="Arial" w:cs="Arial"/>
        </w:rPr>
        <w:t xml:space="preserve">, 74(suppl 5). doi:10.1590/0034-7167-2020-0910. Accessed: 3 October 2026. </w:t>
      </w:r>
    </w:p>
    <w:p w14:paraId="71B0FAA4" w14:textId="339CC60E" w:rsidR="00797766" w:rsidRPr="00EF5909" w:rsidRDefault="00797766" w:rsidP="00EF5909">
      <w:pPr>
        <w:spacing w:line="360" w:lineRule="auto"/>
        <w:rPr>
          <w:rFonts w:ascii="Arial" w:hAnsi="Arial" w:cs="Arial"/>
        </w:rPr>
      </w:pPr>
      <w:r w:rsidRPr="00EF5909">
        <w:rPr>
          <w:rFonts w:ascii="Arial" w:hAnsi="Arial" w:cs="Arial"/>
        </w:rPr>
        <w:t xml:space="preserve">Goff, L.M., Moore, A., Harding, S. and Rivas, C. (2020). Providing culturally sensitive diabetes self-management education and support for black African and Caribbean communities: a qualitative exploration of the challenges experienced by healthcare practitioners in inner London. </w:t>
      </w:r>
      <w:r w:rsidRPr="00EF5909">
        <w:rPr>
          <w:rFonts w:ascii="Arial" w:hAnsi="Arial" w:cs="Arial"/>
          <w:i/>
          <w:iCs/>
        </w:rPr>
        <w:t>BMJ Open Diabetes Research and Care</w:t>
      </w:r>
      <w:r w:rsidRPr="00EF5909">
        <w:rPr>
          <w:rFonts w:ascii="Arial" w:hAnsi="Arial" w:cs="Arial"/>
        </w:rPr>
        <w:t xml:space="preserve">, 8(2), p.e001818. doi:10.1136/bmjdrc-2020-001818. Accessed: 4 October 2026. </w:t>
      </w:r>
    </w:p>
    <w:p w14:paraId="33473A65" w14:textId="658C3A44" w:rsidR="00516B93" w:rsidRPr="00EF5909" w:rsidRDefault="00516B93" w:rsidP="00EF5909">
      <w:pPr>
        <w:spacing w:line="360" w:lineRule="auto"/>
        <w:rPr>
          <w:rFonts w:ascii="Arial" w:hAnsi="Arial" w:cs="Arial"/>
        </w:rPr>
      </w:pPr>
      <w:r w:rsidRPr="00EF5909">
        <w:rPr>
          <w:rFonts w:ascii="Arial" w:hAnsi="Arial" w:cs="Arial"/>
        </w:rPr>
        <w:t xml:space="preserve">Goh, L.H., Siah, C.J.R., Tam, W.W.S., Tai, E.S. and Young, D.Y.L. (2022). Effectiveness of the chronic care model for adults with type 2 diabetes in primary care: a systematic review and meta-analysis. </w:t>
      </w:r>
      <w:r w:rsidRPr="00EF5909">
        <w:rPr>
          <w:rFonts w:ascii="Arial" w:hAnsi="Arial" w:cs="Arial"/>
          <w:i/>
          <w:iCs/>
        </w:rPr>
        <w:t>Systematic Reviews</w:t>
      </w:r>
      <w:r w:rsidRPr="00EF5909">
        <w:rPr>
          <w:rFonts w:ascii="Arial" w:hAnsi="Arial" w:cs="Arial"/>
        </w:rPr>
        <w:t>, 11(1), p.273. doi:10.1186/s13643-022-02117-w. Accessed: 3 October 2026.</w:t>
      </w:r>
    </w:p>
    <w:p w14:paraId="49A2111E" w14:textId="1A69C0CC" w:rsidR="00B258B3" w:rsidRPr="00EF5909" w:rsidRDefault="00B258B3" w:rsidP="00EF5909">
      <w:pPr>
        <w:spacing w:line="360" w:lineRule="auto"/>
        <w:rPr>
          <w:rFonts w:ascii="Arial" w:hAnsi="Arial" w:cs="Arial"/>
        </w:rPr>
      </w:pPr>
      <w:r w:rsidRPr="00EF5909">
        <w:rPr>
          <w:rFonts w:ascii="Arial" w:hAnsi="Arial" w:cs="Arial"/>
        </w:rPr>
        <w:t xml:space="preserve">Gunn, L.H., Vamos, E.P., Majeed, A., Normahani, P., Jaffer, U., Molina, G., Valabhji, J. and McKay, A.J. (2021). Associations between attainment of incentivized primary care indicators and incident lower limb amputation among those with type 2 diabetes: a population-based historical cohort study. </w:t>
      </w:r>
      <w:r w:rsidRPr="00EF5909">
        <w:rPr>
          <w:rFonts w:ascii="Arial" w:hAnsi="Arial" w:cs="Arial"/>
          <w:i/>
          <w:iCs/>
        </w:rPr>
        <w:t>BMJ Open Diabetes Research &amp; Care</w:t>
      </w:r>
      <w:r w:rsidRPr="00EF5909">
        <w:rPr>
          <w:rFonts w:ascii="Arial" w:hAnsi="Arial" w:cs="Arial"/>
        </w:rPr>
        <w:t xml:space="preserve">, 9(1), p.e002069. doi:10.1136/bmjdrc-2020-002069. Accessed: 3 October 2026. </w:t>
      </w:r>
    </w:p>
    <w:p w14:paraId="2D8A38F7" w14:textId="32E3C8D6" w:rsidR="008F33AA" w:rsidRPr="00EF5909" w:rsidRDefault="008F33AA" w:rsidP="00EF5909">
      <w:pPr>
        <w:spacing w:line="360" w:lineRule="auto"/>
        <w:rPr>
          <w:rFonts w:ascii="Arial" w:hAnsi="Arial" w:cs="Arial"/>
        </w:rPr>
      </w:pPr>
      <w:r w:rsidRPr="00EF5909">
        <w:rPr>
          <w:rFonts w:ascii="Arial" w:hAnsi="Arial" w:cs="Arial"/>
        </w:rPr>
        <w:t xml:space="preserve">Harper, K.J., Osborn, C.Y. and Mayberry, L.S. (2018). Patient-perceived family stigma of type 2 diabetes and its consequences. </w:t>
      </w:r>
      <w:r w:rsidRPr="00EF5909">
        <w:rPr>
          <w:rFonts w:ascii="Arial" w:hAnsi="Arial" w:cs="Arial"/>
          <w:i/>
          <w:iCs/>
        </w:rPr>
        <w:t>Families, Systems, &amp; Health</w:t>
      </w:r>
      <w:r w:rsidRPr="00EF5909">
        <w:rPr>
          <w:rFonts w:ascii="Arial" w:hAnsi="Arial" w:cs="Arial"/>
        </w:rPr>
        <w:t xml:space="preserve">, 36(1), pp.113–117. doi:10.1037/fsh0000316. Accessed: 3 October 2026. </w:t>
      </w:r>
    </w:p>
    <w:p w14:paraId="36DD327D" w14:textId="04D2D59D" w:rsidR="00B258B3" w:rsidRPr="00EF5909" w:rsidRDefault="00B258B3" w:rsidP="00EF5909">
      <w:pPr>
        <w:spacing w:line="360" w:lineRule="auto"/>
        <w:rPr>
          <w:rFonts w:ascii="Arial" w:hAnsi="Arial" w:cs="Arial"/>
        </w:rPr>
      </w:pPr>
      <w:r w:rsidRPr="00EF5909">
        <w:rPr>
          <w:rFonts w:ascii="Arial" w:hAnsi="Arial" w:cs="Arial"/>
        </w:rPr>
        <w:t>Hartmann</w:t>
      </w:r>
      <w:r w:rsidRPr="00EF5909">
        <w:rPr>
          <w:rFonts w:ascii="Cambria Math" w:hAnsi="Cambria Math" w:cs="Cambria Math"/>
        </w:rPr>
        <w:t>‐</w:t>
      </w:r>
      <w:r w:rsidRPr="00EF5909">
        <w:rPr>
          <w:rFonts w:ascii="Arial" w:hAnsi="Arial" w:cs="Arial"/>
        </w:rPr>
        <w:t>Boyce, J., Cobiac, L.J., Theodoulou, A., Oke, J.L., Butler, A.R., Scarborough, P., Bastounis, A., Dunnigan, A., Byadya, R., Hobbs, F.D.R., Sniehotta, F.F., Amies</w:t>
      </w:r>
      <w:r w:rsidRPr="00EF5909">
        <w:rPr>
          <w:rFonts w:ascii="Cambria Math" w:hAnsi="Cambria Math" w:cs="Cambria Math"/>
        </w:rPr>
        <w:t>‐</w:t>
      </w:r>
      <w:r w:rsidRPr="00EF5909">
        <w:rPr>
          <w:rFonts w:ascii="Arial" w:hAnsi="Arial" w:cs="Arial"/>
        </w:rPr>
        <w:t xml:space="preserve">Cull, B., Aveyard, P. and Jebb, S.A. (2022). Weight regain after behavioural weight management programmes and its impact on quality of life and cost effectiveness: Evidence synthesis and health economic analyses. </w:t>
      </w:r>
      <w:r w:rsidRPr="00EF5909">
        <w:rPr>
          <w:rFonts w:ascii="Arial" w:hAnsi="Arial" w:cs="Arial"/>
          <w:i/>
          <w:iCs/>
        </w:rPr>
        <w:t>Diabetes, Obesity and Metabolism</w:t>
      </w:r>
      <w:r w:rsidRPr="00EF5909">
        <w:rPr>
          <w:rFonts w:ascii="Arial" w:hAnsi="Arial" w:cs="Arial"/>
        </w:rPr>
        <w:t xml:space="preserve">, 25(2), pp.526–535. doi:10.1111/dom.14895. Accessed: 3 October 2026. </w:t>
      </w:r>
    </w:p>
    <w:p w14:paraId="1DD89398" w14:textId="79CE59C1" w:rsidR="004A23CE" w:rsidRPr="00EF5909" w:rsidRDefault="004A23CE" w:rsidP="00EF5909">
      <w:pPr>
        <w:spacing w:line="360" w:lineRule="auto"/>
        <w:rPr>
          <w:rFonts w:ascii="Arial" w:hAnsi="Arial" w:cs="Arial"/>
        </w:rPr>
      </w:pPr>
      <w:r w:rsidRPr="00EF5909">
        <w:rPr>
          <w:rFonts w:ascii="Arial" w:hAnsi="Arial" w:cs="Arial"/>
        </w:rPr>
        <w:t xml:space="preserve">Heald, A.H., Roberts, S., Gimeno, L.A., Gibson, J.M., Anuj Saboo and Abraham, J. (2023). Enhancing type 2 diabetes treatment through digital plans of care. Patterns of access to a care-planning app over the first 3 months of a digital health intervention. </w:t>
      </w:r>
      <w:r w:rsidRPr="00EF5909">
        <w:rPr>
          <w:rFonts w:ascii="Arial" w:hAnsi="Arial" w:cs="Arial"/>
          <w:i/>
          <w:iCs/>
        </w:rPr>
        <w:t>Cardiovascular Endocrinology &amp; Metabolism</w:t>
      </w:r>
      <w:r w:rsidRPr="00EF5909">
        <w:rPr>
          <w:rFonts w:ascii="Arial" w:hAnsi="Arial" w:cs="Arial"/>
        </w:rPr>
        <w:t xml:space="preserve">, 12(2). doi:10.1097/xce.0000000000000283. Accessed: 4 October 2026. </w:t>
      </w:r>
    </w:p>
    <w:p w14:paraId="5B0B2F87" w14:textId="7D928581" w:rsidR="009B0383" w:rsidRPr="00EF5909" w:rsidRDefault="009B0383" w:rsidP="00EF5909">
      <w:pPr>
        <w:spacing w:line="360" w:lineRule="auto"/>
        <w:rPr>
          <w:rFonts w:ascii="Arial" w:hAnsi="Arial" w:cs="Arial"/>
        </w:rPr>
      </w:pPr>
      <w:r w:rsidRPr="00EF5909">
        <w:rPr>
          <w:rFonts w:ascii="Arial" w:hAnsi="Arial" w:cs="Arial"/>
        </w:rPr>
        <w:t xml:space="preserve">Hill, J. (2013). Understanding the Social Factors That Contribute to Diabetes: A Means to Informing Health Care and Social Policies for the Chronically Ill. </w:t>
      </w:r>
      <w:r w:rsidRPr="00EF5909">
        <w:rPr>
          <w:rFonts w:ascii="Arial" w:hAnsi="Arial" w:cs="Arial"/>
          <w:i/>
          <w:iCs/>
        </w:rPr>
        <w:t>The Permanente Journal</w:t>
      </w:r>
      <w:r w:rsidRPr="00EF5909">
        <w:rPr>
          <w:rFonts w:ascii="Arial" w:hAnsi="Arial" w:cs="Arial"/>
        </w:rPr>
        <w:t xml:space="preserve">, 17(2), pp.67–72. doi:10.7812/tpp/12-099. Accessed: 3 October 2026. </w:t>
      </w:r>
    </w:p>
    <w:p w14:paraId="101B64A7" w14:textId="63D4CCB8" w:rsidR="004A23CE" w:rsidRPr="00EF5909" w:rsidRDefault="004A23CE" w:rsidP="00EF5909">
      <w:pPr>
        <w:spacing w:line="360" w:lineRule="auto"/>
        <w:rPr>
          <w:rFonts w:ascii="Arial" w:hAnsi="Arial" w:cs="Arial"/>
        </w:rPr>
      </w:pPr>
      <w:r w:rsidRPr="00EF5909">
        <w:rPr>
          <w:rFonts w:ascii="Arial" w:hAnsi="Arial" w:cs="Arial"/>
        </w:rPr>
        <w:t xml:space="preserve">Holmes, H. and Burgess, G. (2022). Digital exclusion and poverty in the UK: How structural inequality shapes experiences of getting online. </w:t>
      </w:r>
      <w:r w:rsidRPr="00EF5909">
        <w:rPr>
          <w:rFonts w:ascii="Arial" w:hAnsi="Arial" w:cs="Arial"/>
          <w:i/>
          <w:iCs/>
        </w:rPr>
        <w:t>Digital Geography and Society</w:t>
      </w:r>
      <w:r w:rsidRPr="00EF5909">
        <w:rPr>
          <w:rFonts w:ascii="Arial" w:hAnsi="Arial" w:cs="Arial"/>
        </w:rPr>
        <w:t xml:space="preserve">, 3(3), p.100041. doi:10.1016/j.diggeo.2022.100041. Accessed: 4 October 2026. </w:t>
      </w:r>
    </w:p>
    <w:p w14:paraId="2BE1F567" w14:textId="7A0E902F" w:rsidR="000021E1" w:rsidRPr="00EF5909" w:rsidRDefault="000021E1" w:rsidP="00EF5909">
      <w:pPr>
        <w:spacing w:line="360" w:lineRule="auto"/>
        <w:rPr>
          <w:rFonts w:ascii="Arial" w:hAnsi="Arial" w:cs="Arial"/>
        </w:rPr>
      </w:pPr>
      <w:r w:rsidRPr="00EF5909">
        <w:rPr>
          <w:rFonts w:ascii="Arial" w:hAnsi="Arial" w:cs="Arial"/>
        </w:rPr>
        <w:t xml:space="preserve">Iqbal, A. and Heller, S.R. (2017). The role of structured education in the management of hypoglycaemia. </w:t>
      </w:r>
      <w:r w:rsidRPr="00EF5909">
        <w:rPr>
          <w:rFonts w:ascii="Arial" w:hAnsi="Arial" w:cs="Arial"/>
          <w:i/>
          <w:iCs/>
        </w:rPr>
        <w:t>Diabetologia</w:t>
      </w:r>
      <w:r w:rsidRPr="00EF5909">
        <w:rPr>
          <w:rFonts w:ascii="Arial" w:hAnsi="Arial" w:cs="Arial"/>
        </w:rPr>
        <w:t xml:space="preserve">, 61(4), pp.751–760. doi:10.1007/s00125-017-4334-z. Accessed: 3 October 2026. </w:t>
      </w:r>
    </w:p>
    <w:p w14:paraId="75CEB4E2" w14:textId="114DACC0" w:rsidR="003747E7" w:rsidRPr="00EF5909" w:rsidRDefault="003747E7" w:rsidP="00EF5909">
      <w:pPr>
        <w:spacing w:line="360" w:lineRule="auto"/>
        <w:rPr>
          <w:rFonts w:ascii="Arial" w:hAnsi="Arial" w:cs="Arial"/>
        </w:rPr>
      </w:pPr>
      <w:r w:rsidRPr="00EF5909">
        <w:rPr>
          <w:rFonts w:ascii="Arial" w:hAnsi="Arial" w:cs="Arial"/>
        </w:rPr>
        <w:t xml:space="preserve">Lean, M.E., Leslie, W.S., Barnes, A.C., Brosnahan, N., Thom, G., McCombie, L., Peters, C., Zhyzhneuskaya, S., Al-Mrabeh, A., Hollingsworth, K.G., Rodrigues, A.M., Rehackova, L., Adamson, A.J., Sniehotta, F.F., Mathers, J.C., Ross, H.M., McIlvenna, Y., Stefanetti, R., Trenell, M., Welsh, P., Kean, S., Ford, I., McConnachie, A., Sattar, N. and Taylor, R. (2018). Primary care-led Weight Management for Remission of Type 2 Diabetes (DiRECT): an open-label, cluster-randomised Trial. </w:t>
      </w:r>
      <w:r w:rsidRPr="00EF5909">
        <w:rPr>
          <w:rFonts w:ascii="Arial" w:hAnsi="Arial" w:cs="Arial"/>
          <w:i/>
          <w:iCs/>
        </w:rPr>
        <w:t>The Lancet</w:t>
      </w:r>
      <w:r w:rsidRPr="00EF5909">
        <w:rPr>
          <w:rFonts w:ascii="Arial" w:hAnsi="Arial" w:cs="Arial"/>
        </w:rPr>
        <w:t xml:space="preserve">, 391(10120), pp.541–551. Accessed: 3 October 2026. </w:t>
      </w:r>
    </w:p>
    <w:p w14:paraId="5EF42723" w14:textId="30AB867D" w:rsidR="009B0383" w:rsidRPr="00EF5909" w:rsidRDefault="009B0383" w:rsidP="00EF5909">
      <w:pPr>
        <w:spacing w:line="360" w:lineRule="auto"/>
        <w:rPr>
          <w:rFonts w:ascii="Arial" w:hAnsi="Arial" w:cs="Arial"/>
        </w:rPr>
      </w:pPr>
      <w:r w:rsidRPr="00EF5909">
        <w:rPr>
          <w:rFonts w:ascii="Arial" w:hAnsi="Arial" w:cs="Arial"/>
        </w:rPr>
        <w:t xml:space="preserve">Liu, N.F., Brown, A.S., Folias, A.E., Younge, M.F., Guzman, S.J., Close, K.L. and Wood, R. (2017). Stigma in People with Type 1 or Type 2 Diabetes. </w:t>
      </w:r>
      <w:r w:rsidRPr="00EF5909">
        <w:rPr>
          <w:rFonts w:ascii="Arial" w:hAnsi="Arial" w:cs="Arial"/>
          <w:i/>
          <w:iCs/>
        </w:rPr>
        <w:t>Clinical Diabetes</w:t>
      </w:r>
      <w:r w:rsidRPr="00EF5909">
        <w:rPr>
          <w:rFonts w:ascii="Arial" w:hAnsi="Arial" w:cs="Arial"/>
        </w:rPr>
        <w:t xml:space="preserve">, 35(1), pp.27–34. doi:10.2337/cd16-0020. Accessed: 3 October 2026. </w:t>
      </w:r>
    </w:p>
    <w:p w14:paraId="7473E929" w14:textId="618C2AA7" w:rsidR="00C902C9" w:rsidRPr="00EF5909" w:rsidRDefault="00C902C9" w:rsidP="00EF5909">
      <w:pPr>
        <w:spacing w:line="360" w:lineRule="auto"/>
        <w:rPr>
          <w:rFonts w:ascii="Arial" w:hAnsi="Arial" w:cs="Arial"/>
        </w:rPr>
      </w:pPr>
      <w:r w:rsidRPr="00EF5909">
        <w:rPr>
          <w:rFonts w:ascii="Arial" w:hAnsi="Arial" w:cs="Arial"/>
        </w:rPr>
        <w:t xml:space="preserve">Madroumi, R., Newson, L., Umeh, F.K., Poole, H. and Jones, A. (2024). Identifying the key components of social support for patients living with type 2 diabetes: A protocol for a systematic review and meta-analysis of type 2 diabetes social support interventions. </w:t>
      </w:r>
      <w:r w:rsidRPr="00EF5909">
        <w:rPr>
          <w:rFonts w:ascii="Arial" w:hAnsi="Arial" w:cs="Arial"/>
          <w:i/>
          <w:iCs/>
        </w:rPr>
        <w:t>PLOS ONE</w:t>
      </w:r>
      <w:r w:rsidRPr="00EF5909">
        <w:rPr>
          <w:rFonts w:ascii="Arial" w:hAnsi="Arial" w:cs="Arial"/>
        </w:rPr>
        <w:t xml:space="preserve">, 19(8), p.e0306709. doi:10.1371/journal.pone.0306709. Accessed: 3 October 2026. </w:t>
      </w:r>
    </w:p>
    <w:p w14:paraId="6173321D" w14:textId="16421E5E" w:rsidR="00797766" w:rsidRPr="00EF5909" w:rsidRDefault="00797766" w:rsidP="00EF5909">
      <w:pPr>
        <w:spacing w:line="360" w:lineRule="auto"/>
        <w:rPr>
          <w:rFonts w:ascii="Arial" w:hAnsi="Arial" w:cs="Arial"/>
        </w:rPr>
      </w:pPr>
      <w:r w:rsidRPr="00EF5909">
        <w:rPr>
          <w:rFonts w:ascii="Arial" w:hAnsi="Arial" w:cs="Arial"/>
        </w:rPr>
        <w:t xml:space="preserve">Mannan, M., Afzal, A., Hafeez, U., Akbar, R. and Tahir, R. (2024). Innovative Approaches to Continuing Medical Education. </w:t>
      </w:r>
      <w:r w:rsidRPr="00EF5909">
        <w:rPr>
          <w:rFonts w:ascii="Arial" w:hAnsi="Arial" w:cs="Arial"/>
          <w:i/>
          <w:iCs/>
        </w:rPr>
        <w:t>Cureus</w:t>
      </w:r>
      <w:r w:rsidRPr="00EF5909">
        <w:rPr>
          <w:rFonts w:ascii="Arial" w:hAnsi="Arial" w:cs="Arial"/>
        </w:rPr>
        <w:t>. doi:10.7759/cureus.74638. Accessed: 4 October 2026.</w:t>
      </w:r>
    </w:p>
    <w:p w14:paraId="0A36C7DB" w14:textId="3F099161" w:rsidR="007E6774" w:rsidRPr="00EF5909" w:rsidRDefault="007E6774" w:rsidP="00EF5909">
      <w:pPr>
        <w:spacing w:line="360" w:lineRule="auto"/>
        <w:rPr>
          <w:rFonts w:ascii="Arial" w:hAnsi="Arial" w:cs="Arial"/>
        </w:rPr>
      </w:pPr>
      <w:r w:rsidRPr="00EF5909">
        <w:rPr>
          <w:rFonts w:ascii="Arial" w:hAnsi="Arial" w:cs="Arial"/>
        </w:rPr>
        <w:t xml:space="preserve">Marmot, M., Allen, J., Boyce, T., Goldblatt, P. and Morrison, J. (2020). </w:t>
      </w:r>
      <w:r w:rsidRPr="00EF5909">
        <w:rPr>
          <w:rFonts w:ascii="Arial" w:hAnsi="Arial" w:cs="Arial"/>
          <w:i/>
          <w:iCs/>
        </w:rPr>
        <w:t>Health Equity in England: the Marmot Review 10 Years On</w:t>
      </w:r>
      <w:r w:rsidRPr="00EF5909">
        <w:rPr>
          <w:rFonts w:ascii="Arial" w:hAnsi="Arial" w:cs="Arial"/>
        </w:rPr>
        <w:t xml:space="preserve">. Institute of Health Equity. Available at: </w:t>
      </w:r>
      <w:hyperlink r:id="rId22" w:history="1">
        <w:r w:rsidRPr="00EF5909">
          <w:rPr>
            <w:rStyle w:val="Hyperlink"/>
            <w:rFonts w:ascii="Arial" w:hAnsi="Arial" w:cs="Arial"/>
            <w:color w:val="auto"/>
          </w:rPr>
          <w:t>https://www.instituteofhealthequity.org/resources-reports/marmot-review-10-years-on/the-marmot-review-10-years-on-full-report.pdf</w:t>
        </w:r>
      </w:hyperlink>
      <w:r w:rsidRPr="00EF5909">
        <w:rPr>
          <w:rFonts w:ascii="Arial" w:hAnsi="Arial" w:cs="Arial"/>
        </w:rPr>
        <w:t>. Accessed: 3 October 2026.</w:t>
      </w:r>
    </w:p>
    <w:p w14:paraId="01B36F11" w14:textId="15123147" w:rsidR="00145358" w:rsidRPr="00EF5909" w:rsidRDefault="00145358" w:rsidP="00EF5909">
      <w:pPr>
        <w:spacing w:line="360" w:lineRule="auto"/>
        <w:rPr>
          <w:rFonts w:ascii="Arial" w:hAnsi="Arial" w:cs="Arial"/>
        </w:rPr>
      </w:pPr>
      <w:r w:rsidRPr="00EF5909">
        <w:rPr>
          <w:rFonts w:ascii="Arial" w:hAnsi="Arial" w:cs="Arial"/>
        </w:rPr>
        <w:t xml:space="preserve">McCoy, R.G., Lipska, K.J., Yao, X., Ross, J.S., Montori, V.M. and Shah, N. D (2016). </w:t>
      </w:r>
      <w:r w:rsidRPr="00EF5909">
        <w:rPr>
          <w:rFonts w:ascii="Arial" w:hAnsi="Arial" w:cs="Arial"/>
          <w:i/>
          <w:iCs/>
        </w:rPr>
        <w:t>Intensive Treatment and Severe Hypoglycemia Among Adults With Type 2 Diabetes</w:t>
      </w:r>
      <w:r w:rsidRPr="00EF5909">
        <w:rPr>
          <w:rFonts w:ascii="Arial" w:hAnsi="Arial" w:cs="Arial"/>
        </w:rPr>
        <w:t xml:space="preserve">. </w:t>
      </w:r>
      <w:r w:rsidRPr="00EF5909">
        <w:rPr>
          <w:rFonts w:ascii="Arial" w:hAnsi="Arial" w:cs="Arial"/>
          <w:i/>
          <w:iCs/>
        </w:rPr>
        <w:t>JAMA internal medicine</w:t>
      </w:r>
      <w:r w:rsidRPr="00EF5909">
        <w:rPr>
          <w:rFonts w:ascii="Arial" w:hAnsi="Arial" w:cs="Arial"/>
        </w:rPr>
        <w:t xml:space="preserve">, doi:10.1001/jamainternmed.2016.2275. Accessed: 3 October 2026. </w:t>
      </w:r>
    </w:p>
    <w:p w14:paraId="48D15930" w14:textId="121AE4E6" w:rsidR="00F12A7D" w:rsidRPr="00EF5909" w:rsidRDefault="00F12A7D" w:rsidP="00EF5909">
      <w:pPr>
        <w:spacing w:line="360" w:lineRule="auto"/>
        <w:rPr>
          <w:rFonts w:ascii="Arial" w:hAnsi="Arial" w:cs="Arial"/>
        </w:rPr>
      </w:pPr>
      <w:r w:rsidRPr="00EF5909">
        <w:rPr>
          <w:rFonts w:ascii="Arial" w:hAnsi="Arial" w:cs="Arial"/>
        </w:rPr>
        <w:t xml:space="preserve">Morales-Brown, L.A., Perez Algorta, G. and Salifu, Y. (2024). Understanding Experiences of Diabetes Distress: A Systematic Review and Thematic Synthesis. </w:t>
      </w:r>
      <w:r w:rsidRPr="00EF5909">
        <w:rPr>
          <w:rFonts w:ascii="Arial" w:hAnsi="Arial" w:cs="Arial"/>
          <w:i/>
          <w:iCs/>
        </w:rPr>
        <w:t>Journal of Diabetes Research</w:t>
      </w:r>
      <w:r w:rsidRPr="00EF5909">
        <w:rPr>
          <w:rFonts w:ascii="Arial" w:hAnsi="Arial" w:cs="Arial"/>
        </w:rPr>
        <w:t xml:space="preserve">, 2024(1). doi:10.1155/2024/3946553. Accessed: 3 October 2026. </w:t>
      </w:r>
    </w:p>
    <w:p w14:paraId="799EFAC0" w14:textId="7AAB4F4D" w:rsidR="00752453" w:rsidRPr="00EF5909" w:rsidRDefault="00752453" w:rsidP="00EF5909">
      <w:pPr>
        <w:spacing w:line="360" w:lineRule="auto"/>
        <w:rPr>
          <w:rFonts w:ascii="Arial" w:hAnsi="Arial" w:cs="Arial"/>
        </w:rPr>
      </w:pPr>
      <w:r w:rsidRPr="00EF5909">
        <w:rPr>
          <w:rFonts w:ascii="Arial" w:hAnsi="Arial" w:cs="Arial"/>
        </w:rPr>
        <w:t xml:space="preserve">Nauck, M.A., Quast, D.R., Wefers, J. and Meier, J.J. (2021). GLP-1 receptor agonists in the treatment of type 2 diabetes – state-of-the-art. </w:t>
      </w:r>
      <w:r w:rsidRPr="00EF5909">
        <w:rPr>
          <w:rFonts w:ascii="Arial" w:hAnsi="Arial" w:cs="Arial"/>
          <w:i/>
          <w:iCs/>
        </w:rPr>
        <w:t>Molecular Metabolism</w:t>
      </w:r>
      <w:r w:rsidRPr="00EF5909">
        <w:rPr>
          <w:rFonts w:ascii="Arial" w:hAnsi="Arial" w:cs="Arial"/>
        </w:rPr>
        <w:t xml:space="preserve">, 46(46), p.101102. doi:10.1016/j.molmet.2020.101102. Accessed: 3 October 2026. </w:t>
      </w:r>
    </w:p>
    <w:p w14:paraId="0CCEB01C" w14:textId="17803BBE" w:rsidR="00540A73" w:rsidRPr="00EF5909" w:rsidRDefault="00540A73" w:rsidP="00EF5909">
      <w:pPr>
        <w:spacing w:line="360" w:lineRule="auto"/>
        <w:rPr>
          <w:rFonts w:ascii="Arial" w:hAnsi="Arial" w:cs="Arial"/>
        </w:rPr>
      </w:pPr>
      <w:r w:rsidRPr="00EF5909">
        <w:rPr>
          <w:rFonts w:ascii="Arial" w:hAnsi="Arial" w:cs="Arial"/>
        </w:rPr>
        <w:t>NHS England (2025)</w:t>
      </w:r>
      <w:r w:rsidRPr="00EF5909">
        <w:rPr>
          <w:rFonts w:ascii="Arial" w:hAnsi="Arial" w:cs="Arial"/>
          <w:i/>
          <w:iCs/>
        </w:rPr>
        <w:t> » NHS diabetes prevention scheme helps one million people</w:t>
      </w:r>
      <w:r w:rsidRPr="00EF5909">
        <w:rPr>
          <w:rFonts w:ascii="Arial" w:hAnsi="Arial" w:cs="Arial"/>
        </w:rPr>
        <w:t xml:space="preserve">. England.nhs.uk. Available at: </w:t>
      </w:r>
      <w:hyperlink r:id="rId23" w:history="1">
        <w:r w:rsidRPr="00EF5909">
          <w:rPr>
            <w:rStyle w:val="Hyperlink"/>
            <w:rFonts w:ascii="Arial" w:hAnsi="Arial" w:cs="Arial"/>
            <w:color w:val="auto"/>
          </w:rPr>
          <w:t>https://www.england.nhs.uk/2025/12/nhs-diabetes-prevention-scheme-helps-one-million-people/</w:t>
        </w:r>
      </w:hyperlink>
      <w:r w:rsidRPr="00EF5909">
        <w:rPr>
          <w:rFonts w:ascii="Arial" w:hAnsi="Arial" w:cs="Arial"/>
        </w:rPr>
        <w:t xml:space="preserve">. Accessed 4 October 2026. </w:t>
      </w:r>
    </w:p>
    <w:p w14:paraId="749E7022" w14:textId="49AAE848" w:rsidR="0058755A" w:rsidRPr="00EF5909" w:rsidRDefault="0058755A" w:rsidP="00EF5909">
      <w:pPr>
        <w:spacing w:line="360" w:lineRule="auto"/>
        <w:rPr>
          <w:rFonts w:ascii="Arial" w:hAnsi="Arial" w:cs="Arial"/>
        </w:rPr>
      </w:pPr>
      <w:r w:rsidRPr="00EF5909">
        <w:rPr>
          <w:rFonts w:ascii="Arial" w:hAnsi="Arial" w:cs="Arial"/>
        </w:rPr>
        <w:t xml:space="preserve">Nhslothian.scot. (2024). </w:t>
      </w:r>
      <w:r w:rsidRPr="00EF5909">
        <w:rPr>
          <w:rFonts w:ascii="Arial" w:hAnsi="Arial" w:cs="Arial"/>
          <w:i/>
          <w:iCs/>
        </w:rPr>
        <w:t>Using data to improve diabetes care – diabetes professional education</w:t>
      </w:r>
      <w:r w:rsidRPr="00EF5909">
        <w:rPr>
          <w:rFonts w:ascii="Arial" w:hAnsi="Arial" w:cs="Arial"/>
        </w:rPr>
        <w:t xml:space="preserve">. Available at: </w:t>
      </w:r>
      <w:hyperlink r:id="rId24" w:history="1">
        <w:r w:rsidRPr="00EF5909">
          <w:rPr>
            <w:rStyle w:val="Hyperlink"/>
            <w:rFonts w:ascii="Arial" w:hAnsi="Arial" w:cs="Arial"/>
            <w:color w:val="auto"/>
          </w:rPr>
          <w:t>https://staff.nhslothian.scot/diabetesprofessionaleducation/using-data-to-improve-diabetes-care/</w:t>
        </w:r>
      </w:hyperlink>
      <w:r w:rsidRPr="00EF5909">
        <w:rPr>
          <w:rFonts w:ascii="Arial" w:hAnsi="Arial" w:cs="Arial"/>
        </w:rPr>
        <w:t xml:space="preserve">. Accessed: 17 October 2026. </w:t>
      </w:r>
    </w:p>
    <w:p w14:paraId="43E5B2F6" w14:textId="5E0F5478" w:rsidR="00790EF7" w:rsidRPr="00EF5909" w:rsidRDefault="008A204B" w:rsidP="00EF5909">
      <w:pPr>
        <w:spacing w:line="360" w:lineRule="auto"/>
        <w:rPr>
          <w:rFonts w:ascii="Arial" w:hAnsi="Arial" w:cs="Arial"/>
        </w:rPr>
      </w:pPr>
      <w:r w:rsidRPr="00EF5909">
        <w:rPr>
          <w:rFonts w:ascii="Arial" w:hAnsi="Arial" w:cs="Arial"/>
        </w:rPr>
        <w:t xml:space="preserve">NHS RightCare Pathway: Diabetes. (2018). [Healthcare pathway or guideline] Available at: </w:t>
      </w:r>
      <w:hyperlink r:id="rId25" w:history="1">
        <w:r w:rsidRPr="00EF5909">
          <w:rPr>
            <w:rStyle w:val="Hyperlink"/>
            <w:rFonts w:ascii="Arial" w:hAnsi="Arial" w:cs="Arial"/>
            <w:color w:val="auto"/>
          </w:rPr>
          <w:t>https://www.england.nhs.uk/rightcare/wp-content/uploads/sites/40/2018/07/nhs-rightcare-pathway-diabetes.pdf</w:t>
        </w:r>
      </w:hyperlink>
      <w:r w:rsidRPr="00EF5909">
        <w:rPr>
          <w:rFonts w:ascii="Arial" w:hAnsi="Arial" w:cs="Arial"/>
        </w:rPr>
        <w:t>. Accessed: 3 October 2026.</w:t>
      </w:r>
    </w:p>
    <w:p w14:paraId="4A60EAB4" w14:textId="00EF3566" w:rsidR="008B05C4" w:rsidRPr="00EF5909" w:rsidRDefault="008B05C4" w:rsidP="00EF5909">
      <w:pPr>
        <w:spacing w:line="360" w:lineRule="auto"/>
        <w:rPr>
          <w:rFonts w:ascii="Arial" w:hAnsi="Arial" w:cs="Arial"/>
        </w:rPr>
      </w:pPr>
      <w:r w:rsidRPr="00EF5909">
        <w:rPr>
          <w:rFonts w:ascii="Arial" w:hAnsi="Arial" w:cs="Arial"/>
        </w:rPr>
        <w:t xml:space="preserve">Nice.org.uk. (2015). </w:t>
      </w:r>
      <w:r w:rsidRPr="00EF5909">
        <w:rPr>
          <w:rFonts w:ascii="Arial" w:hAnsi="Arial" w:cs="Arial"/>
          <w:i/>
          <w:iCs/>
        </w:rPr>
        <w:t>Initial medicines | Type 2 diabetes in adults: management | Guidance | NICE</w:t>
      </w:r>
      <w:r w:rsidRPr="00EF5909">
        <w:rPr>
          <w:rFonts w:ascii="Arial" w:hAnsi="Arial" w:cs="Arial"/>
        </w:rPr>
        <w:t xml:space="preserve">. Available at: </w:t>
      </w:r>
      <w:hyperlink r:id="rId26" w:history="1">
        <w:r w:rsidRPr="00EF5909">
          <w:rPr>
            <w:rStyle w:val="Hyperlink"/>
            <w:rFonts w:ascii="Arial" w:hAnsi="Arial" w:cs="Arial"/>
            <w:color w:val="auto"/>
          </w:rPr>
          <w:t>https://www.nice.org.uk/guidance/ng28/chapter/Initial-medicines</w:t>
        </w:r>
      </w:hyperlink>
      <w:r w:rsidRPr="00EF5909">
        <w:rPr>
          <w:rFonts w:ascii="Arial" w:hAnsi="Arial" w:cs="Arial"/>
        </w:rPr>
        <w:t>. Accessed 3 October 2026.</w:t>
      </w:r>
    </w:p>
    <w:p w14:paraId="7EB121EB" w14:textId="5B008894" w:rsidR="0008323A" w:rsidRPr="00EF5909" w:rsidRDefault="0008323A" w:rsidP="00EF5909">
      <w:pPr>
        <w:spacing w:line="360" w:lineRule="auto"/>
        <w:rPr>
          <w:rFonts w:ascii="Arial" w:hAnsi="Arial" w:cs="Arial"/>
        </w:rPr>
      </w:pPr>
      <w:r w:rsidRPr="00EF5909">
        <w:rPr>
          <w:rFonts w:ascii="Arial" w:hAnsi="Arial" w:cs="Arial"/>
        </w:rPr>
        <w:t xml:space="preserve">Puzhakkal, S., Kavanagh, S., Conway, B., Kow, C.S. and Hasan, S.S. (2025). Self-care and self-management in diabetes: concepts, theories and practices. </w:t>
      </w:r>
      <w:r w:rsidRPr="00EF5909">
        <w:rPr>
          <w:rFonts w:ascii="Arial" w:hAnsi="Arial" w:cs="Arial"/>
          <w:i/>
          <w:iCs/>
        </w:rPr>
        <w:t>International Journal of Clinical Pharmacy</w:t>
      </w:r>
      <w:r w:rsidRPr="00EF5909">
        <w:rPr>
          <w:rFonts w:ascii="Arial" w:hAnsi="Arial" w:cs="Arial"/>
        </w:rPr>
        <w:t>, 47(6), pp.2094–2100. doi:10.1007/s11096-025-01941-z. Accessed: 4 October 2026.</w:t>
      </w:r>
    </w:p>
    <w:p w14:paraId="01CC42F4" w14:textId="7D4FAFC8" w:rsidR="00F577B7" w:rsidRPr="00EF5909" w:rsidRDefault="00F577B7" w:rsidP="00EF5909">
      <w:pPr>
        <w:spacing w:line="360" w:lineRule="auto"/>
        <w:rPr>
          <w:rFonts w:ascii="Arial" w:hAnsi="Arial" w:cs="Arial"/>
        </w:rPr>
      </w:pPr>
      <w:r w:rsidRPr="00EF5909">
        <w:rPr>
          <w:rFonts w:ascii="Arial" w:hAnsi="Arial" w:cs="Arial"/>
        </w:rPr>
        <w:t xml:space="preserve">Rahman, S. (2021). Role of Insulin in Health and Disease: an Update. </w:t>
      </w:r>
      <w:r w:rsidRPr="00EF5909">
        <w:rPr>
          <w:rFonts w:ascii="Arial" w:hAnsi="Arial" w:cs="Arial"/>
          <w:i/>
          <w:iCs/>
        </w:rPr>
        <w:t>International Journal of Molecular Sciences</w:t>
      </w:r>
      <w:r w:rsidRPr="00EF5909">
        <w:rPr>
          <w:rFonts w:ascii="Arial" w:hAnsi="Arial" w:cs="Arial"/>
        </w:rPr>
        <w:t xml:space="preserve">, 22(12), p.6403. doi:10.3390/ijms22126403. Accessed: 3 October </w:t>
      </w:r>
      <w:r w:rsidR="00FC57CE" w:rsidRPr="00EF5909">
        <w:rPr>
          <w:rFonts w:ascii="Arial" w:hAnsi="Arial" w:cs="Arial"/>
        </w:rPr>
        <w:t>2026.</w:t>
      </w:r>
    </w:p>
    <w:p w14:paraId="28169F29" w14:textId="0A304651" w:rsidR="0058755A" w:rsidRPr="00EF5909" w:rsidRDefault="0058755A" w:rsidP="00EF5909">
      <w:pPr>
        <w:spacing w:line="360" w:lineRule="auto"/>
        <w:rPr>
          <w:rFonts w:ascii="Arial" w:hAnsi="Arial" w:cs="Arial"/>
        </w:rPr>
      </w:pPr>
      <w:r w:rsidRPr="00EF5909">
        <w:rPr>
          <w:rFonts w:ascii="Arial" w:hAnsi="Arial" w:cs="Arial"/>
        </w:rPr>
        <w:t xml:space="preserve">Reidy, C., Kennedy, A., Pope, C., Ballinger, C., Vassilev, I. and Rogers, A. (2016). Commissioning of self-management support for people with long-term conditions: An exploration of commissioning aspirations and processes. </w:t>
      </w:r>
      <w:r w:rsidRPr="00EF5909">
        <w:rPr>
          <w:rFonts w:ascii="Arial" w:hAnsi="Arial" w:cs="Arial"/>
          <w:i/>
          <w:iCs/>
        </w:rPr>
        <w:t>BMJ Open</w:t>
      </w:r>
      <w:r w:rsidRPr="00EF5909">
        <w:rPr>
          <w:rFonts w:ascii="Arial" w:hAnsi="Arial" w:cs="Arial"/>
        </w:rPr>
        <w:t xml:space="preserve">, 6(7), p.e010853. doi:10.1136/bmjopen-2015-010853. Accessed: 17 October 2026. </w:t>
      </w:r>
    </w:p>
    <w:p w14:paraId="416AF0A1" w14:textId="29EC7C34" w:rsidR="00532233" w:rsidRPr="00EF5909" w:rsidRDefault="00532233" w:rsidP="00EF5909">
      <w:pPr>
        <w:spacing w:line="360" w:lineRule="auto"/>
        <w:rPr>
          <w:rFonts w:ascii="Arial" w:hAnsi="Arial" w:cs="Arial"/>
        </w:rPr>
      </w:pPr>
      <w:r w:rsidRPr="00EF5909">
        <w:rPr>
          <w:rFonts w:ascii="Arial" w:hAnsi="Arial" w:cs="Arial"/>
        </w:rPr>
        <w:t xml:space="preserve">Richter, C., Fleischer, S., Langner, H., Meyer, G., Balzer, K., Köpke, S., Sönnichsen, A., Löscher, S. and Berg, A. (2022). Factors influencing the implementation of person-centred care in nursing homes by practice development champions: a qualitative process evaluation of a cluster-randomised controlled trial (EPCentCare) using Normalization Process Theory. </w:t>
      </w:r>
      <w:r w:rsidRPr="00EF5909">
        <w:rPr>
          <w:rFonts w:ascii="Arial" w:hAnsi="Arial" w:cs="Arial"/>
          <w:i/>
          <w:iCs/>
        </w:rPr>
        <w:t>BMC Nursing</w:t>
      </w:r>
      <w:r w:rsidRPr="00EF5909">
        <w:rPr>
          <w:rFonts w:ascii="Arial" w:hAnsi="Arial" w:cs="Arial"/>
        </w:rPr>
        <w:t xml:space="preserve">, 21(1). doi:10.1186/s12912-022-00963-6. Accessed: 3 October 2026. </w:t>
      </w:r>
    </w:p>
    <w:p w14:paraId="220FD7AC" w14:textId="6269E33E" w:rsidR="00FC57CE" w:rsidRPr="00EF5909" w:rsidRDefault="00FC57CE" w:rsidP="00EF5909">
      <w:pPr>
        <w:spacing w:line="360" w:lineRule="auto"/>
        <w:rPr>
          <w:rFonts w:ascii="Arial" w:hAnsi="Arial" w:cs="Arial"/>
        </w:rPr>
      </w:pPr>
      <w:r w:rsidRPr="00EF5909">
        <w:rPr>
          <w:rFonts w:ascii="Arial" w:hAnsi="Arial" w:cs="Arial"/>
        </w:rPr>
        <w:t xml:space="preserve">Rodríguez-Gutiérrez, R., Millan-Alanis, J.M., Barrera, F.J. and McCoy, R.G. (2021). Value of Patient-Centered Glycemic Control in Patients with Type 2 Diabetes. </w:t>
      </w:r>
      <w:r w:rsidRPr="00EF5909">
        <w:rPr>
          <w:rFonts w:ascii="Arial" w:hAnsi="Arial" w:cs="Arial"/>
          <w:i/>
          <w:iCs/>
        </w:rPr>
        <w:t>Current Diabetes Reports</w:t>
      </w:r>
      <w:r w:rsidRPr="00EF5909">
        <w:rPr>
          <w:rFonts w:ascii="Arial" w:hAnsi="Arial" w:cs="Arial"/>
        </w:rPr>
        <w:t>, 21(12). doi:10.1007/s11892-021-01433-0. Accessed: 3 October 2026.</w:t>
      </w:r>
    </w:p>
    <w:p w14:paraId="64C5585C" w14:textId="347A912E" w:rsidR="000021E1" w:rsidRPr="00EF5909" w:rsidRDefault="000021E1" w:rsidP="00EF5909">
      <w:pPr>
        <w:spacing w:line="360" w:lineRule="auto"/>
        <w:rPr>
          <w:rFonts w:ascii="Arial" w:hAnsi="Arial" w:cs="Arial"/>
        </w:rPr>
      </w:pPr>
      <w:r w:rsidRPr="00EF5909">
        <w:rPr>
          <w:rFonts w:ascii="Arial" w:hAnsi="Arial" w:cs="Arial"/>
        </w:rPr>
        <w:t xml:space="preserve">Shapiro, J. and Grajower, M.M. (2024). The Influence of Diverse Cultures on Nutrition, Diabetes Management and Patient Education. </w:t>
      </w:r>
      <w:r w:rsidRPr="00EF5909">
        <w:rPr>
          <w:rFonts w:ascii="Arial" w:hAnsi="Arial" w:cs="Arial"/>
          <w:i/>
          <w:iCs/>
        </w:rPr>
        <w:t>Nutrients</w:t>
      </w:r>
      <w:r w:rsidRPr="00EF5909">
        <w:rPr>
          <w:rFonts w:ascii="Arial" w:hAnsi="Arial" w:cs="Arial"/>
        </w:rPr>
        <w:t xml:space="preserve">, 16(21), pp.1–9. doi:10.3390/nu16213771. Accessed: 3 October 2026. </w:t>
      </w:r>
    </w:p>
    <w:p w14:paraId="59D8FE73" w14:textId="369659D1" w:rsidR="00797766" w:rsidRPr="00EF5909" w:rsidRDefault="00797766" w:rsidP="00EF5909">
      <w:pPr>
        <w:spacing w:line="360" w:lineRule="auto"/>
        <w:rPr>
          <w:rFonts w:ascii="Arial" w:hAnsi="Arial" w:cs="Arial"/>
        </w:rPr>
      </w:pPr>
      <w:r w:rsidRPr="00EF5909">
        <w:rPr>
          <w:rFonts w:ascii="Arial" w:hAnsi="Arial" w:cs="Arial"/>
        </w:rPr>
        <w:t xml:space="preserve">Social Care Institute for Excellence (2024). </w:t>
      </w:r>
      <w:r w:rsidRPr="00EF5909">
        <w:rPr>
          <w:rFonts w:ascii="Arial" w:hAnsi="Arial" w:cs="Arial"/>
          <w:i/>
          <w:iCs/>
        </w:rPr>
        <w:t>MCA: Care planning, Involvement and person-centred Care</w:t>
      </w:r>
      <w:r w:rsidRPr="00EF5909">
        <w:rPr>
          <w:rFonts w:ascii="Arial" w:hAnsi="Arial" w:cs="Arial"/>
        </w:rPr>
        <w:t xml:space="preserve">. Social Care Institute for Excellence. Available at: </w:t>
      </w:r>
      <w:hyperlink r:id="rId27" w:history="1">
        <w:r w:rsidRPr="00EF5909">
          <w:rPr>
            <w:rStyle w:val="Hyperlink"/>
            <w:rFonts w:ascii="Arial" w:hAnsi="Arial" w:cs="Arial"/>
            <w:color w:val="auto"/>
          </w:rPr>
          <w:t>https://www.scie.org.uk/mca/practice/care-planning/person-centred-care/</w:t>
        </w:r>
      </w:hyperlink>
      <w:r w:rsidRPr="00EF5909">
        <w:rPr>
          <w:rFonts w:ascii="Arial" w:hAnsi="Arial" w:cs="Arial"/>
        </w:rPr>
        <w:t>. Accessed 4 October 2026.</w:t>
      </w:r>
    </w:p>
    <w:p w14:paraId="1D7D1E2B" w14:textId="6E476C6D" w:rsidR="00797766" w:rsidRPr="00EF5909" w:rsidRDefault="00797766" w:rsidP="00EF5909">
      <w:pPr>
        <w:spacing w:line="360" w:lineRule="auto"/>
        <w:rPr>
          <w:rFonts w:ascii="Arial" w:hAnsi="Arial" w:cs="Arial"/>
        </w:rPr>
      </w:pPr>
      <w:r w:rsidRPr="00EF5909">
        <w:rPr>
          <w:rFonts w:ascii="Arial" w:hAnsi="Arial" w:cs="Arial"/>
        </w:rPr>
        <w:t xml:space="preserve">Structured Education for Type 2 diabetes A toolkit for optimal delivery. (n.d.). Available at: </w:t>
      </w:r>
      <w:hyperlink r:id="rId28" w:history="1">
        <w:r w:rsidRPr="00EF5909">
          <w:rPr>
            <w:rStyle w:val="Hyperlink"/>
            <w:rFonts w:ascii="Arial" w:hAnsi="Arial" w:cs="Arial"/>
            <w:color w:val="auto"/>
          </w:rPr>
          <w:t>https://www.england.nhs.uk/london/wp-content/uploads/sites/8/2022/09/Structured_Education_Toolkit_Final.pdf</w:t>
        </w:r>
      </w:hyperlink>
      <w:r w:rsidRPr="00EF5909">
        <w:rPr>
          <w:rFonts w:ascii="Arial" w:hAnsi="Arial" w:cs="Arial"/>
        </w:rPr>
        <w:t>. Accessed: 4 October 2026.</w:t>
      </w:r>
    </w:p>
    <w:p w14:paraId="3267DCF6" w14:textId="625162FD" w:rsidR="00797766" w:rsidRPr="00EF5909" w:rsidRDefault="00797766" w:rsidP="00EF5909">
      <w:pPr>
        <w:spacing w:line="360" w:lineRule="auto"/>
        <w:rPr>
          <w:rFonts w:ascii="Arial" w:hAnsi="Arial" w:cs="Arial"/>
        </w:rPr>
      </w:pPr>
      <w:r w:rsidRPr="00EF5909">
        <w:rPr>
          <w:rFonts w:ascii="Arial" w:hAnsi="Arial" w:cs="Arial"/>
        </w:rPr>
        <w:t xml:space="preserve">Sze, K., Azimatun Noor Aizuddin, Hashim, S.M. and Said, M. (2025). Navigating interprofessional collaboration in diabetes care: A qualitative study of early-career health professionals in malaysian primary care clinics. </w:t>
      </w:r>
      <w:r w:rsidRPr="00EF5909">
        <w:rPr>
          <w:rFonts w:ascii="Arial" w:hAnsi="Arial" w:cs="Arial"/>
          <w:i/>
          <w:iCs/>
        </w:rPr>
        <w:t>PLoS ONE</w:t>
      </w:r>
      <w:r w:rsidRPr="00EF5909">
        <w:rPr>
          <w:rFonts w:ascii="Arial" w:hAnsi="Arial" w:cs="Arial"/>
        </w:rPr>
        <w:t xml:space="preserve">, 20(10), pp.e0335192-e0335192. doi:10.1371/journal.pone.0335192. Accessed: 4 October 2026. </w:t>
      </w:r>
    </w:p>
    <w:p w14:paraId="63A36425" w14:textId="2A1F80E6" w:rsidR="0020632C" w:rsidRPr="00EF5909" w:rsidRDefault="0020632C" w:rsidP="00EF5909">
      <w:pPr>
        <w:spacing w:line="360" w:lineRule="auto"/>
        <w:rPr>
          <w:rFonts w:ascii="Arial" w:hAnsi="Arial" w:cs="Arial"/>
        </w:rPr>
      </w:pPr>
      <w:r w:rsidRPr="00EF5909">
        <w:rPr>
          <w:rFonts w:ascii="Arial" w:hAnsi="Arial" w:cs="Arial"/>
        </w:rPr>
        <w:t xml:space="preserve">Urionagüena, A., Piquer-Martinez, C., Benrimoj, S.I., Calvo, B., Garcia-Cardenas, V., Martinez-Martinez, F. and Gastelurrutia, M.A. (2024). </w:t>
      </w:r>
      <w:r w:rsidRPr="00EF5909">
        <w:rPr>
          <w:rFonts w:ascii="Arial" w:hAnsi="Arial" w:cs="Arial"/>
          <w:i/>
          <w:iCs/>
        </w:rPr>
        <w:t>Community pharmacy &amp; primary care integration: qualitative study on stakeholders” opinions and interventions</w:t>
      </w:r>
      <w:r w:rsidRPr="00EF5909">
        <w:rPr>
          <w:rFonts w:ascii="Arial" w:hAnsi="Arial" w:cs="Arial"/>
        </w:rPr>
        <w:t xml:space="preserve">. </w:t>
      </w:r>
      <w:r w:rsidRPr="00EF5909">
        <w:rPr>
          <w:rFonts w:ascii="Arial" w:hAnsi="Arial" w:cs="Arial"/>
          <w:i/>
          <w:iCs/>
        </w:rPr>
        <w:t>Journal of pharmaceutical policy and practice</w:t>
      </w:r>
      <w:r w:rsidRPr="00EF5909">
        <w:rPr>
          <w:rFonts w:ascii="Arial" w:hAnsi="Arial" w:cs="Arial"/>
        </w:rPr>
        <w:t>, doi:10.1080/20523211.2024.2395551. Accessed: 4 October 2026.</w:t>
      </w:r>
    </w:p>
    <w:p w14:paraId="7B124824" w14:textId="7180DAE2" w:rsidR="006F7A38" w:rsidRPr="00EF5909" w:rsidRDefault="006F7A38" w:rsidP="00EF5909">
      <w:pPr>
        <w:spacing w:line="360" w:lineRule="auto"/>
        <w:rPr>
          <w:rFonts w:ascii="Arial" w:hAnsi="Arial" w:cs="Arial"/>
        </w:rPr>
      </w:pPr>
      <w:r w:rsidRPr="00EF5909">
        <w:rPr>
          <w:rFonts w:ascii="Arial" w:hAnsi="Arial" w:cs="Arial"/>
        </w:rPr>
        <w:t xml:space="preserve">van Smoorenburg, A.N., Hertroijs, D.F.L., Dekkers, T., Elissen, A.M.J. and Melles, M. (2019). Patients’ perspective on self-management: type 2 diabetes in daily life. </w:t>
      </w:r>
      <w:r w:rsidRPr="00EF5909">
        <w:rPr>
          <w:rFonts w:ascii="Arial" w:hAnsi="Arial" w:cs="Arial"/>
          <w:i/>
          <w:iCs/>
        </w:rPr>
        <w:t>BMC Health Services Research</w:t>
      </w:r>
      <w:r w:rsidRPr="00EF5909">
        <w:rPr>
          <w:rFonts w:ascii="Arial" w:hAnsi="Arial" w:cs="Arial"/>
        </w:rPr>
        <w:t xml:space="preserve">, 19(1). doi:10.1186/s12913-019-4384-7. Accessed: 3 October 2026. </w:t>
      </w:r>
    </w:p>
    <w:p w14:paraId="7103595F" w14:textId="04A7E6A6" w:rsidR="006B5336" w:rsidRPr="00EF5909" w:rsidRDefault="006B5336" w:rsidP="00EF5909">
      <w:pPr>
        <w:spacing w:line="360" w:lineRule="auto"/>
        <w:rPr>
          <w:rFonts w:ascii="Arial" w:hAnsi="Arial" w:cs="Arial"/>
        </w:rPr>
      </w:pPr>
      <w:r w:rsidRPr="00EF5909">
        <w:rPr>
          <w:rFonts w:ascii="Arial" w:hAnsi="Arial" w:cs="Arial"/>
        </w:rPr>
        <w:t xml:space="preserve">World Health Organization (2024). </w:t>
      </w:r>
      <w:r w:rsidRPr="00EF5909">
        <w:rPr>
          <w:rFonts w:ascii="Arial" w:hAnsi="Arial" w:cs="Arial"/>
          <w:i/>
          <w:iCs/>
        </w:rPr>
        <w:t>Diabetes</w:t>
      </w:r>
      <w:r w:rsidRPr="00EF5909">
        <w:rPr>
          <w:rFonts w:ascii="Arial" w:hAnsi="Arial" w:cs="Arial"/>
        </w:rPr>
        <w:t xml:space="preserve">. World Health Organization. Available at: </w:t>
      </w:r>
      <w:hyperlink r:id="rId29" w:history="1">
        <w:r w:rsidRPr="00EF5909">
          <w:rPr>
            <w:rStyle w:val="Hyperlink"/>
            <w:rFonts w:ascii="Arial" w:hAnsi="Arial" w:cs="Arial"/>
            <w:color w:val="auto"/>
          </w:rPr>
          <w:t>https://www.who.int/news-room/fact-sheets/detail/diabetes</w:t>
        </w:r>
      </w:hyperlink>
      <w:r w:rsidRPr="00EF5909">
        <w:rPr>
          <w:rFonts w:ascii="Arial" w:hAnsi="Arial" w:cs="Arial"/>
        </w:rPr>
        <w:t xml:space="preserve">. Accessed: 3 October 2026. </w:t>
      </w:r>
    </w:p>
    <w:p w14:paraId="18E02A8A" w14:textId="147215E5" w:rsidR="00797766" w:rsidRPr="00EF5909" w:rsidRDefault="00797766" w:rsidP="00EF5909">
      <w:pPr>
        <w:spacing w:line="360" w:lineRule="auto"/>
        <w:rPr>
          <w:rFonts w:ascii="Arial" w:hAnsi="Arial" w:cs="Arial"/>
        </w:rPr>
      </w:pPr>
      <w:r w:rsidRPr="00EF5909">
        <w:rPr>
          <w:rFonts w:ascii="Arial" w:hAnsi="Arial" w:cs="Arial"/>
        </w:rPr>
        <w:t xml:space="preserve">World Health Organisation (2025). </w:t>
      </w:r>
      <w:r w:rsidRPr="00EF5909">
        <w:rPr>
          <w:rFonts w:ascii="Arial" w:hAnsi="Arial" w:cs="Arial"/>
          <w:i/>
          <w:iCs/>
        </w:rPr>
        <w:t>Social determinants of health</w:t>
      </w:r>
      <w:r w:rsidRPr="00EF5909">
        <w:rPr>
          <w:rFonts w:ascii="Arial" w:hAnsi="Arial" w:cs="Arial"/>
        </w:rPr>
        <w:t xml:space="preserve">. World Health Organisation. Available at: </w:t>
      </w:r>
      <w:hyperlink r:id="rId30" w:history="1">
        <w:r w:rsidRPr="00EF5909">
          <w:rPr>
            <w:rStyle w:val="Hyperlink"/>
            <w:rFonts w:ascii="Arial" w:hAnsi="Arial" w:cs="Arial"/>
            <w:color w:val="auto"/>
          </w:rPr>
          <w:t>https://www.who.int/news-room/fact-sheets/detail/social-determinants-of-health</w:t>
        </w:r>
      </w:hyperlink>
      <w:r w:rsidRPr="00EF5909">
        <w:rPr>
          <w:rFonts w:ascii="Arial" w:hAnsi="Arial" w:cs="Arial"/>
        </w:rPr>
        <w:t>. Accessed 4 October 2026.</w:t>
      </w:r>
    </w:p>
    <w:p w14:paraId="5F74AF13" w14:textId="3C1374AE" w:rsidR="00790EF7" w:rsidRPr="00EF5909" w:rsidRDefault="00790EF7" w:rsidP="00EF5909">
      <w:pPr>
        <w:spacing w:line="360" w:lineRule="auto"/>
        <w:rPr>
          <w:rFonts w:ascii="Arial" w:hAnsi="Arial" w:cs="Arial"/>
        </w:rPr>
      </w:pPr>
      <w:r w:rsidRPr="00EF5909">
        <w:rPr>
          <w:rFonts w:ascii="Arial" w:hAnsi="Arial" w:cs="Arial"/>
        </w:rPr>
        <w:t xml:space="preserve">Yan, Z., Cai, M., Han, X., Chen, Q. and Lu, H. (2023). The Interaction Between Age and Risk Factors for Diabetes and Prediabetes: A Community-Based Cross-Sectional Study. </w:t>
      </w:r>
      <w:r w:rsidRPr="00EF5909">
        <w:rPr>
          <w:rFonts w:ascii="Arial" w:hAnsi="Arial" w:cs="Arial"/>
          <w:i/>
          <w:iCs/>
        </w:rPr>
        <w:t>Diabetes, Metabolic Syndrome and Obesity</w:t>
      </w:r>
      <w:r w:rsidRPr="00EF5909">
        <w:rPr>
          <w:rFonts w:ascii="Arial" w:hAnsi="Arial" w:cs="Arial"/>
        </w:rPr>
        <w:t>, Volume 16(16), pp.85–93. doi:10.2147/dmso.s390857. Accessed: 3 October 2026.</w:t>
      </w:r>
    </w:p>
    <w:p w14:paraId="01325C25" w14:textId="0DE97164" w:rsidR="003A0044" w:rsidRPr="00EF5909" w:rsidRDefault="003A0044" w:rsidP="00EF5909">
      <w:pPr>
        <w:spacing w:line="360" w:lineRule="auto"/>
        <w:rPr>
          <w:rFonts w:ascii="Arial" w:hAnsi="Arial" w:cs="Arial"/>
        </w:rPr>
      </w:pPr>
      <w:r w:rsidRPr="00EF5909">
        <w:rPr>
          <w:rFonts w:ascii="Arial" w:hAnsi="Arial" w:cs="Arial"/>
        </w:rPr>
        <w:t xml:space="preserve">Yaribeygi, H., Maleki, M., Sathyapalan, T., Jamialahmadi, T. and Sahebkar, A. (2021). Pathophysiology of Physical Inactivity-Dependent Insulin Resistance: A Theoretical Mechanistic Review Emphasizing Clinical Evidence. </w:t>
      </w:r>
      <w:r w:rsidRPr="00EF5909">
        <w:rPr>
          <w:rFonts w:ascii="Arial" w:hAnsi="Arial" w:cs="Arial"/>
          <w:i/>
          <w:iCs/>
        </w:rPr>
        <w:t>Journal of Diabetes Research</w:t>
      </w:r>
      <w:r w:rsidRPr="00EF5909">
        <w:rPr>
          <w:rFonts w:ascii="Arial" w:hAnsi="Arial" w:cs="Arial"/>
        </w:rPr>
        <w:t xml:space="preserve">, 2021(1), p.7796727. doi:10.1155/2021/7796727. Accessed: 3 October 2026. </w:t>
      </w:r>
    </w:p>
    <w:p w14:paraId="35DA7569" w14:textId="5024D8DD" w:rsidR="00331EA6" w:rsidRPr="00EF5909" w:rsidRDefault="00331EA6" w:rsidP="00EF5909">
      <w:pPr>
        <w:spacing w:line="360" w:lineRule="auto"/>
        <w:rPr>
          <w:rFonts w:ascii="Arial" w:hAnsi="Arial" w:cs="Arial"/>
        </w:rPr>
      </w:pPr>
      <w:r w:rsidRPr="00EF5909">
        <w:rPr>
          <w:rFonts w:ascii="Arial" w:hAnsi="Arial" w:cs="Arial"/>
        </w:rPr>
        <w:t xml:space="preserve">Yeoh, E.K., Wong, M.C.S., Wong, E.L.Y., Yam, C., Poon, C.M., Chung, R.Y., Chong, M., Fang, Y., Wang, H.H.X., Liang, M., Cheung, W.W.L., Chan, C.H., Zee, B. and Coats, A.J.S. (2018). Benefits and Limitations of Implementing Chronic Care Model (CCM) in Primary Care programs: a Systematic Review. </w:t>
      </w:r>
      <w:r w:rsidRPr="00EF5909">
        <w:rPr>
          <w:rFonts w:ascii="Arial" w:hAnsi="Arial" w:cs="Arial"/>
          <w:i/>
          <w:iCs/>
        </w:rPr>
        <w:t>International Journal of Cardiology</w:t>
      </w:r>
      <w:r w:rsidRPr="00EF5909">
        <w:rPr>
          <w:rFonts w:ascii="Arial" w:hAnsi="Arial" w:cs="Arial"/>
        </w:rPr>
        <w:t>, 258(1), pp.279–288. doi:10.1016/j.ijcard.2017.11.057. Accessed: 3 October 2026.</w:t>
      </w:r>
    </w:p>
    <w:p w14:paraId="1D73068D" w14:textId="278C0134" w:rsidR="003747E7" w:rsidRPr="00757C83" w:rsidRDefault="003747E7">
      <w:pPr>
        <w:rPr>
          <w:rFonts w:ascii="Arial" w:hAnsi="Arial" w:cs="Arial"/>
        </w:rPr>
      </w:pPr>
    </w:p>
    <w:sectPr w:rsidR="003747E7" w:rsidRPr="00757C83">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9B192" w14:textId="77777777" w:rsidR="001F1107" w:rsidRDefault="001F1107" w:rsidP="00B254D2">
      <w:pPr>
        <w:spacing w:after="0" w:line="240" w:lineRule="auto"/>
      </w:pPr>
      <w:r>
        <w:separator/>
      </w:r>
    </w:p>
  </w:endnote>
  <w:endnote w:type="continuationSeparator" w:id="0">
    <w:p w14:paraId="2FBF2726" w14:textId="77777777" w:rsidR="001F1107" w:rsidRDefault="001F1107" w:rsidP="00B25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4994528"/>
      <w:docPartObj>
        <w:docPartGallery w:val="Page Numbers (Bottom of Page)"/>
        <w:docPartUnique/>
      </w:docPartObj>
    </w:sdtPr>
    <w:sdtEndPr>
      <w:rPr>
        <w:noProof/>
      </w:rPr>
    </w:sdtEndPr>
    <w:sdtContent>
      <w:p w14:paraId="43D0DEE5" w14:textId="18954F9F" w:rsidR="00B254D2" w:rsidRDefault="00B254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562821" w14:textId="77777777" w:rsidR="00B254D2" w:rsidRDefault="00B25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80F7E" w14:textId="77777777" w:rsidR="001F1107" w:rsidRDefault="001F1107" w:rsidP="00B254D2">
      <w:pPr>
        <w:spacing w:after="0" w:line="240" w:lineRule="auto"/>
      </w:pPr>
      <w:r>
        <w:separator/>
      </w:r>
    </w:p>
  </w:footnote>
  <w:footnote w:type="continuationSeparator" w:id="0">
    <w:p w14:paraId="5224F0E9" w14:textId="77777777" w:rsidR="001F1107" w:rsidRDefault="001F1107" w:rsidP="00B254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2CEE"/>
    <w:multiLevelType w:val="hybridMultilevel"/>
    <w:tmpl w:val="D8721B98"/>
    <w:lvl w:ilvl="0" w:tplc="89F4FDD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051B2"/>
    <w:multiLevelType w:val="hybridMultilevel"/>
    <w:tmpl w:val="A20073EE"/>
    <w:lvl w:ilvl="0" w:tplc="08090009">
      <w:start w:val="1"/>
      <w:numFmt w:val="bullet"/>
      <w:lvlText w:val=""/>
      <w:lvlJc w:val="left"/>
      <w:pPr>
        <w:ind w:left="1665" w:hanging="360"/>
      </w:pPr>
      <w:rPr>
        <w:rFonts w:ascii="Wingdings" w:hAnsi="Wingdings" w:hint="default"/>
      </w:rPr>
    </w:lvl>
    <w:lvl w:ilvl="1" w:tplc="08090003" w:tentative="1">
      <w:start w:val="1"/>
      <w:numFmt w:val="bullet"/>
      <w:lvlText w:val="o"/>
      <w:lvlJc w:val="left"/>
      <w:pPr>
        <w:ind w:left="2385" w:hanging="360"/>
      </w:pPr>
      <w:rPr>
        <w:rFonts w:ascii="Courier New" w:hAnsi="Courier New" w:cs="Courier New" w:hint="default"/>
      </w:rPr>
    </w:lvl>
    <w:lvl w:ilvl="2" w:tplc="08090005" w:tentative="1">
      <w:start w:val="1"/>
      <w:numFmt w:val="bullet"/>
      <w:lvlText w:val=""/>
      <w:lvlJc w:val="left"/>
      <w:pPr>
        <w:ind w:left="3105" w:hanging="360"/>
      </w:pPr>
      <w:rPr>
        <w:rFonts w:ascii="Wingdings" w:hAnsi="Wingdings" w:hint="default"/>
      </w:rPr>
    </w:lvl>
    <w:lvl w:ilvl="3" w:tplc="08090001" w:tentative="1">
      <w:start w:val="1"/>
      <w:numFmt w:val="bullet"/>
      <w:lvlText w:val=""/>
      <w:lvlJc w:val="left"/>
      <w:pPr>
        <w:ind w:left="3825" w:hanging="360"/>
      </w:pPr>
      <w:rPr>
        <w:rFonts w:ascii="Symbol" w:hAnsi="Symbol" w:hint="default"/>
      </w:rPr>
    </w:lvl>
    <w:lvl w:ilvl="4" w:tplc="08090003" w:tentative="1">
      <w:start w:val="1"/>
      <w:numFmt w:val="bullet"/>
      <w:lvlText w:val="o"/>
      <w:lvlJc w:val="left"/>
      <w:pPr>
        <w:ind w:left="4545" w:hanging="360"/>
      </w:pPr>
      <w:rPr>
        <w:rFonts w:ascii="Courier New" w:hAnsi="Courier New" w:cs="Courier New" w:hint="default"/>
      </w:rPr>
    </w:lvl>
    <w:lvl w:ilvl="5" w:tplc="08090005" w:tentative="1">
      <w:start w:val="1"/>
      <w:numFmt w:val="bullet"/>
      <w:lvlText w:val=""/>
      <w:lvlJc w:val="left"/>
      <w:pPr>
        <w:ind w:left="5265" w:hanging="360"/>
      </w:pPr>
      <w:rPr>
        <w:rFonts w:ascii="Wingdings" w:hAnsi="Wingdings" w:hint="default"/>
      </w:rPr>
    </w:lvl>
    <w:lvl w:ilvl="6" w:tplc="08090001" w:tentative="1">
      <w:start w:val="1"/>
      <w:numFmt w:val="bullet"/>
      <w:lvlText w:val=""/>
      <w:lvlJc w:val="left"/>
      <w:pPr>
        <w:ind w:left="5985" w:hanging="360"/>
      </w:pPr>
      <w:rPr>
        <w:rFonts w:ascii="Symbol" w:hAnsi="Symbol" w:hint="default"/>
      </w:rPr>
    </w:lvl>
    <w:lvl w:ilvl="7" w:tplc="08090003" w:tentative="1">
      <w:start w:val="1"/>
      <w:numFmt w:val="bullet"/>
      <w:lvlText w:val="o"/>
      <w:lvlJc w:val="left"/>
      <w:pPr>
        <w:ind w:left="6705" w:hanging="360"/>
      </w:pPr>
      <w:rPr>
        <w:rFonts w:ascii="Courier New" w:hAnsi="Courier New" w:cs="Courier New" w:hint="default"/>
      </w:rPr>
    </w:lvl>
    <w:lvl w:ilvl="8" w:tplc="08090005" w:tentative="1">
      <w:start w:val="1"/>
      <w:numFmt w:val="bullet"/>
      <w:lvlText w:val=""/>
      <w:lvlJc w:val="left"/>
      <w:pPr>
        <w:ind w:left="7425" w:hanging="360"/>
      </w:pPr>
      <w:rPr>
        <w:rFonts w:ascii="Wingdings" w:hAnsi="Wingdings" w:hint="default"/>
      </w:rPr>
    </w:lvl>
  </w:abstractNum>
  <w:abstractNum w:abstractNumId="2" w15:restartNumberingAfterBreak="0">
    <w:nsid w:val="08DE59D1"/>
    <w:multiLevelType w:val="hybridMultilevel"/>
    <w:tmpl w:val="7D801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8D705A"/>
    <w:multiLevelType w:val="hybridMultilevel"/>
    <w:tmpl w:val="E5EC426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03737B1"/>
    <w:multiLevelType w:val="hybridMultilevel"/>
    <w:tmpl w:val="6024D67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13E290B"/>
    <w:multiLevelType w:val="hybridMultilevel"/>
    <w:tmpl w:val="BE5E9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F77271"/>
    <w:multiLevelType w:val="hybridMultilevel"/>
    <w:tmpl w:val="A3D00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BC1CFA"/>
    <w:multiLevelType w:val="hybridMultilevel"/>
    <w:tmpl w:val="C14C2918"/>
    <w:lvl w:ilvl="0" w:tplc="08090009">
      <w:start w:val="1"/>
      <w:numFmt w:val="bullet"/>
      <w:lvlText w:val=""/>
      <w:lvlJc w:val="left"/>
      <w:pPr>
        <w:ind w:left="1740" w:hanging="360"/>
      </w:pPr>
      <w:rPr>
        <w:rFonts w:ascii="Wingdings" w:hAnsi="Wingdings" w:hint="default"/>
      </w:rPr>
    </w:lvl>
    <w:lvl w:ilvl="1" w:tplc="08090003" w:tentative="1">
      <w:start w:val="1"/>
      <w:numFmt w:val="bullet"/>
      <w:lvlText w:val="o"/>
      <w:lvlJc w:val="left"/>
      <w:pPr>
        <w:ind w:left="2460" w:hanging="360"/>
      </w:pPr>
      <w:rPr>
        <w:rFonts w:ascii="Courier New" w:hAnsi="Courier New" w:cs="Courier New" w:hint="default"/>
      </w:rPr>
    </w:lvl>
    <w:lvl w:ilvl="2" w:tplc="08090005" w:tentative="1">
      <w:start w:val="1"/>
      <w:numFmt w:val="bullet"/>
      <w:lvlText w:val=""/>
      <w:lvlJc w:val="left"/>
      <w:pPr>
        <w:ind w:left="3180" w:hanging="360"/>
      </w:pPr>
      <w:rPr>
        <w:rFonts w:ascii="Wingdings" w:hAnsi="Wingdings" w:hint="default"/>
      </w:rPr>
    </w:lvl>
    <w:lvl w:ilvl="3" w:tplc="08090001" w:tentative="1">
      <w:start w:val="1"/>
      <w:numFmt w:val="bullet"/>
      <w:lvlText w:val=""/>
      <w:lvlJc w:val="left"/>
      <w:pPr>
        <w:ind w:left="3900" w:hanging="360"/>
      </w:pPr>
      <w:rPr>
        <w:rFonts w:ascii="Symbol" w:hAnsi="Symbol" w:hint="default"/>
      </w:rPr>
    </w:lvl>
    <w:lvl w:ilvl="4" w:tplc="08090003" w:tentative="1">
      <w:start w:val="1"/>
      <w:numFmt w:val="bullet"/>
      <w:lvlText w:val="o"/>
      <w:lvlJc w:val="left"/>
      <w:pPr>
        <w:ind w:left="4620" w:hanging="360"/>
      </w:pPr>
      <w:rPr>
        <w:rFonts w:ascii="Courier New" w:hAnsi="Courier New" w:cs="Courier New" w:hint="default"/>
      </w:rPr>
    </w:lvl>
    <w:lvl w:ilvl="5" w:tplc="08090005" w:tentative="1">
      <w:start w:val="1"/>
      <w:numFmt w:val="bullet"/>
      <w:lvlText w:val=""/>
      <w:lvlJc w:val="left"/>
      <w:pPr>
        <w:ind w:left="5340" w:hanging="360"/>
      </w:pPr>
      <w:rPr>
        <w:rFonts w:ascii="Wingdings" w:hAnsi="Wingdings" w:hint="default"/>
      </w:rPr>
    </w:lvl>
    <w:lvl w:ilvl="6" w:tplc="08090001" w:tentative="1">
      <w:start w:val="1"/>
      <w:numFmt w:val="bullet"/>
      <w:lvlText w:val=""/>
      <w:lvlJc w:val="left"/>
      <w:pPr>
        <w:ind w:left="6060" w:hanging="360"/>
      </w:pPr>
      <w:rPr>
        <w:rFonts w:ascii="Symbol" w:hAnsi="Symbol" w:hint="default"/>
      </w:rPr>
    </w:lvl>
    <w:lvl w:ilvl="7" w:tplc="08090003" w:tentative="1">
      <w:start w:val="1"/>
      <w:numFmt w:val="bullet"/>
      <w:lvlText w:val="o"/>
      <w:lvlJc w:val="left"/>
      <w:pPr>
        <w:ind w:left="6780" w:hanging="360"/>
      </w:pPr>
      <w:rPr>
        <w:rFonts w:ascii="Courier New" w:hAnsi="Courier New" w:cs="Courier New" w:hint="default"/>
      </w:rPr>
    </w:lvl>
    <w:lvl w:ilvl="8" w:tplc="08090005" w:tentative="1">
      <w:start w:val="1"/>
      <w:numFmt w:val="bullet"/>
      <w:lvlText w:val=""/>
      <w:lvlJc w:val="left"/>
      <w:pPr>
        <w:ind w:left="7500" w:hanging="360"/>
      </w:pPr>
      <w:rPr>
        <w:rFonts w:ascii="Wingdings" w:hAnsi="Wingdings" w:hint="default"/>
      </w:rPr>
    </w:lvl>
  </w:abstractNum>
  <w:abstractNum w:abstractNumId="8" w15:restartNumberingAfterBreak="0">
    <w:nsid w:val="21AB457F"/>
    <w:multiLevelType w:val="hybridMultilevel"/>
    <w:tmpl w:val="AC2A3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F3761C"/>
    <w:multiLevelType w:val="hybridMultilevel"/>
    <w:tmpl w:val="A83EFBE8"/>
    <w:lvl w:ilvl="0" w:tplc="08090009">
      <w:start w:val="1"/>
      <w:numFmt w:val="bullet"/>
      <w:lvlText w:val=""/>
      <w:lvlJc w:val="left"/>
      <w:pPr>
        <w:ind w:left="1740" w:hanging="360"/>
      </w:pPr>
      <w:rPr>
        <w:rFonts w:ascii="Wingdings" w:hAnsi="Wingdings" w:hint="default"/>
      </w:rPr>
    </w:lvl>
    <w:lvl w:ilvl="1" w:tplc="08090003" w:tentative="1">
      <w:start w:val="1"/>
      <w:numFmt w:val="bullet"/>
      <w:lvlText w:val="o"/>
      <w:lvlJc w:val="left"/>
      <w:pPr>
        <w:ind w:left="2460" w:hanging="360"/>
      </w:pPr>
      <w:rPr>
        <w:rFonts w:ascii="Courier New" w:hAnsi="Courier New" w:cs="Courier New" w:hint="default"/>
      </w:rPr>
    </w:lvl>
    <w:lvl w:ilvl="2" w:tplc="08090005" w:tentative="1">
      <w:start w:val="1"/>
      <w:numFmt w:val="bullet"/>
      <w:lvlText w:val=""/>
      <w:lvlJc w:val="left"/>
      <w:pPr>
        <w:ind w:left="3180" w:hanging="360"/>
      </w:pPr>
      <w:rPr>
        <w:rFonts w:ascii="Wingdings" w:hAnsi="Wingdings" w:hint="default"/>
      </w:rPr>
    </w:lvl>
    <w:lvl w:ilvl="3" w:tplc="08090001" w:tentative="1">
      <w:start w:val="1"/>
      <w:numFmt w:val="bullet"/>
      <w:lvlText w:val=""/>
      <w:lvlJc w:val="left"/>
      <w:pPr>
        <w:ind w:left="3900" w:hanging="360"/>
      </w:pPr>
      <w:rPr>
        <w:rFonts w:ascii="Symbol" w:hAnsi="Symbol" w:hint="default"/>
      </w:rPr>
    </w:lvl>
    <w:lvl w:ilvl="4" w:tplc="08090003" w:tentative="1">
      <w:start w:val="1"/>
      <w:numFmt w:val="bullet"/>
      <w:lvlText w:val="o"/>
      <w:lvlJc w:val="left"/>
      <w:pPr>
        <w:ind w:left="4620" w:hanging="360"/>
      </w:pPr>
      <w:rPr>
        <w:rFonts w:ascii="Courier New" w:hAnsi="Courier New" w:cs="Courier New" w:hint="default"/>
      </w:rPr>
    </w:lvl>
    <w:lvl w:ilvl="5" w:tplc="08090005" w:tentative="1">
      <w:start w:val="1"/>
      <w:numFmt w:val="bullet"/>
      <w:lvlText w:val=""/>
      <w:lvlJc w:val="left"/>
      <w:pPr>
        <w:ind w:left="5340" w:hanging="360"/>
      </w:pPr>
      <w:rPr>
        <w:rFonts w:ascii="Wingdings" w:hAnsi="Wingdings" w:hint="default"/>
      </w:rPr>
    </w:lvl>
    <w:lvl w:ilvl="6" w:tplc="08090001" w:tentative="1">
      <w:start w:val="1"/>
      <w:numFmt w:val="bullet"/>
      <w:lvlText w:val=""/>
      <w:lvlJc w:val="left"/>
      <w:pPr>
        <w:ind w:left="6060" w:hanging="360"/>
      </w:pPr>
      <w:rPr>
        <w:rFonts w:ascii="Symbol" w:hAnsi="Symbol" w:hint="default"/>
      </w:rPr>
    </w:lvl>
    <w:lvl w:ilvl="7" w:tplc="08090003" w:tentative="1">
      <w:start w:val="1"/>
      <w:numFmt w:val="bullet"/>
      <w:lvlText w:val="o"/>
      <w:lvlJc w:val="left"/>
      <w:pPr>
        <w:ind w:left="6780" w:hanging="360"/>
      </w:pPr>
      <w:rPr>
        <w:rFonts w:ascii="Courier New" w:hAnsi="Courier New" w:cs="Courier New" w:hint="default"/>
      </w:rPr>
    </w:lvl>
    <w:lvl w:ilvl="8" w:tplc="08090005" w:tentative="1">
      <w:start w:val="1"/>
      <w:numFmt w:val="bullet"/>
      <w:lvlText w:val=""/>
      <w:lvlJc w:val="left"/>
      <w:pPr>
        <w:ind w:left="7500" w:hanging="360"/>
      </w:pPr>
      <w:rPr>
        <w:rFonts w:ascii="Wingdings" w:hAnsi="Wingdings" w:hint="default"/>
      </w:rPr>
    </w:lvl>
  </w:abstractNum>
  <w:abstractNum w:abstractNumId="10" w15:restartNumberingAfterBreak="0">
    <w:nsid w:val="2EFD5F5D"/>
    <w:multiLevelType w:val="hybridMultilevel"/>
    <w:tmpl w:val="68E69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8037E4"/>
    <w:multiLevelType w:val="hybridMultilevel"/>
    <w:tmpl w:val="C706AE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D16DE7"/>
    <w:multiLevelType w:val="hybridMultilevel"/>
    <w:tmpl w:val="1EC24710"/>
    <w:lvl w:ilvl="0" w:tplc="08090009">
      <w:start w:val="1"/>
      <w:numFmt w:val="bullet"/>
      <w:lvlText w:val=""/>
      <w:lvlJc w:val="left"/>
      <w:pPr>
        <w:ind w:left="2145" w:hanging="360"/>
      </w:pPr>
      <w:rPr>
        <w:rFonts w:ascii="Wingdings" w:hAnsi="Wingdings" w:hint="default"/>
      </w:rPr>
    </w:lvl>
    <w:lvl w:ilvl="1" w:tplc="08090003" w:tentative="1">
      <w:start w:val="1"/>
      <w:numFmt w:val="bullet"/>
      <w:lvlText w:val="o"/>
      <w:lvlJc w:val="left"/>
      <w:pPr>
        <w:ind w:left="2865" w:hanging="360"/>
      </w:pPr>
      <w:rPr>
        <w:rFonts w:ascii="Courier New" w:hAnsi="Courier New" w:cs="Courier New" w:hint="default"/>
      </w:rPr>
    </w:lvl>
    <w:lvl w:ilvl="2" w:tplc="08090005" w:tentative="1">
      <w:start w:val="1"/>
      <w:numFmt w:val="bullet"/>
      <w:lvlText w:val=""/>
      <w:lvlJc w:val="left"/>
      <w:pPr>
        <w:ind w:left="3585" w:hanging="360"/>
      </w:pPr>
      <w:rPr>
        <w:rFonts w:ascii="Wingdings" w:hAnsi="Wingdings" w:hint="default"/>
      </w:rPr>
    </w:lvl>
    <w:lvl w:ilvl="3" w:tplc="08090001" w:tentative="1">
      <w:start w:val="1"/>
      <w:numFmt w:val="bullet"/>
      <w:lvlText w:val=""/>
      <w:lvlJc w:val="left"/>
      <w:pPr>
        <w:ind w:left="4305" w:hanging="360"/>
      </w:pPr>
      <w:rPr>
        <w:rFonts w:ascii="Symbol" w:hAnsi="Symbol" w:hint="default"/>
      </w:rPr>
    </w:lvl>
    <w:lvl w:ilvl="4" w:tplc="08090003" w:tentative="1">
      <w:start w:val="1"/>
      <w:numFmt w:val="bullet"/>
      <w:lvlText w:val="o"/>
      <w:lvlJc w:val="left"/>
      <w:pPr>
        <w:ind w:left="5025" w:hanging="360"/>
      </w:pPr>
      <w:rPr>
        <w:rFonts w:ascii="Courier New" w:hAnsi="Courier New" w:cs="Courier New" w:hint="default"/>
      </w:rPr>
    </w:lvl>
    <w:lvl w:ilvl="5" w:tplc="08090005" w:tentative="1">
      <w:start w:val="1"/>
      <w:numFmt w:val="bullet"/>
      <w:lvlText w:val=""/>
      <w:lvlJc w:val="left"/>
      <w:pPr>
        <w:ind w:left="5745" w:hanging="360"/>
      </w:pPr>
      <w:rPr>
        <w:rFonts w:ascii="Wingdings" w:hAnsi="Wingdings" w:hint="default"/>
      </w:rPr>
    </w:lvl>
    <w:lvl w:ilvl="6" w:tplc="08090001" w:tentative="1">
      <w:start w:val="1"/>
      <w:numFmt w:val="bullet"/>
      <w:lvlText w:val=""/>
      <w:lvlJc w:val="left"/>
      <w:pPr>
        <w:ind w:left="6465" w:hanging="360"/>
      </w:pPr>
      <w:rPr>
        <w:rFonts w:ascii="Symbol" w:hAnsi="Symbol" w:hint="default"/>
      </w:rPr>
    </w:lvl>
    <w:lvl w:ilvl="7" w:tplc="08090003" w:tentative="1">
      <w:start w:val="1"/>
      <w:numFmt w:val="bullet"/>
      <w:lvlText w:val="o"/>
      <w:lvlJc w:val="left"/>
      <w:pPr>
        <w:ind w:left="7185" w:hanging="360"/>
      </w:pPr>
      <w:rPr>
        <w:rFonts w:ascii="Courier New" w:hAnsi="Courier New" w:cs="Courier New" w:hint="default"/>
      </w:rPr>
    </w:lvl>
    <w:lvl w:ilvl="8" w:tplc="08090005" w:tentative="1">
      <w:start w:val="1"/>
      <w:numFmt w:val="bullet"/>
      <w:lvlText w:val=""/>
      <w:lvlJc w:val="left"/>
      <w:pPr>
        <w:ind w:left="7905" w:hanging="360"/>
      </w:pPr>
      <w:rPr>
        <w:rFonts w:ascii="Wingdings" w:hAnsi="Wingdings" w:hint="default"/>
      </w:rPr>
    </w:lvl>
  </w:abstractNum>
  <w:abstractNum w:abstractNumId="13" w15:restartNumberingAfterBreak="0">
    <w:nsid w:val="35F65864"/>
    <w:multiLevelType w:val="hybridMultilevel"/>
    <w:tmpl w:val="57443902"/>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3616212B"/>
    <w:multiLevelType w:val="multilevel"/>
    <w:tmpl w:val="2AFE9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0A406B"/>
    <w:multiLevelType w:val="hybridMultilevel"/>
    <w:tmpl w:val="6C602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497527"/>
    <w:multiLevelType w:val="hybridMultilevel"/>
    <w:tmpl w:val="5388142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C611597"/>
    <w:multiLevelType w:val="hybridMultilevel"/>
    <w:tmpl w:val="F4EE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2462DD"/>
    <w:multiLevelType w:val="hybridMultilevel"/>
    <w:tmpl w:val="04E8905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03E5828"/>
    <w:multiLevelType w:val="hybridMultilevel"/>
    <w:tmpl w:val="834A3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A07760"/>
    <w:multiLevelType w:val="hybridMultilevel"/>
    <w:tmpl w:val="14B49C16"/>
    <w:lvl w:ilvl="0" w:tplc="26F8780E">
      <w:start w:val="1"/>
      <w:numFmt w:val="decimal"/>
      <w:lvlText w:val="%1."/>
      <w:lvlJc w:val="left"/>
      <w:pPr>
        <w:ind w:left="720" w:hanging="360"/>
      </w:pPr>
      <w:rPr>
        <w:rFonts w:eastAsia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F5672B"/>
    <w:multiLevelType w:val="hybridMultilevel"/>
    <w:tmpl w:val="6690279A"/>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2" w15:restartNumberingAfterBreak="0">
    <w:nsid w:val="513C3ACC"/>
    <w:multiLevelType w:val="hybridMultilevel"/>
    <w:tmpl w:val="B6DEE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5D2674"/>
    <w:multiLevelType w:val="hybridMultilevel"/>
    <w:tmpl w:val="C4F6C91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3EB73F3"/>
    <w:multiLevelType w:val="hybridMultilevel"/>
    <w:tmpl w:val="01404EB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A018B7"/>
    <w:multiLevelType w:val="hybridMultilevel"/>
    <w:tmpl w:val="A7A4AAB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E075C39"/>
    <w:multiLevelType w:val="hybridMultilevel"/>
    <w:tmpl w:val="6D721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4815A0"/>
    <w:multiLevelType w:val="hybridMultilevel"/>
    <w:tmpl w:val="0058886C"/>
    <w:lvl w:ilvl="0" w:tplc="08090001">
      <w:start w:val="1"/>
      <w:numFmt w:val="bullet"/>
      <w:lvlText w:val=""/>
      <w:lvlJc w:val="left"/>
      <w:pPr>
        <w:ind w:left="72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9">
      <w:start w:val="1"/>
      <w:numFmt w:val="bullet"/>
      <w:lvlText w:val=""/>
      <w:lvlJc w:val="left"/>
      <w:pPr>
        <w:ind w:left="2160" w:hanging="360"/>
      </w:pPr>
      <w:rPr>
        <w:rFonts w:ascii="Wingdings" w:hAnsi="Wingdings" w:hint="default"/>
      </w:rPr>
    </w:lvl>
    <w:lvl w:ilvl="3" w:tplc="08090009">
      <w:start w:val="1"/>
      <w:numFmt w:val="bullet"/>
      <w:lvlText w:val=""/>
      <w:lvlJc w:val="left"/>
      <w:pPr>
        <w:ind w:left="2880" w:hanging="360"/>
      </w:pPr>
      <w:rPr>
        <w:rFonts w:ascii="Wingdings" w:hAnsi="Wingdings" w:hint="default"/>
      </w:rPr>
    </w:lvl>
    <w:lvl w:ilvl="4" w:tplc="374E09EA">
      <w:start w:val="16"/>
      <w:numFmt w:val="bullet"/>
      <w:lvlText w:val="-"/>
      <w:lvlJc w:val="left"/>
      <w:pPr>
        <w:ind w:left="3600" w:hanging="360"/>
      </w:pPr>
      <w:rPr>
        <w:rFonts w:ascii="Aptos" w:eastAsiaTheme="minorHAnsi" w:hAnsi="Aptos" w:cstheme="minorBidi"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E21F47"/>
    <w:multiLevelType w:val="hybridMultilevel"/>
    <w:tmpl w:val="31AE681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CFD384C"/>
    <w:multiLevelType w:val="hybridMultilevel"/>
    <w:tmpl w:val="F474CB5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FC744EE"/>
    <w:multiLevelType w:val="hybridMultilevel"/>
    <w:tmpl w:val="F61E95A6"/>
    <w:lvl w:ilvl="0" w:tplc="08090009">
      <w:start w:val="1"/>
      <w:numFmt w:val="bullet"/>
      <w:lvlText w:val=""/>
      <w:lvlJc w:val="left"/>
      <w:pPr>
        <w:ind w:left="1440" w:hanging="360"/>
      </w:pPr>
      <w:rPr>
        <w:rFonts w:ascii="Wingdings" w:hAnsi="Wingdings" w:hint="default"/>
      </w:rPr>
    </w:lvl>
    <w:lvl w:ilvl="1" w:tplc="08090009">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16691831">
    <w:abstractNumId w:val="11"/>
  </w:num>
  <w:num w:numId="2" w16cid:durableId="1061907025">
    <w:abstractNumId w:val="26"/>
  </w:num>
  <w:num w:numId="3" w16cid:durableId="1259168759">
    <w:abstractNumId w:val="16"/>
  </w:num>
  <w:num w:numId="4" w16cid:durableId="1270353667">
    <w:abstractNumId w:val="3"/>
  </w:num>
  <w:num w:numId="5" w16cid:durableId="1295259976">
    <w:abstractNumId w:val="8"/>
  </w:num>
  <w:num w:numId="6" w16cid:durableId="1396513435">
    <w:abstractNumId w:val="5"/>
  </w:num>
  <w:num w:numId="7" w16cid:durableId="1493368999">
    <w:abstractNumId w:val="13"/>
  </w:num>
  <w:num w:numId="8" w16cid:durableId="1563103845">
    <w:abstractNumId w:val="28"/>
  </w:num>
  <w:num w:numId="9" w16cid:durableId="1591506713">
    <w:abstractNumId w:val="19"/>
  </w:num>
  <w:num w:numId="10" w16cid:durableId="1711219611">
    <w:abstractNumId w:val="15"/>
  </w:num>
  <w:num w:numId="11" w16cid:durableId="1719275773">
    <w:abstractNumId w:val="24"/>
  </w:num>
  <w:num w:numId="12" w16cid:durableId="1760566246">
    <w:abstractNumId w:val="1"/>
  </w:num>
  <w:num w:numId="13" w16cid:durableId="1785884687">
    <w:abstractNumId w:val="0"/>
  </w:num>
  <w:num w:numId="14" w16cid:durableId="181088057">
    <w:abstractNumId w:val="23"/>
  </w:num>
  <w:num w:numId="15" w16cid:durableId="1837918755">
    <w:abstractNumId w:val="4"/>
  </w:num>
  <w:num w:numId="16" w16cid:durableId="1991908239">
    <w:abstractNumId w:val="6"/>
  </w:num>
  <w:num w:numId="17" w16cid:durableId="2017612220">
    <w:abstractNumId w:val="27"/>
  </w:num>
  <w:num w:numId="18" w16cid:durableId="2018384087">
    <w:abstractNumId w:val="12"/>
  </w:num>
  <w:num w:numId="19" w16cid:durableId="2068186368">
    <w:abstractNumId w:val="29"/>
  </w:num>
  <w:num w:numId="20" w16cid:durableId="337587265">
    <w:abstractNumId w:val="30"/>
  </w:num>
  <w:num w:numId="21" w16cid:durableId="342630070">
    <w:abstractNumId w:val="22"/>
  </w:num>
  <w:num w:numId="22" w16cid:durableId="350111229">
    <w:abstractNumId w:val="17"/>
  </w:num>
  <w:num w:numId="23" w16cid:durableId="498539192">
    <w:abstractNumId w:val="9"/>
  </w:num>
  <w:num w:numId="24" w16cid:durableId="735519186">
    <w:abstractNumId w:val="7"/>
  </w:num>
  <w:num w:numId="25" w16cid:durableId="78411174">
    <w:abstractNumId w:val="18"/>
  </w:num>
  <w:num w:numId="26" w16cid:durableId="846552819">
    <w:abstractNumId w:val="21"/>
  </w:num>
  <w:num w:numId="27" w16cid:durableId="849372196">
    <w:abstractNumId w:val="14"/>
  </w:num>
  <w:num w:numId="28" w16cid:durableId="859121091">
    <w:abstractNumId w:val="25"/>
  </w:num>
  <w:num w:numId="29" w16cid:durableId="927228601">
    <w:abstractNumId w:val="10"/>
  </w:num>
  <w:num w:numId="30" w16cid:durableId="1146632512">
    <w:abstractNumId w:val="20"/>
  </w:num>
  <w:num w:numId="31" w16cid:durableId="16309406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DA9"/>
    <w:rsid w:val="000021E1"/>
    <w:rsid w:val="00022847"/>
    <w:rsid w:val="0006094C"/>
    <w:rsid w:val="00066425"/>
    <w:rsid w:val="0008323A"/>
    <w:rsid w:val="00094FD6"/>
    <w:rsid w:val="000E7C46"/>
    <w:rsid w:val="000F142F"/>
    <w:rsid w:val="001105D6"/>
    <w:rsid w:val="00111035"/>
    <w:rsid w:val="00145358"/>
    <w:rsid w:val="001665B0"/>
    <w:rsid w:val="0018011F"/>
    <w:rsid w:val="00183A79"/>
    <w:rsid w:val="001B5A14"/>
    <w:rsid w:val="001D14F3"/>
    <w:rsid w:val="001E6DA9"/>
    <w:rsid w:val="001F1107"/>
    <w:rsid w:val="001F3124"/>
    <w:rsid w:val="0020632C"/>
    <w:rsid w:val="0023799D"/>
    <w:rsid w:val="002C1D90"/>
    <w:rsid w:val="002E37D8"/>
    <w:rsid w:val="0030038E"/>
    <w:rsid w:val="00331EA6"/>
    <w:rsid w:val="00340606"/>
    <w:rsid w:val="00355B88"/>
    <w:rsid w:val="00371E5F"/>
    <w:rsid w:val="003747E7"/>
    <w:rsid w:val="00396832"/>
    <w:rsid w:val="003A0044"/>
    <w:rsid w:val="003A13CE"/>
    <w:rsid w:val="003C75E5"/>
    <w:rsid w:val="003D0924"/>
    <w:rsid w:val="003D7D15"/>
    <w:rsid w:val="003E10E4"/>
    <w:rsid w:val="004029E0"/>
    <w:rsid w:val="00404AA9"/>
    <w:rsid w:val="0042418A"/>
    <w:rsid w:val="004A23CE"/>
    <w:rsid w:val="004B34D2"/>
    <w:rsid w:val="004B75D9"/>
    <w:rsid w:val="004C6FDF"/>
    <w:rsid w:val="004D4FDF"/>
    <w:rsid w:val="004F3ACE"/>
    <w:rsid w:val="00516B93"/>
    <w:rsid w:val="00532233"/>
    <w:rsid w:val="00540A73"/>
    <w:rsid w:val="00543FF2"/>
    <w:rsid w:val="005650DC"/>
    <w:rsid w:val="00567B36"/>
    <w:rsid w:val="00581929"/>
    <w:rsid w:val="00586821"/>
    <w:rsid w:val="0058755A"/>
    <w:rsid w:val="005A43EA"/>
    <w:rsid w:val="005B1C6E"/>
    <w:rsid w:val="005D7E40"/>
    <w:rsid w:val="005E7DE3"/>
    <w:rsid w:val="00605B3C"/>
    <w:rsid w:val="00612135"/>
    <w:rsid w:val="00661908"/>
    <w:rsid w:val="00685D20"/>
    <w:rsid w:val="00692016"/>
    <w:rsid w:val="006A201C"/>
    <w:rsid w:val="006B5336"/>
    <w:rsid w:val="006B6F21"/>
    <w:rsid w:val="006F7A38"/>
    <w:rsid w:val="00700B9C"/>
    <w:rsid w:val="00750D97"/>
    <w:rsid w:val="00752453"/>
    <w:rsid w:val="007558B5"/>
    <w:rsid w:val="00757C83"/>
    <w:rsid w:val="00790EF7"/>
    <w:rsid w:val="00797766"/>
    <w:rsid w:val="007E6774"/>
    <w:rsid w:val="008029FF"/>
    <w:rsid w:val="00817E9C"/>
    <w:rsid w:val="00843270"/>
    <w:rsid w:val="008750BC"/>
    <w:rsid w:val="0088518A"/>
    <w:rsid w:val="008A204B"/>
    <w:rsid w:val="008B05C4"/>
    <w:rsid w:val="008D41FB"/>
    <w:rsid w:val="008E0933"/>
    <w:rsid w:val="008F33AA"/>
    <w:rsid w:val="00962DE9"/>
    <w:rsid w:val="00981F2B"/>
    <w:rsid w:val="00994A77"/>
    <w:rsid w:val="009A35EB"/>
    <w:rsid w:val="009B0383"/>
    <w:rsid w:val="009B0FDA"/>
    <w:rsid w:val="009B12C5"/>
    <w:rsid w:val="009D444F"/>
    <w:rsid w:val="009D7256"/>
    <w:rsid w:val="00A04430"/>
    <w:rsid w:val="00A12C4F"/>
    <w:rsid w:val="00A502F1"/>
    <w:rsid w:val="00A70BCE"/>
    <w:rsid w:val="00A728FE"/>
    <w:rsid w:val="00A74638"/>
    <w:rsid w:val="00AF58E2"/>
    <w:rsid w:val="00B23A46"/>
    <w:rsid w:val="00B254D2"/>
    <w:rsid w:val="00B258B3"/>
    <w:rsid w:val="00B37A50"/>
    <w:rsid w:val="00B90FDA"/>
    <w:rsid w:val="00B94F2C"/>
    <w:rsid w:val="00BF418B"/>
    <w:rsid w:val="00C15542"/>
    <w:rsid w:val="00C42805"/>
    <w:rsid w:val="00C64604"/>
    <w:rsid w:val="00C902C9"/>
    <w:rsid w:val="00CD5C57"/>
    <w:rsid w:val="00CD658D"/>
    <w:rsid w:val="00CD74F3"/>
    <w:rsid w:val="00CE06F0"/>
    <w:rsid w:val="00CF5FBA"/>
    <w:rsid w:val="00D10897"/>
    <w:rsid w:val="00D21E69"/>
    <w:rsid w:val="00D3294A"/>
    <w:rsid w:val="00D91805"/>
    <w:rsid w:val="00DA3546"/>
    <w:rsid w:val="00DB71D0"/>
    <w:rsid w:val="00DD1A6D"/>
    <w:rsid w:val="00DE0C20"/>
    <w:rsid w:val="00DE0D45"/>
    <w:rsid w:val="00DE2998"/>
    <w:rsid w:val="00DF2C7C"/>
    <w:rsid w:val="00E566F9"/>
    <w:rsid w:val="00E65459"/>
    <w:rsid w:val="00EB6806"/>
    <w:rsid w:val="00EE314F"/>
    <w:rsid w:val="00EF5909"/>
    <w:rsid w:val="00F11BDF"/>
    <w:rsid w:val="00F12A7D"/>
    <w:rsid w:val="00F27BFC"/>
    <w:rsid w:val="00F34E88"/>
    <w:rsid w:val="00F4572F"/>
    <w:rsid w:val="00F577B7"/>
    <w:rsid w:val="00F7408B"/>
    <w:rsid w:val="00FC1CF8"/>
    <w:rsid w:val="00FC5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CD9ED"/>
  <w15:chartTrackingRefBased/>
  <w15:docId w15:val="{88F74C61-4F1D-4D75-8FEF-95A040D33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D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6D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6D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E6D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E6D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E6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1E6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1E6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1E6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D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6D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E6D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E6D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E6DA9"/>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E6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1E6DA9"/>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1E6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1E6DA9"/>
    <w:rPr>
      <w:rFonts w:eastAsiaTheme="majorEastAsia" w:cstheme="majorBidi"/>
      <w:color w:val="272727" w:themeColor="text1" w:themeTint="D8"/>
    </w:rPr>
  </w:style>
  <w:style w:type="paragraph" w:styleId="Title">
    <w:name w:val="Title"/>
    <w:basedOn w:val="Normal"/>
    <w:next w:val="Normal"/>
    <w:link w:val="TitleChar"/>
    <w:uiPriority w:val="10"/>
    <w:qFormat/>
    <w:rsid w:val="001E6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6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6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6DA9"/>
    <w:pPr>
      <w:spacing w:before="160"/>
      <w:jc w:val="center"/>
    </w:pPr>
    <w:rPr>
      <w:i/>
      <w:iCs/>
      <w:color w:val="404040" w:themeColor="text1" w:themeTint="BF"/>
    </w:rPr>
  </w:style>
  <w:style w:type="character" w:customStyle="1" w:styleId="QuoteChar">
    <w:name w:val="Quote Char"/>
    <w:basedOn w:val="DefaultParagraphFont"/>
    <w:link w:val="Quote"/>
    <w:uiPriority w:val="29"/>
    <w:rsid w:val="001E6DA9"/>
    <w:rPr>
      <w:i/>
      <w:iCs/>
      <w:color w:val="404040" w:themeColor="text1" w:themeTint="BF"/>
    </w:rPr>
  </w:style>
  <w:style w:type="paragraph" w:styleId="ListParagraph">
    <w:name w:val="List Paragraph"/>
    <w:basedOn w:val="Normal"/>
    <w:uiPriority w:val="34"/>
    <w:qFormat/>
    <w:rsid w:val="001E6DA9"/>
    <w:pPr>
      <w:ind w:left="720"/>
      <w:contextualSpacing/>
    </w:pPr>
  </w:style>
  <w:style w:type="character" w:styleId="IntenseEmphasis">
    <w:name w:val="Intense Emphasis"/>
    <w:basedOn w:val="DefaultParagraphFont"/>
    <w:uiPriority w:val="21"/>
    <w:qFormat/>
    <w:rsid w:val="001E6DA9"/>
    <w:rPr>
      <w:i/>
      <w:iCs/>
      <w:color w:val="0F4761" w:themeColor="accent1" w:themeShade="BF"/>
    </w:rPr>
  </w:style>
  <w:style w:type="paragraph" w:styleId="IntenseQuote">
    <w:name w:val="Intense Quote"/>
    <w:basedOn w:val="Normal"/>
    <w:next w:val="Normal"/>
    <w:link w:val="IntenseQuoteChar"/>
    <w:uiPriority w:val="30"/>
    <w:qFormat/>
    <w:rsid w:val="001E6D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6DA9"/>
    <w:rPr>
      <w:i/>
      <w:iCs/>
      <w:color w:val="0F4761" w:themeColor="accent1" w:themeShade="BF"/>
    </w:rPr>
  </w:style>
  <w:style w:type="character" w:styleId="IntenseReference">
    <w:name w:val="Intense Reference"/>
    <w:basedOn w:val="DefaultParagraphFont"/>
    <w:uiPriority w:val="32"/>
    <w:qFormat/>
    <w:rsid w:val="001E6DA9"/>
    <w:rPr>
      <w:b/>
      <w:bCs/>
      <w:smallCaps/>
      <w:color w:val="0F4761" w:themeColor="accent1" w:themeShade="BF"/>
      <w:spacing w:val="5"/>
    </w:rPr>
  </w:style>
  <w:style w:type="character" w:styleId="Hyperlink">
    <w:name w:val="Hyperlink"/>
    <w:basedOn w:val="DefaultParagraphFont"/>
    <w:uiPriority w:val="99"/>
    <w:unhideWhenUsed/>
    <w:rsid w:val="006B5336"/>
    <w:rPr>
      <w:color w:val="467886" w:themeColor="hyperlink"/>
      <w:u w:val="single"/>
    </w:rPr>
  </w:style>
  <w:style w:type="character" w:styleId="UnresolvedMention">
    <w:name w:val="Unresolved Mention"/>
    <w:basedOn w:val="DefaultParagraphFont"/>
    <w:uiPriority w:val="99"/>
    <w:semiHidden/>
    <w:unhideWhenUsed/>
    <w:rsid w:val="006B5336"/>
    <w:rPr>
      <w:color w:val="605E5C"/>
      <w:shd w:val="clear" w:color="auto" w:fill="E1DFDD"/>
    </w:rPr>
  </w:style>
  <w:style w:type="paragraph" w:styleId="NormalWeb">
    <w:name w:val="Normal (Web)"/>
    <w:basedOn w:val="Normal"/>
    <w:uiPriority w:val="99"/>
    <w:semiHidden/>
    <w:unhideWhenUsed/>
    <w:rsid w:val="00797766"/>
    <w:rPr>
      <w:rFonts w:ascii="Times New Roman" w:hAnsi="Times New Roman" w:cs="Times New Roman"/>
      <w:sz w:val="24"/>
      <w:szCs w:val="24"/>
    </w:rPr>
  </w:style>
  <w:style w:type="paragraph" w:styleId="TOC1">
    <w:name w:val="toc 1"/>
    <w:basedOn w:val="Normal"/>
    <w:next w:val="Normal"/>
    <w:autoRedefine/>
    <w:uiPriority w:val="39"/>
    <w:unhideWhenUsed/>
    <w:rsid w:val="00404AA9"/>
    <w:pPr>
      <w:spacing w:after="100"/>
    </w:pPr>
  </w:style>
  <w:style w:type="paragraph" w:styleId="TOCHeading">
    <w:name w:val="TOC Heading"/>
    <w:basedOn w:val="Heading1"/>
    <w:next w:val="Normal"/>
    <w:uiPriority w:val="39"/>
    <w:unhideWhenUsed/>
    <w:qFormat/>
    <w:rsid w:val="00355B8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355B88"/>
    <w:pPr>
      <w:spacing w:after="100"/>
      <w:ind w:left="220"/>
    </w:pPr>
  </w:style>
  <w:style w:type="paragraph" w:styleId="TOC3">
    <w:name w:val="toc 3"/>
    <w:basedOn w:val="Normal"/>
    <w:next w:val="Normal"/>
    <w:autoRedefine/>
    <w:uiPriority w:val="39"/>
    <w:unhideWhenUsed/>
    <w:rsid w:val="00355B88"/>
    <w:pPr>
      <w:spacing w:after="100"/>
      <w:ind w:left="440"/>
    </w:pPr>
  </w:style>
  <w:style w:type="paragraph" w:styleId="TOC4">
    <w:name w:val="toc 4"/>
    <w:basedOn w:val="Normal"/>
    <w:next w:val="Normal"/>
    <w:autoRedefine/>
    <w:uiPriority w:val="39"/>
    <w:unhideWhenUsed/>
    <w:rsid w:val="00355B88"/>
    <w:pPr>
      <w:spacing w:after="100"/>
      <w:ind w:left="660"/>
    </w:pPr>
  </w:style>
  <w:style w:type="paragraph" w:styleId="TOC5">
    <w:name w:val="toc 5"/>
    <w:basedOn w:val="Normal"/>
    <w:next w:val="Normal"/>
    <w:autoRedefine/>
    <w:uiPriority w:val="39"/>
    <w:unhideWhenUsed/>
    <w:rsid w:val="00355B88"/>
    <w:pPr>
      <w:spacing w:after="100"/>
      <w:ind w:left="880"/>
    </w:pPr>
  </w:style>
  <w:style w:type="paragraph" w:styleId="TOC6">
    <w:name w:val="toc 6"/>
    <w:basedOn w:val="Normal"/>
    <w:next w:val="Normal"/>
    <w:autoRedefine/>
    <w:uiPriority w:val="39"/>
    <w:unhideWhenUsed/>
    <w:rsid w:val="00355B88"/>
    <w:pPr>
      <w:spacing w:after="100"/>
      <w:ind w:left="1100"/>
    </w:pPr>
  </w:style>
  <w:style w:type="paragraph" w:styleId="TOC7">
    <w:name w:val="toc 7"/>
    <w:basedOn w:val="Normal"/>
    <w:next w:val="Normal"/>
    <w:autoRedefine/>
    <w:uiPriority w:val="39"/>
    <w:unhideWhenUsed/>
    <w:rsid w:val="00355B88"/>
    <w:pPr>
      <w:spacing w:after="100"/>
      <w:ind w:left="1320"/>
    </w:pPr>
  </w:style>
  <w:style w:type="paragraph" w:styleId="TOC8">
    <w:name w:val="toc 8"/>
    <w:basedOn w:val="Normal"/>
    <w:next w:val="Normal"/>
    <w:autoRedefine/>
    <w:uiPriority w:val="39"/>
    <w:unhideWhenUsed/>
    <w:rsid w:val="00355B88"/>
    <w:pPr>
      <w:spacing w:after="100"/>
      <w:ind w:left="1540"/>
    </w:pPr>
  </w:style>
  <w:style w:type="paragraph" w:styleId="TOC9">
    <w:name w:val="toc 9"/>
    <w:basedOn w:val="Normal"/>
    <w:next w:val="Normal"/>
    <w:autoRedefine/>
    <w:uiPriority w:val="39"/>
    <w:unhideWhenUsed/>
    <w:rsid w:val="00355B88"/>
    <w:pPr>
      <w:spacing w:after="100"/>
      <w:ind w:left="1760"/>
    </w:pPr>
  </w:style>
  <w:style w:type="paragraph" w:styleId="Header">
    <w:name w:val="header"/>
    <w:basedOn w:val="Normal"/>
    <w:link w:val="HeaderChar"/>
    <w:uiPriority w:val="99"/>
    <w:unhideWhenUsed/>
    <w:rsid w:val="00B25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4D2"/>
  </w:style>
  <w:style w:type="paragraph" w:styleId="Footer">
    <w:name w:val="footer"/>
    <w:basedOn w:val="Normal"/>
    <w:link w:val="FooterChar"/>
    <w:uiPriority w:val="99"/>
    <w:unhideWhenUsed/>
    <w:rsid w:val="00B25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327713/" TargetMode="External"/><Relationship Id="rId18" Type="http://schemas.openxmlformats.org/officeDocument/2006/relationships/hyperlink" Target="https://www.diabetes.org.uk/about-diabetes/type-2-diabetes/diabetes-ethnicity" TargetMode="External"/><Relationship Id="rId26" Type="http://schemas.openxmlformats.org/officeDocument/2006/relationships/hyperlink" Target="https://www.nice.org.uk/guidance/ng28/chapter/Initial-medicines" TargetMode="External"/><Relationship Id="rId3" Type="http://schemas.openxmlformats.org/officeDocument/2006/relationships/styles" Target="styles.xml"/><Relationship Id="rId21" Type="http://schemas.openxmlformats.org/officeDocument/2006/relationships/hyperlink" Target="https://www.diabetes.org.uk/for-professionals/improving-care/clinical-recommendations-for-professionals/diagnosis-ongoing-management-monitoring/end-of-life-car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iabetes.org.uk/about-diabetes/looking-after-diabetes/hba1c" TargetMode="External"/><Relationship Id="rId25" Type="http://schemas.openxmlformats.org/officeDocument/2006/relationships/hyperlink" Target="https://www.england.nhs.uk/rightcare/wp-content/uploads/sites/40/2018/07/nhs-rightcare-pathway-diabetes.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iabetes.org.uk/about-diabetes/symptoms" TargetMode="External"/><Relationship Id="rId20" Type="http://schemas.openxmlformats.org/officeDocument/2006/relationships/hyperlink" Target="https://www.diabetes.org.uk/about-us/about-the-charity/our-strategy/statistics" TargetMode="External"/><Relationship Id="rId29" Type="http://schemas.openxmlformats.org/officeDocument/2006/relationships/hyperlink" Target="https://www.who.int/news-room/fact-sheets/detail/diabe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staff.nhslothian.scot/diabetesprofessionaleducation/using-data-to-improve-diabetes-car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10-year-health-plan-for-england-fit-for-the-future" TargetMode="External"/><Relationship Id="rId23" Type="http://schemas.openxmlformats.org/officeDocument/2006/relationships/hyperlink" Target="https://www.england.nhs.uk/2025/12/nhs-diabetes-prevention-scheme-helps-one-million-people/" TargetMode="External"/><Relationship Id="rId28" Type="http://schemas.openxmlformats.org/officeDocument/2006/relationships/hyperlink" Target="https://www.england.nhs.uk/london/wp-content/uploads/sites/8/2022/09/Structured_Education_Toolkit_Final.pdf" TargetMode="External"/><Relationship Id="rId10" Type="http://schemas.openxmlformats.org/officeDocument/2006/relationships/image" Target="media/image3.jpeg"/><Relationship Id="rId19" Type="http://schemas.openxmlformats.org/officeDocument/2006/relationships/hyperlink" Target="https://www.diabetes.org.uk/living-with-diabetes/supporting-someone-with-diabete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rmingham.gov.uk/info/50119/health_and_wellbeing_board/1300/health_and_wellbeing_strategy" TargetMode="External"/><Relationship Id="rId22" Type="http://schemas.openxmlformats.org/officeDocument/2006/relationships/hyperlink" Target="https://www.instituteofhealthequity.org/resources-reports/marmot-review-10-years-on/the-marmot-review-10-years-on-full-report.pdf" TargetMode="External"/><Relationship Id="rId27" Type="http://schemas.openxmlformats.org/officeDocument/2006/relationships/hyperlink" Target="https://www.scie.org.uk/mca/practice/care-planning/person-centred-care/" TargetMode="External"/><Relationship Id="rId30" Type="http://schemas.openxmlformats.org/officeDocument/2006/relationships/hyperlink" Target="https://www.who.int/news-room/fact-sheets/detail/social-determinants-of-health"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05A40-7661-4FBE-88B3-316F0DBB9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6730</Words>
  <Characters>38363</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Parveen Akhtar (2309185)</dc:creator>
  <cp:keywords/>
  <dc:description/>
  <cp:lastModifiedBy>Parveen Akhtar (2309185)</cp:lastModifiedBy>
  <cp:revision>2</cp:revision>
  <dcterms:created xsi:type="dcterms:W3CDTF">2026-10-22T19:22:00Z</dcterms:created>
  <dcterms:modified xsi:type="dcterms:W3CDTF">2026-10-22T19:22:00Z</dcterms:modified>
</cp:coreProperties>
</file>