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F1724" w14:textId="77777777" w:rsidR="00B50032" w:rsidRPr="00B50032" w:rsidRDefault="00B50032" w:rsidP="00B50032">
      <w:pPr>
        <w:spacing w:after="0" w:line="240" w:lineRule="auto"/>
        <w:ind w:firstLine="0"/>
        <w:jc w:val="left"/>
        <w:rPr>
          <w:rFonts w:ascii="Times New Roman" w:eastAsia="Times New Roman" w:hAnsi="Times New Roman" w:cs="Times New Roman"/>
          <w:kern w:val="0"/>
          <w:sz w:val="24"/>
          <w:szCs w:val="24"/>
          <w:lang w:eastAsia="en-GB"/>
          <w14:ligatures w14:val="none"/>
        </w:rPr>
      </w:pPr>
      <w:r w:rsidRPr="00B50032">
        <w:rPr>
          <w:rFonts w:ascii="Times New Roman" w:eastAsia="Times New Roman" w:hAnsi="Times New Roman" w:cs="Times New Roman"/>
          <w:kern w:val="0"/>
          <w:sz w:val="24"/>
          <w:szCs w:val="24"/>
          <w:lang w:eastAsia="en-GB"/>
          <w14:ligatures w14:val="none"/>
        </w:rPr>
        <w:fldChar w:fldCharType="begin"/>
      </w:r>
      <w:r w:rsidRPr="00B50032">
        <w:rPr>
          <w:rFonts w:ascii="Times New Roman" w:eastAsia="Times New Roman" w:hAnsi="Times New Roman" w:cs="Times New Roman"/>
          <w:kern w:val="0"/>
          <w:sz w:val="24"/>
          <w:szCs w:val="24"/>
          <w:lang w:eastAsia="en-GB"/>
          <w14:ligatures w14:val="none"/>
        </w:rPr>
        <w:instrText>HYPERLINK "https://uowtsd-my.sharepoint.com/:p:/g/personal/2306296_student_uwtsd_ac_uk/IQAMaS4RpWL_RaDWrWnO-VyJAencuqDX1O0ifl7Er5jY31Y?e=SaWXTv"</w:instrText>
      </w:r>
      <w:r w:rsidRPr="00B50032">
        <w:rPr>
          <w:rFonts w:ascii="Times New Roman" w:eastAsia="Times New Roman" w:hAnsi="Times New Roman" w:cs="Times New Roman"/>
          <w:kern w:val="0"/>
          <w:sz w:val="24"/>
          <w:szCs w:val="24"/>
          <w:lang w:eastAsia="en-GB"/>
          <w14:ligatures w14:val="none"/>
        </w:rPr>
      </w:r>
      <w:r w:rsidRPr="00B50032">
        <w:rPr>
          <w:rFonts w:ascii="Times New Roman" w:eastAsia="Times New Roman" w:hAnsi="Times New Roman" w:cs="Times New Roman"/>
          <w:kern w:val="0"/>
          <w:sz w:val="24"/>
          <w:szCs w:val="24"/>
          <w:lang w:eastAsia="en-GB"/>
          <w14:ligatures w14:val="none"/>
        </w:rPr>
        <w:fldChar w:fldCharType="separate"/>
      </w:r>
      <w:r w:rsidRPr="00B50032">
        <w:rPr>
          <w:rFonts w:ascii="Times New Roman" w:eastAsia="Times New Roman" w:hAnsi="Times New Roman" w:cs="Times New Roman"/>
          <w:color w:val="0000FF"/>
          <w:kern w:val="0"/>
          <w:sz w:val="24"/>
          <w:szCs w:val="24"/>
          <w:u w:val="single"/>
          <w:lang w:eastAsia="en-GB"/>
          <w14:ligatures w14:val="none"/>
        </w:rPr>
        <w:t>NEURO P</w:t>
      </w:r>
      <w:r w:rsidRPr="00B50032">
        <w:rPr>
          <w:rFonts w:ascii="Times New Roman" w:eastAsia="Times New Roman" w:hAnsi="Times New Roman" w:cs="Times New Roman"/>
          <w:color w:val="0000FF"/>
          <w:kern w:val="0"/>
          <w:sz w:val="24"/>
          <w:szCs w:val="24"/>
          <w:u w:val="single"/>
          <w:lang w:eastAsia="en-GB"/>
          <w14:ligatures w14:val="none"/>
        </w:rPr>
        <w:t>RESENTATION</w:t>
      </w:r>
      <w:r w:rsidRPr="00B50032">
        <w:rPr>
          <w:rFonts w:ascii="Times New Roman" w:eastAsia="Times New Roman" w:hAnsi="Times New Roman" w:cs="Times New Roman"/>
          <w:kern w:val="0"/>
          <w:sz w:val="24"/>
          <w:szCs w:val="24"/>
          <w:lang w:eastAsia="en-GB"/>
          <w14:ligatures w14:val="none"/>
        </w:rPr>
        <w:fldChar w:fldCharType="end"/>
      </w:r>
    </w:p>
    <w:p w14:paraId="6ECA7D2F" w14:textId="77777777" w:rsidR="00B50032" w:rsidRDefault="00B50032" w:rsidP="00C81146">
      <w:pPr>
        <w:ind w:firstLine="0"/>
        <w:jc w:val="left"/>
        <w:rPr>
          <w:rFonts w:ascii="Arial" w:hAnsi="Arial" w:cs="Arial"/>
          <w:b/>
          <w:bCs/>
          <w:sz w:val="24"/>
          <w:szCs w:val="24"/>
        </w:rPr>
      </w:pPr>
    </w:p>
    <w:p w14:paraId="3443D807" w14:textId="23A7934C" w:rsidR="00B50032"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1</w:t>
      </w:r>
    </w:p>
    <w:p w14:paraId="76E17C6C" w14:textId="61BDB750"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Hello, my name is Pamela. Today</w:t>
      </w:r>
      <w:r w:rsidR="00DB7FCD" w:rsidRPr="00C81146">
        <w:rPr>
          <w:rFonts w:ascii="Arial" w:hAnsi="Arial" w:cs="Arial"/>
          <w:sz w:val="24"/>
          <w:szCs w:val="24"/>
        </w:rPr>
        <w:t>,</w:t>
      </w:r>
      <w:r w:rsidRPr="002249A5">
        <w:rPr>
          <w:rFonts w:ascii="Arial" w:hAnsi="Arial" w:cs="Arial"/>
          <w:sz w:val="24"/>
          <w:szCs w:val="24"/>
        </w:rPr>
        <w:t xml:space="preserve"> I will critically review a paper by Tervo-</w:t>
      </w:r>
      <w:proofErr w:type="gramStart"/>
      <w:r w:rsidRPr="002249A5">
        <w:rPr>
          <w:rFonts w:ascii="Arial" w:hAnsi="Arial" w:cs="Arial"/>
          <w:sz w:val="24"/>
          <w:szCs w:val="24"/>
        </w:rPr>
        <w:t>Clemmens</w:t>
      </w:r>
      <w:proofErr w:type="gramEnd"/>
      <w:r w:rsidRPr="002249A5">
        <w:rPr>
          <w:rFonts w:ascii="Arial" w:hAnsi="Arial" w:cs="Arial"/>
          <w:sz w:val="24"/>
          <w:szCs w:val="24"/>
        </w:rPr>
        <w:t xml:space="preserve"> and colleagues (2018) titled </w:t>
      </w:r>
      <w:r w:rsidRPr="002249A5">
        <w:rPr>
          <w:rFonts w:ascii="Arial" w:hAnsi="Arial" w:cs="Arial"/>
          <w:i/>
          <w:iCs/>
          <w:sz w:val="24"/>
          <w:szCs w:val="24"/>
        </w:rPr>
        <w:t>“Adolescent cannabis use and brain systems supporting adult working memory encoding, maintenance, and retrieval.”</w:t>
      </w:r>
    </w:p>
    <w:p w14:paraId="1ECEF7D9" w14:textId="6EC2E8C3" w:rsidR="002249A5" w:rsidRPr="002249A5" w:rsidRDefault="002249A5" w:rsidP="00C81146">
      <w:pPr>
        <w:ind w:firstLine="0"/>
        <w:jc w:val="left"/>
        <w:rPr>
          <w:rFonts w:ascii="Arial" w:hAnsi="Arial" w:cs="Arial"/>
          <w:sz w:val="24"/>
          <w:szCs w:val="24"/>
        </w:rPr>
      </w:pPr>
      <w:proofErr w:type="gramStart"/>
      <w:r w:rsidRPr="002249A5">
        <w:rPr>
          <w:rFonts w:ascii="Arial" w:hAnsi="Arial" w:cs="Arial"/>
          <w:sz w:val="24"/>
          <w:szCs w:val="24"/>
        </w:rPr>
        <w:t>I will</w:t>
      </w:r>
      <w:proofErr w:type="gramEnd"/>
      <w:r w:rsidRPr="002249A5">
        <w:rPr>
          <w:rFonts w:ascii="Arial" w:hAnsi="Arial" w:cs="Arial"/>
          <w:sz w:val="24"/>
          <w:szCs w:val="24"/>
        </w:rPr>
        <w:t xml:space="preserve"> explain what the study is researching and why it was conducted, outline the design, sampling, </w:t>
      </w:r>
      <w:proofErr w:type="gramStart"/>
      <w:r w:rsidRPr="002249A5">
        <w:rPr>
          <w:rFonts w:ascii="Arial" w:hAnsi="Arial" w:cs="Arial"/>
          <w:sz w:val="24"/>
          <w:szCs w:val="24"/>
        </w:rPr>
        <w:t>procedures</w:t>
      </w:r>
      <w:proofErr w:type="gramEnd"/>
      <w:r w:rsidRPr="002249A5">
        <w:rPr>
          <w:rFonts w:ascii="Arial" w:hAnsi="Arial" w:cs="Arial"/>
          <w:sz w:val="24"/>
          <w:szCs w:val="24"/>
        </w:rPr>
        <w:t xml:space="preserve"> and fMRI methods, and then summarise the main findings. </w:t>
      </w:r>
      <w:proofErr w:type="gramStart"/>
      <w:r w:rsidRPr="002249A5">
        <w:rPr>
          <w:rFonts w:ascii="Arial" w:hAnsi="Arial" w:cs="Arial"/>
          <w:sz w:val="24"/>
          <w:szCs w:val="24"/>
        </w:rPr>
        <w:t>I will</w:t>
      </w:r>
      <w:proofErr w:type="gramEnd"/>
      <w:r w:rsidRPr="002249A5">
        <w:rPr>
          <w:rFonts w:ascii="Arial" w:hAnsi="Arial" w:cs="Arial"/>
          <w:sz w:val="24"/>
          <w:szCs w:val="24"/>
        </w:rPr>
        <w:t xml:space="preserve"> then evaluate the design, measures and analysis, highlight strengths and limitations, relate the paper to more recent neuroscience research, and finish with future directions and what this study adds to understanding memory.</w:t>
      </w:r>
    </w:p>
    <w:p w14:paraId="050708D1"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2</w:t>
      </w:r>
    </w:p>
    <w:p w14:paraId="79E9EA40"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First, a brief background on memory. Working memory is the ability to hold information in mind briefly and use it to guide behaviour. It is often described in three stages: encoding, when information is taken in; maintenance, when it is held; and retrieval, when it is used to make a response.</w:t>
      </w:r>
    </w:p>
    <w:p w14:paraId="4E109E56" w14:textId="6CD2F0E1" w:rsidR="002249A5" w:rsidRDefault="002249A5" w:rsidP="00C81146">
      <w:pPr>
        <w:ind w:firstLine="0"/>
        <w:jc w:val="left"/>
        <w:rPr>
          <w:rFonts w:ascii="Arial" w:hAnsi="Arial" w:cs="Arial"/>
          <w:sz w:val="24"/>
          <w:szCs w:val="24"/>
        </w:rPr>
      </w:pPr>
      <w:r w:rsidRPr="002249A5">
        <w:rPr>
          <w:rFonts w:ascii="Arial" w:hAnsi="Arial" w:cs="Arial"/>
          <w:sz w:val="24"/>
          <w:szCs w:val="24"/>
        </w:rPr>
        <w:t xml:space="preserve">Neuroscience research shows that working memory relies on a frontoparietal network, especially the dorsolateral prefrontal cortex and posterior parietal cortex. These regions support temporary storage and control of information and continue to mature through adolescence (Chai et al., 2018), making this period particularly sensitive to external influences such as substance use. </w:t>
      </w:r>
    </w:p>
    <w:p w14:paraId="2EAD6189" w14:textId="77777777" w:rsidR="00D52146" w:rsidRDefault="00D52146" w:rsidP="00C81146">
      <w:pPr>
        <w:ind w:firstLine="0"/>
        <w:jc w:val="left"/>
        <w:rPr>
          <w:rFonts w:ascii="Arial" w:hAnsi="Arial" w:cs="Arial"/>
          <w:sz w:val="24"/>
          <w:szCs w:val="24"/>
        </w:rPr>
      </w:pPr>
    </w:p>
    <w:p w14:paraId="708F6698" w14:textId="77777777" w:rsidR="00D52146" w:rsidRPr="002249A5" w:rsidRDefault="00D52146" w:rsidP="00C81146">
      <w:pPr>
        <w:ind w:firstLine="0"/>
        <w:jc w:val="left"/>
        <w:rPr>
          <w:rFonts w:ascii="Arial" w:hAnsi="Arial" w:cs="Arial"/>
          <w:sz w:val="24"/>
          <w:szCs w:val="24"/>
        </w:rPr>
      </w:pPr>
    </w:p>
    <w:p w14:paraId="6E972E18"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lastRenderedPageBreak/>
        <w:t>SLIDE 3</w:t>
      </w:r>
    </w:p>
    <w:p w14:paraId="38D03B4A" w14:textId="69BAD475"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Adolescence is also when many people first try cannabis. The endocannabinoid system, which cannabis affects, </w:t>
      </w:r>
      <w:proofErr w:type="gramStart"/>
      <w:r w:rsidRPr="002249A5">
        <w:rPr>
          <w:rFonts w:ascii="Arial" w:hAnsi="Arial" w:cs="Arial"/>
          <w:sz w:val="24"/>
          <w:szCs w:val="24"/>
        </w:rPr>
        <w:t>is involved in</w:t>
      </w:r>
      <w:proofErr w:type="gramEnd"/>
      <w:r w:rsidRPr="002249A5">
        <w:rPr>
          <w:rFonts w:ascii="Arial" w:hAnsi="Arial" w:cs="Arial"/>
          <w:sz w:val="24"/>
          <w:szCs w:val="24"/>
        </w:rPr>
        <w:t xml:space="preserve"> synaptic plasticity and the development of prefrontal and hippocampal circuits, and it continues to mature during adolescence (Rodrigues et al., 2024).</w:t>
      </w:r>
    </w:p>
    <w:p w14:paraId="5DAD40B0" w14:textId="7A9BC44B"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Recent reviews suggest that frequent or heavy cannabis use, especially starting in adolescence, is associated with small but reliable reductions in memory and executive function, and with altered frontoparietal activation during cognitive tasks (Blest-Hopley et al., 2020; Hammond et al., 2022; Colyer-Patel et al., 2024). </w:t>
      </w:r>
      <w:r w:rsidRPr="002249A5">
        <w:rPr>
          <w:rFonts w:ascii="Arial" w:hAnsi="Arial" w:cs="Arial"/>
          <w:sz w:val="24"/>
          <w:szCs w:val="24"/>
        </w:rPr>
        <w:br/>
        <w:t>These effects are modest and often confounded, but they highlight the need for precise studies of how cannabis relates to memory systems in the brain.</w:t>
      </w:r>
    </w:p>
    <w:p w14:paraId="5A977AF9"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4</w:t>
      </w:r>
    </w:p>
    <w:p w14:paraId="005596E6"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In terms of what this study is researching, Tervo-Clemmens and colleagues ask how adolescent cannabis use relates to adult working-memory performance and brain activity.</w:t>
      </w:r>
    </w:p>
    <w:p w14:paraId="6E8AB35E"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They examine two aspects of cannabis history: age of onset (how early participants started using) and total cannabis use across adolescence and early adulthood. They relate these to performance on a spatial working-memory task and to fMRI activation during encoding, </w:t>
      </w:r>
      <w:proofErr w:type="gramStart"/>
      <w:r w:rsidRPr="002249A5">
        <w:rPr>
          <w:rFonts w:ascii="Arial" w:hAnsi="Arial" w:cs="Arial"/>
          <w:sz w:val="24"/>
          <w:szCs w:val="24"/>
        </w:rPr>
        <w:t>maintenance</w:t>
      </w:r>
      <w:proofErr w:type="gramEnd"/>
      <w:r w:rsidRPr="002249A5">
        <w:rPr>
          <w:rFonts w:ascii="Arial" w:hAnsi="Arial" w:cs="Arial"/>
          <w:sz w:val="24"/>
          <w:szCs w:val="24"/>
        </w:rPr>
        <w:t xml:space="preserve"> and retrieval, focusing on frontoparietal regions.</w:t>
      </w:r>
    </w:p>
    <w:p w14:paraId="366B4F74" w14:textId="465EEC55" w:rsidR="002249A5" w:rsidRDefault="002249A5" w:rsidP="00C81146">
      <w:pPr>
        <w:ind w:firstLine="0"/>
        <w:jc w:val="left"/>
        <w:rPr>
          <w:rFonts w:ascii="Arial" w:hAnsi="Arial" w:cs="Arial"/>
          <w:sz w:val="24"/>
          <w:szCs w:val="24"/>
        </w:rPr>
      </w:pPr>
      <w:r w:rsidRPr="002249A5">
        <w:rPr>
          <w:rFonts w:ascii="Arial" w:hAnsi="Arial" w:cs="Arial"/>
          <w:sz w:val="24"/>
          <w:szCs w:val="24"/>
        </w:rPr>
        <w:t xml:space="preserve">In terms of why and the benefits, earlier fMRI studies often treated working memory as a single process, and </w:t>
      </w:r>
      <w:r w:rsidR="00331A71">
        <w:rPr>
          <w:rFonts w:ascii="Arial" w:hAnsi="Arial" w:cs="Arial"/>
          <w:sz w:val="24"/>
          <w:szCs w:val="24"/>
        </w:rPr>
        <w:t xml:space="preserve">the </w:t>
      </w:r>
      <w:r w:rsidRPr="002249A5">
        <w:rPr>
          <w:rFonts w:ascii="Arial" w:hAnsi="Arial" w:cs="Arial"/>
          <w:sz w:val="24"/>
          <w:szCs w:val="24"/>
        </w:rPr>
        <w:t xml:space="preserve">age of onset was usually confounded with cumulative exposure. This study separates encoding, maintenance and retrieval in the brain and teases apart the effects of age of onset and total use. This provides more precise insight into which memory processes and brain systems may be linked to cannabis </w:t>
      </w:r>
      <w:r w:rsidRPr="002249A5">
        <w:rPr>
          <w:rFonts w:ascii="Arial" w:hAnsi="Arial" w:cs="Arial"/>
          <w:sz w:val="24"/>
          <w:szCs w:val="24"/>
        </w:rPr>
        <w:lastRenderedPageBreak/>
        <w:t>history, which is important for both the neuroscience of memory and public health (Colyer-Patel et al., 2024; Scott, 2023).</w:t>
      </w:r>
    </w:p>
    <w:p w14:paraId="7E40DB1E" w14:textId="77777777" w:rsidR="000F1837" w:rsidRPr="002249A5" w:rsidRDefault="000F1837" w:rsidP="00C81146">
      <w:pPr>
        <w:ind w:firstLine="0"/>
        <w:jc w:val="left"/>
        <w:rPr>
          <w:rFonts w:ascii="Arial" w:hAnsi="Arial" w:cs="Arial"/>
          <w:sz w:val="24"/>
          <w:szCs w:val="24"/>
        </w:rPr>
      </w:pPr>
    </w:p>
    <w:p w14:paraId="4DD3EBE8"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5</w:t>
      </w:r>
    </w:p>
    <w:p w14:paraId="560E0A28" w14:textId="09F8CD73"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 design is an observational longitudinal cohort study with cross-sectional fMRI. Participants came from the Maternal Health Practices and Child Development cohort, a birth cohort of low-income families with repeated assessments of cannabis, alcohol, </w:t>
      </w:r>
      <w:proofErr w:type="gramStart"/>
      <w:r w:rsidRPr="002249A5">
        <w:rPr>
          <w:rFonts w:ascii="Arial" w:hAnsi="Arial" w:cs="Arial"/>
          <w:sz w:val="24"/>
          <w:szCs w:val="24"/>
        </w:rPr>
        <w:t>tobacco</w:t>
      </w:r>
      <w:proofErr w:type="gramEnd"/>
      <w:r w:rsidRPr="002249A5">
        <w:rPr>
          <w:rFonts w:ascii="Arial" w:hAnsi="Arial" w:cs="Arial"/>
          <w:sz w:val="24"/>
          <w:szCs w:val="24"/>
        </w:rPr>
        <w:t xml:space="preserve"> and prenatal exposures. At about age 28, 75 participants completed an fMRI scan and a spatial working-memory task (Tervo-Clemmens et al., 2018). </w:t>
      </w:r>
    </w:p>
    <w:p w14:paraId="73A8896E"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For clinical research, this is a </w:t>
      </w:r>
      <w:proofErr w:type="gramStart"/>
      <w:r w:rsidRPr="002249A5">
        <w:rPr>
          <w:rFonts w:ascii="Arial" w:hAnsi="Arial" w:cs="Arial"/>
          <w:sz w:val="24"/>
          <w:szCs w:val="24"/>
        </w:rPr>
        <w:t>relatively strong</w:t>
      </w:r>
      <w:proofErr w:type="gramEnd"/>
      <w:r w:rsidRPr="002249A5">
        <w:rPr>
          <w:rFonts w:ascii="Arial" w:hAnsi="Arial" w:cs="Arial"/>
          <w:sz w:val="24"/>
          <w:szCs w:val="24"/>
        </w:rPr>
        <w:t xml:space="preserve"> observational design: longitudinal substance-use data and rich covariates are major strengths. However, it is not a randomised controlled trial, so it cannot show causality, and the imaging is cross-sectional. It is strong for developmental associations, but weaker than an RCT for causal inference.</w:t>
      </w:r>
    </w:p>
    <w:p w14:paraId="449EE890" w14:textId="7616DD7A" w:rsidR="002249A5" w:rsidRDefault="002249A5" w:rsidP="00C81146">
      <w:pPr>
        <w:ind w:firstLine="0"/>
        <w:jc w:val="left"/>
        <w:rPr>
          <w:rFonts w:ascii="Arial" w:hAnsi="Arial" w:cs="Arial"/>
          <w:sz w:val="24"/>
          <w:szCs w:val="24"/>
        </w:rPr>
      </w:pPr>
      <w:r w:rsidRPr="002249A5">
        <w:rPr>
          <w:rFonts w:ascii="Arial" w:hAnsi="Arial" w:cs="Arial"/>
          <w:sz w:val="24"/>
          <w:szCs w:val="24"/>
        </w:rPr>
        <w:t xml:space="preserve">The authors provide clear hypotheses. They predict that earlier cannabis onset will be associated with slower reaction times, that greater total cannabis use will be associated with poorer working-memory performance overall, and that effects will be localised to dorsolateral prefrontal and posterior parietal cortex. These hypotheses are consistent with more recent findings that heavy or early use is linked to subtle working-memory and executive deficits (Lawn et al., 2022; Callesen et al., 2024), so hypothesis clarity is not an issue here. </w:t>
      </w:r>
    </w:p>
    <w:p w14:paraId="1FC1FF9A" w14:textId="77777777" w:rsidR="00D52146" w:rsidRDefault="00D52146" w:rsidP="00C81146">
      <w:pPr>
        <w:ind w:firstLine="0"/>
        <w:jc w:val="left"/>
        <w:rPr>
          <w:rFonts w:ascii="Arial" w:hAnsi="Arial" w:cs="Arial"/>
          <w:sz w:val="24"/>
          <w:szCs w:val="24"/>
        </w:rPr>
      </w:pPr>
    </w:p>
    <w:p w14:paraId="32038E58" w14:textId="77777777" w:rsidR="00D52146" w:rsidRPr="002249A5" w:rsidRDefault="00D52146" w:rsidP="00C81146">
      <w:pPr>
        <w:ind w:firstLine="0"/>
        <w:jc w:val="left"/>
        <w:rPr>
          <w:rFonts w:ascii="Arial" w:hAnsi="Arial" w:cs="Arial"/>
          <w:sz w:val="24"/>
          <w:szCs w:val="24"/>
        </w:rPr>
      </w:pPr>
    </w:p>
    <w:p w14:paraId="1F4CB016"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lastRenderedPageBreak/>
        <w:t>SLIDE 6</w:t>
      </w:r>
    </w:p>
    <w:p w14:paraId="5C0BF250" w14:textId="653DA8C8"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For sampling, a total sample of </w:t>
      </w:r>
      <w:proofErr w:type="gramStart"/>
      <w:r w:rsidRPr="002249A5">
        <w:rPr>
          <w:rFonts w:ascii="Arial" w:hAnsi="Arial" w:cs="Arial"/>
          <w:sz w:val="24"/>
          <w:szCs w:val="24"/>
        </w:rPr>
        <w:t>75</w:t>
      </w:r>
      <w:proofErr w:type="gramEnd"/>
      <w:r w:rsidRPr="002249A5">
        <w:rPr>
          <w:rFonts w:ascii="Arial" w:hAnsi="Arial" w:cs="Arial"/>
          <w:sz w:val="24"/>
          <w:szCs w:val="24"/>
        </w:rPr>
        <w:t xml:space="preserve"> is </w:t>
      </w:r>
      <w:proofErr w:type="gramStart"/>
      <w:r w:rsidRPr="002249A5">
        <w:rPr>
          <w:rFonts w:ascii="Arial" w:hAnsi="Arial" w:cs="Arial"/>
          <w:sz w:val="24"/>
          <w:szCs w:val="24"/>
        </w:rPr>
        <w:t>relatively good</w:t>
      </w:r>
      <w:proofErr w:type="gramEnd"/>
      <w:r w:rsidRPr="002249A5">
        <w:rPr>
          <w:rFonts w:ascii="Arial" w:hAnsi="Arial" w:cs="Arial"/>
          <w:sz w:val="24"/>
          <w:szCs w:val="24"/>
        </w:rPr>
        <w:t xml:space="preserve"> for an fMRI study and compares favourably with many earlier cannabis neuroimaging studies with smaller groups (Blest-Hopley et al., 2020; Hammond et al., 2022). </w:t>
      </w:r>
      <w:r w:rsidRPr="002249A5">
        <w:rPr>
          <w:rFonts w:ascii="Arial" w:hAnsi="Arial" w:cs="Arial"/>
          <w:sz w:val="24"/>
          <w:szCs w:val="24"/>
        </w:rPr>
        <w:br/>
        <w:t>Participants were classified as lifetime non-users, experimenters (one use), and repeated users.</w:t>
      </w:r>
    </w:p>
    <w:p w14:paraId="515BDB5A" w14:textId="663B914C"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 researchers were thorough in their protocol. They excluded individuals with </w:t>
      </w:r>
      <w:r w:rsidR="00F56DF3" w:rsidRPr="00C81146">
        <w:rPr>
          <w:rFonts w:ascii="Arial" w:hAnsi="Arial" w:cs="Arial"/>
          <w:sz w:val="24"/>
          <w:szCs w:val="24"/>
        </w:rPr>
        <w:t xml:space="preserve">an </w:t>
      </w:r>
      <w:r w:rsidRPr="002249A5">
        <w:rPr>
          <w:rFonts w:ascii="Arial" w:hAnsi="Arial" w:cs="Arial"/>
          <w:sz w:val="24"/>
          <w:szCs w:val="24"/>
        </w:rPr>
        <w:t xml:space="preserve">IQ below 80, current psychiatric disorders, psychotropic medication, severe head </w:t>
      </w:r>
      <w:proofErr w:type="gramStart"/>
      <w:r w:rsidRPr="002249A5">
        <w:rPr>
          <w:rFonts w:ascii="Arial" w:hAnsi="Arial" w:cs="Arial"/>
          <w:sz w:val="24"/>
          <w:szCs w:val="24"/>
        </w:rPr>
        <w:t>injury</w:t>
      </w:r>
      <w:proofErr w:type="gramEnd"/>
      <w:r w:rsidRPr="002249A5">
        <w:rPr>
          <w:rFonts w:ascii="Arial" w:hAnsi="Arial" w:cs="Arial"/>
          <w:sz w:val="24"/>
          <w:szCs w:val="24"/>
        </w:rPr>
        <w:t xml:space="preserve"> or MRI contraindications. All participants provided a negative multi-drug urine screen at testing. Alcohol and tobacco use and prenatal exposures were measured and entered as covariates, which supports internal validity.</w:t>
      </w:r>
    </w:p>
    <w:p w14:paraId="72BA90A5" w14:textId="4D667112"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However, there are weaknesses. The non-user control group is </w:t>
      </w:r>
      <w:proofErr w:type="gramStart"/>
      <w:r w:rsidRPr="002249A5">
        <w:rPr>
          <w:rFonts w:ascii="Arial" w:hAnsi="Arial" w:cs="Arial"/>
          <w:sz w:val="24"/>
          <w:szCs w:val="24"/>
        </w:rPr>
        <w:t>very small</w:t>
      </w:r>
      <w:proofErr w:type="gramEnd"/>
      <w:r w:rsidRPr="002249A5">
        <w:rPr>
          <w:rFonts w:ascii="Arial" w:hAnsi="Arial" w:cs="Arial"/>
          <w:sz w:val="24"/>
          <w:szCs w:val="24"/>
        </w:rPr>
        <w:t xml:space="preserve"> (only 15) and mostly women in a high-risk, low-income cohort where most peers used cannabis. This makes non-users an atypical group who may differ in traits such as anxiety or behavioural inhibition, which could influence working memory. Selection bias is also possible because those who agreed to an MRI tended to be older</w:t>
      </w:r>
      <w:r w:rsidR="00F56DF3" w:rsidRPr="00C81146">
        <w:rPr>
          <w:rFonts w:ascii="Arial" w:hAnsi="Arial" w:cs="Arial"/>
          <w:sz w:val="24"/>
          <w:szCs w:val="24"/>
        </w:rPr>
        <w:t>, so</w:t>
      </w:r>
      <w:r w:rsidRPr="002249A5">
        <w:rPr>
          <w:rFonts w:ascii="Arial" w:hAnsi="Arial" w:cs="Arial"/>
          <w:sz w:val="24"/>
          <w:szCs w:val="24"/>
        </w:rPr>
        <w:t xml:space="preserve"> while the sample size suits fMRI, representativeness and control-group composition are limitations.</w:t>
      </w:r>
    </w:p>
    <w:p w14:paraId="7A4C0FAF"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7</w:t>
      </w:r>
    </w:p>
    <w:p w14:paraId="5302B59E"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Turning to procedure and materials, the study used a spatial Sternberg working-memory task. On each trial, participants saw one or three locations to remember (encoding), waited through a short or long delay (maintenance), then saw four probe locations and decided whether any matched (retrieval).</w:t>
      </w:r>
    </w:p>
    <w:p w14:paraId="29FE50C8" w14:textId="3A797661"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lastRenderedPageBreak/>
        <w:t>A key strength is the use of partial trials, where some trials omit certain phases. This allows fMRI analysis to separate signals for encoding, maintenance</w:t>
      </w:r>
      <w:r w:rsidR="00F56DF3" w:rsidRPr="00C81146">
        <w:rPr>
          <w:rFonts w:ascii="Arial" w:hAnsi="Arial" w:cs="Arial"/>
          <w:sz w:val="24"/>
          <w:szCs w:val="24"/>
        </w:rPr>
        <w:t>, and retrieval, which aligns with</w:t>
      </w:r>
      <w:r w:rsidRPr="002249A5">
        <w:rPr>
          <w:rFonts w:ascii="Arial" w:hAnsi="Arial" w:cs="Arial"/>
          <w:sz w:val="24"/>
          <w:szCs w:val="24"/>
        </w:rPr>
        <w:t xml:space="preserve"> their aim to link cannabis history to specific working-memory subprocesses. The task is based on classic Sternberg paradigms and is </w:t>
      </w:r>
      <w:proofErr w:type="gramStart"/>
      <w:r w:rsidRPr="002249A5">
        <w:rPr>
          <w:rFonts w:ascii="Arial" w:hAnsi="Arial" w:cs="Arial"/>
          <w:sz w:val="24"/>
          <w:szCs w:val="24"/>
        </w:rPr>
        <w:t>similar to</w:t>
      </w:r>
      <w:proofErr w:type="gramEnd"/>
      <w:r w:rsidRPr="002249A5">
        <w:rPr>
          <w:rFonts w:ascii="Arial" w:hAnsi="Arial" w:cs="Arial"/>
          <w:sz w:val="24"/>
          <w:szCs w:val="24"/>
        </w:rPr>
        <w:t xml:space="preserve"> </w:t>
      </w:r>
      <w:r w:rsidR="00F56DF3" w:rsidRPr="00C81146">
        <w:rPr>
          <w:rFonts w:ascii="Arial" w:hAnsi="Arial" w:cs="Arial"/>
          <w:sz w:val="24"/>
          <w:szCs w:val="24"/>
        </w:rPr>
        <w:t xml:space="preserve">those used in recent cannabis studies, such as </w:t>
      </w:r>
      <w:proofErr w:type="spellStart"/>
      <w:r w:rsidR="00F56DF3" w:rsidRPr="00C81146">
        <w:rPr>
          <w:rFonts w:ascii="Arial" w:hAnsi="Arial" w:cs="Arial"/>
          <w:sz w:val="24"/>
          <w:szCs w:val="24"/>
        </w:rPr>
        <w:t>CannTeen</w:t>
      </w:r>
      <w:proofErr w:type="spellEnd"/>
      <w:r w:rsidR="00F56DF3" w:rsidRPr="00C81146">
        <w:rPr>
          <w:rFonts w:ascii="Arial" w:hAnsi="Arial" w:cs="Arial"/>
          <w:sz w:val="24"/>
          <w:szCs w:val="24"/>
        </w:rPr>
        <w:t xml:space="preserve"> (Lawn et al., 2022), providing</w:t>
      </w:r>
      <w:r w:rsidRPr="002249A5">
        <w:rPr>
          <w:rFonts w:ascii="Arial" w:hAnsi="Arial" w:cs="Arial"/>
          <w:sz w:val="24"/>
          <w:szCs w:val="24"/>
        </w:rPr>
        <w:t xml:space="preserve"> strong precedent.</w:t>
      </w:r>
    </w:p>
    <w:p w14:paraId="3BAE754E" w14:textId="078B1826"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Beyond the task, the study uses standardised and validated clinical measures, such as IQ tests and structured psychiatric interviews, and cannabis-use and prenatal-exposure measures used in previous MHPCD work. Overall, the procedure and materials are appropriate and representative of the </w:t>
      </w:r>
      <w:r w:rsidR="0071036B" w:rsidRPr="00C81146">
        <w:rPr>
          <w:rFonts w:ascii="Arial" w:hAnsi="Arial" w:cs="Arial"/>
          <w:sz w:val="24"/>
          <w:szCs w:val="24"/>
        </w:rPr>
        <w:t>study's</w:t>
      </w:r>
      <w:r w:rsidRPr="002249A5">
        <w:rPr>
          <w:rFonts w:ascii="Arial" w:hAnsi="Arial" w:cs="Arial"/>
          <w:sz w:val="24"/>
          <w:szCs w:val="24"/>
        </w:rPr>
        <w:t xml:space="preserve"> aim, although focusing only on spatial working memory limits generalisation to other memory domains.</w:t>
      </w:r>
    </w:p>
    <w:p w14:paraId="2ED703E9"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8</w:t>
      </w:r>
    </w:p>
    <w:p w14:paraId="09BDBB91" w14:textId="7E2A10B0"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 central imaging technique is fMRI. Its main strengths here are high spatial resolution and the ability to distinguish posterior parietal activity, linked to encoding and storage, from dorsolateral prefrontal activity, linked to maintenance and control. The partial-trial, event-related design uses fMRI effectively to separate working-memory subprocesses, and the method is consistent with the broader cannabis neuroimaging literature (Blest-Hopley et al., 2020; Hammond et al., 2022; Colyer-Patel et al., 2024). </w:t>
      </w:r>
    </w:p>
    <w:p w14:paraId="4ED16CD0"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However, fMRI measures BOLD, an indirect haemodynamic proxy for neural activity, and has limited temporal resolution. It is sensitive to head motion and physiological noise, which is important in substance-using samples, and the scanner environment is artificial, limiting ecological validity.</w:t>
      </w:r>
    </w:p>
    <w:p w14:paraId="459C63DD" w14:textId="28C7FFA0" w:rsidR="004D5277" w:rsidRPr="002249A5" w:rsidRDefault="002249A5" w:rsidP="00C81146">
      <w:pPr>
        <w:ind w:firstLine="0"/>
        <w:jc w:val="left"/>
        <w:rPr>
          <w:rFonts w:ascii="Arial" w:hAnsi="Arial" w:cs="Arial"/>
          <w:sz w:val="24"/>
          <w:szCs w:val="24"/>
        </w:rPr>
      </w:pPr>
      <w:r w:rsidRPr="002249A5">
        <w:rPr>
          <w:rFonts w:ascii="Arial" w:hAnsi="Arial" w:cs="Arial"/>
          <w:sz w:val="24"/>
          <w:szCs w:val="24"/>
        </w:rPr>
        <w:lastRenderedPageBreak/>
        <w:t xml:space="preserve">Alternative or complementary measures could include EEG or MEG for better temporal resolution, </w:t>
      </w:r>
      <w:proofErr w:type="gramStart"/>
      <w:r w:rsidRPr="002249A5">
        <w:rPr>
          <w:rFonts w:ascii="Arial" w:hAnsi="Arial" w:cs="Arial"/>
          <w:sz w:val="24"/>
          <w:szCs w:val="24"/>
        </w:rPr>
        <w:t>diffusion</w:t>
      </w:r>
      <w:proofErr w:type="gramEnd"/>
      <w:r w:rsidRPr="002249A5">
        <w:rPr>
          <w:rFonts w:ascii="Arial" w:hAnsi="Arial" w:cs="Arial"/>
          <w:sz w:val="24"/>
          <w:szCs w:val="24"/>
        </w:rPr>
        <w:t xml:space="preserve"> or structural MRI to examine white matter and regional volume, and PET to assess cannabinoid receptor availability. So, fMRI is a robust and appropriate choice for the spatial questions they ask, but it does not provide a complete picture on its own</w:t>
      </w:r>
      <w:r w:rsidR="004D5277">
        <w:rPr>
          <w:rFonts w:ascii="Arial" w:hAnsi="Arial" w:cs="Arial"/>
          <w:sz w:val="24"/>
          <w:szCs w:val="24"/>
        </w:rPr>
        <w:t>.</w:t>
      </w:r>
    </w:p>
    <w:p w14:paraId="3D7CFFBE"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9</w:t>
      </w:r>
    </w:p>
    <w:p w14:paraId="7F6BE0A7"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For analysis, the authors use mixed-effects models for reaction time and accuracy, including cannabis variables and covariates such as IQ and other substances. Group comparisons use t-tests and non-parametric tests where needed. For fMRI, they run voxel-wise analyses using two general linear models, apply multiple-comparison corrections, and examine brain–behaviour correlations and mediation models. These are standard and appropriate methods.</w:t>
      </w:r>
    </w:p>
    <w:p w14:paraId="6896758E"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Behaviourally, they find that earlier age of cannabis onset is associated with slower reaction times, although accuracy is not significantly reduced. For total cannabis use, there is only a weak, non-robust trend toward slightly lower accuracy among heavier users once confounders are controlled.</w:t>
      </w:r>
    </w:p>
    <w:p w14:paraId="6F28B168" w14:textId="75C22754"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The headline fMRI findings are that earlier onset is associated with reduced cue-related activation in right posterior parietal cortex during encoding, and that this parietal activation is positively related to faster reaction times. Mediation analysis suggests that reduced parietal encoding activity partly explains why earlier onset is linked to slower performance. In repeated users, higher total cannabis use is associated with increased right dorsolateral prefrontal activation during maintenance and retrieval and a trend toward slightly lower accuracy, interpreted as compensatory recruitment (Tervo-Clemmens et al., 2018).</w:t>
      </w:r>
    </w:p>
    <w:p w14:paraId="13FC47BE" w14:textId="32AFDBE5"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lastRenderedPageBreak/>
        <w:t xml:space="preserve">They explain the importance of these findings: </w:t>
      </w:r>
      <w:proofErr w:type="gramStart"/>
      <w:r w:rsidRPr="002249A5">
        <w:rPr>
          <w:rFonts w:ascii="Arial" w:hAnsi="Arial" w:cs="Arial"/>
          <w:sz w:val="24"/>
          <w:szCs w:val="24"/>
        </w:rPr>
        <w:t>different aspects</w:t>
      </w:r>
      <w:proofErr w:type="gramEnd"/>
      <w:r w:rsidRPr="002249A5">
        <w:rPr>
          <w:rFonts w:ascii="Arial" w:hAnsi="Arial" w:cs="Arial"/>
          <w:sz w:val="24"/>
          <w:szCs w:val="24"/>
        </w:rPr>
        <w:t xml:space="preserve"> of cannabis history map onto specific working-memory subprocesses and brain regions, refining our understanding of how memory systems might be affected. There is also an “odd” result: at the group level, cannabis users, especially repeated users, show faster reaction times and similar or slightly better accuracy than non-users. The authors suggest this reflects the unusual non-user group rather than any beneficial effect of cannabis.</w:t>
      </w:r>
    </w:p>
    <w:p w14:paraId="5058F806"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10</w:t>
      </w:r>
    </w:p>
    <w:p w14:paraId="002FDA45"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There are several restrictions on the findings. The study is based on a high-risk, low-income, urban cohort with substantial prenatal substance exposure, so results may not generalise to more typical adolescent cannabis users. The non-user group </w:t>
      </w:r>
      <w:proofErr w:type="gramStart"/>
      <w:r w:rsidRPr="002249A5">
        <w:rPr>
          <w:rFonts w:ascii="Arial" w:hAnsi="Arial" w:cs="Arial"/>
          <w:sz w:val="24"/>
          <w:szCs w:val="24"/>
        </w:rPr>
        <w:t>is</w:t>
      </w:r>
      <w:proofErr w:type="gramEnd"/>
      <w:r w:rsidRPr="002249A5">
        <w:rPr>
          <w:rFonts w:ascii="Arial" w:hAnsi="Arial" w:cs="Arial"/>
          <w:sz w:val="24"/>
          <w:szCs w:val="24"/>
        </w:rPr>
        <w:t xml:space="preserve"> small and atypical, complicating the interpretation of their poorer performance.</w:t>
      </w:r>
    </w:p>
    <w:p w14:paraId="46D5459C" w14:textId="1F93A3B4"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Ecological validity is limited. The study uses a controlled spatial working-memory task in a scanner during acute abstinence, which differs from everyday memory demands under stress, </w:t>
      </w:r>
      <w:proofErr w:type="gramStart"/>
      <w:r w:rsidRPr="002249A5">
        <w:rPr>
          <w:rFonts w:ascii="Arial" w:hAnsi="Arial" w:cs="Arial"/>
          <w:sz w:val="24"/>
          <w:szCs w:val="24"/>
        </w:rPr>
        <w:t>multitasking</w:t>
      </w:r>
      <w:proofErr w:type="gramEnd"/>
      <w:r w:rsidRPr="002249A5">
        <w:rPr>
          <w:rFonts w:ascii="Arial" w:hAnsi="Arial" w:cs="Arial"/>
          <w:sz w:val="24"/>
          <w:szCs w:val="24"/>
        </w:rPr>
        <w:t xml:space="preserve"> or intoxication. Recent work suggests subtle cognitive impacts may be more evident in real-world tasks and broader test batteries than in a single lab task (Lawn et al., 2022; Wade et al., 2024). </w:t>
      </w:r>
    </w:p>
    <w:p w14:paraId="62F0D02A" w14:textId="7C8A8BAE" w:rsidR="002249A5" w:rsidRDefault="002249A5" w:rsidP="00C81146">
      <w:pPr>
        <w:ind w:firstLine="0"/>
        <w:jc w:val="left"/>
        <w:rPr>
          <w:rFonts w:ascii="Arial" w:hAnsi="Arial" w:cs="Arial"/>
          <w:sz w:val="24"/>
          <w:szCs w:val="24"/>
        </w:rPr>
      </w:pPr>
      <w:r w:rsidRPr="002249A5">
        <w:rPr>
          <w:rFonts w:ascii="Arial" w:hAnsi="Arial" w:cs="Arial"/>
          <w:sz w:val="24"/>
          <w:szCs w:val="24"/>
        </w:rPr>
        <w:t xml:space="preserve">Regarding outliers, the authors censor high-motion fMRI volumes and run sensitivity analyses excluding a participant who recently used “other drugs”, with no significant change in results. There is no evidence that they used outliers to support their hypothesis; they treat the </w:t>
      </w:r>
      <w:proofErr w:type="gramStart"/>
      <w:r w:rsidRPr="002249A5">
        <w:rPr>
          <w:rFonts w:ascii="Arial" w:hAnsi="Arial" w:cs="Arial"/>
          <w:sz w:val="24"/>
          <w:szCs w:val="24"/>
        </w:rPr>
        <w:t>unexpected better</w:t>
      </w:r>
      <w:proofErr w:type="gramEnd"/>
      <w:r w:rsidRPr="002249A5">
        <w:rPr>
          <w:rFonts w:ascii="Arial" w:hAnsi="Arial" w:cs="Arial"/>
          <w:sz w:val="24"/>
          <w:szCs w:val="24"/>
        </w:rPr>
        <w:t xml:space="preserve"> performance of users relative to non-users cautiously.</w:t>
      </w:r>
    </w:p>
    <w:p w14:paraId="591836F7" w14:textId="77777777" w:rsidR="004D5277" w:rsidRDefault="004D5277" w:rsidP="00C81146">
      <w:pPr>
        <w:ind w:firstLine="0"/>
        <w:jc w:val="left"/>
        <w:rPr>
          <w:rFonts w:ascii="Arial" w:hAnsi="Arial" w:cs="Arial"/>
          <w:sz w:val="24"/>
          <w:szCs w:val="24"/>
        </w:rPr>
      </w:pPr>
    </w:p>
    <w:p w14:paraId="03F95EAB" w14:textId="77777777" w:rsidR="004D5277" w:rsidRPr="002249A5" w:rsidRDefault="004D5277" w:rsidP="00C81146">
      <w:pPr>
        <w:ind w:firstLine="0"/>
        <w:jc w:val="left"/>
        <w:rPr>
          <w:rFonts w:ascii="Arial" w:hAnsi="Arial" w:cs="Arial"/>
          <w:sz w:val="24"/>
          <w:szCs w:val="24"/>
        </w:rPr>
      </w:pPr>
    </w:p>
    <w:p w14:paraId="4B6ED22B"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lastRenderedPageBreak/>
        <w:t>SLIDE 11</w:t>
      </w:r>
    </w:p>
    <w:p w14:paraId="75819F93" w14:textId="77777777"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The authors explicitly note several limitations. They mention the small and unusual non-user group, the restricted generalisability of the high-risk cohort, the lack of neuroimaging and detailed cognitive data before cannabis onset, and the fact that cannabis exposure is based on self-report at a limited number of time points. They also point out that urine drug screens are binary, so they cannot quantify recent THC levels.</w:t>
      </w:r>
    </w:p>
    <w:p w14:paraId="23649A2E" w14:textId="77777777" w:rsidR="00E80B23" w:rsidRPr="00C81146" w:rsidRDefault="002249A5" w:rsidP="00C81146">
      <w:pPr>
        <w:ind w:firstLine="0"/>
        <w:jc w:val="left"/>
        <w:rPr>
          <w:rFonts w:ascii="Arial" w:hAnsi="Arial" w:cs="Arial"/>
          <w:sz w:val="24"/>
          <w:szCs w:val="24"/>
        </w:rPr>
      </w:pPr>
      <w:r w:rsidRPr="002249A5">
        <w:rPr>
          <w:rFonts w:ascii="Arial" w:hAnsi="Arial" w:cs="Arial"/>
          <w:sz w:val="24"/>
          <w:szCs w:val="24"/>
        </w:rPr>
        <w:t xml:space="preserve">Beyond these, we can add broader limitations. Because neuroimaging is cross-sectional at age 28, we cannot separate pre-existing vulnerability from consequences of cannabis use, an issue emphasised in more recent longitudinal work (Scott, 2023; Colyer-Patel et al., 2024). </w:t>
      </w:r>
    </w:p>
    <w:p w14:paraId="3C16DBD6" w14:textId="6699B3B5"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 conversion of self-reported cannabis </w:t>
      </w:r>
      <w:proofErr w:type="gramStart"/>
      <w:r w:rsidRPr="002249A5">
        <w:rPr>
          <w:rFonts w:ascii="Arial" w:hAnsi="Arial" w:cs="Arial"/>
          <w:sz w:val="24"/>
          <w:szCs w:val="24"/>
        </w:rPr>
        <w:t>use</w:t>
      </w:r>
      <w:proofErr w:type="gramEnd"/>
      <w:r w:rsidRPr="002249A5">
        <w:rPr>
          <w:rFonts w:ascii="Arial" w:hAnsi="Arial" w:cs="Arial"/>
          <w:sz w:val="24"/>
          <w:szCs w:val="24"/>
        </w:rPr>
        <w:t xml:space="preserve"> into “joints per day” does not capture THC potency or patterns such as occasional versus daily use. Focusing solely on spatial working memory means the study cannot tell us about other aspects of memory and cognition that may also be affected (Lawn et al., 2022; Callesen et al., 2024). </w:t>
      </w:r>
    </w:p>
    <w:p w14:paraId="53FC8226"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12</w:t>
      </w:r>
    </w:p>
    <w:p w14:paraId="1919CABE" w14:textId="42915B12"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These limitations point toward clear future directions. First, there is a strong need for prospective neuroimaging studies that measure cognition and brain function before cannabis use begins and then follow individuals over time, to distinguish vulnerability markers from exposure effects (Scott, 2023; Colyer-Patel et al., 2024). </w:t>
      </w:r>
    </w:p>
    <w:p w14:paraId="3BCA9552" w14:textId="77777777" w:rsidR="00E12C49" w:rsidRPr="00C81146" w:rsidRDefault="002249A5" w:rsidP="00C81146">
      <w:pPr>
        <w:ind w:firstLine="0"/>
        <w:jc w:val="left"/>
        <w:rPr>
          <w:rFonts w:ascii="Arial" w:hAnsi="Arial" w:cs="Arial"/>
          <w:sz w:val="24"/>
          <w:szCs w:val="24"/>
        </w:rPr>
      </w:pPr>
      <w:r w:rsidRPr="002249A5">
        <w:rPr>
          <w:rFonts w:ascii="Arial" w:hAnsi="Arial" w:cs="Arial"/>
          <w:sz w:val="24"/>
          <w:szCs w:val="24"/>
        </w:rPr>
        <w:t xml:space="preserve">Second, future work should improve cannabis exposure measurement by including THC potency, modes and patterns of use and objective biomarkers such as hair or blood assays (Wade et al., 2024). </w:t>
      </w:r>
    </w:p>
    <w:p w14:paraId="0D8393D3" w14:textId="5B7D26AD"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lastRenderedPageBreak/>
        <w:t xml:space="preserve">Third, it would be valuable to move beyond spatial working memory to include verbal and episodic memory, as well as more naturalistic tasks that better capture everyday functioning (Lawn et al., 2022; Callesen et al., 2024). </w:t>
      </w:r>
      <w:r w:rsidRPr="002249A5">
        <w:rPr>
          <w:rFonts w:ascii="Arial" w:hAnsi="Arial" w:cs="Arial"/>
          <w:sz w:val="24"/>
          <w:szCs w:val="24"/>
        </w:rPr>
        <w:br/>
        <w:t xml:space="preserve">Finally, recent reviews highlight the importance of moderators such as sex, </w:t>
      </w:r>
      <w:proofErr w:type="gramStart"/>
      <w:r w:rsidRPr="002249A5">
        <w:rPr>
          <w:rFonts w:ascii="Arial" w:hAnsi="Arial" w:cs="Arial"/>
          <w:sz w:val="24"/>
          <w:szCs w:val="24"/>
        </w:rPr>
        <w:t>anxiety</w:t>
      </w:r>
      <w:proofErr w:type="gramEnd"/>
      <w:r w:rsidRPr="002249A5">
        <w:rPr>
          <w:rFonts w:ascii="Arial" w:hAnsi="Arial" w:cs="Arial"/>
          <w:sz w:val="24"/>
          <w:szCs w:val="24"/>
        </w:rPr>
        <w:t xml:space="preserve"> and cannabis use-disorder severity, which may shape both cognitive outcomes and neural responses (Hammond et al., 2022; Colyer-Patel et al., 2024).</w:t>
      </w:r>
    </w:p>
    <w:p w14:paraId="0BCAACFE" w14:textId="0C258B5B" w:rsidR="002249A5" w:rsidRPr="002249A5" w:rsidRDefault="002249A5" w:rsidP="00C81146">
      <w:pPr>
        <w:ind w:firstLine="0"/>
        <w:jc w:val="left"/>
        <w:rPr>
          <w:rFonts w:ascii="Arial" w:hAnsi="Arial" w:cs="Arial"/>
          <w:sz w:val="24"/>
          <w:szCs w:val="24"/>
        </w:rPr>
      </w:pPr>
    </w:p>
    <w:p w14:paraId="795B4D9C" w14:textId="77777777" w:rsidR="002249A5" w:rsidRPr="002249A5" w:rsidRDefault="002249A5" w:rsidP="00C81146">
      <w:pPr>
        <w:ind w:firstLine="0"/>
        <w:jc w:val="left"/>
        <w:rPr>
          <w:rFonts w:ascii="Arial" w:hAnsi="Arial" w:cs="Arial"/>
          <w:b/>
          <w:bCs/>
          <w:sz w:val="24"/>
          <w:szCs w:val="24"/>
        </w:rPr>
      </w:pPr>
      <w:r w:rsidRPr="002249A5">
        <w:rPr>
          <w:rFonts w:ascii="Arial" w:hAnsi="Arial" w:cs="Arial"/>
          <w:b/>
          <w:bCs/>
          <w:sz w:val="24"/>
          <w:szCs w:val="24"/>
        </w:rPr>
        <w:t>SLIDE 13</w:t>
      </w:r>
    </w:p>
    <w:p w14:paraId="3EBD427F" w14:textId="343BD016"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To conclude, Tervo-Clemmens and colleagues provide a careful study of adolescent cannabis use and the neuroscience of working memory. In terms of what it is researching, it examines how the age of cannabis onset and total cannabis use relate to adult working-memory performance and brain activity. The study shows that earlier onset is associated with reduced parietal encoding activity and slower reaction times. In contrast, greater total use is associated with increased prefrontal activation during maintenance and slightly poorer accuracy. </w:t>
      </w:r>
      <w:proofErr w:type="gramStart"/>
      <w:r w:rsidRPr="002249A5">
        <w:rPr>
          <w:rFonts w:ascii="Arial" w:hAnsi="Arial" w:cs="Arial"/>
          <w:sz w:val="24"/>
          <w:szCs w:val="24"/>
        </w:rPr>
        <w:t>Different aspects</w:t>
      </w:r>
      <w:proofErr w:type="gramEnd"/>
      <w:r w:rsidRPr="002249A5">
        <w:rPr>
          <w:rFonts w:ascii="Arial" w:hAnsi="Arial" w:cs="Arial"/>
          <w:sz w:val="24"/>
          <w:szCs w:val="24"/>
        </w:rPr>
        <w:t xml:space="preserve"> of cannabis history</w:t>
      </w:r>
      <w:r w:rsidR="007B6231" w:rsidRPr="00C81146">
        <w:rPr>
          <w:rFonts w:ascii="Arial" w:hAnsi="Arial" w:cs="Arial"/>
          <w:sz w:val="24"/>
          <w:szCs w:val="24"/>
        </w:rPr>
        <w:t>, therefore,</w:t>
      </w:r>
      <w:r w:rsidRPr="002249A5">
        <w:rPr>
          <w:rFonts w:ascii="Arial" w:hAnsi="Arial" w:cs="Arial"/>
          <w:sz w:val="24"/>
          <w:szCs w:val="24"/>
        </w:rPr>
        <w:t xml:space="preserve"> appear to relate to different working-memory subprocesses and brain systems.</w:t>
      </w:r>
    </w:p>
    <w:p w14:paraId="7DACE078" w14:textId="66981F3E" w:rsidR="002249A5" w:rsidRPr="002249A5" w:rsidRDefault="002249A5" w:rsidP="00C81146">
      <w:pPr>
        <w:ind w:firstLine="0"/>
        <w:jc w:val="left"/>
        <w:rPr>
          <w:rFonts w:ascii="Arial" w:hAnsi="Arial" w:cs="Arial"/>
          <w:sz w:val="24"/>
          <w:szCs w:val="24"/>
        </w:rPr>
      </w:pPr>
      <w:r w:rsidRPr="002249A5">
        <w:rPr>
          <w:rFonts w:ascii="Arial" w:hAnsi="Arial" w:cs="Arial"/>
          <w:sz w:val="24"/>
          <w:szCs w:val="24"/>
        </w:rPr>
        <w:t xml:space="preserve">The design is strong for observational developmental research but limited for causal inference. Sampling, </w:t>
      </w:r>
      <w:proofErr w:type="gramStart"/>
      <w:r w:rsidRPr="002249A5">
        <w:rPr>
          <w:rFonts w:ascii="Arial" w:hAnsi="Arial" w:cs="Arial"/>
          <w:sz w:val="24"/>
          <w:szCs w:val="24"/>
        </w:rPr>
        <w:t>measures</w:t>
      </w:r>
      <w:proofErr w:type="gramEnd"/>
      <w:r w:rsidRPr="002249A5">
        <w:rPr>
          <w:rFonts w:ascii="Arial" w:hAnsi="Arial" w:cs="Arial"/>
          <w:sz w:val="24"/>
          <w:szCs w:val="24"/>
        </w:rPr>
        <w:t xml:space="preserve"> and fMRI methods are </w:t>
      </w:r>
      <w:proofErr w:type="gramStart"/>
      <w:r w:rsidRPr="002249A5">
        <w:rPr>
          <w:rFonts w:ascii="Arial" w:hAnsi="Arial" w:cs="Arial"/>
          <w:sz w:val="24"/>
          <w:szCs w:val="24"/>
        </w:rPr>
        <w:t>generally appropriate</w:t>
      </w:r>
      <w:proofErr w:type="gramEnd"/>
      <w:r w:rsidRPr="002249A5">
        <w:rPr>
          <w:rFonts w:ascii="Arial" w:hAnsi="Arial" w:cs="Arial"/>
          <w:sz w:val="24"/>
          <w:szCs w:val="24"/>
        </w:rPr>
        <w:t xml:space="preserve"> and well justified. However, the small and atypical control group, self-report exposure, cross-sectional </w:t>
      </w:r>
      <w:proofErr w:type="gramStart"/>
      <w:r w:rsidRPr="002249A5">
        <w:rPr>
          <w:rFonts w:ascii="Arial" w:hAnsi="Arial" w:cs="Arial"/>
          <w:sz w:val="24"/>
          <w:szCs w:val="24"/>
        </w:rPr>
        <w:t>imaging</w:t>
      </w:r>
      <w:proofErr w:type="gramEnd"/>
      <w:r w:rsidRPr="002249A5">
        <w:rPr>
          <w:rFonts w:ascii="Arial" w:hAnsi="Arial" w:cs="Arial"/>
          <w:sz w:val="24"/>
          <w:szCs w:val="24"/>
        </w:rPr>
        <w:t xml:space="preserve"> and limited ecological validity all constrain generalisation. When viewed alongside more recent large-scale and multimodal studies, this paper refines, rather than overturns, the broader conclusion that heavy or early cannabis use can </w:t>
      </w:r>
      <w:r w:rsidRPr="002249A5">
        <w:rPr>
          <w:rFonts w:ascii="Arial" w:hAnsi="Arial" w:cs="Arial"/>
          <w:sz w:val="24"/>
          <w:szCs w:val="24"/>
        </w:rPr>
        <w:lastRenderedPageBreak/>
        <w:t xml:space="preserve">have small but meaningful impacts on memory-related brain systems (Scott, 2023; Colyer-Patel et al., 2024; Wade et al., 2024). </w:t>
      </w:r>
    </w:p>
    <w:p w14:paraId="6C2C4FBB" w14:textId="77777777" w:rsidR="002249A5" w:rsidRDefault="002249A5" w:rsidP="00C81146">
      <w:pPr>
        <w:ind w:firstLine="0"/>
        <w:jc w:val="left"/>
        <w:rPr>
          <w:rFonts w:ascii="Arial" w:hAnsi="Arial" w:cs="Arial"/>
          <w:sz w:val="24"/>
          <w:szCs w:val="24"/>
        </w:rPr>
      </w:pPr>
      <w:r w:rsidRPr="002249A5">
        <w:rPr>
          <w:rFonts w:ascii="Arial" w:hAnsi="Arial" w:cs="Arial"/>
          <w:sz w:val="24"/>
          <w:szCs w:val="24"/>
        </w:rPr>
        <w:t>Overall, it advances the neuroscience of memory by mapping cannabis-related differences onto specific stages of working memory—encoding, maintenance and retrieval—and onto frontoparietal networks, rather than treating memory as a single undifferentiated process. Thank you for listening.</w:t>
      </w:r>
    </w:p>
    <w:p w14:paraId="02DD9C68" w14:textId="77777777" w:rsidR="004D5277" w:rsidRDefault="004D5277" w:rsidP="00C81146">
      <w:pPr>
        <w:ind w:firstLine="0"/>
        <w:jc w:val="left"/>
        <w:rPr>
          <w:rFonts w:ascii="Arial" w:hAnsi="Arial" w:cs="Arial"/>
          <w:sz w:val="24"/>
          <w:szCs w:val="24"/>
        </w:rPr>
      </w:pPr>
    </w:p>
    <w:p w14:paraId="65F766D1" w14:textId="77777777" w:rsidR="004D5277" w:rsidRDefault="004D5277" w:rsidP="00C81146">
      <w:pPr>
        <w:ind w:firstLine="0"/>
        <w:jc w:val="left"/>
        <w:rPr>
          <w:rFonts w:ascii="Arial" w:hAnsi="Arial" w:cs="Arial"/>
          <w:sz w:val="24"/>
          <w:szCs w:val="24"/>
        </w:rPr>
      </w:pPr>
    </w:p>
    <w:p w14:paraId="583B88D4" w14:textId="77777777" w:rsidR="004D5277" w:rsidRDefault="004D5277" w:rsidP="00C81146">
      <w:pPr>
        <w:ind w:firstLine="0"/>
        <w:jc w:val="left"/>
        <w:rPr>
          <w:rFonts w:ascii="Arial" w:hAnsi="Arial" w:cs="Arial"/>
          <w:sz w:val="24"/>
          <w:szCs w:val="24"/>
        </w:rPr>
      </w:pPr>
    </w:p>
    <w:p w14:paraId="4C6A0C51" w14:textId="77777777" w:rsidR="004D5277" w:rsidRDefault="004D5277" w:rsidP="00C81146">
      <w:pPr>
        <w:ind w:firstLine="0"/>
        <w:jc w:val="left"/>
        <w:rPr>
          <w:rFonts w:ascii="Arial" w:hAnsi="Arial" w:cs="Arial"/>
          <w:sz w:val="24"/>
          <w:szCs w:val="24"/>
        </w:rPr>
      </w:pPr>
    </w:p>
    <w:p w14:paraId="664E5D95" w14:textId="77777777" w:rsidR="004D5277" w:rsidRDefault="004D5277" w:rsidP="00C81146">
      <w:pPr>
        <w:ind w:firstLine="0"/>
        <w:jc w:val="left"/>
        <w:rPr>
          <w:rFonts w:ascii="Arial" w:hAnsi="Arial" w:cs="Arial"/>
          <w:sz w:val="24"/>
          <w:szCs w:val="24"/>
        </w:rPr>
      </w:pPr>
    </w:p>
    <w:p w14:paraId="41AC1032" w14:textId="77777777" w:rsidR="004D5277" w:rsidRDefault="004D5277" w:rsidP="00C81146">
      <w:pPr>
        <w:ind w:firstLine="0"/>
        <w:jc w:val="left"/>
        <w:rPr>
          <w:rFonts w:ascii="Arial" w:hAnsi="Arial" w:cs="Arial"/>
          <w:sz w:val="24"/>
          <w:szCs w:val="24"/>
        </w:rPr>
      </w:pPr>
    </w:p>
    <w:p w14:paraId="7EA2FD72" w14:textId="77777777" w:rsidR="004D5277" w:rsidRDefault="004D5277" w:rsidP="00C81146">
      <w:pPr>
        <w:ind w:firstLine="0"/>
        <w:jc w:val="left"/>
        <w:rPr>
          <w:rFonts w:ascii="Arial" w:hAnsi="Arial" w:cs="Arial"/>
          <w:sz w:val="24"/>
          <w:szCs w:val="24"/>
        </w:rPr>
      </w:pPr>
    </w:p>
    <w:p w14:paraId="71061B49" w14:textId="77777777" w:rsidR="004D5277" w:rsidRDefault="004D5277" w:rsidP="00C81146">
      <w:pPr>
        <w:ind w:firstLine="0"/>
        <w:jc w:val="left"/>
        <w:rPr>
          <w:rFonts w:ascii="Arial" w:hAnsi="Arial" w:cs="Arial"/>
          <w:sz w:val="24"/>
          <w:szCs w:val="24"/>
        </w:rPr>
      </w:pPr>
    </w:p>
    <w:p w14:paraId="64ED1143" w14:textId="77777777" w:rsidR="004D5277" w:rsidRDefault="004D5277" w:rsidP="00C81146">
      <w:pPr>
        <w:ind w:firstLine="0"/>
        <w:jc w:val="left"/>
        <w:rPr>
          <w:rFonts w:ascii="Arial" w:hAnsi="Arial" w:cs="Arial"/>
          <w:sz w:val="24"/>
          <w:szCs w:val="24"/>
        </w:rPr>
      </w:pPr>
    </w:p>
    <w:p w14:paraId="4B2280ED" w14:textId="77777777" w:rsidR="004D5277" w:rsidRDefault="004D5277" w:rsidP="00C81146">
      <w:pPr>
        <w:ind w:firstLine="0"/>
        <w:jc w:val="left"/>
        <w:rPr>
          <w:rFonts w:ascii="Arial" w:hAnsi="Arial" w:cs="Arial"/>
          <w:sz w:val="24"/>
          <w:szCs w:val="24"/>
        </w:rPr>
      </w:pPr>
    </w:p>
    <w:p w14:paraId="1FDC5539" w14:textId="77777777" w:rsidR="004D5277" w:rsidRDefault="004D5277" w:rsidP="00C81146">
      <w:pPr>
        <w:ind w:firstLine="0"/>
        <w:jc w:val="left"/>
        <w:rPr>
          <w:rFonts w:ascii="Arial" w:hAnsi="Arial" w:cs="Arial"/>
          <w:sz w:val="24"/>
          <w:szCs w:val="24"/>
        </w:rPr>
      </w:pPr>
    </w:p>
    <w:p w14:paraId="373CEC04" w14:textId="77777777" w:rsidR="004D5277" w:rsidRDefault="004D5277" w:rsidP="00C81146">
      <w:pPr>
        <w:ind w:firstLine="0"/>
        <w:jc w:val="left"/>
        <w:rPr>
          <w:rFonts w:ascii="Arial" w:hAnsi="Arial" w:cs="Arial"/>
          <w:sz w:val="24"/>
          <w:szCs w:val="24"/>
        </w:rPr>
      </w:pPr>
    </w:p>
    <w:p w14:paraId="5B3AE0A0" w14:textId="77777777" w:rsidR="004D5277" w:rsidRPr="002249A5" w:rsidRDefault="004D5277" w:rsidP="00C81146">
      <w:pPr>
        <w:ind w:firstLine="0"/>
        <w:jc w:val="left"/>
        <w:rPr>
          <w:rFonts w:ascii="Arial" w:hAnsi="Arial" w:cs="Arial"/>
          <w:sz w:val="24"/>
          <w:szCs w:val="24"/>
        </w:rPr>
      </w:pPr>
    </w:p>
    <w:p w14:paraId="72729320" w14:textId="0E114BF9" w:rsidR="00804BEF" w:rsidRDefault="00804BEF" w:rsidP="00C81146">
      <w:pPr>
        <w:ind w:firstLine="0"/>
        <w:jc w:val="left"/>
        <w:rPr>
          <w:rFonts w:ascii="Arial" w:hAnsi="Arial" w:cs="Arial"/>
          <w:sz w:val="24"/>
          <w:szCs w:val="24"/>
        </w:rPr>
      </w:pPr>
    </w:p>
    <w:p w14:paraId="347960EA" w14:textId="77777777" w:rsidR="00F838F6" w:rsidRDefault="00F838F6" w:rsidP="00C81146">
      <w:pPr>
        <w:ind w:firstLine="0"/>
        <w:jc w:val="left"/>
        <w:rPr>
          <w:rFonts w:ascii="Arial" w:hAnsi="Arial" w:cs="Arial"/>
          <w:sz w:val="24"/>
          <w:szCs w:val="24"/>
        </w:rPr>
      </w:pPr>
    </w:p>
    <w:p w14:paraId="662B07EB" w14:textId="06F47897" w:rsidR="004C5995" w:rsidRDefault="004C5995" w:rsidP="004C5995">
      <w:pPr>
        <w:ind w:left="720" w:hanging="720"/>
        <w:jc w:val="center"/>
        <w:rPr>
          <w:rFonts w:ascii="Arial" w:hAnsi="Arial" w:cs="Arial"/>
          <w:sz w:val="24"/>
          <w:szCs w:val="24"/>
        </w:rPr>
      </w:pPr>
      <w:r>
        <w:rPr>
          <w:rFonts w:ascii="Arial" w:hAnsi="Arial" w:cs="Arial"/>
          <w:sz w:val="24"/>
          <w:szCs w:val="24"/>
        </w:rPr>
        <w:lastRenderedPageBreak/>
        <w:t>Reference</w:t>
      </w:r>
      <w:r w:rsidR="0066658E">
        <w:rPr>
          <w:rFonts w:ascii="Arial" w:hAnsi="Arial" w:cs="Arial"/>
          <w:sz w:val="24"/>
          <w:szCs w:val="24"/>
        </w:rPr>
        <w:t>s</w:t>
      </w:r>
    </w:p>
    <w:p w14:paraId="5731E52E" w14:textId="77777777" w:rsidR="004C5995" w:rsidRDefault="004C5995" w:rsidP="004C5995">
      <w:pPr>
        <w:ind w:left="720" w:hanging="720"/>
        <w:jc w:val="left"/>
        <w:rPr>
          <w:rFonts w:ascii="Arial" w:hAnsi="Arial" w:cs="Arial"/>
          <w:sz w:val="24"/>
          <w:szCs w:val="24"/>
        </w:rPr>
      </w:pPr>
    </w:p>
    <w:p w14:paraId="55351114" w14:textId="1BDBB816" w:rsidR="00F838F6" w:rsidRPr="00F838F6" w:rsidRDefault="00F838F6" w:rsidP="004C5995">
      <w:pPr>
        <w:ind w:left="720" w:hanging="720"/>
        <w:jc w:val="left"/>
        <w:rPr>
          <w:rFonts w:ascii="Arial" w:hAnsi="Arial" w:cs="Arial"/>
          <w:sz w:val="24"/>
          <w:szCs w:val="24"/>
        </w:rPr>
      </w:pPr>
      <w:r w:rsidRPr="00F838F6">
        <w:rPr>
          <w:rFonts w:ascii="Arial" w:hAnsi="Arial" w:cs="Arial"/>
          <w:sz w:val="24"/>
          <w:szCs w:val="24"/>
        </w:rPr>
        <w:t xml:space="preserve">Tervo-Clemmens, B., Simmonds, D., Calabro, F. J., Day, N. L., Richardson, G. A., &amp; Luna, B. (2018). Adolescent cannabis use and brain systems supporting adult working memory encoding, maintenance, and retrieval. </w:t>
      </w:r>
      <w:proofErr w:type="spellStart"/>
      <w:r w:rsidRPr="00F838F6">
        <w:rPr>
          <w:rFonts w:ascii="Arial" w:hAnsi="Arial" w:cs="Arial"/>
          <w:i/>
          <w:iCs/>
          <w:sz w:val="24"/>
          <w:szCs w:val="24"/>
        </w:rPr>
        <w:t>NeuroImage</w:t>
      </w:r>
      <w:proofErr w:type="spellEnd"/>
      <w:r w:rsidRPr="00F838F6">
        <w:rPr>
          <w:rFonts w:ascii="Arial" w:hAnsi="Arial" w:cs="Arial"/>
          <w:i/>
          <w:iCs/>
          <w:sz w:val="24"/>
          <w:szCs w:val="24"/>
        </w:rPr>
        <w:t>, 169</w:t>
      </w:r>
      <w:r w:rsidRPr="00F838F6">
        <w:rPr>
          <w:rFonts w:ascii="Arial" w:hAnsi="Arial" w:cs="Arial"/>
          <w:sz w:val="24"/>
          <w:szCs w:val="24"/>
        </w:rPr>
        <w:t xml:space="preserve">, 496–509. </w:t>
      </w:r>
      <w:hyperlink r:id="rId7" w:tgtFrame="_new" w:history="1">
        <w:r w:rsidRPr="00F838F6">
          <w:rPr>
            <w:rStyle w:val="Hyperlink"/>
            <w:rFonts w:ascii="Arial" w:hAnsi="Arial" w:cs="Arial"/>
            <w:sz w:val="24"/>
            <w:szCs w:val="24"/>
          </w:rPr>
          <w:t>https://doi.org/10.1016/j.neuroimage.2017.12.041</w:t>
        </w:r>
      </w:hyperlink>
    </w:p>
    <w:p w14:paraId="6FDD11DE" w14:textId="4CDBE79D"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Blest-Hopley, G., Giampietro, V., &amp; Bhattacharyya, S. (2020). A systematic review of human neuroimaging evidence of memory-related functional alterations associated with cannabis use complemented with preclinical and human evidence of memory performance alterations. </w:t>
      </w:r>
      <w:r w:rsidRPr="00F838F6">
        <w:rPr>
          <w:rFonts w:ascii="Arial" w:hAnsi="Arial" w:cs="Arial"/>
          <w:i/>
          <w:iCs/>
          <w:sz w:val="24"/>
          <w:szCs w:val="24"/>
        </w:rPr>
        <w:t>Brain Sciences, 10</w:t>
      </w:r>
      <w:r w:rsidRPr="00F838F6">
        <w:rPr>
          <w:rFonts w:ascii="Arial" w:hAnsi="Arial" w:cs="Arial"/>
          <w:sz w:val="24"/>
          <w:szCs w:val="24"/>
        </w:rPr>
        <w:t>(2), 102.</w:t>
      </w:r>
      <w:r w:rsidR="0066658E">
        <w:rPr>
          <w:rFonts w:ascii="Arial" w:hAnsi="Arial" w:cs="Arial"/>
          <w:sz w:val="24"/>
          <w:szCs w:val="24"/>
        </w:rPr>
        <w:t xml:space="preserve"> </w:t>
      </w:r>
      <w:r w:rsidRPr="00F838F6">
        <w:rPr>
          <w:rFonts w:ascii="Arial" w:hAnsi="Arial" w:cs="Arial"/>
          <w:sz w:val="24"/>
          <w:szCs w:val="24"/>
        </w:rPr>
        <w:t>https://doi.org/10.3390/brainsci10020102</w:t>
      </w:r>
    </w:p>
    <w:p w14:paraId="0F03572E"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Chai, W. J., Abd Hamid, A. I., &amp; Abdullah, J. M. (2018). Working memory from the psychological and neurosciences perspectives: A review. </w:t>
      </w:r>
      <w:r w:rsidRPr="00F838F6">
        <w:rPr>
          <w:rFonts w:ascii="Arial" w:hAnsi="Arial" w:cs="Arial"/>
          <w:i/>
          <w:iCs/>
          <w:sz w:val="24"/>
          <w:szCs w:val="24"/>
        </w:rPr>
        <w:t>Frontiers in Psychology, 9</w:t>
      </w:r>
      <w:r w:rsidRPr="00F838F6">
        <w:rPr>
          <w:rFonts w:ascii="Arial" w:hAnsi="Arial" w:cs="Arial"/>
          <w:sz w:val="24"/>
          <w:szCs w:val="24"/>
        </w:rPr>
        <w:t xml:space="preserve">, 401. </w:t>
      </w:r>
      <w:hyperlink r:id="rId8" w:tgtFrame="_new" w:history="1">
        <w:r w:rsidRPr="00F838F6">
          <w:rPr>
            <w:rStyle w:val="Hyperlink"/>
            <w:rFonts w:ascii="Arial" w:hAnsi="Arial" w:cs="Arial"/>
            <w:sz w:val="24"/>
            <w:szCs w:val="24"/>
          </w:rPr>
          <w:t>https://doi.org/10.3389/fpsyg.2018.00401</w:t>
        </w:r>
      </w:hyperlink>
    </w:p>
    <w:p w14:paraId="0E3437FC"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Colyer-Patel, K., Romein, C., Kuhns, L. N., Cousijn, J., &amp; Kroon, E. (2024). Recent evidence on the relation between cannabis use, brain structure, and function: Highlights and challenges. </w:t>
      </w:r>
      <w:r w:rsidRPr="00F838F6">
        <w:rPr>
          <w:rFonts w:ascii="Arial" w:hAnsi="Arial" w:cs="Arial"/>
          <w:i/>
          <w:iCs/>
          <w:sz w:val="24"/>
          <w:szCs w:val="24"/>
        </w:rPr>
        <w:t>Current Addiction Reports, 11</w:t>
      </w:r>
      <w:r w:rsidRPr="00F838F6">
        <w:rPr>
          <w:rFonts w:ascii="Arial" w:hAnsi="Arial" w:cs="Arial"/>
          <w:sz w:val="24"/>
          <w:szCs w:val="24"/>
        </w:rPr>
        <w:t>(3), 371–383. https://doi.org/10.1007/s40429-024-00557-z</w:t>
      </w:r>
    </w:p>
    <w:p w14:paraId="045481D6"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Hammond, C. J., Allick, A., Park, G., Rizwan, B., Kim, K., Lebo, R., Nanavati, J., Parvaz, M. A., &amp; Ivanov, I. (2022). A meta-analysis of fMRI studies of youth cannabis use: Alterations in executive control, social cognition/emotion processing, and reward processing in cannabis using youth. </w:t>
      </w:r>
      <w:r w:rsidRPr="00F838F6">
        <w:rPr>
          <w:rFonts w:ascii="Arial" w:hAnsi="Arial" w:cs="Arial"/>
          <w:i/>
          <w:iCs/>
          <w:sz w:val="24"/>
          <w:szCs w:val="24"/>
        </w:rPr>
        <w:t>Brain Sciences, 12</w:t>
      </w:r>
      <w:r w:rsidRPr="00F838F6">
        <w:rPr>
          <w:rFonts w:ascii="Arial" w:hAnsi="Arial" w:cs="Arial"/>
          <w:sz w:val="24"/>
          <w:szCs w:val="24"/>
        </w:rPr>
        <w:t>(10), 1281. https://doi.org/10.3390/brainsci12101281</w:t>
      </w:r>
    </w:p>
    <w:p w14:paraId="3905A691"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lastRenderedPageBreak/>
        <w:t xml:space="preserve">Lawn, W., Fernández-Vinson, N., </w:t>
      </w:r>
      <w:proofErr w:type="spellStart"/>
      <w:r w:rsidRPr="00F838F6">
        <w:rPr>
          <w:rFonts w:ascii="Arial" w:hAnsi="Arial" w:cs="Arial"/>
          <w:sz w:val="24"/>
          <w:szCs w:val="24"/>
        </w:rPr>
        <w:t>Mokrysz</w:t>
      </w:r>
      <w:proofErr w:type="spellEnd"/>
      <w:r w:rsidRPr="00F838F6">
        <w:rPr>
          <w:rFonts w:ascii="Arial" w:hAnsi="Arial" w:cs="Arial"/>
          <w:sz w:val="24"/>
          <w:szCs w:val="24"/>
        </w:rPr>
        <w:t xml:space="preserve">, C., Hogg, G., Ford, S., &amp; Curran, H. V. (2022). The </w:t>
      </w:r>
      <w:proofErr w:type="spellStart"/>
      <w:r w:rsidRPr="00F838F6">
        <w:rPr>
          <w:rFonts w:ascii="Arial" w:hAnsi="Arial" w:cs="Arial"/>
          <w:sz w:val="24"/>
          <w:szCs w:val="24"/>
        </w:rPr>
        <w:t>CannTeen</w:t>
      </w:r>
      <w:proofErr w:type="spellEnd"/>
      <w:r w:rsidRPr="00F838F6">
        <w:rPr>
          <w:rFonts w:ascii="Arial" w:hAnsi="Arial" w:cs="Arial"/>
          <w:sz w:val="24"/>
          <w:szCs w:val="24"/>
        </w:rPr>
        <w:t xml:space="preserve"> study: Verbal episodic memory, spatial working memory, and response inhibition in adolescent and adult cannabis users and age-matched controls. </w:t>
      </w:r>
      <w:r w:rsidRPr="00F838F6">
        <w:rPr>
          <w:rFonts w:ascii="Arial" w:hAnsi="Arial" w:cs="Arial"/>
          <w:i/>
          <w:iCs/>
          <w:sz w:val="24"/>
          <w:szCs w:val="24"/>
        </w:rPr>
        <w:t>Psychopharmacology, 239</w:t>
      </w:r>
      <w:r w:rsidRPr="00F838F6">
        <w:rPr>
          <w:rFonts w:ascii="Arial" w:hAnsi="Arial" w:cs="Arial"/>
          <w:sz w:val="24"/>
          <w:szCs w:val="24"/>
        </w:rPr>
        <w:t>(5), 1629–1641. https://doi.org/10.1007/s00213-022-06143-3</w:t>
      </w:r>
    </w:p>
    <w:p w14:paraId="28D3C884" w14:textId="77777777" w:rsidR="00F838F6" w:rsidRPr="00F838F6" w:rsidRDefault="00F838F6" w:rsidP="00F838F6">
      <w:pPr>
        <w:ind w:left="720" w:hanging="720"/>
        <w:jc w:val="left"/>
        <w:rPr>
          <w:rFonts w:ascii="Arial" w:hAnsi="Arial" w:cs="Arial"/>
          <w:sz w:val="24"/>
          <w:szCs w:val="24"/>
        </w:rPr>
      </w:pPr>
      <w:proofErr w:type="spellStart"/>
      <w:r w:rsidRPr="00D52146">
        <w:rPr>
          <w:rFonts w:ascii="Arial" w:hAnsi="Arial" w:cs="Arial"/>
          <w:sz w:val="24"/>
          <w:szCs w:val="24"/>
          <w:lang w:val="es-ES"/>
        </w:rPr>
        <w:t>Rodrigues</w:t>
      </w:r>
      <w:proofErr w:type="spellEnd"/>
      <w:r w:rsidRPr="00D52146">
        <w:rPr>
          <w:rFonts w:ascii="Arial" w:hAnsi="Arial" w:cs="Arial"/>
          <w:sz w:val="24"/>
          <w:szCs w:val="24"/>
          <w:lang w:val="es-ES"/>
        </w:rPr>
        <w:t xml:space="preserve">, R. J., Marques, J. M., &amp; </w:t>
      </w:r>
      <w:proofErr w:type="spellStart"/>
      <w:r w:rsidRPr="00D52146">
        <w:rPr>
          <w:rFonts w:ascii="Arial" w:hAnsi="Arial" w:cs="Arial"/>
          <w:sz w:val="24"/>
          <w:szCs w:val="24"/>
          <w:lang w:val="es-ES"/>
        </w:rPr>
        <w:t>Köfalvi</w:t>
      </w:r>
      <w:proofErr w:type="spellEnd"/>
      <w:r w:rsidRPr="00D52146">
        <w:rPr>
          <w:rFonts w:ascii="Arial" w:hAnsi="Arial" w:cs="Arial"/>
          <w:sz w:val="24"/>
          <w:szCs w:val="24"/>
          <w:lang w:val="es-ES"/>
        </w:rPr>
        <w:t xml:space="preserve">, A. (2024). </w:t>
      </w:r>
      <w:r w:rsidRPr="00F838F6">
        <w:rPr>
          <w:rFonts w:ascii="Arial" w:hAnsi="Arial" w:cs="Arial"/>
          <w:sz w:val="24"/>
          <w:szCs w:val="24"/>
        </w:rPr>
        <w:t xml:space="preserve">Cannabis, </w:t>
      </w:r>
      <w:proofErr w:type="gramStart"/>
      <w:r w:rsidRPr="00F838F6">
        <w:rPr>
          <w:rFonts w:ascii="Arial" w:hAnsi="Arial" w:cs="Arial"/>
          <w:sz w:val="24"/>
          <w:szCs w:val="24"/>
        </w:rPr>
        <w:t>endocannabinoids</w:t>
      </w:r>
      <w:proofErr w:type="gramEnd"/>
      <w:r w:rsidRPr="00F838F6">
        <w:rPr>
          <w:rFonts w:ascii="Arial" w:hAnsi="Arial" w:cs="Arial"/>
          <w:sz w:val="24"/>
          <w:szCs w:val="24"/>
        </w:rPr>
        <w:t xml:space="preserve"> and brain development: From embryogenesis to adolescence. </w:t>
      </w:r>
      <w:r w:rsidRPr="00F838F6">
        <w:rPr>
          <w:rFonts w:ascii="Arial" w:hAnsi="Arial" w:cs="Arial"/>
          <w:i/>
          <w:iCs/>
          <w:sz w:val="24"/>
          <w:szCs w:val="24"/>
        </w:rPr>
        <w:t>Cells, 13</w:t>
      </w:r>
      <w:r w:rsidRPr="00F838F6">
        <w:rPr>
          <w:rFonts w:ascii="Arial" w:hAnsi="Arial" w:cs="Arial"/>
          <w:sz w:val="24"/>
          <w:szCs w:val="24"/>
        </w:rPr>
        <w:t>(22), 1875. https://doi.org/10.3390/cells13221875</w:t>
      </w:r>
    </w:p>
    <w:p w14:paraId="5FC04080"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Scott, J. C. (2023). Impact of adolescent cannabis use on neurocognitive and brain development. </w:t>
      </w:r>
      <w:r w:rsidRPr="00F838F6">
        <w:rPr>
          <w:rFonts w:ascii="Arial" w:hAnsi="Arial" w:cs="Arial"/>
          <w:i/>
          <w:iCs/>
          <w:sz w:val="24"/>
          <w:szCs w:val="24"/>
        </w:rPr>
        <w:t>Child and Adolescent Psychiatric Clinics of North America, 32</w:t>
      </w:r>
      <w:r w:rsidRPr="00F838F6">
        <w:rPr>
          <w:rFonts w:ascii="Arial" w:hAnsi="Arial" w:cs="Arial"/>
          <w:sz w:val="24"/>
          <w:szCs w:val="24"/>
        </w:rPr>
        <w:t>(1), 21–42. https://doi.org/10.1016/j.chc.2022.06.002</w:t>
      </w:r>
    </w:p>
    <w:p w14:paraId="6D775274"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Wade, N. E., Wallace, A. L., Huestis, M. A., </w:t>
      </w:r>
      <w:proofErr w:type="spellStart"/>
      <w:r w:rsidRPr="00F838F6">
        <w:rPr>
          <w:rFonts w:ascii="Arial" w:hAnsi="Arial" w:cs="Arial"/>
          <w:sz w:val="24"/>
          <w:szCs w:val="24"/>
        </w:rPr>
        <w:t>Lisdahl</w:t>
      </w:r>
      <w:proofErr w:type="spellEnd"/>
      <w:r w:rsidRPr="00F838F6">
        <w:rPr>
          <w:rFonts w:ascii="Arial" w:hAnsi="Arial" w:cs="Arial"/>
          <w:sz w:val="24"/>
          <w:szCs w:val="24"/>
        </w:rPr>
        <w:t xml:space="preserve">, K. M., Sullivan, R. M., &amp; Tapert, S. F. (2023). Cannabis use and neurocognitive performance at 13–14 years old: Optimizing assessment with hair toxicology in the Adolescent Brain Cognitive Development (ABCD) study. </w:t>
      </w:r>
      <w:r w:rsidRPr="00F838F6">
        <w:rPr>
          <w:rFonts w:ascii="Arial" w:hAnsi="Arial" w:cs="Arial"/>
          <w:i/>
          <w:iCs/>
          <w:sz w:val="24"/>
          <w:szCs w:val="24"/>
        </w:rPr>
        <w:t xml:space="preserve">Addictive </w:t>
      </w:r>
      <w:proofErr w:type="spellStart"/>
      <w:r w:rsidRPr="00F838F6">
        <w:rPr>
          <w:rFonts w:ascii="Arial" w:hAnsi="Arial" w:cs="Arial"/>
          <w:i/>
          <w:iCs/>
          <w:sz w:val="24"/>
          <w:szCs w:val="24"/>
        </w:rPr>
        <w:t>Behaviors</w:t>
      </w:r>
      <w:proofErr w:type="spellEnd"/>
      <w:r w:rsidRPr="00F838F6">
        <w:rPr>
          <w:rFonts w:ascii="Arial" w:hAnsi="Arial" w:cs="Arial"/>
          <w:i/>
          <w:iCs/>
          <w:sz w:val="24"/>
          <w:szCs w:val="24"/>
        </w:rPr>
        <w:t>, 150</w:t>
      </w:r>
      <w:r w:rsidRPr="00F838F6">
        <w:rPr>
          <w:rFonts w:ascii="Arial" w:hAnsi="Arial" w:cs="Arial"/>
          <w:sz w:val="24"/>
          <w:szCs w:val="24"/>
        </w:rPr>
        <w:t>, 107930. https://doi.org/10.1016/j.addbeh.2023.107930</w:t>
      </w:r>
    </w:p>
    <w:p w14:paraId="15A311D2" w14:textId="77777777" w:rsidR="00F838F6" w:rsidRPr="00F838F6" w:rsidRDefault="00F838F6" w:rsidP="00F838F6">
      <w:pPr>
        <w:ind w:left="720" w:hanging="720"/>
        <w:jc w:val="left"/>
        <w:rPr>
          <w:rFonts w:ascii="Arial" w:hAnsi="Arial" w:cs="Arial"/>
          <w:sz w:val="24"/>
          <w:szCs w:val="24"/>
        </w:rPr>
      </w:pPr>
      <w:r w:rsidRPr="00F838F6">
        <w:rPr>
          <w:rFonts w:ascii="Arial" w:hAnsi="Arial" w:cs="Arial"/>
          <w:sz w:val="24"/>
          <w:szCs w:val="24"/>
        </w:rPr>
        <w:t xml:space="preserve">Callesen, M. B., Thomsen, K. R., Pedersen, M. M., Kvamme, T. L., Hesse, M., Voon, V., &amp; Pedersen, M. U. (2024). Recent cannabis use is negatively associated with working memory and visual memory in youth. </w:t>
      </w:r>
      <w:proofErr w:type="spellStart"/>
      <w:r w:rsidRPr="00F838F6">
        <w:rPr>
          <w:rFonts w:ascii="Arial" w:hAnsi="Arial" w:cs="Arial"/>
          <w:i/>
          <w:iCs/>
          <w:sz w:val="24"/>
          <w:szCs w:val="24"/>
        </w:rPr>
        <w:t>PsyArXiv</w:t>
      </w:r>
      <w:proofErr w:type="spellEnd"/>
      <w:r w:rsidRPr="00F838F6">
        <w:rPr>
          <w:rFonts w:ascii="Arial" w:hAnsi="Arial" w:cs="Arial"/>
          <w:sz w:val="24"/>
          <w:szCs w:val="24"/>
        </w:rPr>
        <w:t>. https://doi.org/10.31234/osf.io/72xqp</w:t>
      </w:r>
    </w:p>
    <w:p w14:paraId="085DEE6C" w14:textId="77777777" w:rsidR="00F838F6" w:rsidRPr="00C81146" w:rsidRDefault="00F838F6" w:rsidP="00C81146">
      <w:pPr>
        <w:ind w:firstLine="0"/>
        <w:jc w:val="left"/>
        <w:rPr>
          <w:rFonts w:ascii="Arial" w:hAnsi="Arial" w:cs="Arial"/>
          <w:sz w:val="24"/>
          <w:szCs w:val="24"/>
        </w:rPr>
      </w:pPr>
    </w:p>
    <w:sectPr w:rsidR="00F838F6" w:rsidRPr="00C81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BEF"/>
    <w:rsid w:val="000154FB"/>
    <w:rsid w:val="0006078B"/>
    <w:rsid w:val="00096228"/>
    <w:rsid w:val="000A1E25"/>
    <w:rsid w:val="000C25BF"/>
    <w:rsid w:val="000F1837"/>
    <w:rsid w:val="001266E5"/>
    <w:rsid w:val="001A49F3"/>
    <w:rsid w:val="001F1D83"/>
    <w:rsid w:val="002249A5"/>
    <w:rsid w:val="00225394"/>
    <w:rsid w:val="002856C2"/>
    <w:rsid w:val="002E3596"/>
    <w:rsid w:val="002E6CC6"/>
    <w:rsid w:val="002F39D5"/>
    <w:rsid w:val="00331A71"/>
    <w:rsid w:val="00387FDF"/>
    <w:rsid w:val="003A6360"/>
    <w:rsid w:val="003E1595"/>
    <w:rsid w:val="004A01CC"/>
    <w:rsid w:val="004C5995"/>
    <w:rsid w:val="004D5277"/>
    <w:rsid w:val="004E0243"/>
    <w:rsid w:val="004F15BF"/>
    <w:rsid w:val="004F7EB0"/>
    <w:rsid w:val="005550BF"/>
    <w:rsid w:val="00577646"/>
    <w:rsid w:val="005D7869"/>
    <w:rsid w:val="0066658E"/>
    <w:rsid w:val="0071036B"/>
    <w:rsid w:val="007213D7"/>
    <w:rsid w:val="007866B7"/>
    <w:rsid w:val="007B6231"/>
    <w:rsid w:val="007E5EB1"/>
    <w:rsid w:val="00804BEF"/>
    <w:rsid w:val="00814A2B"/>
    <w:rsid w:val="00836B22"/>
    <w:rsid w:val="0084280B"/>
    <w:rsid w:val="00883C77"/>
    <w:rsid w:val="008857ED"/>
    <w:rsid w:val="008B0DE0"/>
    <w:rsid w:val="008D6738"/>
    <w:rsid w:val="009E23D2"/>
    <w:rsid w:val="00A7423B"/>
    <w:rsid w:val="00B176B7"/>
    <w:rsid w:val="00B3014C"/>
    <w:rsid w:val="00B50032"/>
    <w:rsid w:val="00B927AC"/>
    <w:rsid w:val="00BE3BD6"/>
    <w:rsid w:val="00C45B8F"/>
    <w:rsid w:val="00C81146"/>
    <w:rsid w:val="00C9567B"/>
    <w:rsid w:val="00D4587F"/>
    <w:rsid w:val="00D52146"/>
    <w:rsid w:val="00D56D22"/>
    <w:rsid w:val="00D968A6"/>
    <w:rsid w:val="00DB7FCD"/>
    <w:rsid w:val="00DE6EBE"/>
    <w:rsid w:val="00E12C49"/>
    <w:rsid w:val="00E80B23"/>
    <w:rsid w:val="00EB6141"/>
    <w:rsid w:val="00F02E76"/>
    <w:rsid w:val="00F1341F"/>
    <w:rsid w:val="00F56DF3"/>
    <w:rsid w:val="00F76EEF"/>
    <w:rsid w:val="00F838F6"/>
    <w:rsid w:val="00F85816"/>
    <w:rsid w:val="00F90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2157"/>
  <w15:chartTrackingRefBased/>
  <w15:docId w15:val="{9CD9B18C-B9B9-49DB-90AA-638F5F79B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4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4B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4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4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4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B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B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4B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4B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4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4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4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BEF"/>
    <w:rPr>
      <w:rFonts w:eastAsiaTheme="majorEastAsia" w:cstheme="majorBidi"/>
      <w:color w:val="272727" w:themeColor="text1" w:themeTint="D8"/>
    </w:rPr>
  </w:style>
  <w:style w:type="paragraph" w:styleId="Title">
    <w:name w:val="Title"/>
    <w:basedOn w:val="Normal"/>
    <w:next w:val="Normal"/>
    <w:link w:val="TitleChar"/>
    <w:uiPriority w:val="10"/>
    <w:qFormat/>
    <w:rsid w:val="00804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BEF"/>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BEF"/>
    <w:pPr>
      <w:spacing w:before="160"/>
      <w:jc w:val="center"/>
    </w:pPr>
    <w:rPr>
      <w:i/>
      <w:iCs/>
      <w:color w:val="404040" w:themeColor="text1" w:themeTint="BF"/>
    </w:rPr>
  </w:style>
  <w:style w:type="character" w:customStyle="1" w:styleId="QuoteChar">
    <w:name w:val="Quote Char"/>
    <w:basedOn w:val="DefaultParagraphFont"/>
    <w:link w:val="Quote"/>
    <w:uiPriority w:val="29"/>
    <w:rsid w:val="00804BEF"/>
    <w:rPr>
      <w:i/>
      <w:iCs/>
      <w:color w:val="404040" w:themeColor="text1" w:themeTint="BF"/>
    </w:rPr>
  </w:style>
  <w:style w:type="paragraph" w:styleId="ListParagraph">
    <w:name w:val="List Paragraph"/>
    <w:basedOn w:val="Normal"/>
    <w:uiPriority w:val="34"/>
    <w:qFormat/>
    <w:rsid w:val="00804BEF"/>
    <w:pPr>
      <w:ind w:left="720"/>
      <w:contextualSpacing/>
    </w:pPr>
  </w:style>
  <w:style w:type="character" w:styleId="IntenseEmphasis">
    <w:name w:val="Intense Emphasis"/>
    <w:basedOn w:val="DefaultParagraphFont"/>
    <w:uiPriority w:val="21"/>
    <w:qFormat/>
    <w:rsid w:val="00804BEF"/>
    <w:rPr>
      <w:i/>
      <w:iCs/>
      <w:color w:val="0F4761" w:themeColor="accent1" w:themeShade="BF"/>
    </w:rPr>
  </w:style>
  <w:style w:type="paragraph" w:styleId="IntenseQuote">
    <w:name w:val="Intense Quote"/>
    <w:basedOn w:val="Normal"/>
    <w:next w:val="Normal"/>
    <w:link w:val="IntenseQuoteChar"/>
    <w:uiPriority w:val="30"/>
    <w:qFormat/>
    <w:rsid w:val="00804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4BEF"/>
    <w:rPr>
      <w:i/>
      <w:iCs/>
      <w:color w:val="0F4761" w:themeColor="accent1" w:themeShade="BF"/>
    </w:rPr>
  </w:style>
  <w:style w:type="character" w:styleId="IntenseReference">
    <w:name w:val="Intense Reference"/>
    <w:basedOn w:val="DefaultParagraphFont"/>
    <w:uiPriority w:val="32"/>
    <w:qFormat/>
    <w:rsid w:val="00804BEF"/>
    <w:rPr>
      <w:b/>
      <w:bCs/>
      <w:smallCaps/>
      <w:color w:val="0F4761" w:themeColor="accent1" w:themeShade="BF"/>
      <w:spacing w:val="5"/>
    </w:rPr>
  </w:style>
  <w:style w:type="character" w:styleId="Hyperlink">
    <w:name w:val="Hyperlink"/>
    <w:basedOn w:val="DefaultParagraphFont"/>
    <w:uiPriority w:val="99"/>
    <w:unhideWhenUsed/>
    <w:rsid w:val="002249A5"/>
    <w:rPr>
      <w:color w:val="467886" w:themeColor="hyperlink"/>
      <w:u w:val="single"/>
    </w:rPr>
  </w:style>
  <w:style w:type="character" w:styleId="UnresolvedMention">
    <w:name w:val="Unresolved Mention"/>
    <w:basedOn w:val="DefaultParagraphFont"/>
    <w:uiPriority w:val="99"/>
    <w:semiHidden/>
    <w:unhideWhenUsed/>
    <w:rsid w:val="00224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18.00401" TargetMode="External"/><Relationship Id="rId3" Type="http://schemas.openxmlformats.org/officeDocument/2006/relationships/customXml" Target="../customXml/item3.xml"/><Relationship Id="rId7" Type="http://schemas.openxmlformats.org/officeDocument/2006/relationships/hyperlink" Target="https://doi.org/10.1016/j.neuroimage.2017.12.04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47f19d003aaac6b5ae8dbffd5d8e2a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d348ab45f1b5db743aa4e912f37c815"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BC075-41B8-4DAE-A755-DE879E0EDD1F}">
  <ds:schemaRefs>
    <ds:schemaRef ds:uri="http://schemas.microsoft.com/sharepoint/v3/contenttype/forms"/>
  </ds:schemaRefs>
</ds:datastoreItem>
</file>

<file path=customXml/itemProps2.xml><?xml version="1.0" encoding="utf-8"?>
<ds:datastoreItem xmlns:ds="http://schemas.openxmlformats.org/officeDocument/2006/customXml" ds:itemID="{514F38ED-9942-4AAE-A541-69D3ACF0D055}">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1C900641-9CD5-43ED-8052-0D74EEC30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12</Pages>
  <Words>2646</Words>
  <Characters>15086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Nunez Sillau Nunez (2306296)</dc:creator>
  <cp:keywords/>
  <dc:description/>
  <cp:lastModifiedBy>Pamela Nunez Sillau Nunez (2306296)</cp:lastModifiedBy>
  <cp:revision>27</cp:revision>
  <dcterms:created xsi:type="dcterms:W3CDTF">2025-12-17T10:47:00Z</dcterms:created>
  <dcterms:modified xsi:type="dcterms:W3CDTF">2025-12-17T14:40:00Z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4de9761f-2dba-4e1a-a6ed-b9724fc5133a</vt:lpwstr>
  </property>
  <property fmtid="{D5CDD505-2E9C-101B-9397-08002B2CF9AE}" pid="3" name="ContentTypeId">
    <vt:lpwstr>0x0101009DA2B97165742847ABC519A905693DF8</vt:lpwstr>
  </property>
</Properties>
</file>