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3936503"/>
        <w:docPartObj>
          <w:docPartGallery w:val="Cover Pages"/>
          <w:docPartUnique/>
        </w:docPartObj>
      </w:sdtPr>
      <w:sdtEndPr/>
      <w:sdtContent>
        <w:p w14:paraId="116D6C90" w14:textId="3B4B7D0B" w:rsidR="00822932" w:rsidRDefault="00822932"/>
        <w:p w14:paraId="6AD9F363" w14:textId="3E4013FC" w:rsidR="00822932" w:rsidRDefault="00822932">
          <w:r>
            <w:rPr>
              <w:noProof/>
            </w:rPr>
            <mc:AlternateContent>
              <mc:Choice Requires="wps">
                <w:drawing>
                  <wp:anchor distT="0" distB="0" distL="182880" distR="182880" simplePos="0" relativeHeight="251660288" behindDoc="0" locked="0" layoutInCell="1" allowOverlap="1" wp14:anchorId="1B4CD159" wp14:editId="6D07FC3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301E3" w14:textId="40C26BEA" w:rsidR="00822932" w:rsidRDefault="00503B5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1522E">
                                      <w:rPr>
                                        <w:color w:val="4472C4" w:themeColor="accent1"/>
                                        <w:sz w:val="72"/>
                                        <w:szCs w:val="72"/>
                                      </w:rPr>
                                      <w:t>Criminal Law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D5C5B3A" w14:textId="6DBF5862" w:rsidR="00822932" w:rsidRDefault="00822932">
                                    <w:pPr>
                                      <w:pStyle w:val="NoSpacing"/>
                                      <w:spacing w:before="40" w:after="40"/>
                                      <w:rPr>
                                        <w:caps/>
                                        <w:color w:val="1F4E79" w:themeColor="accent5" w:themeShade="80"/>
                                        <w:sz w:val="28"/>
                                        <w:szCs w:val="28"/>
                                      </w:rPr>
                                    </w:pPr>
                                    <w:r>
                                      <w:rPr>
                                        <w:caps/>
                                        <w:color w:val="1F4E79" w:themeColor="accent5" w:themeShade="80"/>
                                        <w:sz w:val="28"/>
                                        <w:szCs w:val="28"/>
                                      </w:rPr>
                                      <w:t>Assignment 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B2490EA" w14:textId="678CC65C" w:rsidR="00822932" w:rsidRDefault="00822932">
                                    <w:pPr>
                                      <w:pStyle w:val="NoSpacing"/>
                                      <w:spacing w:before="80" w:after="40"/>
                                      <w:rPr>
                                        <w:caps/>
                                        <w:color w:val="5B9BD5" w:themeColor="accent5"/>
                                        <w:sz w:val="24"/>
                                        <w:szCs w:val="24"/>
                                      </w:rPr>
                                    </w:pPr>
                                    <w:r>
                                      <w:rPr>
                                        <w:caps/>
                                        <w:color w:val="5B9BD5" w:themeColor="accent5"/>
                                        <w:sz w:val="24"/>
                                        <w:szCs w:val="24"/>
                                      </w:rPr>
                                      <w:t>Jamie Parry</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B4CD15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BB301E3" w14:textId="40C26BEA" w:rsidR="00822932" w:rsidRDefault="00503B5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1522E">
                                <w:rPr>
                                  <w:color w:val="4472C4" w:themeColor="accent1"/>
                                  <w:sz w:val="72"/>
                                  <w:szCs w:val="72"/>
                                </w:rPr>
                                <w:t>Criminal Law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D5C5B3A" w14:textId="6DBF5862" w:rsidR="00822932" w:rsidRDefault="00822932">
                              <w:pPr>
                                <w:pStyle w:val="NoSpacing"/>
                                <w:spacing w:before="40" w:after="40"/>
                                <w:rPr>
                                  <w:caps/>
                                  <w:color w:val="1F4E79" w:themeColor="accent5" w:themeShade="80"/>
                                  <w:sz w:val="28"/>
                                  <w:szCs w:val="28"/>
                                </w:rPr>
                              </w:pPr>
                              <w:r>
                                <w:rPr>
                                  <w:caps/>
                                  <w:color w:val="1F4E79" w:themeColor="accent5" w:themeShade="80"/>
                                  <w:sz w:val="28"/>
                                  <w:szCs w:val="28"/>
                                </w:rPr>
                                <w:t>Assignment 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B2490EA" w14:textId="678CC65C" w:rsidR="00822932" w:rsidRDefault="00822932">
                              <w:pPr>
                                <w:pStyle w:val="NoSpacing"/>
                                <w:spacing w:before="80" w:after="40"/>
                                <w:rPr>
                                  <w:caps/>
                                  <w:color w:val="5B9BD5" w:themeColor="accent5"/>
                                  <w:sz w:val="24"/>
                                  <w:szCs w:val="24"/>
                                </w:rPr>
                              </w:pPr>
                              <w:r>
                                <w:rPr>
                                  <w:caps/>
                                  <w:color w:val="5B9BD5" w:themeColor="accent5"/>
                                  <w:sz w:val="24"/>
                                  <w:szCs w:val="24"/>
                                </w:rPr>
                                <w:t>Jamie Parry</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6632B8F" wp14:editId="058AF0A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4D860D6" w14:textId="16CBACC2" w:rsidR="00822932" w:rsidRDefault="0031522E">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6632B8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4D860D6" w14:textId="16CBACC2" w:rsidR="00822932" w:rsidRDefault="0031522E">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02C932EB" w14:textId="00240714" w:rsidR="007470A8" w:rsidRDefault="00822932">
      <w:r>
        <w:lastRenderedPageBreak/>
        <w:t xml:space="preserve">Homicide is composed of two </w:t>
      </w:r>
      <w:r w:rsidR="00B725DC">
        <w:t>elements, murder and manslaughter.</w:t>
      </w:r>
      <w:r w:rsidR="000B5310">
        <w:t xml:space="preserve">  Whereas </w:t>
      </w:r>
      <w:r w:rsidR="005324D1">
        <w:t xml:space="preserve">criminal liability can be determined via an actus reus, </w:t>
      </w:r>
      <w:proofErr w:type="spellStart"/>
      <w:r w:rsidR="005324D1">
        <w:t>mens</w:t>
      </w:r>
      <w:proofErr w:type="spellEnd"/>
      <w:r w:rsidR="005324D1">
        <w:t xml:space="preserve"> rea and no defence.</w:t>
      </w:r>
      <w:r w:rsidR="00D26371">
        <w:t xml:space="preserve"> </w:t>
      </w:r>
      <w:r w:rsidR="0004551B">
        <w:t xml:space="preserve"> Firstly, the actus </w:t>
      </w:r>
      <w:r w:rsidR="00950918">
        <w:t>reus</w:t>
      </w:r>
      <w:r w:rsidR="0004551B">
        <w:t xml:space="preserve"> can be explained as the internal elements </w:t>
      </w:r>
      <w:r w:rsidR="00B7718E">
        <w:t>of the crime</w:t>
      </w:r>
      <w:r w:rsidR="00A17D4C">
        <w:t xml:space="preserve">, of which </w:t>
      </w:r>
      <w:r w:rsidR="0015198B">
        <w:t xml:space="preserve">identifies </w:t>
      </w:r>
      <w:r w:rsidR="002A5EA3">
        <w:t>3 key elements.</w:t>
      </w:r>
      <w:r w:rsidR="0015198B">
        <w:t xml:space="preserve"> </w:t>
      </w:r>
      <w:r w:rsidR="002A5EA3">
        <w:t xml:space="preserve"> C</w:t>
      </w:r>
      <w:r w:rsidR="0015198B">
        <w:t xml:space="preserve">onduct, the prohibited act or </w:t>
      </w:r>
      <w:r w:rsidR="00896C95">
        <w:t>omission</w:t>
      </w:r>
      <w:r w:rsidR="00C00521">
        <w:t xml:space="preserve"> (</w:t>
      </w:r>
      <w:r w:rsidR="002874B1">
        <w:t>R v Gibbins and Proctor</w:t>
      </w:r>
      <w:r w:rsidR="00950918">
        <w:t xml:space="preserve"> 1918)</w:t>
      </w:r>
      <w:r w:rsidR="00996B6B">
        <w:t>,</w:t>
      </w:r>
      <w:r w:rsidR="00DD1861">
        <w:t xml:space="preserve"> Consequence, of which must be caused by the conduct </w:t>
      </w:r>
      <w:r w:rsidR="00113060">
        <w:t xml:space="preserve">without breaking the chain of causation, and </w:t>
      </w:r>
      <w:r w:rsidR="004D5886">
        <w:t>the circumstances of which the crime was committed under</w:t>
      </w:r>
      <w:r w:rsidR="00950918">
        <w:t xml:space="preserve">. </w:t>
      </w:r>
      <w:r w:rsidR="003D44B0">
        <w:t xml:space="preserve">The </w:t>
      </w:r>
      <w:proofErr w:type="spellStart"/>
      <w:r w:rsidR="003D44B0">
        <w:t>mens</w:t>
      </w:r>
      <w:proofErr w:type="spellEnd"/>
      <w:r w:rsidR="003D44B0">
        <w:t xml:space="preserve"> rea refers to the mental element of the crime (</w:t>
      </w:r>
      <w:proofErr w:type="spellStart"/>
      <w:r w:rsidR="003D44B0">
        <w:t>Malekian</w:t>
      </w:r>
      <w:proofErr w:type="spellEnd"/>
      <w:r w:rsidR="003D44B0">
        <w:t xml:space="preserve"> 2018) and can be used to determine the intentions of the defendant.  Current law states that there are four categories describing blameworthiness.  Firstly, intention, can be broken down into direct, where the result was the defendants aim and indirect, where the defendant appreciates that the result was certain to arise from their action.  To deduce this, the objective and subjective test are carried out (R.V </w:t>
      </w:r>
      <w:proofErr w:type="spellStart"/>
      <w:r w:rsidR="003D44B0">
        <w:t>Woollin</w:t>
      </w:r>
      <w:proofErr w:type="spellEnd"/>
      <w:r w:rsidR="003D44B0">
        <w:t xml:space="preserve"> 1998).  Another type is recklessness, in which the only applicable type of today is subjective recklessness and refers to when a risk is taken with the potential consequence being known and the defendant is unreasonable to take such risk.  The next tier of blameworthiness is negligence.  This occurs when there is an omission of reasonable conduct.  Finally, strict liability holds the lowest level of blameworthiness and refers to minor criminal liability that do not hold a </w:t>
      </w:r>
      <w:proofErr w:type="spellStart"/>
      <w:r w:rsidR="003D44B0">
        <w:t>mens</w:t>
      </w:r>
      <w:proofErr w:type="spellEnd"/>
      <w:r w:rsidR="003D44B0">
        <w:t xml:space="preserve"> rea such as driving offences.  It is also important to mention transferred malice.  This is where the </w:t>
      </w:r>
      <w:proofErr w:type="spellStart"/>
      <w:r w:rsidR="003D44B0">
        <w:t>mens</w:t>
      </w:r>
      <w:proofErr w:type="spellEnd"/>
      <w:r w:rsidR="003D44B0">
        <w:t xml:space="preserve"> rea can be transferred across offences (R</w:t>
      </w:r>
      <w:r w:rsidR="0029647E">
        <w:t xml:space="preserve"> v</w:t>
      </w:r>
      <w:r w:rsidR="003D44B0">
        <w:t xml:space="preserve"> Grant 2014).</w:t>
      </w:r>
      <w:r w:rsidR="008619EB">
        <w:t xml:space="preserve">  As for </w:t>
      </w:r>
      <w:r w:rsidR="005F7E41">
        <w:t xml:space="preserve">the </w:t>
      </w:r>
      <w:r w:rsidR="008619EB">
        <w:t>defences</w:t>
      </w:r>
      <w:r w:rsidR="005F7E41">
        <w:t>,</w:t>
      </w:r>
      <w:r w:rsidR="008619EB">
        <w:t xml:space="preserve"> </w:t>
      </w:r>
      <w:r w:rsidR="005F7E41">
        <w:t>partial defences include the loss of control and diminished responsibility.</w:t>
      </w:r>
      <w:r w:rsidR="00CF382E">
        <w:t xml:space="preserve">  </w:t>
      </w:r>
      <w:r w:rsidR="000222AF">
        <w:t>For loss of control to be applied</w:t>
      </w:r>
      <w:r w:rsidR="00DA3DEC">
        <w:t xml:space="preserve"> the defendants conduct </w:t>
      </w:r>
      <w:r w:rsidR="002E41DB">
        <w:t xml:space="preserve">must have </w:t>
      </w:r>
      <w:r w:rsidR="00250FC9">
        <w:t>arisen</w:t>
      </w:r>
      <w:r w:rsidR="002E41DB">
        <w:t xml:space="preserve"> from a</w:t>
      </w:r>
      <w:r w:rsidR="00592E60">
        <w:t xml:space="preserve"> loss of control of which had a qualifying trigger,</w:t>
      </w:r>
      <w:r w:rsidR="003C31F5">
        <w:t xml:space="preserve"> applicable in cases where </w:t>
      </w:r>
      <w:r w:rsidR="00D75431">
        <w:t xml:space="preserve">a similar person would have conducted themselves in the same </w:t>
      </w:r>
      <w:r w:rsidR="00C72848">
        <w:t>manner</w:t>
      </w:r>
      <w:r w:rsidR="00D75431">
        <w:t xml:space="preserve"> as the defendant.  </w:t>
      </w:r>
      <w:r w:rsidR="00F63670">
        <w:t xml:space="preserve">For </w:t>
      </w:r>
      <w:r w:rsidR="009B2488">
        <w:t>diminished responsibility</w:t>
      </w:r>
      <w:r w:rsidR="00592E60">
        <w:t xml:space="preserve"> </w:t>
      </w:r>
      <w:r w:rsidR="009B2488">
        <w:t>to act as a partial defence, the defendant must hold a re</w:t>
      </w:r>
      <w:r w:rsidR="00C72848">
        <w:t xml:space="preserve">cognised medical condition that was </w:t>
      </w:r>
      <w:r w:rsidR="00C5320F">
        <w:t xml:space="preserve">responsible for highly impairing </w:t>
      </w:r>
      <w:r w:rsidR="00F2535C">
        <w:t xml:space="preserve">their ability to </w:t>
      </w:r>
      <w:r w:rsidR="007F24A8">
        <w:t xml:space="preserve">form reasonable judgement and </w:t>
      </w:r>
      <w:r w:rsidR="006A554B">
        <w:t>composure.</w:t>
      </w:r>
      <w:r w:rsidR="00F2535C">
        <w:t xml:space="preserve"> </w:t>
      </w:r>
      <w:r w:rsidR="006A554B">
        <w:t xml:space="preserve"> </w:t>
      </w:r>
      <w:r w:rsidR="00B725DC">
        <w:t>(Macdonald</w:t>
      </w:r>
      <w:r w:rsidR="00372801">
        <w:t>,</w:t>
      </w:r>
      <w:r w:rsidR="00B725DC">
        <w:t xml:space="preserve"> 2018) argues that 4 requirements are needed for a case to be determined as murder, these include the </w:t>
      </w:r>
      <w:r w:rsidR="001F4093">
        <w:t>victim’s</w:t>
      </w:r>
      <w:r w:rsidR="00B725DC">
        <w:t xml:space="preserve"> death of which is caused by the defendant </w:t>
      </w:r>
      <w:r w:rsidR="001F4093">
        <w:t>with intent to kill or cause grievous body harm</w:t>
      </w:r>
      <w:r w:rsidR="00C32CF1">
        <w:t xml:space="preserve"> and </w:t>
      </w:r>
      <w:r w:rsidR="007E3AFE">
        <w:t>t</w:t>
      </w:r>
      <w:r w:rsidR="001F4093">
        <w:t xml:space="preserve">he victim must also be a person.  The actus </w:t>
      </w:r>
      <w:r w:rsidR="00113060">
        <w:t>reus</w:t>
      </w:r>
      <w:r w:rsidR="001F4093">
        <w:t xml:space="preserve"> element for murder involves an unlawful killing within the </w:t>
      </w:r>
      <w:r w:rsidR="00DA3DEC">
        <w:t>queen’s</w:t>
      </w:r>
      <w:r w:rsidR="001F4093">
        <w:t xml:space="preserve"> peace of another person (Herring</w:t>
      </w:r>
      <w:r w:rsidR="00372801">
        <w:t>,</w:t>
      </w:r>
      <w:r w:rsidR="001F4093">
        <w:t xml:space="preserve"> 2020).  Herring</w:t>
      </w:r>
      <w:r w:rsidR="00372801">
        <w:t xml:space="preserve"> (</w:t>
      </w:r>
      <w:r w:rsidR="001F4093">
        <w:t xml:space="preserve">2020) also describes the </w:t>
      </w:r>
      <w:proofErr w:type="spellStart"/>
      <w:r w:rsidR="001F4093">
        <w:t>mens</w:t>
      </w:r>
      <w:proofErr w:type="spellEnd"/>
      <w:r w:rsidR="001F4093">
        <w:t xml:space="preserve"> rea of murder to be the intent to cause the victim either death or grievous body harm.</w:t>
      </w:r>
      <w:r w:rsidR="007A21D3">
        <w:t xml:space="preserve">  There are two types of manslaughter,</w:t>
      </w:r>
      <w:r w:rsidR="001F4093">
        <w:t xml:space="preserve"> </w:t>
      </w:r>
      <w:r w:rsidR="00501363">
        <w:t>for</w:t>
      </w:r>
      <w:r w:rsidR="007A21D3">
        <w:t xml:space="preserve"> criminal liability to be adhered there must be an actus reus, </w:t>
      </w:r>
      <w:proofErr w:type="spellStart"/>
      <w:r w:rsidR="007A21D3">
        <w:t>mens</w:t>
      </w:r>
      <w:proofErr w:type="spellEnd"/>
      <w:r w:rsidR="007A21D3">
        <w:t xml:space="preserve"> rea and no defence, cases where the actus reus and </w:t>
      </w:r>
      <w:proofErr w:type="spellStart"/>
      <w:r w:rsidR="007A21D3">
        <w:t>mens</w:t>
      </w:r>
      <w:proofErr w:type="spellEnd"/>
      <w:r w:rsidR="007A21D3">
        <w:t xml:space="preserve"> rea are satisfied </w:t>
      </w:r>
      <w:r w:rsidR="004E1917">
        <w:t xml:space="preserve">but the victim </w:t>
      </w:r>
      <w:proofErr w:type="gramStart"/>
      <w:r w:rsidR="004E1917">
        <w:t>has the ability to</w:t>
      </w:r>
      <w:proofErr w:type="gramEnd"/>
      <w:r w:rsidR="004E1917">
        <w:t xml:space="preserve"> plead a partial defence are voluntary manslaughter (Macdonald</w:t>
      </w:r>
      <w:r w:rsidR="00372801">
        <w:t>,</w:t>
      </w:r>
      <w:r w:rsidR="004E1917">
        <w:t xml:space="preserve"> 2018).  The other is involuntary manslaughter, this is when </w:t>
      </w:r>
      <w:r w:rsidR="00372801">
        <w:t xml:space="preserve">the actus reus is present despite the lack of </w:t>
      </w:r>
      <w:proofErr w:type="spellStart"/>
      <w:r w:rsidR="00372801">
        <w:t>mens</w:t>
      </w:r>
      <w:proofErr w:type="spellEnd"/>
      <w:r w:rsidR="00372801">
        <w:t xml:space="preserve"> rea (</w:t>
      </w:r>
      <w:r w:rsidR="00820848">
        <w:t xml:space="preserve">Taylor, </w:t>
      </w:r>
      <w:r w:rsidR="00372801">
        <w:t>2018).  Involuntary manslaughter can be broken down into 3 forms, of which are gross negligence, constructive and subjectively reckless manslaughter.</w:t>
      </w:r>
      <w:r w:rsidR="00F40B43">
        <w:t xml:space="preserve">  </w:t>
      </w:r>
      <w:r w:rsidR="001D1328">
        <w:t>(</w:t>
      </w:r>
      <w:r w:rsidR="00A84100">
        <w:t xml:space="preserve">R v Adomako) shaped </w:t>
      </w:r>
      <w:r w:rsidR="00B472F5">
        <w:t xml:space="preserve">gross negligent manslaughter to be </w:t>
      </w:r>
      <w:r w:rsidR="00A73042">
        <w:t xml:space="preserve">committed where the defendants grossly negligent acts or omissions </w:t>
      </w:r>
      <w:r w:rsidR="004B1B79">
        <w:t xml:space="preserve">have caused the death.  </w:t>
      </w:r>
      <w:r w:rsidR="008C77F4">
        <w:t xml:space="preserve">The defendant must have caused the death, although </w:t>
      </w:r>
      <w:r w:rsidR="00082E37">
        <w:t>it does not necessarily have to be foreseen.</w:t>
      </w:r>
      <w:r w:rsidR="000C7790">
        <w:t xml:space="preserve">  However</w:t>
      </w:r>
      <w:r w:rsidR="0082407D">
        <w:t xml:space="preserve"> </w:t>
      </w:r>
      <w:r w:rsidR="0029647E">
        <w:t>(R v Singh 1999)</w:t>
      </w:r>
      <w:r w:rsidR="00C9566C">
        <w:t xml:space="preserve"> stresses that </w:t>
      </w:r>
      <w:r w:rsidR="00C07F1C">
        <w:t xml:space="preserve">a serious risk of death must be presented and easily identified by </w:t>
      </w:r>
      <w:r w:rsidR="00D5172D">
        <w:t xml:space="preserve">an average person.  </w:t>
      </w:r>
      <w:r w:rsidR="003A12F6">
        <w:t xml:space="preserve">Constructive </w:t>
      </w:r>
      <w:r w:rsidR="005409A4">
        <w:t xml:space="preserve">manslaughter refers to cases where an unlawful act has been committed </w:t>
      </w:r>
      <w:r w:rsidR="00CB3668">
        <w:t xml:space="preserve">of which amounts a crime and results in the </w:t>
      </w:r>
      <w:r w:rsidR="001A2A94">
        <w:t>victim’s</w:t>
      </w:r>
      <w:r w:rsidR="00CB3668">
        <w:t xml:space="preserve"> death (R v </w:t>
      </w:r>
      <w:r w:rsidR="002D4E80">
        <w:t>Watson 1989).</w:t>
      </w:r>
      <w:r w:rsidR="001A2A94">
        <w:t xml:space="preserve">  The final form of involuntary manslaughter</w:t>
      </w:r>
      <w:r w:rsidR="003D4AF8">
        <w:t xml:space="preserve"> is sub</w:t>
      </w:r>
      <w:r w:rsidR="00007B09">
        <w:t>jectively reckless manslaughter</w:t>
      </w:r>
      <w:r w:rsidR="00CD4ADF">
        <w:t xml:space="preserve">, in which the </w:t>
      </w:r>
      <w:r w:rsidR="00DA4964">
        <w:t>victim’s</w:t>
      </w:r>
      <w:r w:rsidR="00CD4ADF">
        <w:t xml:space="preserve"> death has been caused by </w:t>
      </w:r>
      <w:r w:rsidR="005B0B16">
        <w:t xml:space="preserve">the act or omission of the defendant that doesn’t </w:t>
      </w:r>
      <w:r w:rsidR="004F4DCB">
        <w:t xml:space="preserve">necessarily have to </w:t>
      </w:r>
      <w:r w:rsidR="005B0B16">
        <w:t>be an offence</w:t>
      </w:r>
      <w:r w:rsidR="00C912BD">
        <w:t xml:space="preserve">, despite them holding the knowledge that </w:t>
      </w:r>
      <w:r w:rsidR="00FE144F">
        <w:t>causing grievous body harm is highly probable</w:t>
      </w:r>
      <w:r w:rsidR="004B0587">
        <w:t xml:space="preserve"> (</w:t>
      </w:r>
      <w:r w:rsidR="00E626B1">
        <w:t>R v Newbury and Jones 1976).</w:t>
      </w:r>
    </w:p>
    <w:p w14:paraId="0251F9C2" w14:textId="367A92B2" w:rsidR="00DA4964" w:rsidRDefault="006431D5">
      <w:r>
        <w:t xml:space="preserve">The </w:t>
      </w:r>
      <w:r w:rsidR="008A368B">
        <w:t xml:space="preserve">laws regarding homicide </w:t>
      </w:r>
      <w:r w:rsidR="004566AD">
        <w:t>must be considered carefully as it is widely considered the most serious of all crimes</w:t>
      </w:r>
      <w:r w:rsidR="004C66F4">
        <w:t xml:space="preserve"> (J</w:t>
      </w:r>
      <w:r w:rsidR="00B85067">
        <w:t>USTICE,</w:t>
      </w:r>
      <w:r w:rsidR="00B57189">
        <w:t xml:space="preserve"> </w:t>
      </w:r>
      <w:r w:rsidR="00B85067">
        <w:t>2008</w:t>
      </w:r>
      <w:r w:rsidR="004C66F4">
        <w:t>).  Despite this</w:t>
      </w:r>
      <w:r w:rsidR="001E2DDD">
        <w:t>,</w:t>
      </w:r>
      <w:r w:rsidR="004C66F4">
        <w:t xml:space="preserve"> th</w:t>
      </w:r>
      <w:r w:rsidR="00FF44E6">
        <w:t xml:space="preserve">ere </w:t>
      </w:r>
      <w:r w:rsidR="00D82D89">
        <w:t>are</w:t>
      </w:r>
      <w:r w:rsidR="00FF44E6">
        <w:t xml:space="preserve"> large quantities of controversy surrounding the current law regarding homicide.  One area </w:t>
      </w:r>
      <w:r w:rsidR="00D82D89">
        <w:t xml:space="preserve">includes the partial defences to murder.  </w:t>
      </w:r>
      <w:r w:rsidR="0030004F">
        <w:t>Loss</w:t>
      </w:r>
      <w:r w:rsidR="00F1514C">
        <w:t xml:space="preserve"> of control through </w:t>
      </w:r>
      <w:proofErr w:type="gramStart"/>
      <w:r w:rsidR="00F1514C">
        <w:t>provocation</w:t>
      </w:r>
      <w:r w:rsidR="0030004F">
        <w:t xml:space="preserve"> in particular</w:t>
      </w:r>
      <w:proofErr w:type="gramEnd"/>
      <w:r w:rsidR="00F1514C">
        <w:t xml:space="preserve">.  </w:t>
      </w:r>
      <w:r w:rsidR="00520A63">
        <w:t xml:space="preserve">This causes issues as </w:t>
      </w:r>
      <w:r w:rsidR="00C20863">
        <w:t xml:space="preserve">it presents the argument that </w:t>
      </w:r>
      <w:r w:rsidR="00283E43">
        <w:t xml:space="preserve">it </w:t>
      </w:r>
      <w:r w:rsidR="005F5133">
        <w:t>emphasises the attention on the behaviour of the victim in oppose to the defendant</w:t>
      </w:r>
      <w:r w:rsidR="00133DB7">
        <w:t xml:space="preserve"> (Quick and Wells 2012)</w:t>
      </w:r>
      <w:r w:rsidR="004C7840">
        <w:t xml:space="preserve">.  </w:t>
      </w:r>
      <w:r w:rsidR="002B6818">
        <w:t xml:space="preserve">It is </w:t>
      </w:r>
      <w:r w:rsidR="002B6818">
        <w:lastRenderedPageBreak/>
        <w:t xml:space="preserve">also argued that such laws on provocation </w:t>
      </w:r>
      <w:r w:rsidR="007A1F1D">
        <w:t>can present gender bias in favour of males (</w:t>
      </w:r>
      <w:r w:rsidR="00656070">
        <w:t>R v Ahluwalia 1992).</w:t>
      </w:r>
      <w:r w:rsidR="009D0FD2">
        <w:t xml:space="preserve">   </w:t>
      </w:r>
      <w:r w:rsidR="00AC0205">
        <w:t xml:space="preserve">However, </w:t>
      </w:r>
      <w:r w:rsidR="00485530">
        <w:t xml:space="preserve">the loss of control subjective test can provide a counter argument against this.  </w:t>
      </w:r>
      <w:r w:rsidR="00740F4F">
        <w:t xml:space="preserve">This includes </w:t>
      </w:r>
      <w:r w:rsidR="00C0082F">
        <w:t xml:space="preserve">considering the reaction of a person </w:t>
      </w:r>
      <w:proofErr w:type="gramStart"/>
      <w:r w:rsidR="00C0082F">
        <w:t>similar to</w:t>
      </w:r>
      <w:proofErr w:type="gramEnd"/>
      <w:r w:rsidR="00C0082F">
        <w:t xml:space="preserve"> the defendant</w:t>
      </w:r>
      <w:r w:rsidR="001D36C5">
        <w:t xml:space="preserve"> and comparing to that of the defendant </w:t>
      </w:r>
      <w:r w:rsidR="00E30B02">
        <w:t xml:space="preserve">while </w:t>
      </w:r>
      <w:r w:rsidR="00336045">
        <w:t xml:space="preserve">the Coronas and Justice Act </w:t>
      </w:r>
      <w:r w:rsidR="00CE6FFC">
        <w:t xml:space="preserve">(CORJA) 2009 </w:t>
      </w:r>
      <w:r w:rsidR="00764D49">
        <w:t xml:space="preserve">emphasises that </w:t>
      </w:r>
      <w:r w:rsidR="00D757BC">
        <w:t xml:space="preserve">a fear of violence </w:t>
      </w:r>
      <w:r w:rsidR="00DF4A3E">
        <w:t xml:space="preserve">from the victim must be a qualifying trigger for the </w:t>
      </w:r>
      <w:r w:rsidR="00006C42">
        <w:t>defendant’s</w:t>
      </w:r>
      <w:r w:rsidR="00DA67DC">
        <w:t xml:space="preserve"> loss of control</w:t>
      </w:r>
      <w:r w:rsidR="00006C42">
        <w:t xml:space="preserve"> (Legislation.gov.uk</w:t>
      </w:r>
      <w:r w:rsidR="00BC2F58">
        <w:t>, 2010</w:t>
      </w:r>
      <w:r w:rsidR="00006C42">
        <w:t>).</w:t>
      </w:r>
      <w:r w:rsidR="00136BCB">
        <w:t xml:space="preserve">  </w:t>
      </w:r>
      <w:r w:rsidR="002908E1">
        <w:t xml:space="preserve">Another controversy within the current law is that cases in which the </w:t>
      </w:r>
      <w:r w:rsidR="00DE6650">
        <w:t>defendant’s</w:t>
      </w:r>
      <w:r w:rsidR="00294E24">
        <w:t xml:space="preserve"> intent was to harm but not kill the victim can still be classed as murder</w:t>
      </w:r>
      <w:r w:rsidR="00E20F7B">
        <w:t xml:space="preserve">, this causes </w:t>
      </w:r>
      <w:r w:rsidR="005D052B">
        <w:t>the law surrounding murder</w:t>
      </w:r>
      <w:r w:rsidR="00E20F7B">
        <w:t xml:space="preserve"> to inherit </w:t>
      </w:r>
      <w:r w:rsidR="005D052B">
        <w:t xml:space="preserve">the view that it is too broad, </w:t>
      </w:r>
      <w:r w:rsidR="005E0DDA">
        <w:t xml:space="preserve">the same argument can be made for manslaughter.  </w:t>
      </w:r>
      <w:r w:rsidR="00BA62C7">
        <w:t xml:space="preserve">It is commonly believed that such laws </w:t>
      </w:r>
      <w:r w:rsidR="00DE6650">
        <w:t xml:space="preserve">lead to </w:t>
      </w:r>
      <w:r w:rsidR="00A837A3">
        <w:t>defe</w:t>
      </w:r>
      <w:r w:rsidR="00B8604A">
        <w:t xml:space="preserve">ndants convicted of </w:t>
      </w:r>
      <w:r w:rsidR="001C3B69">
        <w:t xml:space="preserve">reckless conduct </w:t>
      </w:r>
      <w:r w:rsidR="00DE6650">
        <w:t xml:space="preserve">to be inappropriately charged and that </w:t>
      </w:r>
      <w:r w:rsidR="00BF1528">
        <w:t xml:space="preserve">serious cases of such </w:t>
      </w:r>
      <w:r w:rsidR="008078D7">
        <w:t xml:space="preserve">would be more suitably charged with murder.  </w:t>
      </w:r>
      <w:r w:rsidR="0099666F">
        <w:t>Whereas</w:t>
      </w:r>
      <w:r w:rsidR="008078D7">
        <w:t xml:space="preserve"> </w:t>
      </w:r>
      <w:r w:rsidR="00CF4BAA">
        <w:t xml:space="preserve">laws may </w:t>
      </w:r>
      <w:r w:rsidR="00C529C4">
        <w:t xml:space="preserve">be </w:t>
      </w:r>
      <w:r w:rsidR="00BD0833">
        <w:t>too</w:t>
      </w:r>
      <w:r w:rsidR="00C529C4">
        <w:t xml:space="preserve"> strict on those of involuntary manslaughter</w:t>
      </w:r>
      <w:r w:rsidR="001C367D">
        <w:t xml:space="preserve"> (Beard and </w:t>
      </w:r>
      <w:proofErr w:type="spellStart"/>
      <w:r w:rsidR="001C367D">
        <w:t>Politowski</w:t>
      </w:r>
      <w:proofErr w:type="spellEnd"/>
      <w:r w:rsidR="001C367D">
        <w:t xml:space="preserve"> 2016)</w:t>
      </w:r>
      <w:r w:rsidR="00D7765D">
        <w:t xml:space="preserve">, this is problematic as </w:t>
      </w:r>
      <w:r w:rsidR="00683F39">
        <w:t xml:space="preserve">cases of murder carry </w:t>
      </w:r>
      <w:r w:rsidR="00F80155">
        <w:t>a life sentence</w:t>
      </w:r>
      <w:r w:rsidR="000E494F">
        <w:t>.</w:t>
      </w:r>
      <w:r w:rsidR="00A57B7A">
        <w:t xml:space="preserve">  (Law</w:t>
      </w:r>
      <w:r w:rsidR="00066D4C">
        <w:t xml:space="preserve"> Commission</w:t>
      </w:r>
      <w:r w:rsidR="00CE1CF2">
        <w:t>, n.d.</w:t>
      </w:r>
      <w:r w:rsidR="00066D4C">
        <w:t xml:space="preserve">) describes the </w:t>
      </w:r>
      <w:r w:rsidR="00A234DC">
        <w:t xml:space="preserve">current laws regarding homicide as </w:t>
      </w:r>
      <w:r w:rsidR="00BD247D">
        <w:t>blunt and of a rudimentary fashion.</w:t>
      </w:r>
      <w:r w:rsidR="00852D3E">
        <w:t xml:space="preserve">  </w:t>
      </w:r>
      <w:r w:rsidR="00F63928">
        <w:t>(Law Commission</w:t>
      </w:r>
      <w:r w:rsidR="009A737F">
        <w:t>, n.d.</w:t>
      </w:r>
      <w:r w:rsidR="006C16F0">
        <w:t>)</w:t>
      </w:r>
      <w:r w:rsidR="00F63928">
        <w:t xml:space="preserve"> also state that </w:t>
      </w:r>
      <w:r w:rsidR="006C16F0">
        <w:t>within a new structure</w:t>
      </w:r>
      <w:r w:rsidR="00C05ED5">
        <w:t xml:space="preserve">, homicide should be </w:t>
      </w:r>
      <w:r w:rsidR="00F0068F">
        <w:t>classed</w:t>
      </w:r>
      <w:r w:rsidR="0051507B">
        <w:t xml:space="preserve"> in suit with the levels of criminality of the defendant, each </w:t>
      </w:r>
      <w:r w:rsidR="00C14943">
        <w:t>offence should hold a clear definition, of which are appropriately labelled</w:t>
      </w:r>
      <w:r w:rsidR="002D0635">
        <w:t xml:space="preserve">, the </w:t>
      </w:r>
      <w:r w:rsidR="00214AC6">
        <w:t>applicable defences should be clearly stated</w:t>
      </w:r>
      <w:r w:rsidR="009020EC">
        <w:t>, and f</w:t>
      </w:r>
      <w:r w:rsidR="000354BF">
        <w:t xml:space="preserve">inally, </w:t>
      </w:r>
      <w:r w:rsidR="00BE0D35">
        <w:t xml:space="preserve">sentences should be based upon the criminality </w:t>
      </w:r>
      <w:r w:rsidR="00BA72C7">
        <w:t>of the defendant.</w:t>
      </w:r>
    </w:p>
    <w:p w14:paraId="769A40BD" w14:textId="00F61535" w:rsidR="00BC4814" w:rsidRDefault="008F753E">
      <w:r>
        <w:t xml:space="preserve">The </w:t>
      </w:r>
      <w:r w:rsidR="009631BF">
        <w:t xml:space="preserve">proposed reform consisted of </w:t>
      </w:r>
      <w:r w:rsidR="00C21A43">
        <w:t xml:space="preserve">three categories for homicide offences.  These include </w:t>
      </w:r>
      <w:r w:rsidR="0041357E">
        <w:t>first degree murder</w:t>
      </w:r>
      <w:r w:rsidR="000B0F62">
        <w:t xml:space="preserve">, of which defendants would be charged with </w:t>
      </w:r>
      <w:r w:rsidR="00896F4C">
        <w:t>a mandatory life sentence</w:t>
      </w:r>
      <w:r w:rsidR="0041357E">
        <w:t>, second degree murder</w:t>
      </w:r>
      <w:r w:rsidR="008A6B16">
        <w:t>, of which holds a discretionary life sentence, and manslaughter</w:t>
      </w:r>
      <w:r w:rsidR="00D17744">
        <w:t xml:space="preserve">, this would result in a fixed term of </w:t>
      </w:r>
      <w:r w:rsidR="00973F0B">
        <w:t>years’ service</w:t>
      </w:r>
      <w:r w:rsidR="00D17744">
        <w:t xml:space="preserve"> for the defendant</w:t>
      </w:r>
      <w:r w:rsidR="00960295">
        <w:t xml:space="preserve"> </w:t>
      </w:r>
      <w:r w:rsidR="004F74B5">
        <w:t>(La</w:t>
      </w:r>
      <w:r w:rsidR="00456611">
        <w:t>w Commission, n.d.</w:t>
      </w:r>
      <w:r w:rsidR="004F74B5">
        <w:t>).</w:t>
      </w:r>
      <w:r w:rsidR="00B6120B">
        <w:t xml:space="preserve">  </w:t>
      </w:r>
      <w:r w:rsidR="001126F2">
        <w:t xml:space="preserve">In response to the proposed problems of current law, </w:t>
      </w:r>
      <w:r w:rsidR="00136357">
        <w:t xml:space="preserve">both </w:t>
      </w:r>
      <w:r w:rsidR="0042562B">
        <w:t xml:space="preserve">serious cases of </w:t>
      </w:r>
      <w:r w:rsidR="007324D1">
        <w:t xml:space="preserve">reckless manslaughter </w:t>
      </w:r>
      <w:r w:rsidR="006953F6">
        <w:t xml:space="preserve">and voluntary manslaughter would </w:t>
      </w:r>
      <w:r w:rsidR="00CD597E">
        <w:t>be classe</w:t>
      </w:r>
      <w:r w:rsidR="002960A0">
        <w:t>d</w:t>
      </w:r>
      <w:r w:rsidR="00CD597E">
        <w:t xml:space="preserve"> as </w:t>
      </w:r>
      <w:r w:rsidR="00973F0B">
        <w:t>second-degree</w:t>
      </w:r>
      <w:r w:rsidR="00CD597E">
        <w:t xml:space="preserve"> murder, whereas </w:t>
      </w:r>
      <w:r w:rsidR="00973F0B">
        <w:t xml:space="preserve">the less serious cases of manslaughter </w:t>
      </w:r>
      <w:r w:rsidR="004A1CEB">
        <w:t>would be confined to a separate offence</w:t>
      </w:r>
      <w:r w:rsidR="00F60614">
        <w:t xml:space="preserve">.  This </w:t>
      </w:r>
      <w:r w:rsidR="002B3F6B">
        <w:t xml:space="preserve">addresses the problem </w:t>
      </w:r>
      <w:r w:rsidR="00D60162">
        <w:t xml:space="preserve">that </w:t>
      </w:r>
      <w:r w:rsidR="00991D0F">
        <w:t xml:space="preserve">defendants of </w:t>
      </w:r>
      <w:r w:rsidR="00D60162">
        <w:t xml:space="preserve">manslaughter cases on each end of the spectrum </w:t>
      </w:r>
      <w:r w:rsidR="00991D0F">
        <w:t>are not appropriately charged</w:t>
      </w:r>
      <w:r w:rsidR="003C0059">
        <w:t xml:space="preserve">.  </w:t>
      </w:r>
      <w:r w:rsidR="00461D67">
        <w:t xml:space="preserve">As for the problems </w:t>
      </w:r>
      <w:r w:rsidR="00A131A6">
        <w:t>with partial defences,</w:t>
      </w:r>
      <w:r w:rsidR="00B62D45">
        <w:t xml:space="preserve"> a</w:t>
      </w:r>
      <w:r w:rsidR="00A131A6">
        <w:t xml:space="preserve"> </w:t>
      </w:r>
      <w:r w:rsidR="00B62D45">
        <w:t xml:space="preserve">loss of control </w:t>
      </w:r>
      <w:r w:rsidR="00E269F1">
        <w:t xml:space="preserve">would no longer be necessary </w:t>
      </w:r>
      <w:r w:rsidR="00676A14">
        <w:t>for cases involving provocation, instead</w:t>
      </w:r>
      <w:r w:rsidR="00082120">
        <w:t xml:space="preserve"> a partial defence of killing can only be applied when </w:t>
      </w:r>
      <w:r w:rsidR="008B0F35">
        <w:t xml:space="preserve">there is gross provocation or under threat of </w:t>
      </w:r>
      <w:r w:rsidR="00E16CF6">
        <w:t xml:space="preserve">serious violence (Justice.org.UK).  this slightly reduced emphasis on </w:t>
      </w:r>
      <w:r w:rsidR="00F47B8F">
        <w:t xml:space="preserve">the </w:t>
      </w:r>
      <w:r w:rsidR="006B581E">
        <w:t>victim’s</w:t>
      </w:r>
      <w:r w:rsidR="00F47B8F">
        <w:t xml:space="preserve"> behaviour as the requirements become more serious.</w:t>
      </w:r>
      <w:r w:rsidR="006B581E">
        <w:t xml:space="preserve">  In 2010, provocation was completely removed and was no longer classed as </w:t>
      </w:r>
      <w:r w:rsidR="00110307">
        <w:t>a partial defence to murder</w:t>
      </w:r>
      <w:r w:rsidR="0041793A">
        <w:t xml:space="preserve">, a new system was introduced with the aim </w:t>
      </w:r>
      <w:r w:rsidR="004E4AF0">
        <w:t xml:space="preserve">to put an end to </w:t>
      </w:r>
      <w:r w:rsidR="00983F45">
        <w:t>gender-based</w:t>
      </w:r>
      <w:r w:rsidR="004E4AF0">
        <w:t xml:space="preserve"> problems </w:t>
      </w:r>
      <w:r w:rsidR="00C77082">
        <w:t xml:space="preserve">within the defence, such as domestic murders.  </w:t>
      </w:r>
      <w:r w:rsidR="00983F45">
        <w:t xml:space="preserve">This act was CORJA </w:t>
      </w:r>
      <w:r w:rsidR="00582493">
        <w:t>2009 (</w:t>
      </w:r>
      <w:proofErr w:type="gramStart"/>
      <w:r w:rsidR="00582493">
        <w:t>Fitz-</w:t>
      </w:r>
      <w:r w:rsidR="00A57557">
        <w:t>Gibbon</w:t>
      </w:r>
      <w:proofErr w:type="gramEnd"/>
      <w:r w:rsidR="00A57557">
        <w:t xml:space="preserve"> 2013).</w:t>
      </w:r>
      <w:r w:rsidR="004E1B0D">
        <w:t xml:space="preserve">  Another proposal was put forward by </w:t>
      </w:r>
      <w:r w:rsidR="00A11574">
        <w:t xml:space="preserve">Sir Louis </w:t>
      </w:r>
      <w:proofErr w:type="spellStart"/>
      <w:r w:rsidR="00A11574">
        <w:t>Blom</w:t>
      </w:r>
      <w:proofErr w:type="spellEnd"/>
      <w:r w:rsidR="00A11574">
        <w:t xml:space="preserve"> </w:t>
      </w:r>
      <w:r w:rsidR="00772755">
        <w:t xml:space="preserve">– Cooper QC.  </w:t>
      </w:r>
      <w:r w:rsidR="004635F7">
        <w:t xml:space="preserve">He envisioned that </w:t>
      </w:r>
      <w:r w:rsidR="007132FF">
        <w:t xml:space="preserve">the judge should hold some responsibility in </w:t>
      </w:r>
      <w:r w:rsidR="00D35975">
        <w:t xml:space="preserve">deciding the sentence of those convicted of homicide, as </w:t>
      </w:r>
      <w:r w:rsidR="00ED745C">
        <w:t xml:space="preserve">he openly described </w:t>
      </w:r>
      <w:r w:rsidR="009066DF">
        <w:t>life imprisonment as a violation of human dignity</w:t>
      </w:r>
      <w:r w:rsidR="00E070C3">
        <w:t xml:space="preserve"> (</w:t>
      </w:r>
      <w:proofErr w:type="spellStart"/>
      <w:r w:rsidR="00E070C3">
        <w:t>Pearl.Plymouth</w:t>
      </w:r>
      <w:proofErr w:type="spellEnd"/>
      <w:r w:rsidR="001B1E11">
        <w:t>, n.d.</w:t>
      </w:r>
      <w:r w:rsidR="00E070C3">
        <w:t>).</w:t>
      </w:r>
      <w:r w:rsidR="00A502A5">
        <w:t xml:space="preserve">  The benefit of such pr</w:t>
      </w:r>
      <w:r w:rsidR="00C57164">
        <w:t xml:space="preserve">oposal </w:t>
      </w:r>
      <w:r w:rsidR="00384CA4">
        <w:t>regarding</w:t>
      </w:r>
      <w:r w:rsidR="00A502A5">
        <w:t xml:space="preserve"> the current problems would </w:t>
      </w:r>
      <w:r w:rsidR="00C57164">
        <w:t xml:space="preserve">be that it </w:t>
      </w:r>
      <w:r w:rsidR="001B758F">
        <w:t>remove</w:t>
      </w:r>
      <w:r w:rsidR="00C57164">
        <w:t xml:space="preserve">s an element </w:t>
      </w:r>
      <w:r w:rsidR="001B0533">
        <w:t>of blame</w:t>
      </w:r>
      <w:r w:rsidR="001B758F">
        <w:t xml:space="preserve"> from the victim </w:t>
      </w:r>
      <w:r w:rsidR="00C57164">
        <w:t xml:space="preserve">as </w:t>
      </w:r>
      <w:r w:rsidR="00F20A4E">
        <w:t>diminished</w:t>
      </w:r>
      <w:r w:rsidR="001B758F">
        <w:t xml:space="preserve"> responsibility </w:t>
      </w:r>
      <w:r w:rsidR="001B0533">
        <w:t xml:space="preserve">becomes </w:t>
      </w:r>
      <w:r w:rsidR="00465BE7">
        <w:t>non-existent</w:t>
      </w:r>
      <w:r w:rsidR="00F20A4E">
        <w:t>.</w:t>
      </w:r>
      <w:r w:rsidR="00E070C3">
        <w:t xml:space="preserve">  This could lead to homicide becoming one single </w:t>
      </w:r>
      <w:r w:rsidR="00E417FC">
        <w:t>offence</w:t>
      </w:r>
      <w:r w:rsidR="00B930AC">
        <w:t xml:space="preserve">, leading to many problems.  Some of which include that </w:t>
      </w:r>
      <w:r w:rsidR="0019519F">
        <w:t xml:space="preserve">the circumstances </w:t>
      </w:r>
      <w:r w:rsidR="009326BE">
        <w:t xml:space="preserve">of murder will vary massively and can cause sentencing to become a much more </w:t>
      </w:r>
      <w:r w:rsidR="00B11268">
        <w:t>complex process</w:t>
      </w:r>
      <w:r w:rsidR="0081539E">
        <w:t xml:space="preserve">, also lots of defendants will be </w:t>
      </w:r>
      <w:r w:rsidR="00704D5E">
        <w:t>categorised</w:t>
      </w:r>
      <w:r w:rsidR="0081539E">
        <w:t xml:space="preserve"> </w:t>
      </w:r>
      <w:r w:rsidR="00704D5E">
        <w:t xml:space="preserve">in the same way despite </w:t>
      </w:r>
      <w:r w:rsidR="00414F32">
        <w:t xml:space="preserve">the natures of their crimes being completely different.  </w:t>
      </w:r>
      <w:r w:rsidR="008D7B01">
        <w:t xml:space="preserve">Overall, this outlines why </w:t>
      </w:r>
      <w:r w:rsidR="00766A3A">
        <w:t xml:space="preserve">this proposal was </w:t>
      </w:r>
      <w:r w:rsidR="00713482">
        <w:t>rejected</w:t>
      </w:r>
      <w:r w:rsidR="00436FFD">
        <w:t xml:space="preserve"> and it can be argued that the government were correct to do so, as the problems of such would </w:t>
      </w:r>
      <w:r w:rsidR="00867871">
        <w:t>outweigh the benefits.</w:t>
      </w:r>
    </w:p>
    <w:p w14:paraId="17D85843" w14:textId="2CE838FF" w:rsidR="00594874" w:rsidRDefault="0041471B">
      <w:r>
        <w:t xml:space="preserve">There are many arguments against reform all together, </w:t>
      </w:r>
      <w:r w:rsidR="00DA7D7F">
        <w:t xml:space="preserve">for example </w:t>
      </w:r>
      <w:r w:rsidR="00333B6F">
        <w:t>the justice minister</w:t>
      </w:r>
      <w:r w:rsidR="007D479C">
        <w:t xml:space="preserve">, Oliver Heald describes the proposed </w:t>
      </w:r>
      <w:r w:rsidR="0067637D">
        <w:t xml:space="preserve">system as something the public </w:t>
      </w:r>
      <w:r w:rsidR="00BE6AD7">
        <w:t>are unlikely to accept</w:t>
      </w:r>
      <w:r w:rsidR="004F4F5F">
        <w:t xml:space="preserve">, he states this as he believes it would result in large amounts of killings being </w:t>
      </w:r>
      <w:r w:rsidR="008C434D">
        <w:t xml:space="preserve">categorised as </w:t>
      </w:r>
      <w:r w:rsidR="00501363">
        <w:t>second-degree</w:t>
      </w:r>
      <w:r w:rsidR="008C434D">
        <w:t xml:space="preserve"> murder</w:t>
      </w:r>
      <w:r w:rsidR="0093606D">
        <w:t xml:space="preserve"> despite the seriousness of most cases </w:t>
      </w:r>
      <w:r w:rsidR="00BE6AD7">
        <w:t>(</w:t>
      </w:r>
      <w:r w:rsidR="006E36DF">
        <w:t>Travis 2016</w:t>
      </w:r>
      <w:r w:rsidR="00BE6AD7">
        <w:t>)</w:t>
      </w:r>
      <w:r w:rsidR="0093606D">
        <w:t>.</w:t>
      </w:r>
      <w:r w:rsidR="00783EAD">
        <w:t xml:space="preserve">  (J</w:t>
      </w:r>
      <w:r w:rsidR="00CE1CF2">
        <w:t>USTICE, 2008</w:t>
      </w:r>
      <w:r w:rsidR="00783EAD">
        <w:t xml:space="preserve">) explain that </w:t>
      </w:r>
      <w:r w:rsidR="000000DB">
        <w:t xml:space="preserve">the government approach to reforming homicide would likely cause problems in </w:t>
      </w:r>
      <w:r w:rsidR="00DD0FA0">
        <w:t xml:space="preserve">law and </w:t>
      </w:r>
      <w:r w:rsidR="0039798E">
        <w:t xml:space="preserve">in practise.  They also </w:t>
      </w:r>
      <w:r w:rsidR="0039798E">
        <w:lastRenderedPageBreak/>
        <w:t xml:space="preserve">emphasise </w:t>
      </w:r>
      <w:r w:rsidR="004678F0">
        <w:t xml:space="preserve">that changes made by the government have </w:t>
      </w:r>
      <w:r w:rsidR="009F71C7">
        <w:t xml:space="preserve">consequently been for the worse, for example </w:t>
      </w:r>
      <w:r w:rsidR="00FC72BE">
        <w:t xml:space="preserve">their decision to alter the partial defences </w:t>
      </w:r>
      <w:r w:rsidR="007B31B1">
        <w:t xml:space="preserve">may still prove to be </w:t>
      </w:r>
      <w:r w:rsidR="003E3D92">
        <w:t>problematic for victims of domestic violence.</w:t>
      </w:r>
      <w:r w:rsidR="005C12C7">
        <w:t xml:space="preserve">  </w:t>
      </w:r>
      <w:r w:rsidR="002827CE">
        <w:t>Overall,</w:t>
      </w:r>
      <w:r w:rsidR="005C12C7">
        <w:t xml:space="preserve"> it is presented that </w:t>
      </w:r>
      <w:r w:rsidR="00580FC2">
        <w:t xml:space="preserve">a reform may not be necessary, although </w:t>
      </w:r>
      <w:r w:rsidR="00D87150">
        <w:t>some</w:t>
      </w:r>
      <w:r w:rsidR="00C960A9">
        <w:t xml:space="preserve"> </w:t>
      </w:r>
      <w:r w:rsidR="00580FC2">
        <w:t xml:space="preserve">elements of the current law </w:t>
      </w:r>
      <w:r w:rsidR="00D87150">
        <w:t>need</w:t>
      </w:r>
      <w:r w:rsidR="00580FC2">
        <w:t xml:space="preserve"> updating.</w:t>
      </w:r>
      <w:r w:rsidR="002827CE">
        <w:t xml:space="preserve">  Therefore, </w:t>
      </w:r>
      <w:r w:rsidR="00C960A9">
        <w:t>in</w:t>
      </w:r>
      <w:r w:rsidR="002827CE">
        <w:t xml:space="preserve"> oppose to creating a new structure </w:t>
      </w:r>
      <w:r w:rsidR="00C960A9">
        <w:t xml:space="preserve">all together, </w:t>
      </w:r>
      <w:r w:rsidR="00D87150">
        <w:t>the best option may be to evaluate the current law thoroughly and critique any problems within</w:t>
      </w:r>
      <w:r w:rsidR="001232DC">
        <w:t>, from this</w:t>
      </w:r>
      <w:r w:rsidR="00AB3491">
        <w:t>,</w:t>
      </w:r>
      <w:r w:rsidR="001232DC">
        <w:t xml:space="preserve"> new ideas and suggestions can be proposed to target individual problems </w:t>
      </w:r>
      <w:r w:rsidR="00AB3491">
        <w:t>rather than a complete reform.</w:t>
      </w:r>
    </w:p>
    <w:p w14:paraId="4CAA2B33" w14:textId="37481C05" w:rsidR="00763FA0" w:rsidRDefault="00763FA0"/>
    <w:p w14:paraId="762D6F21" w14:textId="5E62B6F1" w:rsidR="00C70E3A" w:rsidRPr="00C70E3A" w:rsidRDefault="00763FA0" w:rsidP="00C70E3A">
      <w:r>
        <w:t>References</w:t>
      </w:r>
      <w:r w:rsidR="00C70E3A">
        <w:t>:</w:t>
      </w:r>
    </w:p>
    <w:p w14:paraId="480D383A" w14:textId="77777777" w:rsidR="00C70E3A" w:rsidRPr="00503B5B" w:rsidRDefault="00C70E3A" w:rsidP="00C91FA3">
      <w:pPr>
        <w:pStyle w:val="NormalWeb"/>
        <w:rPr>
          <w:rFonts w:asciiTheme="minorHAnsi" w:hAnsiTheme="minorHAnsi" w:cstheme="minorHAnsi"/>
          <w:color w:val="000000"/>
          <w:sz w:val="22"/>
          <w:szCs w:val="22"/>
        </w:rPr>
      </w:pPr>
      <w:r w:rsidRPr="00503B5B">
        <w:rPr>
          <w:rFonts w:asciiTheme="minorHAnsi" w:hAnsiTheme="minorHAnsi" w:cstheme="minorHAnsi"/>
          <w:color w:val="000000"/>
          <w:sz w:val="22"/>
          <w:szCs w:val="22"/>
        </w:rPr>
        <w:t xml:space="preserve">‌Beard, J and </w:t>
      </w:r>
      <w:proofErr w:type="spellStart"/>
      <w:r w:rsidRPr="00503B5B">
        <w:rPr>
          <w:rFonts w:asciiTheme="minorHAnsi" w:hAnsiTheme="minorHAnsi" w:cstheme="minorHAnsi"/>
          <w:color w:val="000000"/>
          <w:sz w:val="22"/>
          <w:szCs w:val="22"/>
        </w:rPr>
        <w:t>Politowski</w:t>
      </w:r>
      <w:proofErr w:type="spellEnd"/>
      <w:r w:rsidRPr="00503B5B">
        <w:rPr>
          <w:rFonts w:asciiTheme="minorHAnsi" w:hAnsiTheme="minorHAnsi" w:cstheme="minorHAnsi"/>
          <w:color w:val="000000"/>
          <w:sz w:val="22"/>
          <w:szCs w:val="22"/>
        </w:rPr>
        <w:t xml:space="preserve">, B. (2012) </w:t>
      </w:r>
      <w:r w:rsidRPr="00503B5B">
        <w:rPr>
          <w:rFonts w:asciiTheme="minorHAnsi" w:hAnsiTheme="minorHAnsi" w:cstheme="minorHAnsi"/>
          <w:i/>
          <w:iCs/>
          <w:color w:val="000000"/>
          <w:sz w:val="22"/>
          <w:szCs w:val="22"/>
        </w:rPr>
        <w:t>Debate pack: Reforming the law on homicide.</w:t>
      </w:r>
      <w:r w:rsidRPr="00503B5B">
        <w:rPr>
          <w:rFonts w:asciiTheme="minorHAnsi" w:hAnsiTheme="minorHAnsi" w:cstheme="minorHAnsi"/>
          <w:color w:val="000000"/>
          <w:sz w:val="22"/>
          <w:szCs w:val="22"/>
        </w:rPr>
        <w:t xml:space="preserve"> [online] Available at </w:t>
      </w:r>
      <w:hyperlink r:id="rId4" w:history="1">
        <w:r w:rsidRPr="00503B5B">
          <w:rPr>
            <w:rStyle w:val="Hyperlink"/>
            <w:rFonts w:asciiTheme="minorHAnsi" w:hAnsiTheme="minorHAnsi" w:cstheme="minorHAnsi"/>
            <w:sz w:val="22"/>
            <w:szCs w:val="22"/>
          </w:rPr>
          <w:t>https://researchbriefings.files.parliament.uk/documents/CDP-2016-0094/CDP-2016-0094.pdf</w:t>
        </w:r>
      </w:hyperlink>
      <w:r w:rsidRPr="00503B5B">
        <w:rPr>
          <w:rFonts w:asciiTheme="minorHAnsi" w:hAnsiTheme="minorHAnsi" w:cstheme="minorHAnsi"/>
          <w:color w:val="000000"/>
          <w:sz w:val="22"/>
          <w:szCs w:val="22"/>
        </w:rPr>
        <w:t xml:space="preserve"> (Accessed 20/10/21).</w:t>
      </w:r>
    </w:p>
    <w:p w14:paraId="3E32F0FF" w14:textId="2150C787" w:rsidR="00C70E3A" w:rsidRPr="00503B5B" w:rsidRDefault="00C21749">
      <w:pPr>
        <w:rPr>
          <w:rFonts w:cstheme="minorHAnsi"/>
        </w:rPr>
      </w:pPr>
      <w:r w:rsidRPr="00503B5B">
        <w:rPr>
          <w:rFonts w:cstheme="minorHAnsi"/>
        </w:rPr>
        <w:t>LIFE AFTER</w:t>
      </w:r>
      <w:r w:rsidR="009E236E" w:rsidRPr="00503B5B">
        <w:rPr>
          <w:rFonts w:cstheme="minorHAnsi"/>
        </w:rPr>
        <w:t xml:space="preserve"> DEATH </w:t>
      </w:r>
      <w:proofErr w:type="spellStart"/>
      <w:r w:rsidR="00C70E3A" w:rsidRPr="00503B5B">
        <w:rPr>
          <w:rFonts w:cstheme="minorHAnsi"/>
        </w:rPr>
        <w:t>Blom</w:t>
      </w:r>
      <w:proofErr w:type="spellEnd"/>
      <w:r w:rsidR="00C70E3A" w:rsidRPr="00503B5B">
        <w:rPr>
          <w:rFonts w:cstheme="minorHAnsi"/>
        </w:rPr>
        <w:t>-Cooper, L. (2015) '</w:t>
      </w:r>
      <w:r w:rsidR="00C70E3A" w:rsidRPr="00503B5B">
        <w:rPr>
          <w:rFonts w:cstheme="minorHAnsi"/>
          <w:i/>
          <w:iCs/>
        </w:rPr>
        <w:t>Life After Death', Plymouth Law and Criminal Justice Review</w:t>
      </w:r>
      <w:r w:rsidR="00C70E3A" w:rsidRPr="00503B5B">
        <w:rPr>
          <w:rFonts w:cstheme="minorHAnsi"/>
        </w:rPr>
        <w:t xml:space="preserve">, 7, pp. 1-9. [online].  Available at: </w:t>
      </w:r>
      <w:hyperlink r:id="rId5" w:history="1">
        <w:r w:rsidR="00C70E3A" w:rsidRPr="00503B5B">
          <w:rPr>
            <w:rStyle w:val="Hyperlink"/>
            <w:rFonts w:cstheme="minorHAnsi"/>
          </w:rPr>
          <w:t>https://pearl.plymouth.ac.uk/handle/10026.1/9017</w:t>
        </w:r>
      </w:hyperlink>
      <w:r w:rsidR="00C70E3A" w:rsidRPr="00503B5B">
        <w:rPr>
          <w:rFonts w:cstheme="minorHAnsi"/>
        </w:rPr>
        <w:t xml:space="preserve"> (Accessed 24/10/21).</w:t>
      </w:r>
    </w:p>
    <w:p w14:paraId="43543E01" w14:textId="77777777" w:rsidR="00C70E3A" w:rsidRPr="00503B5B" w:rsidRDefault="00C70E3A">
      <w:pPr>
        <w:rPr>
          <w:rFonts w:cstheme="minorHAnsi"/>
        </w:rPr>
      </w:pPr>
      <w:proofErr w:type="gramStart"/>
      <w:r w:rsidRPr="00503B5B">
        <w:rPr>
          <w:rFonts w:cstheme="minorHAnsi"/>
        </w:rPr>
        <w:t>Fitz-Gibbon</w:t>
      </w:r>
      <w:proofErr w:type="gramEnd"/>
      <w:r w:rsidRPr="00503B5B">
        <w:rPr>
          <w:rFonts w:cstheme="minorHAnsi"/>
        </w:rPr>
        <w:t xml:space="preserve">, K. (2013) ‘Replacing provocation in England and Wales: Examining the partial defence of loss of control’, </w:t>
      </w:r>
      <w:r w:rsidRPr="00503B5B">
        <w:rPr>
          <w:rFonts w:cstheme="minorHAnsi"/>
          <w:i/>
          <w:iCs/>
        </w:rPr>
        <w:t xml:space="preserve">Journal of Law and Society, </w:t>
      </w:r>
      <w:r w:rsidRPr="00503B5B">
        <w:rPr>
          <w:rFonts w:cstheme="minorHAnsi"/>
        </w:rPr>
        <w:t xml:space="preserve">40, (2, June), pp. 280-305.  JSTOR [Online].  Available at </w:t>
      </w:r>
      <w:hyperlink r:id="rId6" w:history="1">
        <w:r w:rsidRPr="00503B5B">
          <w:rPr>
            <w:rStyle w:val="Hyperlink"/>
            <w:rFonts w:cstheme="minorHAnsi"/>
          </w:rPr>
          <w:t>https://www.jstor.org/stable/43862353</w:t>
        </w:r>
      </w:hyperlink>
      <w:r w:rsidRPr="00503B5B">
        <w:rPr>
          <w:rFonts w:cstheme="minorHAnsi"/>
        </w:rPr>
        <w:t xml:space="preserve"> (Accessed 22/10/21).</w:t>
      </w:r>
    </w:p>
    <w:p w14:paraId="11DB7E43" w14:textId="77777777" w:rsidR="00C70E3A" w:rsidRPr="00503B5B" w:rsidRDefault="00C70E3A">
      <w:pPr>
        <w:rPr>
          <w:rFonts w:cstheme="minorHAnsi"/>
        </w:rPr>
      </w:pPr>
      <w:r w:rsidRPr="00503B5B">
        <w:rPr>
          <w:rFonts w:cstheme="minorHAnsi"/>
        </w:rPr>
        <w:t xml:space="preserve">Herring, J (2020) </w:t>
      </w:r>
      <w:r w:rsidRPr="00503B5B">
        <w:rPr>
          <w:rFonts w:cstheme="minorHAnsi"/>
          <w:i/>
          <w:iCs/>
        </w:rPr>
        <w:t>Criminal law: Text, Cases, and Materials.</w:t>
      </w:r>
      <w:r w:rsidRPr="00503B5B">
        <w:rPr>
          <w:rFonts w:cstheme="minorHAnsi"/>
        </w:rPr>
        <w:t xml:space="preserve"> Ninth edition. Oxford: Oxford University Press.</w:t>
      </w:r>
    </w:p>
    <w:p w14:paraId="2C879846" w14:textId="77777777" w:rsidR="00C70E3A" w:rsidRPr="00503B5B" w:rsidRDefault="00C70E3A" w:rsidP="00071754">
      <w:pPr>
        <w:spacing w:after="0" w:line="360" w:lineRule="atLeast"/>
        <w:rPr>
          <w:rFonts w:cstheme="minorHAnsi"/>
        </w:rPr>
      </w:pPr>
      <w:r w:rsidRPr="00503B5B">
        <w:rPr>
          <w:rFonts w:eastAsia="Times New Roman" w:cstheme="minorHAnsi"/>
          <w:color w:val="000000"/>
          <w:lang w:eastAsia="en-GB"/>
        </w:rPr>
        <w:t>JUSTICE. (2008). </w:t>
      </w:r>
      <w:r w:rsidRPr="00503B5B">
        <w:rPr>
          <w:rFonts w:eastAsia="Times New Roman" w:cstheme="minorHAnsi"/>
          <w:i/>
          <w:iCs/>
          <w:color w:val="000000"/>
          <w:lang w:eastAsia="en-GB"/>
        </w:rPr>
        <w:t>Homicide law reform - JUSTICE</w:t>
      </w:r>
      <w:r w:rsidRPr="00503B5B">
        <w:rPr>
          <w:rFonts w:eastAsia="Times New Roman" w:cstheme="minorHAnsi"/>
          <w:color w:val="000000"/>
          <w:lang w:eastAsia="en-GB"/>
        </w:rPr>
        <w:t xml:space="preserve">. [online] Available at: </w:t>
      </w:r>
      <w:hyperlink r:id="rId7" w:history="1">
        <w:r w:rsidRPr="00503B5B">
          <w:rPr>
            <w:rStyle w:val="Hyperlink"/>
            <w:rFonts w:cstheme="minorHAnsi"/>
          </w:rPr>
          <w:t>Homicide law reform - JUSTICE</w:t>
        </w:r>
      </w:hyperlink>
      <w:r w:rsidRPr="00503B5B">
        <w:rPr>
          <w:rFonts w:eastAsia="Times New Roman" w:cstheme="minorHAnsi"/>
          <w:color w:val="000000"/>
          <w:lang w:eastAsia="en-GB"/>
        </w:rPr>
        <w:t>.</w:t>
      </w:r>
      <w:r w:rsidRPr="00503B5B">
        <w:rPr>
          <w:rFonts w:cstheme="minorHAnsi"/>
        </w:rPr>
        <w:t>(Accessed: 24/10/21).</w:t>
      </w:r>
    </w:p>
    <w:p w14:paraId="0B87744A" w14:textId="77777777" w:rsidR="00C70E3A" w:rsidRPr="00503B5B" w:rsidRDefault="00C70E3A" w:rsidP="00071754">
      <w:pPr>
        <w:spacing w:after="0" w:line="360" w:lineRule="atLeast"/>
        <w:rPr>
          <w:rFonts w:cstheme="minorHAnsi"/>
        </w:rPr>
      </w:pPr>
    </w:p>
    <w:p w14:paraId="68E9774A" w14:textId="77777777" w:rsidR="00C70E3A" w:rsidRPr="00503B5B" w:rsidRDefault="00C70E3A" w:rsidP="008A7C17">
      <w:pPr>
        <w:spacing w:after="0" w:line="360" w:lineRule="atLeast"/>
        <w:rPr>
          <w:rFonts w:cstheme="minorHAnsi"/>
        </w:rPr>
      </w:pPr>
      <w:r w:rsidRPr="00503B5B">
        <w:rPr>
          <w:rFonts w:eastAsia="Times New Roman" w:cstheme="minorHAnsi"/>
          <w:color w:val="000000"/>
          <w:lang w:eastAsia="en-GB"/>
        </w:rPr>
        <w:t>Legislation.gov.uk. (2010). </w:t>
      </w:r>
      <w:r w:rsidRPr="00503B5B">
        <w:rPr>
          <w:rFonts w:eastAsia="Times New Roman" w:cstheme="minorHAnsi"/>
          <w:i/>
          <w:iCs/>
          <w:color w:val="000000"/>
          <w:lang w:eastAsia="en-GB"/>
        </w:rPr>
        <w:t>Coroners and Justice Act 2009</w:t>
      </w:r>
      <w:r w:rsidRPr="00503B5B">
        <w:rPr>
          <w:rFonts w:eastAsia="Times New Roman" w:cstheme="minorHAnsi"/>
          <w:color w:val="000000"/>
          <w:lang w:eastAsia="en-GB"/>
        </w:rPr>
        <w:t>. [online] Available at: https://www.legislation.gov.uk/ukpga/2009/25/part/2/chapter/1/crossheading/partial-defence-to-murder-loss-of-control.</w:t>
      </w:r>
      <w:r w:rsidRPr="00503B5B">
        <w:rPr>
          <w:rFonts w:cstheme="minorHAnsi"/>
        </w:rPr>
        <w:t>(Accessed: 20/10/21).</w:t>
      </w:r>
    </w:p>
    <w:p w14:paraId="15FB029D" w14:textId="77777777" w:rsidR="00C70E3A" w:rsidRPr="00503B5B" w:rsidRDefault="00C70E3A" w:rsidP="008A7C17">
      <w:pPr>
        <w:spacing w:after="0" w:line="360" w:lineRule="atLeast"/>
        <w:rPr>
          <w:rFonts w:cstheme="minorHAnsi"/>
        </w:rPr>
      </w:pPr>
    </w:p>
    <w:p w14:paraId="5F92451F" w14:textId="77777777" w:rsidR="00C70E3A" w:rsidRPr="00503B5B" w:rsidRDefault="00C70E3A">
      <w:pPr>
        <w:rPr>
          <w:rFonts w:cstheme="minorHAnsi"/>
        </w:rPr>
      </w:pPr>
      <w:r w:rsidRPr="00503B5B">
        <w:rPr>
          <w:rFonts w:cstheme="minorHAnsi"/>
        </w:rPr>
        <w:t xml:space="preserve">Macdonald, SK (2018) </w:t>
      </w:r>
      <w:r w:rsidRPr="00503B5B">
        <w:rPr>
          <w:rFonts w:cstheme="minorHAnsi"/>
          <w:i/>
          <w:iCs/>
        </w:rPr>
        <w:t>Text, cases and materials on criminal law.</w:t>
      </w:r>
      <w:r w:rsidRPr="00503B5B">
        <w:rPr>
          <w:rFonts w:cstheme="minorHAnsi"/>
        </w:rPr>
        <w:t xml:space="preserve"> Second edition. Harlow: Pearson Education Limited.</w:t>
      </w:r>
    </w:p>
    <w:p w14:paraId="09729E0B" w14:textId="77777777" w:rsidR="00C70E3A" w:rsidRPr="00503B5B" w:rsidRDefault="00C70E3A">
      <w:pPr>
        <w:rPr>
          <w:rFonts w:cstheme="minorHAnsi"/>
        </w:rPr>
      </w:pPr>
      <w:proofErr w:type="spellStart"/>
      <w:r w:rsidRPr="00503B5B">
        <w:rPr>
          <w:rFonts w:cstheme="minorHAnsi"/>
        </w:rPr>
        <w:t>Malekian</w:t>
      </w:r>
      <w:proofErr w:type="spellEnd"/>
      <w:r w:rsidRPr="00503B5B">
        <w:rPr>
          <w:rFonts w:cstheme="minorHAnsi"/>
        </w:rPr>
        <w:t xml:space="preserve">, F (2018) </w:t>
      </w:r>
      <w:r w:rsidRPr="00503B5B">
        <w:rPr>
          <w:rFonts w:cstheme="minorHAnsi"/>
          <w:i/>
          <w:iCs/>
        </w:rPr>
        <w:t xml:space="preserve">The mirage of international criminal law: Kant’s metaphysics of </w:t>
      </w:r>
      <w:proofErr w:type="spellStart"/>
      <w:r w:rsidRPr="00503B5B">
        <w:rPr>
          <w:rFonts w:cstheme="minorHAnsi"/>
          <w:i/>
          <w:iCs/>
        </w:rPr>
        <w:t>mens</w:t>
      </w:r>
      <w:proofErr w:type="spellEnd"/>
      <w:r w:rsidRPr="00503B5B">
        <w:rPr>
          <w:rFonts w:cstheme="minorHAnsi"/>
          <w:i/>
          <w:iCs/>
        </w:rPr>
        <w:t xml:space="preserve"> rea. </w:t>
      </w:r>
      <w:r w:rsidRPr="00503B5B">
        <w:rPr>
          <w:rFonts w:cstheme="minorHAnsi"/>
        </w:rPr>
        <w:t>Newcastle upon Tyne: Cambridge Scholars Publishing.</w:t>
      </w:r>
    </w:p>
    <w:p w14:paraId="0D25AF11" w14:textId="77777777" w:rsidR="00C70E3A" w:rsidRPr="00503B5B" w:rsidRDefault="00C70E3A">
      <w:pPr>
        <w:rPr>
          <w:rFonts w:cstheme="minorHAnsi"/>
        </w:rPr>
      </w:pPr>
      <w:r w:rsidRPr="00503B5B">
        <w:rPr>
          <w:rFonts w:cstheme="minorHAnsi"/>
        </w:rPr>
        <w:t>R v Adomako (1995).</w:t>
      </w:r>
    </w:p>
    <w:p w14:paraId="79B9D2F3" w14:textId="77777777" w:rsidR="00C70E3A" w:rsidRPr="00503B5B" w:rsidRDefault="00C70E3A">
      <w:pPr>
        <w:rPr>
          <w:rFonts w:cstheme="minorHAnsi"/>
        </w:rPr>
      </w:pPr>
      <w:r w:rsidRPr="00503B5B">
        <w:rPr>
          <w:rFonts w:cstheme="minorHAnsi"/>
        </w:rPr>
        <w:t>R v Ahluwalia (1992).</w:t>
      </w:r>
    </w:p>
    <w:p w14:paraId="68DEA1D2" w14:textId="77777777" w:rsidR="00C70E3A" w:rsidRPr="00503B5B" w:rsidRDefault="00C70E3A">
      <w:pPr>
        <w:rPr>
          <w:rFonts w:cstheme="minorHAnsi"/>
        </w:rPr>
      </w:pPr>
      <w:r w:rsidRPr="00503B5B">
        <w:rPr>
          <w:rFonts w:cstheme="minorHAnsi"/>
        </w:rPr>
        <w:t>R v Gibbins and Proctor (1918).</w:t>
      </w:r>
    </w:p>
    <w:p w14:paraId="3FF2E4B5" w14:textId="77777777" w:rsidR="00C70E3A" w:rsidRPr="00503B5B" w:rsidRDefault="00C70E3A">
      <w:pPr>
        <w:rPr>
          <w:rFonts w:cstheme="minorHAnsi"/>
        </w:rPr>
      </w:pPr>
      <w:r w:rsidRPr="00503B5B">
        <w:rPr>
          <w:rFonts w:cstheme="minorHAnsi"/>
        </w:rPr>
        <w:t>R v Grant (2014).</w:t>
      </w:r>
    </w:p>
    <w:p w14:paraId="643CD16A" w14:textId="77777777" w:rsidR="00C70E3A" w:rsidRPr="00503B5B" w:rsidRDefault="00C70E3A">
      <w:pPr>
        <w:rPr>
          <w:rFonts w:cstheme="minorHAnsi"/>
        </w:rPr>
      </w:pPr>
      <w:r w:rsidRPr="00503B5B">
        <w:rPr>
          <w:rFonts w:cstheme="minorHAnsi"/>
        </w:rPr>
        <w:t>R v Newbury and Jones (1976).</w:t>
      </w:r>
    </w:p>
    <w:p w14:paraId="0C3AAB4C" w14:textId="77777777" w:rsidR="00C70E3A" w:rsidRPr="00503B5B" w:rsidRDefault="00C70E3A">
      <w:pPr>
        <w:rPr>
          <w:rFonts w:cstheme="minorHAnsi"/>
        </w:rPr>
      </w:pPr>
      <w:r w:rsidRPr="00503B5B">
        <w:rPr>
          <w:rFonts w:cstheme="minorHAnsi"/>
        </w:rPr>
        <w:t>R v Singh (1999).</w:t>
      </w:r>
    </w:p>
    <w:p w14:paraId="41CA49A4" w14:textId="77777777" w:rsidR="00C70E3A" w:rsidRPr="00503B5B" w:rsidRDefault="00C70E3A">
      <w:pPr>
        <w:rPr>
          <w:rFonts w:cstheme="minorHAnsi"/>
        </w:rPr>
      </w:pPr>
      <w:r w:rsidRPr="00503B5B">
        <w:rPr>
          <w:rFonts w:cstheme="minorHAnsi"/>
        </w:rPr>
        <w:lastRenderedPageBreak/>
        <w:t>R v Watson (1989).</w:t>
      </w:r>
    </w:p>
    <w:p w14:paraId="0877F9EA" w14:textId="77777777" w:rsidR="00C70E3A" w:rsidRPr="00503B5B" w:rsidRDefault="00C70E3A">
      <w:pPr>
        <w:rPr>
          <w:rFonts w:cstheme="minorHAnsi"/>
        </w:rPr>
      </w:pPr>
      <w:r w:rsidRPr="00503B5B">
        <w:rPr>
          <w:rFonts w:cstheme="minorHAnsi"/>
        </w:rPr>
        <w:t xml:space="preserve">R v </w:t>
      </w:r>
      <w:proofErr w:type="spellStart"/>
      <w:r w:rsidRPr="00503B5B">
        <w:rPr>
          <w:rFonts w:cstheme="minorHAnsi"/>
        </w:rPr>
        <w:t>Woolin</w:t>
      </w:r>
      <w:proofErr w:type="spellEnd"/>
      <w:r w:rsidRPr="00503B5B">
        <w:rPr>
          <w:rFonts w:cstheme="minorHAnsi"/>
        </w:rPr>
        <w:t xml:space="preserve"> (1998).</w:t>
      </w:r>
    </w:p>
    <w:p w14:paraId="7DBB379B" w14:textId="77777777" w:rsidR="00C70E3A" w:rsidRPr="00503B5B" w:rsidRDefault="00C70E3A">
      <w:pPr>
        <w:rPr>
          <w:rFonts w:cstheme="minorHAnsi"/>
        </w:rPr>
      </w:pPr>
      <w:r w:rsidRPr="00503B5B">
        <w:rPr>
          <w:rFonts w:cstheme="minorHAnsi"/>
        </w:rPr>
        <w:t xml:space="preserve">Taylor, L (2018) </w:t>
      </w:r>
      <w:r w:rsidRPr="00503B5B">
        <w:rPr>
          <w:rFonts w:cstheme="minorHAnsi"/>
          <w:i/>
          <w:iCs/>
        </w:rPr>
        <w:t xml:space="preserve">Elliott and </w:t>
      </w:r>
      <w:proofErr w:type="spellStart"/>
      <w:r w:rsidRPr="00503B5B">
        <w:rPr>
          <w:rFonts w:cstheme="minorHAnsi"/>
          <w:i/>
          <w:iCs/>
        </w:rPr>
        <w:t>quinnE’s</w:t>
      </w:r>
      <w:proofErr w:type="spellEnd"/>
      <w:r w:rsidRPr="00503B5B">
        <w:rPr>
          <w:rFonts w:cstheme="minorHAnsi"/>
          <w:i/>
          <w:iCs/>
        </w:rPr>
        <w:t xml:space="preserve"> criminal law.</w:t>
      </w:r>
      <w:r w:rsidRPr="00503B5B">
        <w:rPr>
          <w:rFonts w:cstheme="minorHAnsi"/>
        </w:rPr>
        <w:t xml:space="preserve"> Twelfth edition. Harlow: Pearson Education Limited.</w:t>
      </w:r>
    </w:p>
    <w:p w14:paraId="12513EF4" w14:textId="77777777" w:rsidR="00C70E3A" w:rsidRPr="00503B5B" w:rsidRDefault="00C70E3A">
      <w:pPr>
        <w:rPr>
          <w:rFonts w:cstheme="minorHAnsi"/>
        </w:rPr>
      </w:pPr>
      <w:r w:rsidRPr="00503B5B">
        <w:rPr>
          <w:rFonts w:cstheme="minorHAnsi"/>
        </w:rPr>
        <w:t xml:space="preserve">The Law Commission (n.d.). </w:t>
      </w:r>
      <w:r w:rsidRPr="00503B5B">
        <w:rPr>
          <w:rFonts w:cstheme="minorHAnsi"/>
          <w:i/>
          <w:iCs/>
        </w:rPr>
        <w:t>A new homicide act for England and Wales?</w:t>
      </w:r>
      <w:r w:rsidRPr="00503B5B">
        <w:rPr>
          <w:rFonts w:cstheme="minorHAnsi"/>
        </w:rPr>
        <w:t xml:space="preserve"> [online] Available at: </w:t>
      </w:r>
      <w:hyperlink r:id="rId8" w:history="1">
        <w:r w:rsidRPr="00503B5B">
          <w:rPr>
            <w:rStyle w:val="Hyperlink"/>
            <w:rFonts w:cstheme="minorHAnsi"/>
            <w:i/>
            <w:iCs/>
          </w:rPr>
          <w:t>http://www.lawcom.gov.uk/app/uploads/2015/03/cp177_Murder_Manslaughter_and_Infanticide_consultation_overview_.pdf</w:t>
        </w:r>
      </w:hyperlink>
      <w:r w:rsidRPr="00503B5B">
        <w:rPr>
          <w:rFonts w:cstheme="minorHAnsi"/>
          <w:i/>
          <w:iCs/>
        </w:rPr>
        <w:t xml:space="preserve">  </w:t>
      </w:r>
      <w:r w:rsidRPr="00503B5B">
        <w:rPr>
          <w:rFonts w:cstheme="minorHAnsi"/>
        </w:rPr>
        <w:t>(Accessed: 21/10/21).</w:t>
      </w:r>
    </w:p>
    <w:p w14:paraId="51E8E40A" w14:textId="77777777" w:rsidR="00C70E3A" w:rsidRPr="00503B5B" w:rsidRDefault="00C70E3A">
      <w:pPr>
        <w:rPr>
          <w:rFonts w:cstheme="minorHAnsi"/>
        </w:rPr>
      </w:pPr>
      <w:r w:rsidRPr="00503B5B">
        <w:rPr>
          <w:rFonts w:cstheme="minorHAnsi"/>
        </w:rPr>
        <w:t xml:space="preserve">Travis, A (2016). </w:t>
      </w:r>
      <w:r w:rsidRPr="00503B5B">
        <w:rPr>
          <w:rFonts w:cstheme="minorHAnsi"/>
          <w:i/>
          <w:iCs/>
        </w:rPr>
        <w:t>Murder law will not be reformed, justice minister tells MPs.</w:t>
      </w:r>
      <w:r w:rsidRPr="00503B5B">
        <w:rPr>
          <w:rFonts w:cstheme="minorHAnsi"/>
        </w:rPr>
        <w:t xml:space="preserve">  The Guardian</w:t>
      </w:r>
      <w:r w:rsidRPr="00503B5B">
        <w:rPr>
          <w:rFonts w:cstheme="minorHAnsi"/>
          <w:i/>
          <w:iCs/>
        </w:rPr>
        <w:t xml:space="preserve"> </w:t>
      </w:r>
      <w:r w:rsidRPr="00503B5B">
        <w:rPr>
          <w:rFonts w:cstheme="minorHAnsi"/>
        </w:rPr>
        <w:t>[online]</w:t>
      </w:r>
      <w:r w:rsidRPr="00503B5B">
        <w:rPr>
          <w:rFonts w:cstheme="minorHAnsi"/>
          <w:i/>
          <w:iCs/>
        </w:rPr>
        <w:t xml:space="preserve"> </w:t>
      </w:r>
      <w:r w:rsidRPr="00503B5B">
        <w:rPr>
          <w:rFonts w:cstheme="minorHAnsi"/>
        </w:rPr>
        <w:t xml:space="preserve">Available at: </w:t>
      </w:r>
      <w:hyperlink r:id="rId9" w:history="1">
        <w:r w:rsidRPr="00503B5B">
          <w:rPr>
            <w:rStyle w:val="Hyperlink"/>
            <w:rFonts w:cstheme="minorHAnsi"/>
          </w:rPr>
          <w:t>https://www.theguardian.com/law/2016/sep/14/law-will-not-be-reformed-justice-minister-tells-mps</w:t>
        </w:r>
      </w:hyperlink>
      <w:r w:rsidRPr="00503B5B">
        <w:rPr>
          <w:rFonts w:cstheme="minorHAnsi"/>
        </w:rPr>
        <w:t xml:space="preserve"> (accessed: 24/10/21).</w:t>
      </w:r>
    </w:p>
    <w:p w14:paraId="3F14978C" w14:textId="77777777" w:rsidR="009D5898" w:rsidRPr="00424453" w:rsidRDefault="009D5898" w:rsidP="00C91FA3">
      <w:pPr>
        <w:pStyle w:val="NormalWeb"/>
        <w:rPr>
          <w:rFonts w:ascii="Calibri" w:hAnsi="Calibri" w:cs="Calibri"/>
          <w:color w:val="000000"/>
          <w:sz w:val="22"/>
          <w:szCs w:val="22"/>
        </w:rPr>
      </w:pPr>
    </w:p>
    <w:p w14:paraId="03109C28" w14:textId="77777777" w:rsidR="004F0392" w:rsidRPr="001C02F4" w:rsidRDefault="004F0392"/>
    <w:sectPr w:rsidR="004F0392" w:rsidRPr="001C02F4" w:rsidSect="008229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932"/>
    <w:rsid w:val="000000DB"/>
    <w:rsid w:val="00006C42"/>
    <w:rsid w:val="00007B09"/>
    <w:rsid w:val="000222AF"/>
    <w:rsid w:val="000354BF"/>
    <w:rsid w:val="0004551B"/>
    <w:rsid w:val="00066D4C"/>
    <w:rsid w:val="00071754"/>
    <w:rsid w:val="00082120"/>
    <w:rsid w:val="00082E37"/>
    <w:rsid w:val="000A79D3"/>
    <w:rsid w:val="000B0F62"/>
    <w:rsid w:val="000B5310"/>
    <w:rsid w:val="000B705C"/>
    <w:rsid w:val="000C34A1"/>
    <w:rsid w:val="000C7790"/>
    <w:rsid w:val="000D1E7E"/>
    <w:rsid w:val="000E494F"/>
    <w:rsid w:val="00110307"/>
    <w:rsid w:val="001113CC"/>
    <w:rsid w:val="001126F2"/>
    <w:rsid w:val="00113060"/>
    <w:rsid w:val="001232DC"/>
    <w:rsid w:val="00133DB7"/>
    <w:rsid w:val="00136357"/>
    <w:rsid w:val="001365F2"/>
    <w:rsid w:val="00136BCB"/>
    <w:rsid w:val="00142E11"/>
    <w:rsid w:val="0015198B"/>
    <w:rsid w:val="0016137E"/>
    <w:rsid w:val="00162890"/>
    <w:rsid w:val="00186756"/>
    <w:rsid w:val="0019519F"/>
    <w:rsid w:val="001A2A94"/>
    <w:rsid w:val="001B0533"/>
    <w:rsid w:val="001B08E3"/>
    <w:rsid w:val="001B0DE4"/>
    <w:rsid w:val="001B1E11"/>
    <w:rsid w:val="001B758F"/>
    <w:rsid w:val="001C02F4"/>
    <w:rsid w:val="001C367D"/>
    <w:rsid w:val="001C3B69"/>
    <w:rsid w:val="001D1328"/>
    <w:rsid w:val="001D36C5"/>
    <w:rsid w:val="001D5A30"/>
    <w:rsid w:val="001E2DDD"/>
    <w:rsid w:val="001E49C3"/>
    <w:rsid w:val="001F26E5"/>
    <w:rsid w:val="001F4093"/>
    <w:rsid w:val="00201D46"/>
    <w:rsid w:val="00214AC6"/>
    <w:rsid w:val="002229EF"/>
    <w:rsid w:val="00246426"/>
    <w:rsid w:val="00250FC9"/>
    <w:rsid w:val="002521C8"/>
    <w:rsid w:val="002827CE"/>
    <w:rsid w:val="00283E43"/>
    <w:rsid w:val="002874B1"/>
    <w:rsid w:val="002908E1"/>
    <w:rsid w:val="002947F8"/>
    <w:rsid w:val="00294E24"/>
    <w:rsid w:val="002960A0"/>
    <w:rsid w:val="0029647E"/>
    <w:rsid w:val="002A5EA3"/>
    <w:rsid w:val="002B104D"/>
    <w:rsid w:val="002B3F6B"/>
    <w:rsid w:val="002B6818"/>
    <w:rsid w:val="002D0635"/>
    <w:rsid w:val="002D4E80"/>
    <w:rsid w:val="002E293B"/>
    <w:rsid w:val="002E41DB"/>
    <w:rsid w:val="002E5F85"/>
    <w:rsid w:val="002F172A"/>
    <w:rsid w:val="0030004F"/>
    <w:rsid w:val="00306B00"/>
    <w:rsid w:val="00307CB6"/>
    <w:rsid w:val="0031522E"/>
    <w:rsid w:val="00331B2D"/>
    <w:rsid w:val="00332C78"/>
    <w:rsid w:val="00333B6F"/>
    <w:rsid w:val="00336045"/>
    <w:rsid w:val="00365527"/>
    <w:rsid w:val="00372801"/>
    <w:rsid w:val="00384CA4"/>
    <w:rsid w:val="0039798E"/>
    <w:rsid w:val="003A12F6"/>
    <w:rsid w:val="003B0262"/>
    <w:rsid w:val="003C0059"/>
    <w:rsid w:val="003C31F5"/>
    <w:rsid w:val="003C6066"/>
    <w:rsid w:val="003D0D47"/>
    <w:rsid w:val="003D2160"/>
    <w:rsid w:val="003D44B0"/>
    <w:rsid w:val="003D4AF8"/>
    <w:rsid w:val="003D7287"/>
    <w:rsid w:val="003E3D92"/>
    <w:rsid w:val="0041357E"/>
    <w:rsid w:val="00413A95"/>
    <w:rsid w:val="0041471B"/>
    <w:rsid w:val="00414F32"/>
    <w:rsid w:val="0041793A"/>
    <w:rsid w:val="0042033C"/>
    <w:rsid w:val="00424453"/>
    <w:rsid w:val="0042562B"/>
    <w:rsid w:val="00436FFD"/>
    <w:rsid w:val="00455337"/>
    <w:rsid w:val="00456611"/>
    <w:rsid w:val="004566AD"/>
    <w:rsid w:val="00461D67"/>
    <w:rsid w:val="004635F7"/>
    <w:rsid w:val="00465BE7"/>
    <w:rsid w:val="004678F0"/>
    <w:rsid w:val="0048061B"/>
    <w:rsid w:val="00485530"/>
    <w:rsid w:val="004A1CEB"/>
    <w:rsid w:val="004B0587"/>
    <w:rsid w:val="004B1B79"/>
    <w:rsid w:val="004C284A"/>
    <w:rsid w:val="004C66F4"/>
    <w:rsid w:val="004C7840"/>
    <w:rsid w:val="004D35DF"/>
    <w:rsid w:val="004D5886"/>
    <w:rsid w:val="004E1917"/>
    <w:rsid w:val="004E1B0D"/>
    <w:rsid w:val="004E4AF0"/>
    <w:rsid w:val="004E526A"/>
    <w:rsid w:val="004F0392"/>
    <w:rsid w:val="004F4DCB"/>
    <w:rsid w:val="004F4F5F"/>
    <w:rsid w:val="004F74B5"/>
    <w:rsid w:val="00501363"/>
    <w:rsid w:val="00503B5B"/>
    <w:rsid w:val="0051507B"/>
    <w:rsid w:val="00520A63"/>
    <w:rsid w:val="00522641"/>
    <w:rsid w:val="005324D1"/>
    <w:rsid w:val="005351F6"/>
    <w:rsid w:val="005409A4"/>
    <w:rsid w:val="0056574C"/>
    <w:rsid w:val="00574706"/>
    <w:rsid w:val="00580FC2"/>
    <w:rsid w:val="00582493"/>
    <w:rsid w:val="00592E60"/>
    <w:rsid w:val="00594874"/>
    <w:rsid w:val="005A7C92"/>
    <w:rsid w:val="005B0B16"/>
    <w:rsid w:val="005C12C7"/>
    <w:rsid w:val="005D052B"/>
    <w:rsid w:val="005E0DDA"/>
    <w:rsid w:val="005E5385"/>
    <w:rsid w:val="005F334F"/>
    <w:rsid w:val="005F5133"/>
    <w:rsid w:val="005F7E41"/>
    <w:rsid w:val="00603950"/>
    <w:rsid w:val="006431D5"/>
    <w:rsid w:val="0064321E"/>
    <w:rsid w:val="00643E5E"/>
    <w:rsid w:val="00654EEE"/>
    <w:rsid w:val="00656070"/>
    <w:rsid w:val="00666582"/>
    <w:rsid w:val="0067637D"/>
    <w:rsid w:val="00676A14"/>
    <w:rsid w:val="00683F39"/>
    <w:rsid w:val="006917DD"/>
    <w:rsid w:val="006953F6"/>
    <w:rsid w:val="006A554B"/>
    <w:rsid w:val="006B581E"/>
    <w:rsid w:val="006C0757"/>
    <w:rsid w:val="006C16F0"/>
    <w:rsid w:val="006D2A2E"/>
    <w:rsid w:val="006E2CF0"/>
    <w:rsid w:val="006E36DF"/>
    <w:rsid w:val="006F15D6"/>
    <w:rsid w:val="006F4805"/>
    <w:rsid w:val="007012F8"/>
    <w:rsid w:val="00701FFB"/>
    <w:rsid w:val="00704D5E"/>
    <w:rsid w:val="007132FF"/>
    <w:rsid w:val="00713482"/>
    <w:rsid w:val="00721ADA"/>
    <w:rsid w:val="007259F8"/>
    <w:rsid w:val="007324D1"/>
    <w:rsid w:val="00740A7E"/>
    <w:rsid w:val="00740F4F"/>
    <w:rsid w:val="007470A8"/>
    <w:rsid w:val="007477C3"/>
    <w:rsid w:val="007539B0"/>
    <w:rsid w:val="00761BF9"/>
    <w:rsid w:val="00763FA0"/>
    <w:rsid w:val="00764D49"/>
    <w:rsid w:val="00766A3A"/>
    <w:rsid w:val="00772755"/>
    <w:rsid w:val="00783EAD"/>
    <w:rsid w:val="00784267"/>
    <w:rsid w:val="007A1F1D"/>
    <w:rsid w:val="007A21D3"/>
    <w:rsid w:val="007A28B5"/>
    <w:rsid w:val="007A6B13"/>
    <w:rsid w:val="007B31B1"/>
    <w:rsid w:val="007C4007"/>
    <w:rsid w:val="007D3918"/>
    <w:rsid w:val="007D479C"/>
    <w:rsid w:val="007E3AFE"/>
    <w:rsid w:val="007F24A8"/>
    <w:rsid w:val="008021CA"/>
    <w:rsid w:val="008078D7"/>
    <w:rsid w:val="0081539E"/>
    <w:rsid w:val="00820848"/>
    <w:rsid w:val="00822932"/>
    <w:rsid w:val="0082407D"/>
    <w:rsid w:val="00842B87"/>
    <w:rsid w:val="00845C4E"/>
    <w:rsid w:val="00851D1D"/>
    <w:rsid w:val="00852D3E"/>
    <w:rsid w:val="00854438"/>
    <w:rsid w:val="008619EB"/>
    <w:rsid w:val="00867871"/>
    <w:rsid w:val="00867C12"/>
    <w:rsid w:val="008928B2"/>
    <w:rsid w:val="00896C95"/>
    <w:rsid w:val="00896F4C"/>
    <w:rsid w:val="008A1739"/>
    <w:rsid w:val="008A368B"/>
    <w:rsid w:val="008A6B16"/>
    <w:rsid w:val="008A7C17"/>
    <w:rsid w:val="008B0F35"/>
    <w:rsid w:val="008B4E9A"/>
    <w:rsid w:val="008C2B2F"/>
    <w:rsid w:val="008C434D"/>
    <w:rsid w:val="008C77F4"/>
    <w:rsid w:val="008D008B"/>
    <w:rsid w:val="008D2DBE"/>
    <w:rsid w:val="008D7B01"/>
    <w:rsid w:val="008E2069"/>
    <w:rsid w:val="008F753E"/>
    <w:rsid w:val="009020EC"/>
    <w:rsid w:val="00902C28"/>
    <w:rsid w:val="009066DF"/>
    <w:rsid w:val="00926ECC"/>
    <w:rsid w:val="00931425"/>
    <w:rsid w:val="009326BE"/>
    <w:rsid w:val="0093606D"/>
    <w:rsid w:val="00946CB8"/>
    <w:rsid w:val="00950918"/>
    <w:rsid w:val="00960295"/>
    <w:rsid w:val="009620FB"/>
    <w:rsid w:val="00962A12"/>
    <w:rsid w:val="009631BF"/>
    <w:rsid w:val="00964B68"/>
    <w:rsid w:val="00973F0B"/>
    <w:rsid w:val="00983F45"/>
    <w:rsid w:val="009872EE"/>
    <w:rsid w:val="00991D0F"/>
    <w:rsid w:val="0099666F"/>
    <w:rsid w:val="00996B6B"/>
    <w:rsid w:val="009A737F"/>
    <w:rsid w:val="009B2488"/>
    <w:rsid w:val="009B5E10"/>
    <w:rsid w:val="009D0FD2"/>
    <w:rsid w:val="009D5898"/>
    <w:rsid w:val="009E1F79"/>
    <w:rsid w:val="009E236E"/>
    <w:rsid w:val="009F71C7"/>
    <w:rsid w:val="00A11574"/>
    <w:rsid w:val="00A131A6"/>
    <w:rsid w:val="00A17D4C"/>
    <w:rsid w:val="00A234DC"/>
    <w:rsid w:val="00A31218"/>
    <w:rsid w:val="00A37510"/>
    <w:rsid w:val="00A502A5"/>
    <w:rsid w:val="00A57557"/>
    <w:rsid w:val="00A57B7A"/>
    <w:rsid w:val="00A6386C"/>
    <w:rsid w:val="00A73042"/>
    <w:rsid w:val="00A77013"/>
    <w:rsid w:val="00A837A3"/>
    <w:rsid w:val="00A83E1B"/>
    <w:rsid w:val="00A84100"/>
    <w:rsid w:val="00AB3491"/>
    <w:rsid w:val="00AC0205"/>
    <w:rsid w:val="00AF1C45"/>
    <w:rsid w:val="00B10AB7"/>
    <w:rsid w:val="00B11268"/>
    <w:rsid w:val="00B12E68"/>
    <w:rsid w:val="00B322AD"/>
    <w:rsid w:val="00B472F5"/>
    <w:rsid w:val="00B57189"/>
    <w:rsid w:val="00B6120B"/>
    <w:rsid w:val="00B62D45"/>
    <w:rsid w:val="00B725DC"/>
    <w:rsid w:val="00B76607"/>
    <w:rsid w:val="00B7718E"/>
    <w:rsid w:val="00B85067"/>
    <w:rsid w:val="00B8604A"/>
    <w:rsid w:val="00B930AC"/>
    <w:rsid w:val="00B963B0"/>
    <w:rsid w:val="00BA62C7"/>
    <w:rsid w:val="00BA72C7"/>
    <w:rsid w:val="00BA79A2"/>
    <w:rsid w:val="00BC2F58"/>
    <w:rsid w:val="00BC4814"/>
    <w:rsid w:val="00BD0833"/>
    <w:rsid w:val="00BD247D"/>
    <w:rsid w:val="00BE0D35"/>
    <w:rsid w:val="00BE6AD7"/>
    <w:rsid w:val="00BF1528"/>
    <w:rsid w:val="00C00521"/>
    <w:rsid w:val="00C0082F"/>
    <w:rsid w:val="00C05ED5"/>
    <w:rsid w:val="00C07F1C"/>
    <w:rsid w:val="00C14943"/>
    <w:rsid w:val="00C20863"/>
    <w:rsid w:val="00C21749"/>
    <w:rsid w:val="00C21A43"/>
    <w:rsid w:val="00C21EBF"/>
    <w:rsid w:val="00C23D06"/>
    <w:rsid w:val="00C32CF1"/>
    <w:rsid w:val="00C378D6"/>
    <w:rsid w:val="00C529C4"/>
    <w:rsid w:val="00C5320F"/>
    <w:rsid w:val="00C568E3"/>
    <w:rsid w:val="00C57164"/>
    <w:rsid w:val="00C64D92"/>
    <w:rsid w:val="00C70E3A"/>
    <w:rsid w:val="00C72848"/>
    <w:rsid w:val="00C73551"/>
    <w:rsid w:val="00C77082"/>
    <w:rsid w:val="00C802FC"/>
    <w:rsid w:val="00C851DF"/>
    <w:rsid w:val="00C912BD"/>
    <w:rsid w:val="00C91FA3"/>
    <w:rsid w:val="00C9566C"/>
    <w:rsid w:val="00C95E60"/>
    <w:rsid w:val="00C960A9"/>
    <w:rsid w:val="00C97710"/>
    <w:rsid w:val="00CA0D37"/>
    <w:rsid w:val="00CA7977"/>
    <w:rsid w:val="00CB3668"/>
    <w:rsid w:val="00CD1F13"/>
    <w:rsid w:val="00CD4ADF"/>
    <w:rsid w:val="00CD597E"/>
    <w:rsid w:val="00CE1CF2"/>
    <w:rsid w:val="00CE6FFC"/>
    <w:rsid w:val="00CF382E"/>
    <w:rsid w:val="00CF4BAA"/>
    <w:rsid w:val="00D02AEB"/>
    <w:rsid w:val="00D17744"/>
    <w:rsid w:val="00D25C03"/>
    <w:rsid w:val="00D26371"/>
    <w:rsid w:val="00D35975"/>
    <w:rsid w:val="00D50086"/>
    <w:rsid w:val="00D5172D"/>
    <w:rsid w:val="00D60162"/>
    <w:rsid w:val="00D70062"/>
    <w:rsid w:val="00D75431"/>
    <w:rsid w:val="00D757BC"/>
    <w:rsid w:val="00D7765D"/>
    <w:rsid w:val="00D82D89"/>
    <w:rsid w:val="00D87150"/>
    <w:rsid w:val="00D9456E"/>
    <w:rsid w:val="00DA3DEC"/>
    <w:rsid w:val="00DA4964"/>
    <w:rsid w:val="00DA67DC"/>
    <w:rsid w:val="00DA7D7F"/>
    <w:rsid w:val="00DC273B"/>
    <w:rsid w:val="00DD0FA0"/>
    <w:rsid w:val="00DD1861"/>
    <w:rsid w:val="00DD6C63"/>
    <w:rsid w:val="00DE6650"/>
    <w:rsid w:val="00DE7709"/>
    <w:rsid w:val="00DF4A3E"/>
    <w:rsid w:val="00E02C55"/>
    <w:rsid w:val="00E070C3"/>
    <w:rsid w:val="00E16CF6"/>
    <w:rsid w:val="00E20F7B"/>
    <w:rsid w:val="00E269F1"/>
    <w:rsid w:val="00E30B02"/>
    <w:rsid w:val="00E417FC"/>
    <w:rsid w:val="00E6066D"/>
    <w:rsid w:val="00E626B1"/>
    <w:rsid w:val="00E71295"/>
    <w:rsid w:val="00E73582"/>
    <w:rsid w:val="00E92CF1"/>
    <w:rsid w:val="00E9592E"/>
    <w:rsid w:val="00ED3FEC"/>
    <w:rsid w:val="00ED745C"/>
    <w:rsid w:val="00F0068F"/>
    <w:rsid w:val="00F11CD9"/>
    <w:rsid w:val="00F1514C"/>
    <w:rsid w:val="00F20A4E"/>
    <w:rsid w:val="00F2535C"/>
    <w:rsid w:val="00F31231"/>
    <w:rsid w:val="00F40B43"/>
    <w:rsid w:val="00F46B9A"/>
    <w:rsid w:val="00F47B8F"/>
    <w:rsid w:val="00F52EC6"/>
    <w:rsid w:val="00F60614"/>
    <w:rsid w:val="00F63670"/>
    <w:rsid w:val="00F63928"/>
    <w:rsid w:val="00F80155"/>
    <w:rsid w:val="00FA1097"/>
    <w:rsid w:val="00FB4A02"/>
    <w:rsid w:val="00FC18B8"/>
    <w:rsid w:val="00FC72BE"/>
    <w:rsid w:val="00FC72F9"/>
    <w:rsid w:val="00FE144F"/>
    <w:rsid w:val="00FF4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ADA4F"/>
  <w15:chartTrackingRefBased/>
  <w15:docId w15:val="{B4B77767-8AA1-418B-8902-2A36401F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29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2932"/>
    <w:rPr>
      <w:rFonts w:eastAsiaTheme="minorEastAsia"/>
      <w:lang w:val="en-US"/>
    </w:rPr>
  </w:style>
  <w:style w:type="character" w:styleId="Hyperlink">
    <w:name w:val="Hyperlink"/>
    <w:basedOn w:val="DefaultParagraphFont"/>
    <w:uiPriority w:val="99"/>
    <w:unhideWhenUsed/>
    <w:rsid w:val="00186756"/>
    <w:rPr>
      <w:color w:val="0563C1" w:themeColor="hyperlink"/>
      <w:u w:val="single"/>
    </w:rPr>
  </w:style>
  <w:style w:type="character" w:styleId="UnresolvedMention">
    <w:name w:val="Unresolved Mention"/>
    <w:basedOn w:val="DefaultParagraphFont"/>
    <w:uiPriority w:val="99"/>
    <w:semiHidden/>
    <w:unhideWhenUsed/>
    <w:rsid w:val="00186756"/>
    <w:rPr>
      <w:color w:val="605E5C"/>
      <w:shd w:val="clear" w:color="auto" w:fill="E1DFDD"/>
    </w:rPr>
  </w:style>
  <w:style w:type="paragraph" w:styleId="NormalWeb">
    <w:name w:val="Normal (Web)"/>
    <w:basedOn w:val="Normal"/>
    <w:uiPriority w:val="99"/>
    <w:semiHidden/>
    <w:unhideWhenUsed/>
    <w:rsid w:val="00C91F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E36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957465">
      <w:bodyDiv w:val="1"/>
      <w:marLeft w:val="0"/>
      <w:marRight w:val="0"/>
      <w:marTop w:val="0"/>
      <w:marBottom w:val="0"/>
      <w:divBdr>
        <w:top w:val="none" w:sz="0" w:space="0" w:color="auto"/>
        <w:left w:val="none" w:sz="0" w:space="0" w:color="auto"/>
        <w:bottom w:val="none" w:sz="0" w:space="0" w:color="auto"/>
        <w:right w:val="none" w:sz="0" w:space="0" w:color="auto"/>
      </w:divBdr>
    </w:div>
    <w:div w:id="1129669129">
      <w:bodyDiv w:val="1"/>
      <w:marLeft w:val="0"/>
      <w:marRight w:val="0"/>
      <w:marTop w:val="0"/>
      <w:marBottom w:val="0"/>
      <w:divBdr>
        <w:top w:val="none" w:sz="0" w:space="0" w:color="auto"/>
        <w:left w:val="none" w:sz="0" w:space="0" w:color="auto"/>
        <w:bottom w:val="none" w:sz="0" w:space="0" w:color="auto"/>
        <w:right w:val="none" w:sz="0" w:space="0" w:color="auto"/>
      </w:divBdr>
    </w:div>
    <w:div w:id="122529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com.gov.uk/app/uploads/2015/03/cp177_Murder_Manslaughter_and_Infanticide_consultation_overview_.pdf" TargetMode="External"/><Relationship Id="rId3" Type="http://schemas.openxmlformats.org/officeDocument/2006/relationships/webSettings" Target="webSettings.xml"/><Relationship Id="rId7" Type="http://schemas.openxmlformats.org/officeDocument/2006/relationships/hyperlink" Target="https://justice.org.uk/homicide-law-refor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43862353" TargetMode="External"/><Relationship Id="rId11" Type="http://schemas.openxmlformats.org/officeDocument/2006/relationships/theme" Target="theme/theme1.xml"/><Relationship Id="rId5" Type="http://schemas.openxmlformats.org/officeDocument/2006/relationships/hyperlink" Target="https://pearl.plymouth.ac.uk/handle/10026.1/9017" TargetMode="External"/><Relationship Id="rId10" Type="http://schemas.openxmlformats.org/officeDocument/2006/relationships/fontTable" Target="fontTable.xml"/><Relationship Id="rId4" Type="http://schemas.openxmlformats.org/officeDocument/2006/relationships/hyperlink" Target="https://researchbriefings.files.parliament.uk/documents/CDP-2016-0094/CDP-2016-0094.pdf" TargetMode="External"/><Relationship Id="rId9" Type="http://schemas.openxmlformats.org/officeDocument/2006/relationships/hyperlink" Target="https://www.theguardian.com/law/2016/sep/14/law-will-not-be-reformed-justice-minister-tells-m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TotalTime>
  <Pages>5</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subject>Assignment 1</dc:subject>
  <dc:creator>Jamie Parry</dc:creator>
  <cp:keywords/>
  <dc:description/>
  <cp:lastModifiedBy>Jamie Parry</cp:lastModifiedBy>
  <cp:revision>397</cp:revision>
  <dcterms:created xsi:type="dcterms:W3CDTF">2021-10-19T15:58:00Z</dcterms:created>
  <dcterms:modified xsi:type="dcterms:W3CDTF">2021-11-04T17:44:00Z</dcterms:modified>
</cp:coreProperties>
</file>