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0EF4A7F9"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F114B1">
        <w:rPr>
          <w:rFonts w:ascii="Arial" w:hAnsi="Arial" w:cs="Arial"/>
          <w:sz w:val="28"/>
          <w:szCs w:val="28"/>
          <w:lang w:val="nl-NL"/>
        </w:rPr>
        <w:t xml:space="preserve"> Alicia Loy Williams</w:t>
      </w:r>
    </w:p>
    <w:p w14:paraId="18D88AE2" w14:textId="7079BD81"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F114B1">
        <w:rPr>
          <w:rFonts w:ascii="Arial" w:hAnsi="Arial" w:cs="Arial"/>
          <w:sz w:val="28"/>
          <w:szCs w:val="28"/>
          <w:lang w:val="nl-NL"/>
        </w:rPr>
        <w:t xml:space="preserve"> </w:t>
      </w:r>
      <w:r w:rsidR="00F114B1" w:rsidRPr="00F114B1">
        <w:rPr>
          <w:rFonts w:ascii="Arial" w:hAnsi="Arial" w:cs="Arial"/>
          <w:sz w:val="28"/>
          <w:szCs w:val="28"/>
          <w:lang w:val="nl-NL"/>
        </w:rPr>
        <w:t>435009</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478E7EE"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F114B1">
        <w:rPr>
          <w:rFonts w:ascii="Arial" w:hAnsi="Arial" w:cs="Arial"/>
          <w:sz w:val="28"/>
          <w:szCs w:val="28"/>
        </w:rPr>
        <w:t xml:space="preserve"> Lou Wells</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Default="00B21FE6" w:rsidP="00594FAC">
      <w:pPr>
        <w:spacing w:line="360" w:lineRule="auto"/>
        <w:rPr>
          <w:rFonts w:ascii="Arial" w:hAnsi="Arial" w:cs="Arial"/>
          <w:b/>
          <w:bCs/>
        </w:rPr>
      </w:pPr>
      <w:r w:rsidRPr="00594FAC">
        <w:rPr>
          <w:rFonts w:ascii="Arial" w:hAnsi="Arial" w:cs="Arial"/>
          <w:b/>
          <w:bCs/>
        </w:rPr>
        <w:lastRenderedPageBreak/>
        <w:t>Table of contents</w:t>
      </w:r>
    </w:p>
    <w:sdt>
      <w:sdtPr>
        <w:id w:val="904491257"/>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20256D2E" w14:textId="5545C9D8" w:rsidR="00E34CCF" w:rsidRDefault="00E34CCF">
          <w:pPr>
            <w:pStyle w:val="TOCHeading"/>
          </w:pPr>
          <w:r>
            <w:t>Contents</w:t>
          </w:r>
        </w:p>
        <w:p w14:paraId="23FB0B18" w14:textId="030E5A27" w:rsidR="0035582C" w:rsidRDefault="00E34CCF">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5867437" w:history="1">
            <w:r w:rsidR="0035582C" w:rsidRPr="009523D0">
              <w:rPr>
                <w:rStyle w:val="Hyperlink"/>
                <w:noProof/>
              </w:rPr>
              <w:t>Task 1: Reflection on the Importance of the Principles of Health and Social Care</w:t>
            </w:r>
            <w:r w:rsidR="0035582C">
              <w:rPr>
                <w:noProof/>
                <w:webHidden/>
              </w:rPr>
              <w:tab/>
            </w:r>
            <w:r w:rsidR="0035582C">
              <w:rPr>
                <w:noProof/>
                <w:webHidden/>
              </w:rPr>
              <w:fldChar w:fldCharType="begin"/>
            </w:r>
            <w:r w:rsidR="0035582C">
              <w:rPr>
                <w:noProof/>
                <w:webHidden/>
              </w:rPr>
              <w:instrText xml:space="preserve"> PAGEREF _Toc235867437 \h </w:instrText>
            </w:r>
            <w:r w:rsidR="0035582C">
              <w:rPr>
                <w:noProof/>
                <w:webHidden/>
              </w:rPr>
            </w:r>
            <w:r w:rsidR="0035582C">
              <w:rPr>
                <w:noProof/>
                <w:webHidden/>
              </w:rPr>
              <w:fldChar w:fldCharType="separate"/>
            </w:r>
            <w:r w:rsidR="0035582C">
              <w:rPr>
                <w:noProof/>
                <w:webHidden/>
              </w:rPr>
              <w:t>3</w:t>
            </w:r>
            <w:r w:rsidR="0035582C">
              <w:rPr>
                <w:noProof/>
                <w:webHidden/>
              </w:rPr>
              <w:fldChar w:fldCharType="end"/>
            </w:r>
          </w:hyperlink>
        </w:p>
        <w:p w14:paraId="70E5536F" w14:textId="58657BA8" w:rsidR="0035582C" w:rsidRDefault="0035582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5867438" w:history="1">
            <w:r w:rsidRPr="009523D0">
              <w:rPr>
                <w:rStyle w:val="Hyperlink"/>
                <w:b/>
                <w:bCs/>
                <w:noProof/>
              </w:rPr>
              <w:t>Task 2: Practical Examples of Concepts in Practice</w:t>
            </w:r>
            <w:r>
              <w:rPr>
                <w:noProof/>
                <w:webHidden/>
              </w:rPr>
              <w:tab/>
            </w:r>
            <w:r>
              <w:rPr>
                <w:noProof/>
                <w:webHidden/>
              </w:rPr>
              <w:fldChar w:fldCharType="begin"/>
            </w:r>
            <w:r>
              <w:rPr>
                <w:noProof/>
                <w:webHidden/>
              </w:rPr>
              <w:instrText xml:space="preserve"> PAGEREF _Toc235867438 \h </w:instrText>
            </w:r>
            <w:r>
              <w:rPr>
                <w:noProof/>
                <w:webHidden/>
              </w:rPr>
            </w:r>
            <w:r>
              <w:rPr>
                <w:noProof/>
                <w:webHidden/>
              </w:rPr>
              <w:fldChar w:fldCharType="separate"/>
            </w:r>
            <w:r>
              <w:rPr>
                <w:noProof/>
                <w:webHidden/>
              </w:rPr>
              <w:t>4</w:t>
            </w:r>
            <w:r>
              <w:rPr>
                <w:noProof/>
                <w:webHidden/>
              </w:rPr>
              <w:fldChar w:fldCharType="end"/>
            </w:r>
          </w:hyperlink>
        </w:p>
        <w:p w14:paraId="28BEC09D" w14:textId="348A4741" w:rsidR="0035582C" w:rsidRDefault="0035582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5867439" w:history="1">
            <w:r w:rsidRPr="009523D0">
              <w:rPr>
                <w:rStyle w:val="Hyperlink"/>
                <w:b/>
                <w:bCs/>
                <w:noProof/>
              </w:rPr>
              <w:t>Task 3</w:t>
            </w:r>
            <w:r>
              <w:rPr>
                <w:noProof/>
                <w:webHidden/>
              </w:rPr>
              <w:tab/>
            </w:r>
            <w:r>
              <w:rPr>
                <w:noProof/>
                <w:webHidden/>
              </w:rPr>
              <w:fldChar w:fldCharType="begin"/>
            </w:r>
            <w:r>
              <w:rPr>
                <w:noProof/>
                <w:webHidden/>
              </w:rPr>
              <w:instrText xml:space="preserve"> PAGEREF _Toc235867439 \h </w:instrText>
            </w:r>
            <w:r>
              <w:rPr>
                <w:noProof/>
                <w:webHidden/>
              </w:rPr>
            </w:r>
            <w:r>
              <w:rPr>
                <w:noProof/>
                <w:webHidden/>
              </w:rPr>
              <w:fldChar w:fldCharType="separate"/>
            </w:r>
            <w:r>
              <w:rPr>
                <w:noProof/>
                <w:webHidden/>
              </w:rPr>
              <w:t>6</w:t>
            </w:r>
            <w:r>
              <w:rPr>
                <w:noProof/>
                <w:webHidden/>
              </w:rPr>
              <w:fldChar w:fldCharType="end"/>
            </w:r>
          </w:hyperlink>
        </w:p>
        <w:p w14:paraId="38F0011B" w14:textId="1C5DD1F4"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0" w:history="1">
            <w:r w:rsidRPr="009523D0">
              <w:rPr>
                <w:rStyle w:val="Hyperlink"/>
                <w:b/>
                <w:bCs/>
                <w:noProof/>
              </w:rPr>
              <w:t>Description</w:t>
            </w:r>
            <w:r>
              <w:rPr>
                <w:noProof/>
                <w:webHidden/>
              </w:rPr>
              <w:tab/>
            </w:r>
            <w:r>
              <w:rPr>
                <w:noProof/>
                <w:webHidden/>
              </w:rPr>
              <w:fldChar w:fldCharType="begin"/>
            </w:r>
            <w:r>
              <w:rPr>
                <w:noProof/>
                <w:webHidden/>
              </w:rPr>
              <w:instrText xml:space="preserve"> PAGEREF _Toc235867440 \h </w:instrText>
            </w:r>
            <w:r>
              <w:rPr>
                <w:noProof/>
                <w:webHidden/>
              </w:rPr>
            </w:r>
            <w:r>
              <w:rPr>
                <w:noProof/>
                <w:webHidden/>
              </w:rPr>
              <w:fldChar w:fldCharType="separate"/>
            </w:r>
            <w:r>
              <w:rPr>
                <w:noProof/>
                <w:webHidden/>
              </w:rPr>
              <w:t>6</w:t>
            </w:r>
            <w:r>
              <w:rPr>
                <w:noProof/>
                <w:webHidden/>
              </w:rPr>
              <w:fldChar w:fldCharType="end"/>
            </w:r>
          </w:hyperlink>
        </w:p>
        <w:p w14:paraId="6A6739E1" w14:textId="4677C161"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1" w:history="1">
            <w:r w:rsidRPr="009523D0">
              <w:rPr>
                <w:rStyle w:val="Hyperlink"/>
                <w:b/>
                <w:bCs/>
                <w:noProof/>
              </w:rPr>
              <w:t>Feelings</w:t>
            </w:r>
            <w:r>
              <w:rPr>
                <w:noProof/>
                <w:webHidden/>
              </w:rPr>
              <w:tab/>
            </w:r>
            <w:r>
              <w:rPr>
                <w:noProof/>
                <w:webHidden/>
              </w:rPr>
              <w:fldChar w:fldCharType="begin"/>
            </w:r>
            <w:r>
              <w:rPr>
                <w:noProof/>
                <w:webHidden/>
              </w:rPr>
              <w:instrText xml:space="preserve"> PAGEREF _Toc235867441 \h </w:instrText>
            </w:r>
            <w:r>
              <w:rPr>
                <w:noProof/>
                <w:webHidden/>
              </w:rPr>
            </w:r>
            <w:r>
              <w:rPr>
                <w:noProof/>
                <w:webHidden/>
              </w:rPr>
              <w:fldChar w:fldCharType="separate"/>
            </w:r>
            <w:r>
              <w:rPr>
                <w:noProof/>
                <w:webHidden/>
              </w:rPr>
              <w:t>7</w:t>
            </w:r>
            <w:r>
              <w:rPr>
                <w:noProof/>
                <w:webHidden/>
              </w:rPr>
              <w:fldChar w:fldCharType="end"/>
            </w:r>
          </w:hyperlink>
        </w:p>
        <w:p w14:paraId="15245B1C" w14:textId="3EBFED64"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2" w:history="1">
            <w:r w:rsidRPr="009523D0">
              <w:rPr>
                <w:rStyle w:val="Hyperlink"/>
                <w:b/>
                <w:bCs/>
                <w:noProof/>
              </w:rPr>
              <w:t>Evaluation</w:t>
            </w:r>
            <w:r>
              <w:rPr>
                <w:noProof/>
                <w:webHidden/>
              </w:rPr>
              <w:tab/>
            </w:r>
            <w:r>
              <w:rPr>
                <w:noProof/>
                <w:webHidden/>
              </w:rPr>
              <w:fldChar w:fldCharType="begin"/>
            </w:r>
            <w:r>
              <w:rPr>
                <w:noProof/>
                <w:webHidden/>
              </w:rPr>
              <w:instrText xml:space="preserve"> PAGEREF _Toc235867442 \h </w:instrText>
            </w:r>
            <w:r>
              <w:rPr>
                <w:noProof/>
                <w:webHidden/>
              </w:rPr>
            </w:r>
            <w:r>
              <w:rPr>
                <w:noProof/>
                <w:webHidden/>
              </w:rPr>
              <w:fldChar w:fldCharType="separate"/>
            </w:r>
            <w:r>
              <w:rPr>
                <w:noProof/>
                <w:webHidden/>
              </w:rPr>
              <w:t>7</w:t>
            </w:r>
            <w:r>
              <w:rPr>
                <w:noProof/>
                <w:webHidden/>
              </w:rPr>
              <w:fldChar w:fldCharType="end"/>
            </w:r>
          </w:hyperlink>
        </w:p>
        <w:p w14:paraId="2EC80A01" w14:textId="5D762F1F"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3" w:history="1">
            <w:r w:rsidRPr="009523D0">
              <w:rPr>
                <w:rStyle w:val="Hyperlink"/>
                <w:b/>
                <w:bCs/>
                <w:noProof/>
              </w:rPr>
              <w:t>Analysis</w:t>
            </w:r>
            <w:r>
              <w:rPr>
                <w:noProof/>
                <w:webHidden/>
              </w:rPr>
              <w:tab/>
            </w:r>
            <w:r>
              <w:rPr>
                <w:noProof/>
                <w:webHidden/>
              </w:rPr>
              <w:fldChar w:fldCharType="begin"/>
            </w:r>
            <w:r>
              <w:rPr>
                <w:noProof/>
                <w:webHidden/>
              </w:rPr>
              <w:instrText xml:space="preserve"> PAGEREF _Toc235867443 \h </w:instrText>
            </w:r>
            <w:r>
              <w:rPr>
                <w:noProof/>
                <w:webHidden/>
              </w:rPr>
            </w:r>
            <w:r>
              <w:rPr>
                <w:noProof/>
                <w:webHidden/>
              </w:rPr>
              <w:fldChar w:fldCharType="separate"/>
            </w:r>
            <w:r>
              <w:rPr>
                <w:noProof/>
                <w:webHidden/>
              </w:rPr>
              <w:t>8</w:t>
            </w:r>
            <w:r>
              <w:rPr>
                <w:noProof/>
                <w:webHidden/>
              </w:rPr>
              <w:fldChar w:fldCharType="end"/>
            </w:r>
          </w:hyperlink>
        </w:p>
        <w:p w14:paraId="4B34911E" w14:textId="404A5882"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4" w:history="1">
            <w:r w:rsidRPr="009523D0">
              <w:rPr>
                <w:rStyle w:val="Hyperlink"/>
                <w:b/>
                <w:bCs/>
                <w:noProof/>
              </w:rPr>
              <w:t>Conclusion</w:t>
            </w:r>
            <w:r>
              <w:rPr>
                <w:noProof/>
                <w:webHidden/>
              </w:rPr>
              <w:tab/>
            </w:r>
            <w:r>
              <w:rPr>
                <w:noProof/>
                <w:webHidden/>
              </w:rPr>
              <w:fldChar w:fldCharType="begin"/>
            </w:r>
            <w:r>
              <w:rPr>
                <w:noProof/>
                <w:webHidden/>
              </w:rPr>
              <w:instrText xml:space="preserve"> PAGEREF _Toc235867444 \h </w:instrText>
            </w:r>
            <w:r>
              <w:rPr>
                <w:noProof/>
                <w:webHidden/>
              </w:rPr>
            </w:r>
            <w:r>
              <w:rPr>
                <w:noProof/>
                <w:webHidden/>
              </w:rPr>
              <w:fldChar w:fldCharType="separate"/>
            </w:r>
            <w:r>
              <w:rPr>
                <w:noProof/>
                <w:webHidden/>
              </w:rPr>
              <w:t>10</w:t>
            </w:r>
            <w:r>
              <w:rPr>
                <w:noProof/>
                <w:webHidden/>
              </w:rPr>
              <w:fldChar w:fldCharType="end"/>
            </w:r>
          </w:hyperlink>
        </w:p>
        <w:p w14:paraId="3AB0140D" w14:textId="493EC5C7" w:rsidR="0035582C" w:rsidRDefault="0035582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5867445" w:history="1">
            <w:r w:rsidRPr="009523D0">
              <w:rPr>
                <w:rStyle w:val="Hyperlink"/>
                <w:b/>
                <w:bCs/>
                <w:noProof/>
              </w:rPr>
              <w:t>Action Plan</w:t>
            </w:r>
            <w:r>
              <w:rPr>
                <w:noProof/>
                <w:webHidden/>
              </w:rPr>
              <w:tab/>
            </w:r>
            <w:r>
              <w:rPr>
                <w:noProof/>
                <w:webHidden/>
              </w:rPr>
              <w:fldChar w:fldCharType="begin"/>
            </w:r>
            <w:r>
              <w:rPr>
                <w:noProof/>
                <w:webHidden/>
              </w:rPr>
              <w:instrText xml:space="preserve"> PAGEREF _Toc235867445 \h </w:instrText>
            </w:r>
            <w:r>
              <w:rPr>
                <w:noProof/>
                <w:webHidden/>
              </w:rPr>
            </w:r>
            <w:r>
              <w:rPr>
                <w:noProof/>
                <w:webHidden/>
              </w:rPr>
              <w:fldChar w:fldCharType="separate"/>
            </w:r>
            <w:r>
              <w:rPr>
                <w:noProof/>
                <w:webHidden/>
              </w:rPr>
              <w:t>10</w:t>
            </w:r>
            <w:r>
              <w:rPr>
                <w:noProof/>
                <w:webHidden/>
              </w:rPr>
              <w:fldChar w:fldCharType="end"/>
            </w:r>
          </w:hyperlink>
        </w:p>
        <w:p w14:paraId="0FFDFCA2" w14:textId="22C01F71" w:rsidR="0035582C" w:rsidRDefault="0035582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5867446" w:history="1">
            <w:r w:rsidRPr="009523D0">
              <w:rPr>
                <w:rStyle w:val="Hyperlink"/>
                <w:noProof/>
              </w:rPr>
              <w:t>Conclusion</w:t>
            </w:r>
            <w:r>
              <w:rPr>
                <w:noProof/>
                <w:webHidden/>
              </w:rPr>
              <w:tab/>
            </w:r>
            <w:r>
              <w:rPr>
                <w:noProof/>
                <w:webHidden/>
              </w:rPr>
              <w:fldChar w:fldCharType="begin"/>
            </w:r>
            <w:r>
              <w:rPr>
                <w:noProof/>
                <w:webHidden/>
              </w:rPr>
              <w:instrText xml:space="preserve"> PAGEREF _Toc235867446 \h </w:instrText>
            </w:r>
            <w:r>
              <w:rPr>
                <w:noProof/>
                <w:webHidden/>
              </w:rPr>
            </w:r>
            <w:r>
              <w:rPr>
                <w:noProof/>
                <w:webHidden/>
              </w:rPr>
              <w:fldChar w:fldCharType="separate"/>
            </w:r>
            <w:r>
              <w:rPr>
                <w:noProof/>
                <w:webHidden/>
              </w:rPr>
              <w:t>12</w:t>
            </w:r>
            <w:r>
              <w:rPr>
                <w:noProof/>
                <w:webHidden/>
              </w:rPr>
              <w:fldChar w:fldCharType="end"/>
            </w:r>
          </w:hyperlink>
        </w:p>
        <w:p w14:paraId="1DD19863" w14:textId="1D66E9CD" w:rsidR="0035582C" w:rsidRDefault="0035582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5867447" w:history="1">
            <w:r w:rsidRPr="009523D0">
              <w:rPr>
                <w:rStyle w:val="Hyperlink"/>
                <w:noProof/>
              </w:rPr>
              <w:t>References</w:t>
            </w:r>
            <w:r>
              <w:rPr>
                <w:noProof/>
                <w:webHidden/>
              </w:rPr>
              <w:tab/>
            </w:r>
            <w:r>
              <w:rPr>
                <w:noProof/>
                <w:webHidden/>
              </w:rPr>
              <w:fldChar w:fldCharType="begin"/>
            </w:r>
            <w:r>
              <w:rPr>
                <w:noProof/>
                <w:webHidden/>
              </w:rPr>
              <w:instrText xml:space="preserve"> PAGEREF _Toc235867447 \h </w:instrText>
            </w:r>
            <w:r>
              <w:rPr>
                <w:noProof/>
                <w:webHidden/>
              </w:rPr>
            </w:r>
            <w:r>
              <w:rPr>
                <w:noProof/>
                <w:webHidden/>
              </w:rPr>
              <w:fldChar w:fldCharType="separate"/>
            </w:r>
            <w:r>
              <w:rPr>
                <w:noProof/>
                <w:webHidden/>
              </w:rPr>
              <w:t>12</w:t>
            </w:r>
            <w:r>
              <w:rPr>
                <w:noProof/>
                <w:webHidden/>
              </w:rPr>
              <w:fldChar w:fldCharType="end"/>
            </w:r>
          </w:hyperlink>
        </w:p>
        <w:p w14:paraId="56DA38AE" w14:textId="0CCFD706" w:rsidR="00E34CCF" w:rsidRDefault="00E34CCF">
          <w:r>
            <w:rPr>
              <w:b/>
              <w:bCs/>
            </w:rPr>
            <w:fldChar w:fldCharType="end"/>
          </w:r>
        </w:p>
      </w:sdtContent>
    </w:sdt>
    <w:p w14:paraId="576D4735" w14:textId="77777777" w:rsidR="00E34CCF" w:rsidRDefault="00E34CCF" w:rsidP="00594FAC">
      <w:pPr>
        <w:spacing w:line="360" w:lineRule="auto"/>
        <w:rPr>
          <w:rFonts w:ascii="Arial" w:hAnsi="Arial" w:cs="Arial"/>
          <w:b/>
          <w:bCs/>
        </w:rPr>
      </w:pPr>
    </w:p>
    <w:p w14:paraId="574D7678" w14:textId="77777777" w:rsidR="00E34CCF" w:rsidRDefault="00E34CCF" w:rsidP="0035582C">
      <w:pPr>
        <w:spacing w:line="360" w:lineRule="auto"/>
        <w:jc w:val="center"/>
        <w:rPr>
          <w:rFonts w:ascii="Arial" w:hAnsi="Arial" w:cs="Arial"/>
          <w:b/>
          <w:bCs/>
        </w:rPr>
      </w:pPr>
    </w:p>
    <w:p w14:paraId="51E0D856" w14:textId="77777777" w:rsidR="00E34CCF" w:rsidRDefault="00E34CCF" w:rsidP="00594FAC">
      <w:pPr>
        <w:spacing w:line="360" w:lineRule="auto"/>
        <w:rPr>
          <w:rFonts w:ascii="Arial" w:hAnsi="Arial" w:cs="Arial"/>
          <w:b/>
          <w:bCs/>
        </w:rPr>
      </w:pPr>
    </w:p>
    <w:p w14:paraId="379E6B1C" w14:textId="77777777" w:rsidR="00E34CCF" w:rsidRDefault="00E34CCF" w:rsidP="00594FAC">
      <w:pPr>
        <w:spacing w:line="360" w:lineRule="auto"/>
        <w:rPr>
          <w:rFonts w:ascii="Arial" w:hAnsi="Arial" w:cs="Arial"/>
          <w:b/>
          <w:bCs/>
        </w:rPr>
      </w:pPr>
    </w:p>
    <w:p w14:paraId="6D95A1B1" w14:textId="77777777" w:rsidR="00E34CCF" w:rsidRDefault="00E34CCF" w:rsidP="00594FAC">
      <w:pPr>
        <w:spacing w:line="360" w:lineRule="auto"/>
        <w:rPr>
          <w:rFonts w:ascii="Arial" w:hAnsi="Arial" w:cs="Arial"/>
          <w:b/>
          <w:bCs/>
        </w:rPr>
      </w:pPr>
    </w:p>
    <w:p w14:paraId="73852DFA" w14:textId="77777777" w:rsidR="00E34CCF" w:rsidRDefault="00E34CCF" w:rsidP="00594FAC">
      <w:pPr>
        <w:spacing w:line="360" w:lineRule="auto"/>
        <w:rPr>
          <w:rFonts w:ascii="Arial" w:hAnsi="Arial" w:cs="Arial"/>
          <w:b/>
          <w:bCs/>
        </w:rPr>
      </w:pPr>
    </w:p>
    <w:p w14:paraId="0F13532E" w14:textId="77777777" w:rsidR="00E34CCF" w:rsidRDefault="00E34CCF" w:rsidP="00594FAC">
      <w:pPr>
        <w:spacing w:line="360" w:lineRule="auto"/>
        <w:rPr>
          <w:rFonts w:ascii="Arial" w:hAnsi="Arial" w:cs="Arial"/>
          <w:b/>
          <w:bCs/>
        </w:rPr>
      </w:pPr>
    </w:p>
    <w:p w14:paraId="611007CA" w14:textId="77777777" w:rsidR="00E34CCF" w:rsidRDefault="00E34CCF" w:rsidP="00594FAC">
      <w:pPr>
        <w:spacing w:line="360" w:lineRule="auto"/>
        <w:rPr>
          <w:rFonts w:ascii="Arial" w:hAnsi="Arial" w:cs="Arial"/>
          <w:b/>
          <w:bCs/>
        </w:rPr>
      </w:pPr>
    </w:p>
    <w:p w14:paraId="265344C6" w14:textId="77777777" w:rsidR="00E34CCF" w:rsidRDefault="00E34CCF" w:rsidP="00594FAC">
      <w:pPr>
        <w:spacing w:line="360" w:lineRule="auto"/>
        <w:rPr>
          <w:rFonts w:ascii="Arial" w:hAnsi="Arial" w:cs="Arial"/>
          <w:b/>
          <w:bCs/>
        </w:rPr>
      </w:pPr>
    </w:p>
    <w:p w14:paraId="14511EDD" w14:textId="77777777" w:rsidR="00E34CCF" w:rsidRDefault="00E34CCF" w:rsidP="00594FAC">
      <w:pPr>
        <w:spacing w:line="360" w:lineRule="auto"/>
        <w:rPr>
          <w:rFonts w:ascii="Arial" w:hAnsi="Arial" w:cs="Arial"/>
          <w:b/>
          <w:bCs/>
        </w:rPr>
      </w:pPr>
    </w:p>
    <w:p w14:paraId="034C2741" w14:textId="77777777" w:rsidR="00E34CCF" w:rsidRDefault="00E34CCF" w:rsidP="00594FAC">
      <w:pPr>
        <w:spacing w:line="360" w:lineRule="auto"/>
        <w:rPr>
          <w:rFonts w:ascii="Arial" w:hAnsi="Arial" w:cs="Arial"/>
          <w:b/>
          <w:bCs/>
        </w:rPr>
      </w:pPr>
    </w:p>
    <w:p w14:paraId="2EB879DC" w14:textId="77777777" w:rsidR="00E34CCF" w:rsidRDefault="00E34CCF" w:rsidP="00594FAC">
      <w:pPr>
        <w:spacing w:line="360" w:lineRule="auto"/>
        <w:rPr>
          <w:rFonts w:ascii="Arial" w:hAnsi="Arial" w:cs="Arial"/>
          <w:b/>
          <w:bCs/>
        </w:rPr>
      </w:pPr>
    </w:p>
    <w:p w14:paraId="6D93E8EF" w14:textId="77777777" w:rsidR="00E34CCF" w:rsidRDefault="00E34CCF" w:rsidP="00594FAC">
      <w:pPr>
        <w:spacing w:line="360" w:lineRule="auto"/>
        <w:rPr>
          <w:rFonts w:ascii="Arial" w:hAnsi="Arial" w:cs="Arial"/>
          <w:b/>
          <w:bCs/>
        </w:rPr>
      </w:pPr>
    </w:p>
    <w:p w14:paraId="0C1C8B9B" w14:textId="77777777" w:rsidR="00E34CCF" w:rsidRDefault="00E34CCF" w:rsidP="00594FAC">
      <w:pPr>
        <w:spacing w:line="360" w:lineRule="auto"/>
        <w:rPr>
          <w:rFonts w:ascii="Arial" w:hAnsi="Arial" w:cs="Arial"/>
          <w:b/>
          <w:bCs/>
        </w:rPr>
      </w:pPr>
    </w:p>
    <w:p w14:paraId="1887B483" w14:textId="77777777" w:rsidR="00E34CCF" w:rsidRPr="00594FAC" w:rsidRDefault="00E34CCF" w:rsidP="00594FAC">
      <w:pPr>
        <w:spacing w:line="360" w:lineRule="auto"/>
        <w:rPr>
          <w:rFonts w:ascii="Arial" w:hAnsi="Arial" w:cs="Arial"/>
          <w:b/>
          <w:bCs/>
        </w:rPr>
      </w:pPr>
    </w:p>
    <w:p w14:paraId="529D6F14" w14:textId="77777777" w:rsidR="00B21FE6" w:rsidRPr="00594FAC" w:rsidRDefault="00B21FE6" w:rsidP="00594FAC">
      <w:pPr>
        <w:spacing w:line="360" w:lineRule="auto"/>
        <w:rPr>
          <w:rFonts w:ascii="Arial" w:hAnsi="Arial" w:cs="Arial"/>
          <w:sz w:val="22"/>
        </w:rPr>
      </w:pPr>
    </w:p>
    <w:p w14:paraId="515EF194" w14:textId="186894E2" w:rsidR="00E34CCF" w:rsidRPr="00E34CCF" w:rsidRDefault="00E34CCF" w:rsidP="00E34CCF">
      <w:pPr>
        <w:pStyle w:val="Heading1"/>
        <w:rPr>
          <w:rFonts w:ascii="Arial" w:hAnsi="Arial" w:cs="Arial"/>
          <w:sz w:val="22"/>
        </w:rPr>
      </w:pPr>
      <w:bookmarkStart w:id="0" w:name="_Toc235867437"/>
      <w:r w:rsidRPr="00E34CCF">
        <w:t>Task 1: Reflection on the Importance of the Principles of Health and Social Care</w:t>
      </w:r>
      <w:bookmarkEnd w:id="0"/>
      <w:r w:rsidRPr="00E34CCF">
        <w:t xml:space="preserve"> </w:t>
      </w:r>
    </w:p>
    <w:p w14:paraId="4266ACE2" w14:textId="77777777" w:rsidR="00E34CCF" w:rsidRPr="00E34CCF" w:rsidRDefault="00E34CCF" w:rsidP="00E34CCF">
      <w:pPr>
        <w:pStyle w:val="Heading1"/>
        <w:rPr>
          <w:rFonts w:ascii="Arial" w:eastAsia="Arial" w:hAnsi="Arial" w:cs="Arial"/>
          <w:szCs w:val="24"/>
        </w:rPr>
      </w:pPr>
    </w:p>
    <w:p w14:paraId="758785B6" w14:textId="2E6FCCB7" w:rsidR="003661D1" w:rsidRPr="003661D1" w:rsidRDefault="003661D1" w:rsidP="003661D1">
      <w:pPr>
        <w:spacing w:after="0" w:line="360" w:lineRule="auto"/>
        <w:rPr>
          <w:rFonts w:ascii="Arial" w:eastAsia="Arial" w:hAnsi="Arial" w:cs="Arial"/>
          <w:szCs w:val="24"/>
        </w:rPr>
      </w:pPr>
      <w:r w:rsidRPr="003661D1">
        <w:rPr>
          <w:rFonts w:ascii="Arial" w:eastAsia="Arial" w:hAnsi="Arial" w:cs="Arial"/>
          <w:szCs w:val="24"/>
        </w:rPr>
        <w:t>Providing safe, effective and compassionate health care in the United Kingdom requires the principles of health and social care. Reflecting on these principles has helped me understand how essential concepts like person-</w:t>
      </w:r>
      <w:r w:rsidRPr="003661D1">
        <w:rPr>
          <w:rFonts w:ascii="Arial" w:eastAsia="Arial" w:hAnsi="Arial" w:cs="Arial"/>
          <w:szCs w:val="24"/>
        </w:rPr>
        <w:t>centred</w:t>
      </w:r>
      <w:r w:rsidRPr="003661D1">
        <w:rPr>
          <w:rFonts w:ascii="Arial" w:eastAsia="Arial" w:hAnsi="Arial" w:cs="Arial"/>
          <w:szCs w:val="24"/>
        </w:rPr>
        <w:t xml:space="preserve"> care, partnership working, and ethical practice work together to achieve positive outcomes for individuals. Rather than treating illnesses or meeting company goals, these principles encourage professionals to see everyone and individuals including their preferences, needs, and goals that are unique (NHS England, 2022).</w:t>
      </w:r>
    </w:p>
    <w:p w14:paraId="6B219452" w14:textId="77777777" w:rsidR="003661D1" w:rsidRPr="003661D1" w:rsidRDefault="003661D1" w:rsidP="003661D1">
      <w:pPr>
        <w:spacing w:after="0" w:line="360" w:lineRule="auto"/>
        <w:rPr>
          <w:rFonts w:ascii="Arial" w:eastAsia="Arial" w:hAnsi="Arial" w:cs="Arial"/>
          <w:szCs w:val="24"/>
        </w:rPr>
      </w:pPr>
      <w:r w:rsidRPr="003661D1">
        <w:rPr>
          <w:rFonts w:ascii="Arial" w:eastAsia="Arial" w:hAnsi="Arial" w:cs="Arial"/>
          <w:szCs w:val="24"/>
        </w:rPr>
        <w:t> </w:t>
      </w:r>
    </w:p>
    <w:p w14:paraId="329DBC66" w14:textId="651558B0" w:rsidR="00E34CCF" w:rsidRPr="00E34CCF" w:rsidRDefault="003661D1" w:rsidP="00E34CCF">
      <w:pPr>
        <w:spacing w:after="0" w:line="360" w:lineRule="auto"/>
        <w:rPr>
          <w:rFonts w:ascii="Arial" w:eastAsia="Arial" w:hAnsi="Arial" w:cs="Arial"/>
          <w:szCs w:val="24"/>
        </w:rPr>
      </w:pPr>
      <w:r w:rsidRPr="003661D1">
        <w:rPr>
          <w:rFonts w:ascii="Arial" w:eastAsia="Arial" w:hAnsi="Arial" w:cs="Arial"/>
          <w:szCs w:val="24"/>
        </w:rPr>
        <w:t xml:space="preserve">Individuals are at the </w:t>
      </w:r>
      <w:r w:rsidRPr="003661D1">
        <w:rPr>
          <w:rFonts w:ascii="Arial" w:eastAsia="Arial" w:hAnsi="Arial" w:cs="Arial"/>
          <w:szCs w:val="24"/>
        </w:rPr>
        <w:t>centre</w:t>
      </w:r>
      <w:r w:rsidRPr="003661D1">
        <w:rPr>
          <w:rFonts w:ascii="Arial" w:eastAsia="Arial" w:hAnsi="Arial" w:cs="Arial"/>
          <w:szCs w:val="24"/>
        </w:rPr>
        <w:t xml:space="preserve"> of all decisions relating to their care when they receive person-</w:t>
      </w:r>
      <w:r w:rsidRPr="003661D1">
        <w:rPr>
          <w:rFonts w:ascii="Arial" w:eastAsia="Arial" w:hAnsi="Arial" w:cs="Arial"/>
          <w:szCs w:val="24"/>
        </w:rPr>
        <w:t>centred</w:t>
      </w:r>
      <w:r w:rsidRPr="003661D1">
        <w:rPr>
          <w:rFonts w:ascii="Arial" w:eastAsia="Arial" w:hAnsi="Arial" w:cs="Arial"/>
          <w:szCs w:val="24"/>
        </w:rPr>
        <w:t xml:space="preserve"> care. Consider McCormack and McCance's (2021) argument that high-quality care involves building professional relationships, respecting individuals' values and preferences, and communicating with them (both verbal and non-verbal). Care Act 2014 reinforces this approach by placing important aspects like wellbeing, dignity, choice, and independence at the </w:t>
      </w:r>
      <w:r w:rsidRPr="003661D1">
        <w:rPr>
          <w:rFonts w:ascii="Arial" w:eastAsia="Arial" w:hAnsi="Arial" w:cs="Arial"/>
          <w:szCs w:val="24"/>
        </w:rPr>
        <w:t>centre</w:t>
      </w:r>
      <w:r w:rsidRPr="003661D1">
        <w:rPr>
          <w:rFonts w:ascii="Arial" w:eastAsia="Arial" w:hAnsi="Arial" w:cs="Arial"/>
          <w:szCs w:val="24"/>
        </w:rPr>
        <w:t xml:space="preserve"> of adult social care (HM Government, 2014). It has become clearer to me as I have reflected on this principle that effective care encompasses more than physical health needs; it needs to </w:t>
      </w:r>
      <w:r w:rsidRPr="003661D1">
        <w:rPr>
          <w:rFonts w:ascii="Arial" w:eastAsia="Arial" w:hAnsi="Arial" w:cs="Arial"/>
          <w:szCs w:val="24"/>
        </w:rPr>
        <w:t>consider</w:t>
      </w:r>
      <w:r w:rsidRPr="003661D1">
        <w:rPr>
          <w:rFonts w:ascii="Arial" w:eastAsia="Arial" w:hAnsi="Arial" w:cs="Arial"/>
          <w:szCs w:val="24"/>
        </w:rPr>
        <w:t xml:space="preserve"> psychological, social, cultural, and political influences as well. Maslow's Hierarchy of Needs shows that unless physiological, safety, belonging, esteem, and self-actuali</w:t>
      </w:r>
      <w:r w:rsidR="002343CF">
        <w:rPr>
          <w:rFonts w:ascii="Arial" w:eastAsia="Arial" w:hAnsi="Arial" w:cs="Arial"/>
          <w:szCs w:val="24"/>
        </w:rPr>
        <w:t>s</w:t>
      </w:r>
      <w:r w:rsidRPr="003661D1">
        <w:rPr>
          <w:rFonts w:ascii="Arial" w:eastAsia="Arial" w:hAnsi="Arial" w:cs="Arial"/>
          <w:szCs w:val="24"/>
        </w:rPr>
        <w:t>ation needs are met, an individual cannot reach his or her full potential (Maslow, 1943). Although Maslow’s theory has been criticised for making assumptions regarding needs that are achieved in a fixed hierarchy, it remains useful in encouraging holistic assessment within health and social care (Barker, 2020).</w:t>
      </w:r>
    </w:p>
    <w:p w14:paraId="685171AA" w14:textId="77777777" w:rsidR="00E34CCF" w:rsidRPr="00E34CCF" w:rsidRDefault="00E34CCF" w:rsidP="00E34CCF">
      <w:pPr>
        <w:spacing w:after="0" w:line="360" w:lineRule="auto"/>
        <w:rPr>
          <w:rFonts w:ascii="Arial" w:eastAsia="Arial" w:hAnsi="Arial" w:cs="Arial"/>
          <w:szCs w:val="24"/>
        </w:rPr>
      </w:pPr>
    </w:p>
    <w:p w14:paraId="0E6C4E43" w14:textId="77777777" w:rsidR="00960A16" w:rsidRPr="00960A16" w:rsidRDefault="00960A16" w:rsidP="00960A16">
      <w:pPr>
        <w:spacing w:after="0" w:line="360" w:lineRule="auto"/>
        <w:rPr>
          <w:rFonts w:ascii="Arial" w:eastAsia="Arial" w:hAnsi="Arial" w:cs="Arial"/>
          <w:szCs w:val="24"/>
        </w:rPr>
      </w:pPr>
      <w:r w:rsidRPr="00960A16">
        <w:rPr>
          <w:rFonts w:ascii="Arial" w:eastAsia="Arial" w:hAnsi="Arial" w:cs="Arial"/>
          <w:szCs w:val="24"/>
        </w:rPr>
        <w:t xml:space="preserve">Working in a team is heavily important because no single individual can have all the knowledge and skills to meet complex health needs. Multidisciplinary teams, family members, carers, stakeholders, and external agencies can collaborate effectively to coordinate care, reduce duplication of services, and improve patient outcomes </w:t>
      </w:r>
      <w:r w:rsidRPr="00960A16">
        <w:rPr>
          <w:rFonts w:ascii="Arial" w:eastAsia="Arial" w:hAnsi="Arial" w:cs="Arial"/>
          <w:szCs w:val="24"/>
        </w:rPr>
        <w:lastRenderedPageBreak/>
        <w:t>(Glasby and Dickinson, 2021). As part of the Health and Care Act 2022, health and social care organisations are encouraged to collaborate through Integrated Care Systems to reduce health inequalities and improve population health (HM Government, 2022). It is important to communicate effectively, and to make decisions together based on this principle. These barriers require strong leadership and clearly defined professional responsibilities (Glasby and Dickinson, 2021).</w:t>
      </w:r>
    </w:p>
    <w:p w14:paraId="6C03116A" w14:textId="77777777" w:rsidR="00960A16" w:rsidRPr="00960A16" w:rsidRDefault="00960A16" w:rsidP="00960A16">
      <w:pPr>
        <w:spacing w:after="0" w:line="360" w:lineRule="auto"/>
        <w:rPr>
          <w:rFonts w:ascii="Arial" w:eastAsia="Arial" w:hAnsi="Arial" w:cs="Arial"/>
          <w:szCs w:val="24"/>
        </w:rPr>
      </w:pPr>
      <w:r w:rsidRPr="00960A16">
        <w:rPr>
          <w:rFonts w:ascii="Arial" w:eastAsia="Arial" w:hAnsi="Arial" w:cs="Arial"/>
          <w:szCs w:val="24"/>
        </w:rPr>
        <w:t> </w:t>
      </w:r>
    </w:p>
    <w:p w14:paraId="4CC00EBC" w14:textId="77777777" w:rsidR="00960A16" w:rsidRPr="00960A16" w:rsidRDefault="00960A16" w:rsidP="00960A16">
      <w:pPr>
        <w:spacing w:after="0" w:line="360" w:lineRule="auto"/>
        <w:rPr>
          <w:rFonts w:ascii="Arial" w:eastAsia="Arial" w:hAnsi="Arial" w:cs="Arial"/>
          <w:szCs w:val="24"/>
        </w:rPr>
      </w:pPr>
      <w:r w:rsidRPr="00960A16">
        <w:rPr>
          <w:rFonts w:ascii="Arial" w:eastAsia="Arial" w:hAnsi="Arial" w:cs="Arial"/>
          <w:szCs w:val="24"/>
        </w:rPr>
        <w:t>Ethics supports fair, lawful and compassionate decision-making. Biomedical ethics is characterised by four principles: autonomy, beneficence, non-maleficence, and justice. These four principles provide an ethical framework for resolving complex healthcare dilemmas. As professionals, we must balance providing benefit, preventing harm, and promoting fairness while respecting individuals' rights. Ethical decision-making is important, especially when a person has decision-making capacity. In accordance with the Mental Capacity Act 2005, it is designed to protect individuals, while decisions are made according to their best interests. I have learned that ethical practice requires compassion, accountability, and critical thinking when dealing with challenging situations (Nursing and Midwifery Council, 2018).</w:t>
      </w:r>
    </w:p>
    <w:p w14:paraId="4ACD1B4F" w14:textId="77777777" w:rsidR="00E34CCF" w:rsidRPr="009531AC" w:rsidRDefault="00E34CCF" w:rsidP="00E34CCF">
      <w:pPr>
        <w:spacing w:after="0" w:line="360" w:lineRule="auto"/>
        <w:rPr>
          <w:rFonts w:ascii="Arial" w:eastAsia="Arial" w:hAnsi="Arial" w:cs="Arial"/>
          <w:b/>
          <w:bCs/>
          <w:szCs w:val="24"/>
        </w:rPr>
      </w:pPr>
    </w:p>
    <w:p w14:paraId="6C4C2A9E" w14:textId="27044FF3" w:rsidR="00E34CCF" w:rsidRPr="004D7C7E" w:rsidRDefault="004D7C7E" w:rsidP="00E34CCF">
      <w:pPr>
        <w:spacing w:after="0" w:line="360" w:lineRule="auto"/>
        <w:rPr>
          <w:rFonts w:ascii="Arial" w:eastAsia="Arial" w:hAnsi="Arial" w:cs="Arial"/>
          <w:szCs w:val="24"/>
        </w:rPr>
      </w:pPr>
      <w:r w:rsidRPr="004D7C7E">
        <w:rPr>
          <w:rFonts w:ascii="Arial" w:eastAsia="Arial" w:hAnsi="Arial" w:cs="Arial"/>
          <w:szCs w:val="24"/>
        </w:rPr>
        <w:t>Through reflection, I have come to appreciate the impact person-</w:t>
      </w:r>
      <w:r w:rsidRPr="004D7C7E">
        <w:rPr>
          <w:rFonts w:ascii="Arial" w:eastAsia="Arial" w:hAnsi="Arial" w:cs="Arial"/>
          <w:szCs w:val="24"/>
        </w:rPr>
        <w:t>centred</w:t>
      </w:r>
      <w:r w:rsidRPr="004D7C7E">
        <w:rPr>
          <w:rFonts w:ascii="Arial" w:eastAsia="Arial" w:hAnsi="Arial" w:cs="Arial"/>
          <w:szCs w:val="24"/>
        </w:rPr>
        <w:t xml:space="preserve"> care, partnership working, and ethics have on the quality, safety, and effectiveness of health and social care services. Even though both workforce shortages and financial pressures make it difficult to implement these principles, they remain fundamental to providing compassionate, evidence-based, and legally compliant care for patients (The King's Fund, 2023). The consistent application of these principles will enable me to contribute to improved patient experience and better health outcomes in the future.</w:t>
      </w:r>
    </w:p>
    <w:p w14:paraId="501C12B3" w14:textId="0CA5D628" w:rsidR="00E34CCF" w:rsidRPr="009531AC" w:rsidRDefault="00E34CCF" w:rsidP="00E34CCF">
      <w:pPr>
        <w:pStyle w:val="Heading1"/>
        <w:rPr>
          <w:b/>
          <w:bCs/>
        </w:rPr>
      </w:pPr>
      <w:bookmarkStart w:id="1" w:name="_Toc235867438"/>
      <w:r w:rsidRPr="009531AC">
        <w:rPr>
          <w:b/>
          <w:bCs/>
        </w:rPr>
        <w:t>Task 2: Practical Examples of Concepts in Practice</w:t>
      </w:r>
      <w:bookmarkEnd w:id="1"/>
      <w:r w:rsidRPr="009531AC">
        <w:rPr>
          <w:b/>
          <w:bCs/>
        </w:rPr>
        <w:t xml:space="preserve"> </w:t>
      </w:r>
    </w:p>
    <w:p w14:paraId="238D5F93" w14:textId="4D8ECD40"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t xml:space="preserve">A practical example demonstrating the application of these key principles within UK health and social care is the support provided to an individual diagnosed with early-onset dementia who wishes to remain living independently in their own home. For confidentiality purposes, the individual will be referred to as “the service user”. </w:t>
      </w:r>
      <w:r w:rsidRPr="00462DED">
        <w:rPr>
          <w:rStyle w:val="Strong"/>
          <w:rFonts w:ascii="Arial" w:hAnsi="Arial" w:cs="Arial"/>
          <w:b w:val="0"/>
          <w:bCs w:val="0"/>
        </w:rPr>
        <w:t>During</w:t>
      </w:r>
      <w:r w:rsidRPr="00462DED">
        <w:rPr>
          <w:rStyle w:val="Strong"/>
          <w:rFonts w:ascii="Arial" w:hAnsi="Arial" w:cs="Arial"/>
          <w:b w:val="0"/>
          <w:bCs w:val="0"/>
        </w:rPr>
        <w:t xml:space="preserve"> a memory assessment provided by the NHS, concerns were raised regarding </w:t>
      </w:r>
      <w:r w:rsidRPr="00462DED">
        <w:rPr>
          <w:rStyle w:val="Strong"/>
          <w:rFonts w:ascii="Arial" w:hAnsi="Arial" w:cs="Arial"/>
          <w:b w:val="0"/>
          <w:bCs w:val="0"/>
        </w:rPr>
        <w:lastRenderedPageBreak/>
        <w:t>medication management, safety and daily activities. Despite this, the service user preferred to continue living independently rather than consider residential care. In this instance, it is important to balance individual choice with professional responsibilities.</w:t>
      </w:r>
    </w:p>
    <w:p w14:paraId="01985AF4" w14:textId="77777777"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t> </w:t>
      </w:r>
    </w:p>
    <w:p w14:paraId="2EA3BD1D" w14:textId="2775FADE"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t>This scenario calls for person-</w:t>
      </w:r>
      <w:r w:rsidRPr="00462DED">
        <w:rPr>
          <w:rStyle w:val="Strong"/>
          <w:rFonts w:ascii="Arial" w:hAnsi="Arial" w:cs="Arial"/>
          <w:b w:val="0"/>
          <w:bCs w:val="0"/>
        </w:rPr>
        <w:t>centred</w:t>
      </w:r>
      <w:r w:rsidRPr="00462DED">
        <w:rPr>
          <w:rStyle w:val="Strong"/>
          <w:rFonts w:ascii="Arial" w:hAnsi="Arial" w:cs="Arial"/>
          <w:b w:val="0"/>
          <w:bCs w:val="0"/>
        </w:rPr>
        <w:t xml:space="preserve"> care because dementia care should focus not only on the individual's diagnosis, but also on their identity, preferences, relationships, and personal goals. Developing meaningful relationships with people is essential to person-</w:t>
      </w:r>
      <w:r w:rsidRPr="00462DED">
        <w:rPr>
          <w:rStyle w:val="Strong"/>
          <w:rFonts w:ascii="Arial" w:hAnsi="Arial" w:cs="Arial"/>
          <w:b w:val="0"/>
          <w:bCs w:val="0"/>
        </w:rPr>
        <w:t>centred</w:t>
      </w:r>
      <w:r w:rsidRPr="00462DED">
        <w:rPr>
          <w:rStyle w:val="Strong"/>
          <w:rFonts w:ascii="Arial" w:hAnsi="Arial" w:cs="Arial"/>
          <w:b w:val="0"/>
          <w:bCs w:val="0"/>
        </w:rPr>
        <w:t xml:space="preserve"> practice and it is also important to recognise them as active participants in their care decisions. McCormack and McCance (2021) draw attention to this point. It is therefore important for professionals to explore what independence means to individuals, rather than automatically assuming residential care is the best option. It reflects the goals of the Care Act 2014, which place wellbeing, dignity, choice, and control at the core of the assessment and planning of adult social care (HM Government, 2014). Despite this, person-</w:t>
      </w:r>
      <w:r w:rsidRPr="00462DED">
        <w:rPr>
          <w:rStyle w:val="Strong"/>
          <w:rFonts w:ascii="Arial" w:hAnsi="Arial" w:cs="Arial"/>
          <w:b w:val="0"/>
          <w:bCs w:val="0"/>
        </w:rPr>
        <w:t>centred</w:t>
      </w:r>
      <w:r w:rsidRPr="00462DED">
        <w:rPr>
          <w:rStyle w:val="Strong"/>
          <w:rFonts w:ascii="Arial" w:hAnsi="Arial" w:cs="Arial"/>
          <w:b w:val="0"/>
          <w:bCs w:val="0"/>
        </w:rPr>
        <w:t xml:space="preserve"> care can present challenges due to its inherent balance between respecting individual choices and managing risks. A professional must support autonomy while ensuring that the appropriate safeguards a</w:t>
      </w:r>
      <w:r>
        <w:rPr>
          <w:rStyle w:val="Strong"/>
          <w:rFonts w:ascii="Arial" w:hAnsi="Arial" w:cs="Arial"/>
          <w:b w:val="0"/>
          <w:bCs w:val="0"/>
        </w:rPr>
        <w:t>r</w:t>
      </w:r>
      <w:r w:rsidRPr="00462DED">
        <w:rPr>
          <w:rStyle w:val="Strong"/>
          <w:rFonts w:ascii="Arial" w:hAnsi="Arial" w:cs="Arial"/>
          <w:b w:val="0"/>
          <w:bCs w:val="0"/>
        </w:rPr>
        <w:t>e in place to practice effectively.</w:t>
      </w:r>
    </w:p>
    <w:p w14:paraId="00A291C7" w14:textId="25B5F38A"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t xml:space="preserve">It is imperative that multiple services work together to support individuals with complicated needs. GPs, memory assessment teams, social workers, occupational therapists, community mental health professionals, family members and dementia support organisations would be involved in this effective partnership. The benefits of integrated working include the ability to share knowledge and coordinate interventions, as well as the reduction of fragmented care (Glasby and Dickinson, 2014). Health and Care Act 2022 further </w:t>
      </w:r>
      <w:r w:rsidRPr="00462DED">
        <w:rPr>
          <w:rStyle w:val="Strong"/>
          <w:rFonts w:ascii="Arial" w:hAnsi="Arial" w:cs="Arial"/>
          <w:b w:val="0"/>
          <w:bCs w:val="0"/>
        </w:rPr>
        <w:t>promote</w:t>
      </w:r>
      <w:r w:rsidRPr="00462DED">
        <w:rPr>
          <w:rStyle w:val="Strong"/>
          <w:rFonts w:ascii="Arial" w:hAnsi="Arial" w:cs="Arial"/>
          <w:b w:val="0"/>
          <w:bCs w:val="0"/>
        </w:rPr>
        <w:t xml:space="preserve"> collaboration between healthcare and social services through Integrated Care Systems to improve outcomes and reduce inequalities (HM Government, 2022). It is still possible to experience challenges in partnership work, such as difficulties sharing information or delays in communication. Hence, clear communication systems and shared decision-making processes are fundamental.</w:t>
      </w:r>
    </w:p>
    <w:p w14:paraId="7BEC0E2B" w14:textId="28465656"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lastRenderedPageBreak/>
        <w:t>Making decisions in this situation requires ethical considerations. Beauchamp and Childress (2000) describe four ethical principles for ethical healthcare decisions: autonomy, beneficence, nonmaleficence, and justice. Providing a service user with the autonomy to decide their lifestyle, care, and treatment means respecting their autonomy. As a guideline, the Mental Capacity Act 2005 provides guidance that decisions should be made based on the person's best interests while using the least restrictive option (HM Government, 2005). It ensures that professionals do not remove independence unnecessarily while simultaneously ensuring that significant harm does not occur.</w:t>
      </w:r>
    </w:p>
    <w:p w14:paraId="29E88906" w14:textId="77777777" w:rsidR="00462DED" w:rsidRPr="00462DED" w:rsidRDefault="00462DED" w:rsidP="00462DED">
      <w:pPr>
        <w:pStyle w:val="pb-2"/>
        <w:spacing w:line="360" w:lineRule="auto"/>
        <w:rPr>
          <w:rFonts w:ascii="Arial" w:hAnsi="Arial" w:cs="Arial"/>
          <w:b/>
          <w:bCs/>
        </w:rPr>
      </w:pPr>
      <w:r w:rsidRPr="00462DED">
        <w:rPr>
          <w:rStyle w:val="Strong"/>
          <w:rFonts w:ascii="Arial" w:hAnsi="Arial" w:cs="Arial"/>
          <w:b w:val="0"/>
          <w:bCs w:val="0"/>
        </w:rPr>
        <w:t>As a means of improving care in similar situations, services should develop personalised care plans, actively communicate with agencies, and involve individuals and families in decision-making throughout. Assistive technology, like medication reminders or home safety equipment, can also assist the elderly in remaining independent while reducing risks. There may be limitations to these approaches, such as financial pressures, a lack of services and workforce shortages. It is evident from this example that person-centred care, partnership working, and ethical practice all contribute to safer, more compassionate, and more effective outcomes for health and social care.</w:t>
      </w:r>
    </w:p>
    <w:p w14:paraId="2AF72C7E" w14:textId="77777777" w:rsidR="00E34CCF" w:rsidRPr="009531AC" w:rsidRDefault="00E34CCF" w:rsidP="00E34CCF">
      <w:pPr>
        <w:pStyle w:val="Heading1"/>
        <w:rPr>
          <w:b/>
          <w:bCs/>
        </w:rPr>
      </w:pPr>
    </w:p>
    <w:p w14:paraId="0049F973" w14:textId="7AFBC686" w:rsidR="00E34CCF" w:rsidRPr="009531AC" w:rsidRDefault="00E34CCF" w:rsidP="00E34CCF">
      <w:pPr>
        <w:pStyle w:val="Heading1"/>
        <w:rPr>
          <w:b/>
          <w:bCs/>
        </w:rPr>
      </w:pPr>
      <w:bookmarkStart w:id="2" w:name="_Toc235867439"/>
      <w:r w:rsidRPr="009531AC">
        <w:rPr>
          <w:b/>
          <w:bCs/>
        </w:rPr>
        <w:t>Task 3</w:t>
      </w:r>
      <w:bookmarkEnd w:id="2"/>
    </w:p>
    <w:p w14:paraId="0FBAC613" w14:textId="77777777" w:rsidR="00E34CCF" w:rsidRPr="009531AC" w:rsidRDefault="00E34CCF" w:rsidP="00E34CCF">
      <w:pPr>
        <w:pStyle w:val="Heading2"/>
        <w:rPr>
          <w:b/>
          <w:bCs/>
        </w:rPr>
      </w:pPr>
      <w:bookmarkStart w:id="3" w:name="_Toc235867440"/>
      <w:r w:rsidRPr="009531AC">
        <w:rPr>
          <w:b/>
          <w:bCs/>
        </w:rPr>
        <w:t>Description</w:t>
      </w:r>
      <w:bookmarkEnd w:id="3"/>
    </w:p>
    <w:p w14:paraId="0B4D83AC" w14:textId="77777777" w:rsidR="00E34CCF" w:rsidRPr="009531AC" w:rsidRDefault="00E34CCF" w:rsidP="00E34CCF">
      <w:pPr>
        <w:spacing w:after="0" w:line="360" w:lineRule="auto"/>
        <w:rPr>
          <w:rFonts w:ascii="Arial" w:eastAsia="Arial" w:hAnsi="Arial" w:cs="Arial"/>
          <w:b/>
          <w:bCs/>
          <w:szCs w:val="24"/>
        </w:rPr>
      </w:pPr>
    </w:p>
    <w:p w14:paraId="067D8A7B" w14:textId="1915EF1D" w:rsidR="00E34CCF" w:rsidRPr="00785F2B" w:rsidRDefault="00462DED" w:rsidP="00E34CCF">
      <w:pPr>
        <w:spacing w:after="0" w:line="360" w:lineRule="auto"/>
        <w:rPr>
          <w:rFonts w:ascii="Arial" w:eastAsia="Arial" w:hAnsi="Arial" w:cs="Arial"/>
          <w:szCs w:val="24"/>
        </w:rPr>
      </w:pPr>
      <w:r w:rsidRPr="00785F2B">
        <w:rPr>
          <w:rFonts w:ascii="Arial" w:eastAsia="Arial" w:hAnsi="Arial" w:cs="Arial"/>
          <w:szCs w:val="24"/>
        </w:rPr>
        <w:t xml:space="preserve">In my role as a healthcare assistant working in community care, I provided support to a 68-year-old service user with diabetes, hypertension, and limited mobility. An appointment with a GP recently resulted in the service user being prescribed new medication for high blood pressure. When I visited the GP, I noticed that the medication instructions provided were not in line with the existing care plan. Because the service user knew his medication routine and was mentally competent, they suggested that he continue to follow it. My immediate response was to pause the medication support process and review all available documentation, as I recognised that administering or supporting medication using outdated information might put the service user at risk. As soon as I learned about the discrepancy, I contacted the care </w:t>
      </w:r>
      <w:r w:rsidRPr="00785F2B">
        <w:rPr>
          <w:rFonts w:ascii="Arial" w:eastAsia="Arial" w:hAnsi="Arial" w:cs="Arial"/>
          <w:szCs w:val="24"/>
        </w:rPr>
        <w:lastRenderedPageBreak/>
        <w:t>coordinator and informed my colleague and other healthcare assistants involved in the service user's care. The care coordinator subsequently liaised with the GP, and the care plan was updated before any further medication support was provided. My approach to the incident was to maintain the service user's dignity, respect their views, and ensure confidentiality (Care Act 2014; Data Protection Act 2018).</w:t>
      </w:r>
    </w:p>
    <w:p w14:paraId="7F6FEF82" w14:textId="77777777" w:rsidR="00462DED" w:rsidRPr="00785F2B" w:rsidRDefault="00462DED" w:rsidP="00E34CCF">
      <w:pPr>
        <w:spacing w:after="0" w:line="360" w:lineRule="auto"/>
        <w:rPr>
          <w:rFonts w:ascii="Arial" w:eastAsia="Arial" w:hAnsi="Arial" w:cs="Arial"/>
          <w:szCs w:val="24"/>
        </w:rPr>
      </w:pPr>
    </w:p>
    <w:p w14:paraId="193640A4" w14:textId="77777777" w:rsidR="00E34CCF" w:rsidRPr="009531AC" w:rsidRDefault="00E34CCF" w:rsidP="00E34CCF">
      <w:pPr>
        <w:pStyle w:val="Heading2"/>
        <w:rPr>
          <w:b/>
          <w:bCs/>
        </w:rPr>
      </w:pPr>
      <w:bookmarkStart w:id="4" w:name="_Toc235867441"/>
      <w:r w:rsidRPr="009531AC">
        <w:rPr>
          <w:b/>
          <w:bCs/>
        </w:rPr>
        <w:t>Feelings</w:t>
      </w:r>
      <w:bookmarkEnd w:id="4"/>
    </w:p>
    <w:p w14:paraId="515A90A5" w14:textId="77777777" w:rsidR="00E34CCF" w:rsidRPr="009531AC" w:rsidRDefault="00E34CCF" w:rsidP="00E34CCF">
      <w:pPr>
        <w:spacing w:after="0" w:line="360" w:lineRule="auto"/>
        <w:rPr>
          <w:rFonts w:ascii="Arial" w:eastAsia="Arial" w:hAnsi="Arial" w:cs="Arial"/>
          <w:b/>
          <w:bCs/>
          <w:szCs w:val="24"/>
        </w:rPr>
      </w:pPr>
    </w:p>
    <w:p w14:paraId="4D09123E" w14:textId="38BE4EE2" w:rsidR="00785F2B" w:rsidRPr="00785F2B" w:rsidRDefault="00785F2B" w:rsidP="00785F2B">
      <w:pPr>
        <w:spacing w:after="0" w:line="360" w:lineRule="auto"/>
        <w:rPr>
          <w:rFonts w:ascii="Arial" w:eastAsia="Arial" w:hAnsi="Arial" w:cs="Arial"/>
          <w:szCs w:val="24"/>
        </w:rPr>
      </w:pPr>
      <w:r w:rsidRPr="00785F2B">
        <w:rPr>
          <w:rFonts w:ascii="Arial" w:eastAsia="Arial" w:hAnsi="Arial" w:cs="Arial"/>
          <w:szCs w:val="24"/>
        </w:rPr>
        <w:t>At first, I was concerned when I noticed that the medication instructions in the care plan didn't match those made by the GP. It was imperative to recognise that supporting the service user to take medication based on inaccurate information could compromise their wellbeing and safety. I understood that it was my professional responsibility to raise any concerns rather than ignore them. As I followed the appropriate reporting procedures, I informed the care coordinator, my senior colleague, and other healthcare assistants involved in the service user's care.</w:t>
      </w:r>
    </w:p>
    <w:p w14:paraId="700DC104" w14:textId="77777777" w:rsidR="00785F2B" w:rsidRPr="00785F2B" w:rsidRDefault="00785F2B" w:rsidP="00785F2B">
      <w:pPr>
        <w:spacing w:after="0" w:line="360" w:lineRule="auto"/>
        <w:rPr>
          <w:rFonts w:ascii="Arial" w:eastAsia="Arial" w:hAnsi="Arial" w:cs="Arial"/>
          <w:szCs w:val="24"/>
        </w:rPr>
      </w:pPr>
      <w:r w:rsidRPr="00785F2B">
        <w:rPr>
          <w:rFonts w:ascii="Arial" w:eastAsia="Arial" w:hAnsi="Arial" w:cs="Arial"/>
          <w:szCs w:val="24"/>
        </w:rPr>
        <w:t> </w:t>
      </w:r>
    </w:p>
    <w:p w14:paraId="5AB2B741" w14:textId="25EDAF69" w:rsidR="00785F2B" w:rsidRPr="00785F2B" w:rsidRDefault="00785F2B" w:rsidP="00785F2B">
      <w:pPr>
        <w:spacing w:after="0" w:line="360" w:lineRule="auto"/>
        <w:rPr>
          <w:rFonts w:ascii="Arial" w:eastAsia="Arial" w:hAnsi="Arial" w:cs="Arial"/>
          <w:szCs w:val="24"/>
        </w:rPr>
      </w:pPr>
      <w:r w:rsidRPr="00785F2B">
        <w:rPr>
          <w:rFonts w:ascii="Arial" w:eastAsia="Arial" w:hAnsi="Arial" w:cs="Arial"/>
          <w:szCs w:val="24"/>
        </w:rPr>
        <w:t>The service user's perspective was also taken into consideration. Since they were fully capable, I wanted to make sure that they felt listened to and involved in discussions about their care. Following the update of the care plan, I felt confident that the situation had been managed safely through effective communication and collaboration. My experience taught me the importance of talking openly about potential risks, even when it may initially seem difficult, when providing person-</w:t>
      </w:r>
      <w:r w:rsidRPr="00785F2B">
        <w:rPr>
          <w:rFonts w:ascii="Arial" w:eastAsia="Arial" w:hAnsi="Arial" w:cs="Arial"/>
          <w:szCs w:val="24"/>
        </w:rPr>
        <w:t>centred</w:t>
      </w:r>
      <w:r w:rsidRPr="00785F2B">
        <w:rPr>
          <w:rFonts w:ascii="Arial" w:eastAsia="Arial" w:hAnsi="Arial" w:cs="Arial"/>
          <w:szCs w:val="24"/>
        </w:rPr>
        <w:t>, ethical and accountable care to patients (HCPC, 2022).</w:t>
      </w:r>
    </w:p>
    <w:p w14:paraId="00BEE25D" w14:textId="77777777" w:rsidR="00E34CCF" w:rsidRPr="009531AC" w:rsidRDefault="00E34CCF" w:rsidP="00E34CCF">
      <w:pPr>
        <w:spacing w:after="0" w:line="360" w:lineRule="auto"/>
        <w:rPr>
          <w:rFonts w:ascii="Arial" w:eastAsia="Arial" w:hAnsi="Arial" w:cs="Arial"/>
          <w:b/>
          <w:bCs/>
          <w:szCs w:val="24"/>
        </w:rPr>
      </w:pPr>
    </w:p>
    <w:p w14:paraId="35FEB8FE" w14:textId="77777777" w:rsidR="00E34CCF" w:rsidRPr="009531AC" w:rsidRDefault="00E34CCF" w:rsidP="00E34CCF">
      <w:pPr>
        <w:pStyle w:val="Heading2"/>
        <w:rPr>
          <w:b/>
          <w:bCs/>
        </w:rPr>
      </w:pPr>
      <w:bookmarkStart w:id="5" w:name="_Toc235867442"/>
      <w:r w:rsidRPr="009531AC">
        <w:rPr>
          <w:b/>
          <w:bCs/>
        </w:rPr>
        <w:t>Evaluation</w:t>
      </w:r>
      <w:bookmarkEnd w:id="5"/>
    </w:p>
    <w:p w14:paraId="080BAC63" w14:textId="77777777" w:rsidR="00E34CCF" w:rsidRPr="009531AC" w:rsidRDefault="00E34CCF" w:rsidP="00E34CCF">
      <w:pPr>
        <w:spacing w:after="0" w:line="360" w:lineRule="auto"/>
        <w:rPr>
          <w:rFonts w:ascii="Arial" w:eastAsia="Arial" w:hAnsi="Arial" w:cs="Arial"/>
          <w:b/>
          <w:bCs/>
          <w:szCs w:val="24"/>
        </w:rPr>
      </w:pPr>
    </w:p>
    <w:p w14:paraId="0D2C6AE7" w14:textId="4312CA6E"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xml:space="preserve">Reflecting on this experience, I believe that several aspects of my practice were effective. The first thing I did when I identified a potential risk to the safety of the service user was to </w:t>
      </w:r>
      <w:r w:rsidRPr="00DB1252">
        <w:rPr>
          <w:rFonts w:ascii="Arial" w:eastAsia="Arial" w:hAnsi="Arial" w:cs="Arial"/>
          <w:szCs w:val="24"/>
        </w:rPr>
        <w:t>act</w:t>
      </w:r>
      <w:r w:rsidRPr="00DB1252">
        <w:rPr>
          <w:rFonts w:ascii="Arial" w:eastAsia="Arial" w:hAnsi="Arial" w:cs="Arial"/>
          <w:szCs w:val="24"/>
        </w:rPr>
        <w:t xml:space="preserve"> immediately. Instead of expecting that the medication change had already been incorporated into the care plan, I notified my senior colleagues and contacted the care coordinator. Providing safe and appropriate care to the service user requires accurate communication between healthcare professionals, as shown in this example.</w:t>
      </w:r>
    </w:p>
    <w:p w14:paraId="7C0DE958"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3CBDD579" w14:textId="10D7E82E"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lastRenderedPageBreak/>
        <w:t>Another positive aspect was my person-</w:t>
      </w:r>
      <w:r w:rsidRPr="00DB1252">
        <w:rPr>
          <w:rFonts w:ascii="Arial" w:eastAsia="Arial" w:hAnsi="Arial" w:cs="Arial"/>
          <w:szCs w:val="24"/>
        </w:rPr>
        <w:t>centred</w:t>
      </w:r>
      <w:r w:rsidRPr="00DB1252">
        <w:rPr>
          <w:rFonts w:ascii="Arial" w:eastAsia="Arial" w:hAnsi="Arial" w:cs="Arial"/>
          <w:szCs w:val="24"/>
        </w:rPr>
        <w:t xml:space="preserve"> approach throughout the situation. As much as the medication issue created a safety concern, I maintained that the service user had capacity and could participate in decisions concerning their care. As part of the discussion about changes to their routine, I made sure their opinions were respected. Individual autonomy must be respected while professional responsibility must be balanced.</w:t>
      </w:r>
    </w:p>
    <w:p w14:paraId="59B34A36" w14:textId="170CBDC1"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Even though I responded appropriately, I reali</w:t>
      </w:r>
      <w:r w:rsidR="002343CF">
        <w:rPr>
          <w:rFonts w:ascii="Arial" w:eastAsia="Arial" w:hAnsi="Arial" w:cs="Arial"/>
          <w:szCs w:val="24"/>
        </w:rPr>
        <w:t>s</w:t>
      </w:r>
      <w:r w:rsidRPr="00DB1252">
        <w:rPr>
          <w:rFonts w:ascii="Arial" w:eastAsia="Arial" w:hAnsi="Arial" w:cs="Arial"/>
          <w:szCs w:val="24"/>
        </w:rPr>
        <w:t xml:space="preserve">ed I was limited in my understanding of medication-related information and its wider clinical implications. I have the confidence to identify concerns and communicate effectively with other professionals if I have more clinical knowledge. As a further improvement, I aim to maintain clear and accurate records </w:t>
      </w:r>
      <w:proofErr w:type="gramStart"/>
      <w:r w:rsidRPr="00DB1252">
        <w:rPr>
          <w:rFonts w:ascii="Arial" w:eastAsia="Arial" w:hAnsi="Arial" w:cs="Arial"/>
          <w:szCs w:val="24"/>
        </w:rPr>
        <w:t>in order to</w:t>
      </w:r>
      <w:proofErr w:type="gramEnd"/>
      <w:r w:rsidRPr="00DB1252">
        <w:rPr>
          <w:rFonts w:ascii="Arial" w:eastAsia="Arial" w:hAnsi="Arial" w:cs="Arial"/>
          <w:szCs w:val="24"/>
        </w:rPr>
        <w:t xml:space="preserve"> maintain continuity and safety of care.</w:t>
      </w:r>
    </w:p>
    <w:p w14:paraId="4E32EFDA"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1328702A"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A valuable aspect of this experience was seeing how person-centred care, partnership working, and ethical decision-making are incorporated into everyday health and social care practices. Having experienced it, I realised that safe care is more than completing tasks; it's about recognising risks, communicating concerns, and advocating for those receiving care.</w:t>
      </w:r>
    </w:p>
    <w:p w14:paraId="5EF5E096" w14:textId="1163B94D" w:rsidR="00E34CCF" w:rsidRPr="009531AC" w:rsidRDefault="00E34CCF" w:rsidP="00DB1252">
      <w:pPr>
        <w:spacing w:after="0" w:line="360" w:lineRule="auto"/>
        <w:rPr>
          <w:rFonts w:ascii="Arial" w:eastAsia="Arial" w:hAnsi="Arial" w:cs="Arial"/>
          <w:b/>
          <w:bCs/>
          <w:szCs w:val="24"/>
        </w:rPr>
      </w:pPr>
    </w:p>
    <w:p w14:paraId="19B5C26C" w14:textId="77777777" w:rsidR="00E34CCF" w:rsidRPr="009531AC" w:rsidRDefault="00E34CCF" w:rsidP="00E34CCF">
      <w:pPr>
        <w:spacing w:after="0" w:line="360" w:lineRule="auto"/>
        <w:rPr>
          <w:rFonts w:ascii="Arial" w:eastAsia="Arial" w:hAnsi="Arial" w:cs="Arial"/>
          <w:b/>
          <w:bCs/>
          <w:szCs w:val="24"/>
        </w:rPr>
      </w:pPr>
    </w:p>
    <w:p w14:paraId="6CF05A3C" w14:textId="77777777" w:rsidR="00E34CCF" w:rsidRPr="009531AC" w:rsidRDefault="00E34CCF" w:rsidP="00E34CCF">
      <w:pPr>
        <w:pStyle w:val="Heading2"/>
        <w:rPr>
          <w:b/>
          <w:bCs/>
        </w:rPr>
      </w:pPr>
      <w:bookmarkStart w:id="6" w:name="_Toc235867443"/>
      <w:r w:rsidRPr="009531AC">
        <w:rPr>
          <w:b/>
          <w:bCs/>
        </w:rPr>
        <w:t>Analysis</w:t>
      </w:r>
      <w:bookmarkEnd w:id="6"/>
    </w:p>
    <w:p w14:paraId="5BC2A80E" w14:textId="77777777" w:rsidR="00E34CCF" w:rsidRPr="009531AC" w:rsidRDefault="00E34CCF" w:rsidP="00E34CCF">
      <w:pPr>
        <w:spacing w:after="0" w:line="360" w:lineRule="auto"/>
        <w:rPr>
          <w:rFonts w:ascii="Arial" w:eastAsia="Arial" w:hAnsi="Arial" w:cs="Arial"/>
          <w:b/>
          <w:bCs/>
          <w:szCs w:val="24"/>
        </w:rPr>
      </w:pPr>
    </w:p>
    <w:p w14:paraId="43228B7B" w14:textId="52E98ECC"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When looking at this experience, I have come to understand that person-</w:t>
      </w:r>
      <w:r w:rsidRPr="00DB1252">
        <w:rPr>
          <w:rFonts w:ascii="Arial" w:eastAsia="Arial" w:hAnsi="Arial" w:cs="Arial"/>
          <w:szCs w:val="24"/>
        </w:rPr>
        <w:t>centred</w:t>
      </w:r>
      <w:r w:rsidRPr="00DB1252">
        <w:rPr>
          <w:rFonts w:ascii="Arial" w:eastAsia="Arial" w:hAnsi="Arial" w:cs="Arial"/>
          <w:szCs w:val="24"/>
        </w:rPr>
        <w:t xml:space="preserve"> care involves more than providing physical support; it involves recogni</w:t>
      </w:r>
      <w:r w:rsidR="002343CF">
        <w:rPr>
          <w:rFonts w:ascii="Arial" w:eastAsia="Arial" w:hAnsi="Arial" w:cs="Arial"/>
          <w:szCs w:val="24"/>
        </w:rPr>
        <w:t>s</w:t>
      </w:r>
      <w:r w:rsidRPr="00DB1252">
        <w:rPr>
          <w:rFonts w:ascii="Arial" w:eastAsia="Arial" w:hAnsi="Arial" w:cs="Arial"/>
          <w:szCs w:val="24"/>
        </w:rPr>
        <w:t>ing the person as an active participant in their own health and wellbeing decision-making. In this situation, the service user had the capacity to make decisions about their care, meaning their preferences and choices needed to be respected. As part of the obligation to respect autonomy, I acknowledged the service user's right to participate in decisions regarding their medications, while practicing beneficence and non-maleficence required that I reduce potential harm caused by inaccurate information about medications.</w:t>
      </w:r>
    </w:p>
    <w:p w14:paraId="1F4DB9E3"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03E108E5" w14:textId="3FBD6541"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xml:space="preserve">The experience also demonstrated the importance of working within the principles of the Mental Capacity Act 2005. Despite the service user's capacity to make their own decisions, I recognised that professionals must provide appropriate information to </w:t>
      </w:r>
      <w:r w:rsidRPr="00DB1252">
        <w:rPr>
          <w:rFonts w:ascii="Arial" w:eastAsia="Arial" w:hAnsi="Arial" w:cs="Arial"/>
          <w:szCs w:val="24"/>
        </w:rPr>
        <w:lastRenderedPageBreak/>
        <w:t>individuals and support them in making informed decisions (HM Government, 2005). It highlights the need to balance independence with safety when providing person-</w:t>
      </w:r>
      <w:r w:rsidRPr="00DB1252">
        <w:rPr>
          <w:rFonts w:ascii="Arial" w:eastAsia="Arial" w:hAnsi="Arial" w:cs="Arial"/>
          <w:szCs w:val="24"/>
        </w:rPr>
        <w:t>centred</w:t>
      </w:r>
      <w:r w:rsidRPr="00DB1252">
        <w:rPr>
          <w:rFonts w:ascii="Arial" w:eastAsia="Arial" w:hAnsi="Arial" w:cs="Arial"/>
          <w:szCs w:val="24"/>
        </w:rPr>
        <w:t xml:space="preserve"> care, not simply letting individuals make choices without professional guidance. The Care Act 2014 supports this approach by emphasising wellbeing, human rights, freedom, and control as key components of effective care delivery (HM Government, 2014).</w:t>
      </w:r>
    </w:p>
    <w:p w14:paraId="6B1EDAFB"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19C3CC51"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xml:space="preserve">During this experience, partnership worked was also an important component. Rather than being resolved by a single individual, the problem required collaboration between myself, senior healthcare assistants, the care coordinator, and the GP. Glasby and Dickinson (2014) describe how effective partnership work ensures continuity of care by ensuring that professionals share relevant information and cooperate toward the same goal. The Health and Care Act 2022 highlights how integrated working between health and social care services to improve outcomes and reduce fragmentation of care (HM Government, 2022). Partnerships also present challenges, particularly communication delays between different services, </w:t>
      </w:r>
      <w:proofErr w:type="gramStart"/>
      <w:r w:rsidRPr="00DB1252">
        <w:rPr>
          <w:rFonts w:ascii="Arial" w:eastAsia="Arial" w:hAnsi="Arial" w:cs="Arial"/>
          <w:szCs w:val="24"/>
        </w:rPr>
        <w:t>as a result of</w:t>
      </w:r>
      <w:proofErr w:type="gramEnd"/>
      <w:r w:rsidRPr="00DB1252">
        <w:rPr>
          <w:rFonts w:ascii="Arial" w:eastAsia="Arial" w:hAnsi="Arial" w:cs="Arial"/>
          <w:szCs w:val="24"/>
        </w:rPr>
        <w:t xml:space="preserve"> this experience. If information about medication changes is not shared effectively, individuals may experience avoidable risks. A safe practice requires accurate documentation and timely communication.</w:t>
      </w:r>
    </w:p>
    <w:p w14:paraId="07820018"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214A42D5"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I found this situation to be both a source of strength and a source of improvement when reflecting on my own professional development. Identifying concerns and communicating with colleagues helped me achieve a positive outcome. I realised, however, that I would be able to identify potential risks more confidently if I improved my clinical knowledge, especially concerning medication management and long-term conditions such as diabetes and hypertension. Furthermore, my improved organisational and documentation skills will contribute to safer practice by ensuring that information is clearly recorded and available to all care team members.</w:t>
      </w:r>
    </w:p>
    <w:p w14:paraId="38F29C01" w14:textId="77777777"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 </w:t>
      </w:r>
    </w:p>
    <w:p w14:paraId="4E5795CC" w14:textId="055BCED4" w:rsidR="00DB1252" w:rsidRPr="00DB1252" w:rsidRDefault="00DB1252" w:rsidP="00DB1252">
      <w:pPr>
        <w:spacing w:after="0" w:line="360" w:lineRule="auto"/>
        <w:rPr>
          <w:rFonts w:ascii="Arial" w:eastAsia="Arial" w:hAnsi="Arial" w:cs="Arial"/>
          <w:szCs w:val="24"/>
        </w:rPr>
      </w:pPr>
      <w:r w:rsidRPr="00DB1252">
        <w:rPr>
          <w:rFonts w:ascii="Arial" w:eastAsia="Arial" w:hAnsi="Arial" w:cs="Arial"/>
          <w:szCs w:val="24"/>
        </w:rPr>
        <w:t>The overall lesson from this experience is that ethical decision-making, effective partnership working, and person-</w:t>
      </w:r>
      <w:r w:rsidRPr="00DB1252">
        <w:rPr>
          <w:rFonts w:ascii="Arial" w:eastAsia="Arial" w:hAnsi="Arial" w:cs="Arial"/>
          <w:szCs w:val="24"/>
        </w:rPr>
        <w:t>centred</w:t>
      </w:r>
      <w:r w:rsidRPr="00DB1252">
        <w:rPr>
          <w:rFonts w:ascii="Arial" w:eastAsia="Arial" w:hAnsi="Arial" w:cs="Arial"/>
          <w:szCs w:val="24"/>
        </w:rPr>
        <w:t xml:space="preserve"> values are essential to ensuring high quality health and social care. In addition to completing delegated tasks, healthcare practitioners must actively advocate for patients, recognise risks, and contribute to collaborative approaches that focus on patient safety and compassion.</w:t>
      </w:r>
    </w:p>
    <w:p w14:paraId="64088014" w14:textId="111A9F3C" w:rsidR="00E34CCF" w:rsidRPr="009531AC" w:rsidRDefault="00E34CCF" w:rsidP="00DB1252">
      <w:pPr>
        <w:spacing w:after="0" w:line="360" w:lineRule="auto"/>
        <w:rPr>
          <w:rFonts w:ascii="Arial" w:eastAsia="Arial" w:hAnsi="Arial" w:cs="Arial"/>
          <w:b/>
          <w:bCs/>
          <w:szCs w:val="24"/>
        </w:rPr>
      </w:pPr>
    </w:p>
    <w:p w14:paraId="35266CA9" w14:textId="77777777" w:rsidR="00E34CCF" w:rsidRPr="009531AC" w:rsidRDefault="00E34CCF" w:rsidP="00E34CCF">
      <w:pPr>
        <w:spacing w:after="0" w:line="360" w:lineRule="auto"/>
        <w:rPr>
          <w:rFonts w:ascii="Arial" w:eastAsia="Arial" w:hAnsi="Arial" w:cs="Arial"/>
          <w:b/>
          <w:bCs/>
          <w:szCs w:val="24"/>
        </w:rPr>
      </w:pPr>
    </w:p>
    <w:p w14:paraId="1E2370BB" w14:textId="77777777" w:rsidR="00E34CCF" w:rsidRPr="009531AC" w:rsidRDefault="00E34CCF" w:rsidP="00E34CCF">
      <w:pPr>
        <w:pStyle w:val="Heading2"/>
        <w:rPr>
          <w:b/>
          <w:bCs/>
        </w:rPr>
      </w:pPr>
      <w:bookmarkStart w:id="7" w:name="_Toc235867444"/>
      <w:r w:rsidRPr="009531AC">
        <w:rPr>
          <w:b/>
          <w:bCs/>
        </w:rPr>
        <w:t>Conclusion</w:t>
      </w:r>
      <w:bookmarkEnd w:id="7"/>
    </w:p>
    <w:p w14:paraId="50A86789" w14:textId="77777777" w:rsidR="00E34CCF" w:rsidRPr="002343CF" w:rsidRDefault="00E34CCF" w:rsidP="00E34CCF">
      <w:pPr>
        <w:spacing w:after="0" w:line="360" w:lineRule="auto"/>
        <w:rPr>
          <w:rFonts w:ascii="Arial" w:eastAsia="Arial" w:hAnsi="Arial" w:cs="Arial"/>
          <w:szCs w:val="24"/>
        </w:rPr>
      </w:pPr>
    </w:p>
    <w:p w14:paraId="0CCA1096" w14:textId="6A9F5679" w:rsidR="002343CF" w:rsidRPr="002343CF" w:rsidRDefault="002343CF" w:rsidP="002343CF">
      <w:pPr>
        <w:spacing w:after="0" w:line="360" w:lineRule="auto"/>
        <w:rPr>
          <w:rFonts w:ascii="Arial" w:eastAsia="Arial" w:hAnsi="Arial" w:cs="Arial"/>
          <w:szCs w:val="24"/>
        </w:rPr>
      </w:pPr>
      <w:r w:rsidRPr="002343CF">
        <w:rPr>
          <w:rFonts w:ascii="Arial" w:eastAsia="Arial" w:hAnsi="Arial" w:cs="Arial"/>
          <w:szCs w:val="24"/>
        </w:rPr>
        <w:t>As this reflection illustrates, person-</w:t>
      </w:r>
      <w:r w:rsidRPr="002343CF">
        <w:rPr>
          <w:rFonts w:ascii="Arial" w:eastAsia="Arial" w:hAnsi="Arial" w:cs="Arial"/>
          <w:szCs w:val="24"/>
        </w:rPr>
        <w:t>centred</w:t>
      </w:r>
      <w:r w:rsidRPr="002343CF">
        <w:rPr>
          <w:rFonts w:ascii="Arial" w:eastAsia="Arial" w:hAnsi="Arial" w:cs="Arial"/>
          <w:szCs w:val="24"/>
        </w:rPr>
        <w:t xml:space="preserve"> care, partnership working, and ethical principles are integral components of </w:t>
      </w:r>
      <w:r w:rsidRPr="002343CF">
        <w:rPr>
          <w:rFonts w:ascii="Arial" w:eastAsia="Arial" w:hAnsi="Arial" w:cs="Arial"/>
          <w:szCs w:val="24"/>
        </w:rPr>
        <w:t>everyday</w:t>
      </w:r>
      <w:r w:rsidRPr="002343CF">
        <w:rPr>
          <w:rFonts w:ascii="Arial" w:eastAsia="Arial" w:hAnsi="Arial" w:cs="Arial"/>
          <w:szCs w:val="24"/>
        </w:rPr>
        <w:t xml:space="preserve"> health and social care practice. It was evident from the experience that even routine aspects of care, such as supporting medication changes, require professional judgement, effective communication, and a commitment to maintaining individual dignity and safety. Providing person-</w:t>
      </w:r>
      <w:r w:rsidRPr="002343CF">
        <w:rPr>
          <w:rFonts w:ascii="Arial" w:eastAsia="Arial" w:hAnsi="Arial" w:cs="Arial"/>
          <w:szCs w:val="24"/>
        </w:rPr>
        <w:t>centred</w:t>
      </w:r>
      <w:r w:rsidRPr="002343CF">
        <w:rPr>
          <w:rFonts w:ascii="Arial" w:eastAsia="Arial" w:hAnsi="Arial" w:cs="Arial"/>
          <w:szCs w:val="24"/>
        </w:rPr>
        <w:t xml:space="preserve"> care goes beyond meeting physical needs; it involves respecting individuals' choices, promoting independence, and ensuring they remain active participants in their care decisions.</w:t>
      </w:r>
    </w:p>
    <w:p w14:paraId="3EEB0BD4" w14:textId="77777777" w:rsidR="002343CF" w:rsidRPr="002343CF" w:rsidRDefault="002343CF" w:rsidP="002343CF">
      <w:pPr>
        <w:spacing w:after="0" w:line="360" w:lineRule="auto"/>
        <w:rPr>
          <w:rFonts w:ascii="Arial" w:eastAsia="Arial" w:hAnsi="Arial" w:cs="Arial"/>
          <w:szCs w:val="24"/>
        </w:rPr>
      </w:pPr>
      <w:r w:rsidRPr="002343CF">
        <w:rPr>
          <w:rFonts w:ascii="Arial" w:eastAsia="Arial" w:hAnsi="Arial" w:cs="Arial"/>
          <w:szCs w:val="24"/>
        </w:rPr>
        <w:t> </w:t>
      </w:r>
    </w:p>
    <w:p w14:paraId="5A31ACD7" w14:textId="17B93A10" w:rsidR="002343CF" w:rsidRPr="002343CF" w:rsidRDefault="002343CF" w:rsidP="002343CF">
      <w:pPr>
        <w:spacing w:after="0" w:line="360" w:lineRule="auto"/>
        <w:rPr>
          <w:rFonts w:ascii="Arial" w:eastAsia="Arial" w:hAnsi="Arial" w:cs="Arial"/>
          <w:szCs w:val="24"/>
        </w:rPr>
      </w:pPr>
      <w:r w:rsidRPr="002343CF">
        <w:rPr>
          <w:rFonts w:ascii="Arial" w:eastAsia="Arial" w:hAnsi="Arial" w:cs="Arial"/>
          <w:szCs w:val="24"/>
        </w:rPr>
        <w:t>Furthermore, the situation reinforced the importance of collaborative working, as safe outcomes were achieved by communicating effectively with colleagues, care coordinators, and other healthcare providers. Besides providing support, I recogni</w:t>
      </w:r>
      <w:r w:rsidRPr="002343CF">
        <w:rPr>
          <w:rFonts w:ascii="Arial" w:eastAsia="Arial" w:hAnsi="Arial" w:cs="Arial"/>
          <w:szCs w:val="24"/>
        </w:rPr>
        <w:t>s</w:t>
      </w:r>
      <w:r w:rsidRPr="002343CF">
        <w:rPr>
          <w:rFonts w:ascii="Arial" w:eastAsia="Arial" w:hAnsi="Arial" w:cs="Arial"/>
          <w:szCs w:val="24"/>
        </w:rPr>
        <w:t>e potential risks, raise concerns appropriately, and contribute to a culture of safety and compassion. With this experience, I feel more confident as a developing health and social care professional and motivated to keep improving my knowledge, skills and professional accountability.</w:t>
      </w:r>
    </w:p>
    <w:p w14:paraId="50269445" w14:textId="77777777" w:rsidR="00E34CCF" w:rsidRPr="009531AC" w:rsidRDefault="00E34CCF" w:rsidP="00E34CCF">
      <w:pPr>
        <w:spacing w:after="0" w:line="360" w:lineRule="auto"/>
        <w:rPr>
          <w:rFonts w:ascii="Arial" w:eastAsia="Arial" w:hAnsi="Arial" w:cs="Arial"/>
          <w:b/>
          <w:bCs/>
          <w:szCs w:val="24"/>
        </w:rPr>
      </w:pPr>
    </w:p>
    <w:p w14:paraId="7312FE7E" w14:textId="77777777" w:rsidR="00E34CCF" w:rsidRPr="009531AC" w:rsidRDefault="00E34CCF" w:rsidP="00E34CCF">
      <w:pPr>
        <w:pStyle w:val="Heading2"/>
        <w:rPr>
          <w:b/>
          <w:bCs/>
        </w:rPr>
      </w:pPr>
      <w:bookmarkStart w:id="8" w:name="_Toc235867445"/>
      <w:r w:rsidRPr="009531AC">
        <w:rPr>
          <w:b/>
          <w:bCs/>
        </w:rPr>
        <w:t>Action Plan</w:t>
      </w:r>
      <w:bookmarkEnd w:id="8"/>
    </w:p>
    <w:p w14:paraId="3ABA2966" w14:textId="77777777" w:rsidR="00E34CCF" w:rsidRPr="00D24AA9" w:rsidRDefault="00E34CCF" w:rsidP="00E34CCF">
      <w:pPr>
        <w:spacing w:after="0" w:line="360" w:lineRule="auto"/>
        <w:rPr>
          <w:rFonts w:ascii="Arial" w:eastAsia="Arial" w:hAnsi="Arial" w:cs="Arial"/>
          <w:szCs w:val="24"/>
        </w:rPr>
      </w:pPr>
    </w:p>
    <w:p w14:paraId="6C39F530" w14:textId="02B63F38" w:rsidR="00D24AA9" w:rsidRPr="00D24AA9" w:rsidRDefault="00E34CCF" w:rsidP="00D24AA9">
      <w:pPr>
        <w:spacing w:after="0" w:line="360" w:lineRule="auto"/>
        <w:rPr>
          <w:rFonts w:ascii="Arial" w:eastAsia="Arial" w:hAnsi="Arial" w:cs="Arial"/>
          <w:szCs w:val="24"/>
        </w:rPr>
      </w:pPr>
      <w:r w:rsidRPr="00D24AA9">
        <w:rPr>
          <w:rFonts w:ascii="Arial" w:eastAsia="Arial" w:hAnsi="Arial" w:cs="Arial"/>
          <w:szCs w:val="24"/>
        </w:rPr>
        <w:t xml:space="preserve">Following </w:t>
      </w:r>
      <w:r w:rsidR="00D24AA9" w:rsidRPr="00D24AA9">
        <w:rPr>
          <w:rFonts w:ascii="Arial" w:eastAsia="Arial" w:hAnsi="Arial" w:cs="Arial"/>
          <w:szCs w:val="24"/>
        </w:rPr>
        <w:t>Having reflected on my professional development, I have identified several areas of further development. My first objective is to enhance my clinical knowledge, particularly regarding medication management and the impact of long-term conditions such as diabetes and hypertension on an individual's health. Despite my role as a healthcare assistant requiring me to work within my scope of practice, I will be better equipped to recogni</w:t>
      </w:r>
      <w:r w:rsidR="00D24AA9">
        <w:rPr>
          <w:rFonts w:ascii="Arial" w:eastAsia="Arial" w:hAnsi="Arial" w:cs="Arial"/>
          <w:szCs w:val="24"/>
        </w:rPr>
        <w:t>s</w:t>
      </w:r>
      <w:r w:rsidR="00D24AA9" w:rsidRPr="00D24AA9">
        <w:rPr>
          <w:rFonts w:ascii="Arial" w:eastAsia="Arial" w:hAnsi="Arial" w:cs="Arial"/>
          <w:szCs w:val="24"/>
        </w:rPr>
        <w:t>e concerns and communicate effectively with other staff members if I develop a deeper understanding of health conditions. This will be accomplished by attending relevant training sessions, engaging in continuing professional development (CPD), and undertaking further independent study.</w:t>
      </w:r>
    </w:p>
    <w:p w14:paraId="06802994" w14:textId="77777777"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t> </w:t>
      </w:r>
    </w:p>
    <w:p w14:paraId="7DC7BF0B" w14:textId="77777777"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lastRenderedPageBreak/>
        <w:t>I would like to improve my skills in organising, managing my time, and documenting. It is imperative to maintain accurate records to maintain continuity of care and ensure effective communication between professionals. By planning my workload using structured approaches, seeking feedback from senior colleagues, and reviewing documentation standards at work regularly, I intend to develop these skills.</w:t>
      </w:r>
    </w:p>
    <w:p w14:paraId="72F9169C" w14:textId="77777777"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t> </w:t>
      </w:r>
    </w:p>
    <w:p w14:paraId="58E54433" w14:textId="77777777"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t>Moreover, I am looking forward to continuing to improve my communication and partnership-working skills through active involvement with multidisciplinary teams. As a mental health and children's services professional, I will explore opportunities to enhance my understanding of safeguarding, communication strategies, and approaches that promote emotional well-being.</w:t>
      </w:r>
    </w:p>
    <w:p w14:paraId="6E763729" w14:textId="77777777"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t> </w:t>
      </w:r>
    </w:p>
    <w:p w14:paraId="482F098B" w14:textId="30242D74" w:rsidR="00D24AA9" w:rsidRPr="00D24AA9" w:rsidRDefault="00D24AA9" w:rsidP="00D24AA9">
      <w:pPr>
        <w:spacing w:after="0" w:line="360" w:lineRule="auto"/>
        <w:rPr>
          <w:rFonts w:ascii="Arial" w:eastAsia="Arial" w:hAnsi="Arial" w:cs="Arial"/>
          <w:szCs w:val="24"/>
        </w:rPr>
      </w:pPr>
      <w:r w:rsidRPr="00D24AA9">
        <w:rPr>
          <w:rFonts w:ascii="Arial" w:eastAsia="Arial" w:hAnsi="Arial" w:cs="Arial"/>
          <w:szCs w:val="24"/>
        </w:rPr>
        <w:t>Overall, my reflections have shown me the importance of lifelong learning, self-awareness, and a commitment to improving practices when becoming a health and social care professional. As I continue to grow in my career, I aim to provide safer, more compassionate and person-</w:t>
      </w:r>
      <w:r w:rsidRPr="00D24AA9">
        <w:rPr>
          <w:rFonts w:ascii="Arial" w:eastAsia="Arial" w:hAnsi="Arial" w:cs="Arial"/>
          <w:szCs w:val="24"/>
        </w:rPr>
        <w:t>centred</w:t>
      </w:r>
      <w:r w:rsidRPr="00D24AA9">
        <w:rPr>
          <w:rFonts w:ascii="Arial" w:eastAsia="Arial" w:hAnsi="Arial" w:cs="Arial"/>
          <w:szCs w:val="24"/>
        </w:rPr>
        <w:t xml:space="preserve"> care.</w:t>
      </w:r>
    </w:p>
    <w:p w14:paraId="4F8DF7D5" w14:textId="77777777" w:rsidR="00D24AA9" w:rsidRPr="00D24AA9" w:rsidRDefault="00D24AA9" w:rsidP="00D24AA9">
      <w:pPr>
        <w:spacing w:after="0" w:line="360" w:lineRule="auto"/>
        <w:rPr>
          <w:rFonts w:ascii="Arial" w:eastAsia="Arial" w:hAnsi="Arial" w:cs="Arial"/>
          <w:b/>
          <w:bCs/>
          <w:szCs w:val="24"/>
        </w:rPr>
      </w:pPr>
      <w:r w:rsidRPr="00D24AA9">
        <w:rPr>
          <w:rFonts w:ascii="Arial" w:eastAsia="Arial" w:hAnsi="Arial" w:cs="Arial"/>
          <w:b/>
          <w:bCs/>
          <w:szCs w:val="24"/>
        </w:rPr>
        <w:t> </w:t>
      </w:r>
    </w:p>
    <w:p w14:paraId="14697428" w14:textId="77777777" w:rsidR="00D24AA9" w:rsidRPr="00D24AA9" w:rsidRDefault="00D24AA9" w:rsidP="00D24AA9">
      <w:pPr>
        <w:spacing w:after="0" w:line="360" w:lineRule="auto"/>
        <w:rPr>
          <w:rFonts w:ascii="Arial" w:eastAsia="Arial" w:hAnsi="Arial" w:cs="Arial"/>
          <w:b/>
          <w:bCs/>
          <w:szCs w:val="24"/>
        </w:rPr>
      </w:pPr>
      <w:r w:rsidRPr="00D24AA9">
        <w:rPr>
          <w:rFonts w:ascii="Arial" w:eastAsia="Arial" w:hAnsi="Arial" w:cs="Arial"/>
          <w:b/>
          <w:bCs/>
          <w:szCs w:val="24"/>
        </w:rPr>
        <w:t> </w:t>
      </w:r>
    </w:p>
    <w:p w14:paraId="089A5A34" w14:textId="2C99EAD7" w:rsidR="00E34CCF" w:rsidRDefault="00E34CCF" w:rsidP="00D24AA9">
      <w:pPr>
        <w:spacing w:after="0" w:line="360" w:lineRule="auto"/>
        <w:rPr>
          <w:rFonts w:ascii="Arial" w:eastAsia="Arial" w:hAnsi="Arial" w:cs="Arial"/>
          <w:b/>
          <w:bCs/>
          <w:szCs w:val="24"/>
        </w:rPr>
      </w:pPr>
    </w:p>
    <w:p w14:paraId="0B8BFDE1" w14:textId="1D145B42" w:rsidR="00553E7B" w:rsidRDefault="00553E7B" w:rsidP="00A11336">
      <w:pPr>
        <w:spacing w:after="0" w:line="360" w:lineRule="auto"/>
        <w:rPr>
          <w:rFonts w:ascii="Arial" w:eastAsia="Arial" w:hAnsi="Arial" w:cs="Arial"/>
          <w:b/>
          <w:bCs/>
          <w:szCs w:val="24"/>
        </w:rPr>
      </w:pPr>
      <w:r>
        <w:rPr>
          <w:rFonts w:ascii="Arial" w:eastAsia="Arial" w:hAnsi="Arial" w:cs="Arial"/>
          <w:b/>
          <w:bCs/>
          <w:noProof/>
          <w:szCs w:val="24"/>
        </w:rPr>
        <w:drawing>
          <wp:inline distT="0" distB="0" distL="0" distR="0" wp14:anchorId="160DE440" wp14:editId="5C6801A7">
            <wp:extent cx="4514850" cy="3009900"/>
            <wp:effectExtent l="0" t="0" r="0" b="0"/>
            <wp:docPr id="13040584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3009900"/>
                    </a:xfrm>
                    <a:prstGeom prst="rect">
                      <a:avLst/>
                    </a:prstGeom>
                    <a:noFill/>
                  </pic:spPr>
                </pic:pic>
              </a:graphicData>
            </a:graphic>
          </wp:inline>
        </w:drawing>
      </w:r>
    </w:p>
    <w:p w14:paraId="58B3C3E6" w14:textId="6D51E465" w:rsidR="002343CF" w:rsidRDefault="002343CF" w:rsidP="0035582C">
      <w:pPr>
        <w:pStyle w:val="Heading1"/>
      </w:pPr>
      <w:bookmarkStart w:id="9" w:name="_Toc235867446"/>
      <w:r>
        <w:lastRenderedPageBreak/>
        <w:t>Conclusion</w:t>
      </w:r>
      <w:bookmarkEnd w:id="9"/>
      <w:r>
        <w:t xml:space="preserve"> </w:t>
      </w:r>
    </w:p>
    <w:p w14:paraId="21710F32" w14:textId="0DA22626" w:rsidR="002343CF" w:rsidRPr="0035582C" w:rsidRDefault="0035582C" w:rsidP="0035582C">
      <w:pPr>
        <w:spacing w:line="360" w:lineRule="auto"/>
        <w:rPr>
          <w:rFonts w:ascii="Arial" w:hAnsi="Arial" w:cs="Arial"/>
        </w:rPr>
      </w:pPr>
      <w:r w:rsidRPr="0035582C">
        <w:rPr>
          <w:rFonts w:ascii="Arial" w:hAnsi="Arial" w:cs="Arial"/>
        </w:rPr>
        <w:t>To conclude, I strongly believe that person-</w:t>
      </w:r>
      <w:r w:rsidRPr="0035582C">
        <w:rPr>
          <w:rFonts w:ascii="Arial" w:hAnsi="Arial" w:cs="Arial"/>
        </w:rPr>
        <w:t>centred</w:t>
      </w:r>
      <w:r w:rsidRPr="0035582C">
        <w:rPr>
          <w:rFonts w:ascii="Arial" w:hAnsi="Arial" w:cs="Arial"/>
        </w:rPr>
        <w:t xml:space="preserve"> care, partnership working, and ethical practices are fundamental to providing safe, effective, and compassionate health care. Based on both my theoretical knowledge and professional experience, I have gained a greater appreciation for communication, accountability, and collaboration as important components of achieving positive results for service users. Through continuous professional development, I will continue to uphold professional, legal and ethical standards while providing high-quality, person-</w:t>
      </w:r>
      <w:r w:rsidRPr="0035582C">
        <w:rPr>
          <w:rFonts w:ascii="Arial" w:hAnsi="Arial" w:cs="Arial"/>
        </w:rPr>
        <w:t>centred</w:t>
      </w:r>
      <w:r w:rsidRPr="0035582C">
        <w:rPr>
          <w:rFonts w:ascii="Arial" w:hAnsi="Arial" w:cs="Arial"/>
        </w:rPr>
        <w:t xml:space="preserve"> care.</w:t>
      </w:r>
    </w:p>
    <w:p w14:paraId="5A789721" w14:textId="16C1BCB4" w:rsidR="006D2F2D" w:rsidRPr="001D345E" w:rsidRDefault="006D2F2D" w:rsidP="00E34CCF">
      <w:pPr>
        <w:pStyle w:val="Heading1"/>
      </w:pPr>
      <w:bookmarkStart w:id="10" w:name="_Toc235867447"/>
      <w:r w:rsidRPr="001D345E">
        <w:t>Reference</w:t>
      </w:r>
      <w:r w:rsidR="001D345E" w:rsidRPr="001D345E">
        <w:t>s</w:t>
      </w:r>
      <w:bookmarkEnd w:id="10"/>
    </w:p>
    <w:p w14:paraId="63959794" w14:textId="5D31578C" w:rsidR="00D24AA9" w:rsidRPr="00D24AA9" w:rsidRDefault="00D24AA9" w:rsidP="00D24AA9">
      <w:pPr>
        <w:spacing w:line="360" w:lineRule="auto"/>
        <w:rPr>
          <w:rFonts w:ascii="Arial" w:hAnsi="Arial" w:cs="Arial"/>
          <w:sz w:val="22"/>
        </w:rPr>
      </w:pPr>
      <w:r w:rsidRPr="00D24AA9">
        <w:rPr>
          <w:rFonts w:ascii="Arial" w:hAnsi="Arial" w:cs="Arial"/>
          <w:sz w:val="22"/>
        </w:rPr>
        <w:t xml:space="preserve">Barker, P. (2020) </w:t>
      </w:r>
      <w:r w:rsidRPr="00D24AA9">
        <w:rPr>
          <w:rFonts w:ascii="Arial" w:hAnsi="Arial" w:cs="Arial"/>
          <w:i/>
          <w:iCs/>
          <w:sz w:val="22"/>
        </w:rPr>
        <w:t>Theories and Models of Practice in Health and Social Care</w:t>
      </w:r>
      <w:r w:rsidRPr="00D24AA9">
        <w:rPr>
          <w:rFonts w:ascii="Arial" w:hAnsi="Arial" w:cs="Arial"/>
          <w:sz w:val="22"/>
        </w:rPr>
        <w:t>. London: Sage Publications.</w:t>
      </w:r>
    </w:p>
    <w:p w14:paraId="7CE4E48D"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Beauchamp, T.L. and Childress, J.F. (2019) </w:t>
      </w:r>
      <w:r w:rsidRPr="00D24AA9">
        <w:rPr>
          <w:rFonts w:ascii="Arial" w:hAnsi="Arial" w:cs="Arial"/>
          <w:i/>
          <w:iCs/>
          <w:sz w:val="22"/>
        </w:rPr>
        <w:t>Principles of Biomedical Ethics</w:t>
      </w:r>
      <w:r w:rsidRPr="00D24AA9">
        <w:rPr>
          <w:rFonts w:ascii="Arial" w:hAnsi="Arial" w:cs="Arial"/>
          <w:sz w:val="22"/>
        </w:rPr>
        <w:t xml:space="preserve">. 8th </w:t>
      </w:r>
      <w:proofErr w:type="spellStart"/>
      <w:r w:rsidRPr="00D24AA9">
        <w:rPr>
          <w:rFonts w:ascii="Arial" w:hAnsi="Arial" w:cs="Arial"/>
          <w:sz w:val="22"/>
        </w:rPr>
        <w:t>edn</w:t>
      </w:r>
      <w:proofErr w:type="spellEnd"/>
      <w:r w:rsidRPr="00D24AA9">
        <w:rPr>
          <w:rFonts w:ascii="Arial" w:hAnsi="Arial" w:cs="Arial"/>
          <w:sz w:val="22"/>
        </w:rPr>
        <w:t>. New York: Oxford University Press.</w:t>
      </w:r>
    </w:p>
    <w:p w14:paraId="7420E29D"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Care Quality Commission (2023) </w:t>
      </w:r>
      <w:r w:rsidRPr="00D24AA9">
        <w:rPr>
          <w:rFonts w:ascii="Arial" w:hAnsi="Arial" w:cs="Arial"/>
          <w:i/>
          <w:iCs/>
          <w:sz w:val="22"/>
        </w:rPr>
        <w:t>The Fundamental Standards</w:t>
      </w:r>
      <w:r w:rsidRPr="00D24AA9">
        <w:rPr>
          <w:rFonts w:ascii="Arial" w:hAnsi="Arial" w:cs="Arial"/>
          <w:sz w:val="22"/>
        </w:rPr>
        <w:t xml:space="preserve">. Available at: </w:t>
      </w:r>
      <w:hyperlink r:id="rId10" w:tgtFrame="_new" w:history="1">
        <w:r w:rsidRPr="00D24AA9">
          <w:rPr>
            <w:rStyle w:val="Hyperlink"/>
            <w:rFonts w:ascii="Arial" w:hAnsi="Arial" w:cs="Arial"/>
            <w:sz w:val="22"/>
          </w:rPr>
          <w:t>https://www.cqc.org.uk/guidance-providers/regulations-enforcement/regulations-fundamental-standards</w:t>
        </w:r>
      </w:hyperlink>
      <w:r w:rsidRPr="00D24AA9">
        <w:rPr>
          <w:rFonts w:ascii="Arial" w:hAnsi="Arial" w:cs="Arial"/>
          <w:sz w:val="22"/>
        </w:rPr>
        <w:t xml:space="preserve"> (Accessed: 24 July 2026).</w:t>
      </w:r>
    </w:p>
    <w:p w14:paraId="2CA2A8BB"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Data Protection Act 2018, c.12. London: The Stationery Office. Available at: </w:t>
      </w:r>
      <w:hyperlink r:id="rId11" w:tgtFrame="_new" w:history="1">
        <w:r w:rsidRPr="00D24AA9">
          <w:rPr>
            <w:rStyle w:val="Hyperlink"/>
            <w:rFonts w:ascii="Arial" w:hAnsi="Arial" w:cs="Arial"/>
            <w:sz w:val="22"/>
          </w:rPr>
          <w:t>https://www.legislation.gov.uk/ukpga/2018/12/contents</w:t>
        </w:r>
      </w:hyperlink>
      <w:r w:rsidRPr="00D24AA9">
        <w:rPr>
          <w:rFonts w:ascii="Arial" w:hAnsi="Arial" w:cs="Arial"/>
          <w:sz w:val="22"/>
        </w:rPr>
        <w:t xml:space="preserve"> (Accessed: 24 July 2026).</w:t>
      </w:r>
    </w:p>
    <w:p w14:paraId="772FE5F9"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Glasby, J. and Dickinson, H. (2014) </w:t>
      </w:r>
      <w:r w:rsidRPr="00D24AA9">
        <w:rPr>
          <w:rFonts w:ascii="Arial" w:hAnsi="Arial" w:cs="Arial"/>
          <w:i/>
          <w:iCs/>
          <w:sz w:val="22"/>
        </w:rPr>
        <w:t>Partnership Working in Health and Social Care: What Is Integrated Care and How Can We Deliver It?</w:t>
      </w:r>
      <w:r w:rsidRPr="00D24AA9">
        <w:rPr>
          <w:rFonts w:ascii="Arial" w:hAnsi="Arial" w:cs="Arial"/>
          <w:sz w:val="22"/>
        </w:rPr>
        <w:t xml:space="preserve"> 2nd </w:t>
      </w:r>
      <w:proofErr w:type="spellStart"/>
      <w:r w:rsidRPr="00D24AA9">
        <w:rPr>
          <w:rFonts w:ascii="Arial" w:hAnsi="Arial" w:cs="Arial"/>
          <w:sz w:val="22"/>
        </w:rPr>
        <w:t>edn</w:t>
      </w:r>
      <w:proofErr w:type="spellEnd"/>
      <w:r w:rsidRPr="00D24AA9">
        <w:rPr>
          <w:rFonts w:ascii="Arial" w:hAnsi="Arial" w:cs="Arial"/>
          <w:sz w:val="22"/>
        </w:rPr>
        <w:t>. Bristol: Policy Press.</w:t>
      </w:r>
    </w:p>
    <w:p w14:paraId="03966BB6"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Glasby, J., Dickinson, H. and Miller, R. (2021) ‘Integrated health and social care in England: ten years on’, </w:t>
      </w:r>
      <w:r w:rsidRPr="00D24AA9">
        <w:rPr>
          <w:rFonts w:ascii="Arial" w:hAnsi="Arial" w:cs="Arial"/>
          <w:i/>
          <w:iCs/>
          <w:sz w:val="22"/>
        </w:rPr>
        <w:t>International Journal of Integrated Care</w:t>
      </w:r>
      <w:r w:rsidRPr="00D24AA9">
        <w:rPr>
          <w:rFonts w:ascii="Arial" w:hAnsi="Arial" w:cs="Arial"/>
          <w:sz w:val="22"/>
        </w:rPr>
        <w:t xml:space="preserve">, 21(4), pp. 1–6. Available at: </w:t>
      </w:r>
      <w:hyperlink r:id="rId12" w:tgtFrame="_new" w:history="1">
        <w:r w:rsidRPr="00D24AA9">
          <w:rPr>
            <w:rStyle w:val="Hyperlink"/>
            <w:rFonts w:ascii="Arial" w:hAnsi="Arial" w:cs="Arial"/>
            <w:sz w:val="22"/>
          </w:rPr>
          <w:t>https://doi.org/10.5334/ijic.5666</w:t>
        </w:r>
      </w:hyperlink>
    </w:p>
    <w:p w14:paraId="3CAEC81C"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Health and Care Act 2022, c.31. London: The Stationery Office. Available at: </w:t>
      </w:r>
      <w:hyperlink r:id="rId13" w:tgtFrame="_new" w:history="1">
        <w:r w:rsidRPr="00D24AA9">
          <w:rPr>
            <w:rStyle w:val="Hyperlink"/>
            <w:rFonts w:ascii="Arial" w:hAnsi="Arial" w:cs="Arial"/>
            <w:sz w:val="22"/>
          </w:rPr>
          <w:t>https://www.legislation.gov.uk/ukpga/2022/31/contents</w:t>
        </w:r>
      </w:hyperlink>
      <w:r w:rsidRPr="00D24AA9">
        <w:rPr>
          <w:rFonts w:ascii="Arial" w:hAnsi="Arial" w:cs="Arial"/>
          <w:sz w:val="22"/>
        </w:rPr>
        <w:t xml:space="preserve"> (Accessed: 24 July 2026).</w:t>
      </w:r>
    </w:p>
    <w:p w14:paraId="183FAD58"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Health and Care Professions Council (HCPC) (2024) </w:t>
      </w:r>
      <w:r w:rsidRPr="00D24AA9">
        <w:rPr>
          <w:rFonts w:ascii="Arial" w:hAnsi="Arial" w:cs="Arial"/>
          <w:i/>
          <w:iCs/>
          <w:sz w:val="22"/>
        </w:rPr>
        <w:t>Standards of Conduct, Performance and Ethics</w:t>
      </w:r>
      <w:r w:rsidRPr="00D24AA9">
        <w:rPr>
          <w:rFonts w:ascii="Arial" w:hAnsi="Arial" w:cs="Arial"/>
          <w:sz w:val="22"/>
        </w:rPr>
        <w:t xml:space="preserve">. London: HCPC. Available at: </w:t>
      </w:r>
      <w:hyperlink r:id="rId14" w:tgtFrame="_new" w:history="1">
        <w:r w:rsidRPr="00D24AA9">
          <w:rPr>
            <w:rStyle w:val="Hyperlink"/>
            <w:rFonts w:ascii="Arial" w:hAnsi="Arial" w:cs="Arial"/>
            <w:sz w:val="22"/>
          </w:rPr>
          <w:t>https://www.hcpc-uk.org/standards/standards-of-conduct-performance-and-ethics/</w:t>
        </w:r>
      </w:hyperlink>
      <w:r w:rsidRPr="00D24AA9">
        <w:rPr>
          <w:rFonts w:ascii="Arial" w:hAnsi="Arial" w:cs="Arial"/>
          <w:sz w:val="22"/>
        </w:rPr>
        <w:t xml:space="preserve"> (Accessed: 24 July 2026).</w:t>
      </w:r>
    </w:p>
    <w:p w14:paraId="5DE9D445"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HM Government (2005) </w:t>
      </w:r>
      <w:r w:rsidRPr="00D24AA9">
        <w:rPr>
          <w:rFonts w:ascii="Arial" w:hAnsi="Arial" w:cs="Arial"/>
          <w:i/>
          <w:iCs/>
          <w:sz w:val="22"/>
        </w:rPr>
        <w:t>Mental Capacity Act 2005</w:t>
      </w:r>
      <w:r w:rsidRPr="00D24AA9">
        <w:rPr>
          <w:rFonts w:ascii="Arial" w:hAnsi="Arial" w:cs="Arial"/>
          <w:sz w:val="22"/>
        </w:rPr>
        <w:t xml:space="preserve">. London: The Stationery Office. Available at: </w:t>
      </w:r>
      <w:hyperlink r:id="rId15" w:tgtFrame="_new" w:history="1">
        <w:r w:rsidRPr="00D24AA9">
          <w:rPr>
            <w:rStyle w:val="Hyperlink"/>
            <w:rFonts w:ascii="Arial" w:hAnsi="Arial" w:cs="Arial"/>
            <w:sz w:val="22"/>
          </w:rPr>
          <w:t>https://www.legislation.gov.uk/ukpga/2005/9/contents</w:t>
        </w:r>
      </w:hyperlink>
      <w:r w:rsidRPr="00D24AA9">
        <w:rPr>
          <w:rFonts w:ascii="Arial" w:hAnsi="Arial" w:cs="Arial"/>
          <w:sz w:val="22"/>
        </w:rPr>
        <w:t xml:space="preserve"> (Accessed: 24 July 2026).</w:t>
      </w:r>
    </w:p>
    <w:p w14:paraId="6E8149F5" w14:textId="77777777" w:rsidR="00D24AA9" w:rsidRPr="00D24AA9" w:rsidRDefault="00D24AA9" w:rsidP="00D24AA9">
      <w:pPr>
        <w:spacing w:line="360" w:lineRule="auto"/>
        <w:rPr>
          <w:rFonts w:ascii="Arial" w:hAnsi="Arial" w:cs="Arial"/>
          <w:sz w:val="22"/>
        </w:rPr>
      </w:pPr>
      <w:r w:rsidRPr="00D24AA9">
        <w:rPr>
          <w:rFonts w:ascii="Arial" w:hAnsi="Arial" w:cs="Arial"/>
          <w:sz w:val="22"/>
        </w:rPr>
        <w:lastRenderedPageBreak/>
        <w:t xml:space="preserve">HM Government (2014) </w:t>
      </w:r>
      <w:r w:rsidRPr="00D24AA9">
        <w:rPr>
          <w:rFonts w:ascii="Arial" w:hAnsi="Arial" w:cs="Arial"/>
          <w:i/>
          <w:iCs/>
          <w:sz w:val="22"/>
        </w:rPr>
        <w:t>Care Act 2014</w:t>
      </w:r>
      <w:r w:rsidRPr="00D24AA9">
        <w:rPr>
          <w:rFonts w:ascii="Arial" w:hAnsi="Arial" w:cs="Arial"/>
          <w:sz w:val="22"/>
        </w:rPr>
        <w:t xml:space="preserve">. London: The Stationery Office. Available at: </w:t>
      </w:r>
      <w:hyperlink r:id="rId16" w:tgtFrame="_new" w:history="1">
        <w:r w:rsidRPr="00D24AA9">
          <w:rPr>
            <w:rStyle w:val="Hyperlink"/>
            <w:rFonts w:ascii="Arial" w:hAnsi="Arial" w:cs="Arial"/>
            <w:sz w:val="22"/>
          </w:rPr>
          <w:t>https://www.legislation.gov.uk/ukpga/2014/23/contents</w:t>
        </w:r>
      </w:hyperlink>
      <w:r w:rsidRPr="00D24AA9">
        <w:rPr>
          <w:rFonts w:ascii="Arial" w:hAnsi="Arial" w:cs="Arial"/>
          <w:sz w:val="22"/>
        </w:rPr>
        <w:t xml:space="preserve"> (Accessed: 24 July 2026).</w:t>
      </w:r>
    </w:p>
    <w:p w14:paraId="70FF359C"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Maslow, A.H. (1943) ‘A theory of human motivation’, </w:t>
      </w:r>
      <w:r w:rsidRPr="00D24AA9">
        <w:rPr>
          <w:rFonts w:ascii="Arial" w:hAnsi="Arial" w:cs="Arial"/>
          <w:i/>
          <w:iCs/>
          <w:sz w:val="22"/>
        </w:rPr>
        <w:t>Psychological Review</w:t>
      </w:r>
      <w:r w:rsidRPr="00D24AA9">
        <w:rPr>
          <w:rFonts w:ascii="Arial" w:hAnsi="Arial" w:cs="Arial"/>
          <w:sz w:val="22"/>
        </w:rPr>
        <w:t xml:space="preserve">, 50(4), pp. 370–396. Available at: </w:t>
      </w:r>
      <w:hyperlink r:id="rId17" w:tgtFrame="_new" w:history="1">
        <w:r w:rsidRPr="00D24AA9">
          <w:rPr>
            <w:rStyle w:val="Hyperlink"/>
            <w:rFonts w:ascii="Arial" w:hAnsi="Arial" w:cs="Arial"/>
            <w:sz w:val="22"/>
          </w:rPr>
          <w:t>https://doi.org/10.1037/h0054346</w:t>
        </w:r>
      </w:hyperlink>
    </w:p>
    <w:p w14:paraId="09B89A63"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McCance, T., Brown, D., McCormack, B., Bulley, C., McMillan, A. and Martin, S. (eds.) (2021) </w:t>
      </w:r>
      <w:r w:rsidRPr="00D24AA9">
        <w:rPr>
          <w:rFonts w:ascii="Arial" w:hAnsi="Arial" w:cs="Arial"/>
          <w:i/>
          <w:iCs/>
          <w:sz w:val="22"/>
        </w:rPr>
        <w:t>Fundamentals of Person-centred Healthcare Practice</w:t>
      </w:r>
      <w:r w:rsidRPr="00D24AA9">
        <w:rPr>
          <w:rFonts w:ascii="Arial" w:hAnsi="Arial" w:cs="Arial"/>
          <w:sz w:val="22"/>
        </w:rPr>
        <w:t>. Oxford: Wiley-Blackwell.</w:t>
      </w:r>
    </w:p>
    <w:p w14:paraId="0A076D0F"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McCormack, B. and McCance, T. (2021) </w:t>
      </w:r>
      <w:r w:rsidRPr="00D24AA9">
        <w:rPr>
          <w:rFonts w:ascii="Arial" w:hAnsi="Arial" w:cs="Arial"/>
          <w:i/>
          <w:iCs/>
          <w:sz w:val="22"/>
        </w:rPr>
        <w:t>Person-Centred Practice in Nursing and Health Care: Theory and Practice</w:t>
      </w:r>
      <w:r w:rsidRPr="00D24AA9">
        <w:rPr>
          <w:rFonts w:ascii="Arial" w:hAnsi="Arial" w:cs="Arial"/>
          <w:sz w:val="22"/>
        </w:rPr>
        <w:t xml:space="preserve">. 2nd </w:t>
      </w:r>
      <w:proofErr w:type="spellStart"/>
      <w:r w:rsidRPr="00D24AA9">
        <w:rPr>
          <w:rFonts w:ascii="Arial" w:hAnsi="Arial" w:cs="Arial"/>
          <w:sz w:val="22"/>
        </w:rPr>
        <w:t>edn</w:t>
      </w:r>
      <w:proofErr w:type="spellEnd"/>
      <w:r w:rsidRPr="00D24AA9">
        <w:rPr>
          <w:rFonts w:ascii="Arial" w:hAnsi="Arial" w:cs="Arial"/>
          <w:sz w:val="22"/>
        </w:rPr>
        <w:t>. Oxford: Wiley-Blackwell.</w:t>
      </w:r>
    </w:p>
    <w:p w14:paraId="59EF888D"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NHS England (2023) </w:t>
      </w:r>
      <w:r w:rsidRPr="00D24AA9">
        <w:rPr>
          <w:rFonts w:ascii="Arial" w:hAnsi="Arial" w:cs="Arial"/>
          <w:i/>
          <w:iCs/>
          <w:sz w:val="22"/>
        </w:rPr>
        <w:t>Personalised Care</w:t>
      </w:r>
      <w:r w:rsidRPr="00D24AA9">
        <w:rPr>
          <w:rFonts w:ascii="Arial" w:hAnsi="Arial" w:cs="Arial"/>
          <w:sz w:val="22"/>
        </w:rPr>
        <w:t xml:space="preserve">. Available at: </w:t>
      </w:r>
      <w:hyperlink r:id="rId18" w:tgtFrame="_new" w:history="1">
        <w:r w:rsidRPr="00D24AA9">
          <w:rPr>
            <w:rStyle w:val="Hyperlink"/>
            <w:rFonts w:ascii="Arial" w:hAnsi="Arial" w:cs="Arial"/>
            <w:sz w:val="22"/>
          </w:rPr>
          <w:t>https://www.england.nhs.uk/personalisedcare/</w:t>
        </w:r>
      </w:hyperlink>
      <w:r w:rsidRPr="00D24AA9">
        <w:rPr>
          <w:rFonts w:ascii="Arial" w:hAnsi="Arial" w:cs="Arial"/>
          <w:sz w:val="22"/>
        </w:rPr>
        <w:t xml:space="preserve"> (Accessed: 24 July 2026).</w:t>
      </w:r>
    </w:p>
    <w:p w14:paraId="55567A97"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NHS England (2024) </w:t>
      </w:r>
      <w:r w:rsidRPr="00D24AA9">
        <w:rPr>
          <w:rFonts w:ascii="Arial" w:hAnsi="Arial" w:cs="Arial"/>
          <w:i/>
          <w:iCs/>
          <w:sz w:val="22"/>
        </w:rPr>
        <w:t>Integrated Care Systems</w:t>
      </w:r>
      <w:r w:rsidRPr="00D24AA9">
        <w:rPr>
          <w:rFonts w:ascii="Arial" w:hAnsi="Arial" w:cs="Arial"/>
          <w:sz w:val="22"/>
        </w:rPr>
        <w:t xml:space="preserve">. Available at: </w:t>
      </w:r>
      <w:hyperlink r:id="rId19" w:tgtFrame="_new" w:history="1">
        <w:r w:rsidRPr="00D24AA9">
          <w:rPr>
            <w:rStyle w:val="Hyperlink"/>
            <w:rFonts w:ascii="Arial" w:hAnsi="Arial" w:cs="Arial"/>
            <w:sz w:val="22"/>
          </w:rPr>
          <w:t>https://www.england.nhs.uk/integratedcare/</w:t>
        </w:r>
      </w:hyperlink>
      <w:r w:rsidRPr="00D24AA9">
        <w:rPr>
          <w:rFonts w:ascii="Arial" w:hAnsi="Arial" w:cs="Arial"/>
          <w:sz w:val="22"/>
        </w:rPr>
        <w:t xml:space="preserve"> (Accessed: 24 July 2026).</w:t>
      </w:r>
    </w:p>
    <w:p w14:paraId="71A9C5E0"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NHS England (2024) </w:t>
      </w:r>
      <w:r w:rsidRPr="00D24AA9">
        <w:rPr>
          <w:rFonts w:ascii="Arial" w:hAnsi="Arial" w:cs="Arial"/>
          <w:i/>
          <w:iCs/>
          <w:sz w:val="22"/>
        </w:rPr>
        <w:t>Personalised Care</w:t>
      </w:r>
      <w:r w:rsidRPr="00D24AA9">
        <w:rPr>
          <w:rFonts w:ascii="Arial" w:hAnsi="Arial" w:cs="Arial"/>
          <w:sz w:val="22"/>
        </w:rPr>
        <w:t xml:space="preserve">. Available at: </w:t>
      </w:r>
      <w:hyperlink r:id="rId20" w:tgtFrame="_new" w:history="1">
        <w:r w:rsidRPr="00D24AA9">
          <w:rPr>
            <w:rStyle w:val="Hyperlink"/>
            <w:rFonts w:ascii="Arial" w:hAnsi="Arial" w:cs="Arial"/>
            <w:sz w:val="22"/>
          </w:rPr>
          <w:t>https://www.england.nhs.uk/personalisedcare/</w:t>
        </w:r>
      </w:hyperlink>
      <w:r w:rsidRPr="00D24AA9">
        <w:rPr>
          <w:rFonts w:ascii="Arial" w:hAnsi="Arial" w:cs="Arial"/>
          <w:sz w:val="22"/>
        </w:rPr>
        <w:t xml:space="preserve"> (Accessed: 24 July 2026).</w:t>
      </w:r>
    </w:p>
    <w:p w14:paraId="1919061B"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NHS England and NHS Improvement (2021) </w:t>
      </w:r>
      <w:r w:rsidRPr="00D24AA9">
        <w:rPr>
          <w:rFonts w:ascii="Arial" w:hAnsi="Arial" w:cs="Arial"/>
          <w:i/>
          <w:iCs/>
          <w:sz w:val="22"/>
        </w:rPr>
        <w:t>Shared Decision Making: Universal Personalised Care</w:t>
      </w:r>
      <w:r w:rsidRPr="00D24AA9">
        <w:rPr>
          <w:rFonts w:ascii="Arial" w:hAnsi="Arial" w:cs="Arial"/>
          <w:sz w:val="22"/>
        </w:rPr>
        <w:t xml:space="preserve">. London: NHS England. Available at: </w:t>
      </w:r>
      <w:hyperlink r:id="rId21" w:tgtFrame="_new" w:history="1">
        <w:r w:rsidRPr="00D24AA9">
          <w:rPr>
            <w:rStyle w:val="Hyperlink"/>
            <w:rFonts w:ascii="Arial" w:hAnsi="Arial" w:cs="Arial"/>
            <w:sz w:val="22"/>
          </w:rPr>
          <w:t>https://www.england.nhs.uk/personalisedcare/shared-decision-making/</w:t>
        </w:r>
      </w:hyperlink>
      <w:r w:rsidRPr="00D24AA9">
        <w:rPr>
          <w:rFonts w:ascii="Arial" w:hAnsi="Arial" w:cs="Arial"/>
          <w:sz w:val="22"/>
        </w:rPr>
        <w:t xml:space="preserve"> (Accessed: 24 July 2026).</w:t>
      </w:r>
    </w:p>
    <w:p w14:paraId="700C0AA7"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Nursing and Midwifery Council (2018) </w:t>
      </w:r>
      <w:r w:rsidRPr="00D24AA9">
        <w:rPr>
          <w:rFonts w:ascii="Arial" w:hAnsi="Arial" w:cs="Arial"/>
          <w:i/>
          <w:iCs/>
          <w:sz w:val="22"/>
        </w:rPr>
        <w:t>The Code: Professional Standards of Practice and Behaviour for Nurses, Midwives and Nursing Associates</w:t>
      </w:r>
      <w:r w:rsidRPr="00D24AA9">
        <w:rPr>
          <w:rFonts w:ascii="Arial" w:hAnsi="Arial" w:cs="Arial"/>
          <w:sz w:val="22"/>
        </w:rPr>
        <w:t>. London: NMC.</w:t>
      </w:r>
    </w:p>
    <w:p w14:paraId="1901A880"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Schön, D.A. (1983) </w:t>
      </w:r>
      <w:r w:rsidRPr="00D24AA9">
        <w:rPr>
          <w:rFonts w:ascii="Arial" w:hAnsi="Arial" w:cs="Arial"/>
          <w:i/>
          <w:iCs/>
          <w:sz w:val="22"/>
        </w:rPr>
        <w:t>The Reflective Practitioner: How Professionals Think in Action</w:t>
      </w:r>
      <w:r w:rsidRPr="00D24AA9">
        <w:rPr>
          <w:rFonts w:ascii="Arial" w:hAnsi="Arial" w:cs="Arial"/>
          <w:sz w:val="22"/>
        </w:rPr>
        <w:t>. New York: Basic Books.</w:t>
      </w:r>
    </w:p>
    <w:p w14:paraId="6FA9E57A"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The Health Foundation (2022) </w:t>
      </w:r>
      <w:r w:rsidRPr="00D24AA9">
        <w:rPr>
          <w:rFonts w:ascii="Arial" w:hAnsi="Arial" w:cs="Arial"/>
          <w:i/>
          <w:iCs/>
          <w:sz w:val="22"/>
        </w:rPr>
        <w:t>Integrated Care Systems: What Do They Mean for the NHS?</w:t>
      </w:r>
      <w:r w:rsidRPr="00D24AA9">
        <w:rPr>
          <w:rFonts w:ascii="Arial" w:hAnsi="Arial" w:cs="Arial"/>
          <w:sz w:val="22"/>
        </w:rPr>
        <w:t xml:space="preserve"> London: The Health Foundation. Available at: </w:t>
      </w:r>
      <w:hyperlink r:id="rId22" w:tgtFrame="_new" w:history="1">
        <w:r w:rsidRPr="00D24AA9">
          <w:rPr>
            <w:rStyle w:val="Hyperlink"/>
            <w:rFonts w:ascii="Arial" w:hAnsi="Arial" w:cs="Arial"/>
            <w:sz w:val="22"/>
          </w:rPr>
          <w:t>https://www.health.org.uk/</w:t>
        </w:r>
      </w:hyperlink>
      <w:r w:rsidRPr="00D24AA9">
        <w:rPr>
          <w:rFonts w:ascii="Arial" w:hAnsi="Arial" w:cs="Arial"/>
          <w:sz w:val="22"/>
        </w:rPr>
        <w:t xml:space="preserve"> (Accessed: 24 July 2026).</w:t>
      </w:r>
    </w:p>
    <w:p w14:paraId="63D57540" w14:textId="77777777" w:rsidR="00D24AA9" w:rsidRPr="00D24AA9" w:rsidRDefault="00D24AA9" w:rsidP="00D24AA9">
      <w:pPr>
        <w:spacing w:line="360" w:lineRule="auto"/>
        <w:rPr>
          <w:rFonts w:ascii="Arial" w:hAnsi="Arial" w:cs="Arial"/>
          <w:sz w:val="22"/>
        </w:rPr>
      </w:pPr>
      <w:r w:rsidRPr="00D24AA9">
        <w:rPr>
          <w:rFonts w:ascii="Arial" w:hAnsi="Arial" w:cs="Arial"/>
          <w:sz w:val="22"/>
        </w:rPr>
        <w:t xml:space="preserve">The King's Fund (2023) </w:t>
      </w:r>
      <w:r w:rsidRPr="00D24AA9">
        <w:rPr>
          <w:rFonts w:ascii="Arial" w:hAnsi="Arial" w:cs="Arial"/>
          <w:i/>
          <w:iCs/>
          <w:sz w:val="22"/>
        </w:rPr>
        <w:t>The NHS Workforce Crisis: What Are the Solutions?</w:t>
      </w:r>
      <w:r w:rsidRPr="00D24AA9">
        <w:rPr>
          <w:rFonts w:ascii="Arial" w:hAnsi="Arial" w:cs="Arial"/>
          <w:sz w:val="22"/>
        </w:rPr>
        <w:t xml:space="preserve"> London: The King's Fund. Available at: </w:t>
      </w:r>
      <w:hyperlink r:id="rId23" w:tgtFrame="_new" w:history="1">
        <w:r w:rsidRPr="00D24AA9">
          <w:rPr>
            <w:rStyle w:val="Hyperlink"/>
            <w:rFonts w:ascii="Arial" w:hAnsi="Arial" w:cs="Arial"/>
            <w:sz w:val="22"/>
          </w:rPr>
          <w:t>https://www.kingsfund.org.uk</w:t>
        </w:r>
      </w:hyperlink>
      <w:r w:rsidRPr="00D24AA9">
        <w:rPr>
          <w:rFonts w:ascii="Arial" w:hAnsi="Arial" w:cs="Arial"/>
          <w:sz w:val="22"/>
        </w:rPr>
        <w:t xml:space="preserve"> (Accessed: 24 July 2026).</w:t>
      </w:r>
    </w:p>
    <w:p w14:paraId="48F691B7" w14:textId="0F0002E0" w:rsidR="00E34CCF" w:rsidRPr="00E34CCF" w:rsidRDefault="00E34CCF" w:rsidP="00D24AA9">
      <w:pPr>
        <w:spacing w:line="360" w:lineRule="auto"/>
        <w:rPr>
          <w:rFonts w:ascii="Arial" w:hAnsi="Arial" w:cs="Arial"/>
          <w:sz w:val="22"/>
        </w:rPr>
      </w:pPr>
    </w:p>
    <w:p w14:paraId="60176AA7" w14:textId="24CF4AA0" w:rsidR="00E34CCF" w:rsidRPr="001D345E" w:rsidRDefault="00E34CCF" w:rsidP="00E34CCF">
      <w:pPr>
        <w:spacing w:line="360" w:lineRule="auto"/>
        <w:rPr>
          <w:rFonts w:ascii="Arial" w:hAnsi="Arial" w:cs="Arial"/>
          <w:sz w:val="22"/>
        </w:rPr>
      </w:pPr>
    </w:p>
    <w:sectPr w:rsidR="00E34CCF"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9CDE" w14:textId="77777777" w:rsidR="006D259D" w:rsidRDefault="006D259D" w:rsidP="00B21FE6">
      <w:pPr>
        <w:spacing w:after="0" w:line="240" w:lineRule="auto"/>
      </w:pPr>
      <w:r>
        <w:separator/>
      </w:r>
    </w:p>
  </w:endnote>
  <w:endnote w:type="continuationSeparator" w:id="0">
    <w:p w14:paraId="2DBF0D46" w14:textId="77777777" w:rsidR="006D259D" w:rsidRDefault="006D259D"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4F69D" w14:textId="77777777" w:rsidR="006D259D" w:rsidRDefault="006D259D" w:rsidP="00B21FE6">
      <w:pPr>
        <w:spacing w:after="0" w:line="240" w:lineRule="auto"/>
      </w:pPr>
      <w:r>
        <w:separator/>
      </w:r>
    </w:p>
  </w:footnote>
  <w:footnote w:type="continuationSeparator" w:id="0">
    <w:p w14:paraId="13EA24A7" w14:textId="77777777" w:rsidR="006D259D" w:rsidRDefault="006D259D"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530CEF"/>
    <w:multiLevelType w:val="multilevel"/>
    <w:tmpl w:val="C1C055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85145120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1333C2"/>
    <w:rsid w:val="001D345E"/>
    <w:rsid w:val="00220640"/>
    <w:rsid w:val="002343CF"/>
    <w:rsid w:val="002D39BD"/>
    <w:rsid w:val="00317E3D"/>
    <w:rsid w:val="00350D4F"/>
    <w:rsid w:val="0035582C"/>
    <w:rsid w:val="003661D1"/>
    <w:rsid w:val="00462DED"/>
    <w:rsid w:val="004D7C7E"/>
    <w:rsid w:val="004F5B88"/>
    <w:rsid w:val="00553E7B"/>
    <w:rsid w:val="0058218C"/>
    <w:rsid w:val="00594FAC"/>
    <w:rsid w:val="00610A5B"/>
    <w:rsid w:val="006524ED"/>
    <w:rsid w:val="006D259D"/>
    <w:rsid w:val="006D2F2D"/>
    <w:rsid w:val="006E1FF9"/>
    <w:rsid w:val="006E38AB"/>
    <w:rsid w:val="007236C6"/>
    <w:rsid w:val="00785886"/>
    <w:rsid w:val="00785F2B"/>
    <w:rsid w:val="007F3A6A"/>
    <w:rsid w:val="00887FBB"/>
    <w:rsid w:val="008C3B16"/>
    <w:rsid w:val="008F6D4B"/>
    <w:rsid w:val="009531AC"/>
    <w:rsid w:val="00960A16"/>
    <w:rsid w:val="009E5C5F"/>
    <w:rsid w:val="00A11336"/>
    <w:rsid w:val="00AE7DDA"/>
    <w:rsid w:val="00B21FE6"/>
    <w:rsid w:val="00BC79FE"/>
    <w:rsid w:val="00C163D4"/>
    <w:rsid w:val="00C558B0"/>
    <w:rsid w:val="00D00A38"/>
    <w:rsid w:val="00D24AA9"/>
    <w:rsid w:val="00D545BA"/>
    <w:rsid w:val="00D66C96"/>
    <w:rsid w:val="00DB1252"/>
    <w:rsid w:val="00E34CCF"/>
    <w:rsid w:val="00E81204"/>
    <w:rsid w:val="00F114B1"/>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34C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E34CCF"/>
    <w:rPr>
      <w:color w:val="0563C1" w:themeColor="hyperlink"/>
      <w:u w:val="single"/>
    </w:rPr>
  </w:style>
  <w:style w:type="character" w:styleId="UnresolvedMention">
    <w:name w:val="Unresolved Mention"/>
    <w:basedOn w:val="DefaultParagraphFont"/>
    <w:uiPriority w:val="99"/>
    <w:semiHidden/>
    <w:unhideWhenUsed/>
    <w:rsid w:val="00E34CCF"/>
    <w:rPr>
      <w:color w:val="605E5C"/>
      <w:shd w:val="clear" w:color="auto" w:fill="E1DFDD"/>
    </w:rPr>
  </w:style>
  <w:style w:type="character" w:customStyle="1" w:styleId="Heading2Char">
    <w:name w:val="Heading 2 Char"/>
    <w:basedOn w:val="DefaultParagraphFont"/>
    <w:link w:val="Heading2"/>
    <w:uiPriority w:val="9"/>
    <w:rsid w:val="00E34CC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34C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4CCF"/>
    <w:pPr>
      <w:spacing w:line="259" w:lineRule="auto"/>
      <w:outlineLvl w:val="9"/>
    </w:pPr>
    <w:rPr>
      <w:lang w:eastAsia="en-GB"/>
    </w:rPr>
  </w:style>
  <w:style w:type="paragraph" w:styleId="TOC1">
    <w:name w:val="toc 1"/>
    <w:basedOn w:val="Normal"/>
    <w:next w:val="Normal"/>
    <w:autoRedefine/>
    <w:uiPriority w:val="39"/>
    <w:unhideWhenUsed/>
    <w:rsid w:val="00E34CCF"/>
    <w:pPr>
      <w:spacing w:after="100"/>
    </w:pPr>
  </w:style>
  <w:style w:type="paragraph" w:styleId="TOC2">
    <w:name w:val="toc 2"/>
    <w:basedOn w:val="Normal"/>
    <w:next w:val="Normal"/>
    <w:autoRedefine/>
    <w:uiPriority w:val="39"/>
    <w:unhideWhenUsed/>
    <w:rsid w:val="00E34CCF"/>
    <w:pPr>
      <w:spacing w:after="100"/>
      <w:ind w:left="240"/>
    </w:pPr>
  </w:style>
  <w:style w:type="paragraph" w:styleId="NoSpacing">
    <w:name w:val="No Spacing"/>
    <w:uiPriority w:val="1"/>
    <w:qFormat/>
    <w:rsid w:val="007236C6"/>
    <w:pPr>
      <w:spacing w:after="0" w:line="240" w:lineRule="auto"/>
    </w:pPr>
    <w:rPr>
      <w:rFonts w:ascii="Times New Roman" w:hAnsi="Times New Roman"/>
      <w:sz w:val="24"/>
    </w:rPr>
  </w:style>
  <w:style w:type="paragraph" w:customStyle="1" w:styleId="pb-2">
    <w:name w:val="pb-2"/>
    <w:basedOn w:val="Normal"/>
    <w:rsid w:val="00462DE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462D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www.england.nhs.uk/personalisedcare/" TargetMode="External"/><Relationship Id="rId3" Type="http://schemas.openxmlformats.org/officeDocument/2006/relationships/settings" Target="settings.xml"/><Relationship Id="rId21" Type="http://schemas.openxmlformats.org/officeDocument/2006/relationships/hyperlink" Target="https://www.england.nhs.uk/personalisedcare/shared-decision-making/" TargetMode="External"/><Relationship Id="rId7" Type="http://schemas.openxmlformats.org/officeDocument/2006/relationships/image" Target="media/image1.png"/><Relationship Id="rId12" Type="http://schemas.openxmlformats.org/officeDocument/2006/relationships/hyperlink" Target="https://doi.org/10.5334/ijic.5666" TargetMode="External"/><Relationship Id="rId17" Type="http://schemas.openxmlformats.org/officeDocument/2006/relationships/hyperlink" Target="https://doi.org/10.1037/h005434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14/23/contents" TargetMode="External"/><Relationship Id="rId20" Type="http://schemas.openxmlformats.org/officeDocument/2006/relationships/hyperlink" Target="https://www.england.nhs.uk/personalisedc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5/9/contents" TargetMode="External"/><Relationship Id="rId23" Type="http://schemas.openxmlformats.org/officeDocument/2006/relationships/hyperlink" Target="https://www.kingsfund.org.uk" TargetMode="External"/><Relationship Id="rId10" Type="http://schemas.openxmlformats.org/officeDocument/2006/relationships/hyperlink" Target="https://www.cqc.org.uk/guidance-providers/regulations-enforcement/regulations-fundamental-standards" TargetMode="External"/><Relationship Id="rId19" Type="http://schemas.openxmlformats.org/officeDocument/2006/relationships/hyperlink" Target="https://www.england.nhs.uk/integratedcar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hcpc-uk.org/standards/standards-of-conduct-performance-and-ethics/" TargetMode="External"/><Relationship Id="rId22" Type="http://schemas.openxmlformats.org/officeDocument/2006/relationships/hyperlink" Target="https://www.healt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13</Pages>
  <Words>3681</Words>
  <Characters>20986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Erhunmwusee, Angel</cp:lastModifiedBy>
  <cp:revision>4</cp:revision>
  <dcterms:created xsi:type="dcterms:W3CDTF">2025-06-05T11:55:00Z</dcterms:created>
  <dcterms:modified xsi:type="dcterms:W3CDTF">2026-07-25T09:23:00Z</dcterms:modified>
</cp:coreProperties>
</file>