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F88E4" w14:textId="60BFDC19" w:rsidR="00706014" w:rsidRPr="00C02F52" w:rsidRDefault="21A99D01" w:rsidP="1C9F5390">
      <w:pPr>
        <w:spacing w:line="360" w:lineRule="auto"/>
      </w:pPr>
      <w:r w:rsidRPr="00C02F52">
        <w:rPr>
          <w:noProof/>
        </w:rPr>
        <w:drawing>
          <wp:inline distT="0" distB="0" distL="0" distR="0" wp14:anchorId="14D00A97" wp14:editId="54CA1352">
            <wp:extent cx="1810669" cy="725487"/>
            <wp:effectExtent l="0" t="0" r="0" b="0"/>
            <wp:docPr id="3430436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043660" name="Picture 343043660"/>
                    <pic:cNvPicPr/>
                  </pic:nvPicPr>
                  <pic:blipFill>
                    <a:blip r:embed="rId5">
                      <a:extLst>
                        <a:ext uri="{28A0092B-C50C-407E-A947-70E740481C1C}">
                          <a14:useLocalDpi xmlns:a14="http://schemas.microsoft.com/office/drawing/2010/main"/>
                        </a:ext>
                      </a:extLst>
                    </a:blip>
                    <a:stretch>
                      <a:fillRect/>
                    </a:stretch>
                  </pic:blipFill>
                  <pic:spPr>
                    <a:xfrm>
                      <a:off x="0" y="0"/>
                      <a:ext cx="1810669" cy="725487"/>
                    </a:xfrm>
                    <a:prstGeom prst="rect">
                      <a:avLst/>
                    </a:prstGeom>
                  </pic:spPr>
                </pic:pic>
              </a:graphicData>
            </a:graphic>
          </wp:inline>
        </w:drawing>
      </w:r>
    </w:p>
    <w:p w14:paraId="2B36AE63" w14:textId="2D93B9B5" w:rsidR="00706014" w:rsidRPr="00C02F52" w:rsidRDefault="475A54AD" w:rsidP="1C9F5390">
      <w:pPr>
        <w:spacing w:line="360" w:lineRule="auto"/>
      </w:pPr>
      <w:r w:rsidRPr="00C02F52">
        <w:rPr>
          <w:rFonts w:ascii="Arial" w:eastAsia="Arial" w:hAnsi="Arial" w:cs="Arial"/>
        </w:rPr>
        <w:t xml:space="preserve"> </w:t>
      </w:r>
    </w:p>
    <w:p w14:paraId="7B849351" w14:textId="042163DD" w:rsidR="00706014" w:rsidRPr="00F75ED5" w:rsidRDefault="475A54AD" w:rsidP="1C9F5390">
      <w:pPr>
        <w:spacing w:line="360" w:lineRule="auto"/>
        <w:rPr>
          <w:lang w:val="en-GB"/>
        </w:rPr>
      </w:pPr>
      <w:r w:rsidRPr="00F75ED5">
        <w:rPr>
          <w:rFonts w:ascii="Arial" w:eastAsia="Arial" w:hAnsi="Arial" w:cs="Arial"/>
          <w:sz w:val="28"/>
          <w:szCs w:val="28"/>
          <w:lang w:val="en-GB"/>
        </w:rPr>
        <w:t xml:space="preserve">Student name: </w:t>
      </w:r>
      <w:proofErr w:type="gramStart"/>
      <w:r w:rsidR="00FC4342" w:rsidRPr="00F75ED5">
        <w:rPr>
          <w:rFonts w:ascii="Arial" w:eastAsia="Arial" w:hAnsi="Arial" w:cs="Arial"/>
          <w:sz w:val="28"/>
          <w:szCs w:val="28"/>
          <w:lang w:val="en-GB"/>
        </w:rPr>
        <w:t>RACQUEAL  COLLINS</w:t>
      </w:r>
      <w:proofErr w:type="gramEnd"/>
    </w:p>
    <w:p w14:paraId="2D80DF0C" w14:textId="2E799836" w:rsidR="00706014" w:rsidRPr="00F75ED5" w:rsidRDefault="475A54AD" w:rsidP="1C9F5390">
      <w:pPr>
        <w:tabs>
          <w:tab w:val="left" w:pos="6540"/>
        </w:tabs>
        <w:spacing w:line="360" w:lineRule="auto"/>
        <w:rPr>
          <w:rFonts w:ascii="Arial" w:eastAsia="Arial" w:hAnsi="Arial" w:cs="Arial"/>
          <w:sz w:val="28"/>
          <w:szCs w:val="28"/>
          <w:lang w:val="en-GB"/>
        </w:rPr>
      </w:pPr>
      <w:r w:rsidRPr="00F75ED5">
        <w:rPr>
          <w:rFonts w:ascii="Arial" w:eastAsia="Arial" w:hAnsi="Arial" w:cs="Arial"/>
          <w:sz w:val="28"/>
          <w:szCs w:val="28"/>
          <w:lang w:val="en-GB"/>
        </w:rPr>
        <w:t>Student ID: 24422</w:t>
      </w:r>
      <w:r w:rsidR="0DED6085" w:rsidRPr="00F75ED5">
        <w:rPr>
          <w:rFonts w:ascii="Arial" w:eastAsia="Arial" w:hAnsi="Arial" w:cs="Arial"/>
          <w:sz w:val="28"/>
          <w:szCs w:val="28"/>
          <w:lang w:val="en-GB"/>
        </w:rPr>
        <w:t>44</w:t>
      </w:r>
    </w:p>
    <w:p w14:paraId="0FB98F56" w14:textId="07604231" w:rsidR="00706014" w:rsidRPr="00C02F52" w:rsidRDefault="788C5329" w:rsidP="1C9F5390">
      <w:pPr>
        <w:tabs>
          <w:tab w:val="left" w:pos="6540"/>
        </w:tabs>
        <w:spacing w:line="360" w:lineRule="auto"/>
      </w:pPr>
      <w:r w:rsidRPr="00F75ED5">
        <w:rPr>
          <w:rFonts w:ascii="Arial" w:eastAsia="Arial" w:hAnsi="Arial" w:cs="Arial"/>
          <w:sz w:val="28"/>
          <w:szCs w:val="28"/>
          <w:lang w:val="en-GB"/>
        </w:rPr>
        <w:t xml:space="preserve"> </w:t>
      </w:r>
      <w:r w:rsidRPr="00C02F52">
        <w:rPr>
          <w:rFonts w:ascii="Arial" w:eastAsia="Arial" w:hAnsi="Arial" w:cs="Arial"/>
          <w:sz w:val="28"/>
          <w:szCs w:val="28"/>
          <w:lang w:val="en-GB"/>
        </w:rPr>
        <w:t xml:space="preserve">Module name: </w:t>
      </w:r>
      <w:r w:rsidR="7F906A32" w:rsidRPr="00C02F52">
        <w:rPr>
          <w:rFonts w:ascii="Arial" w:eastAsia="Arial" w:hAnsi="Arial" w:cs="Arial"/>
          <w:sz w:val="28"/>
          <w:szCs w:val="28"/>
          <w:lang w:val="en-GB"/>
        </w:rPr>
        <w:t>Principles of Health and Social Care Practice</w:t>
      </w:r>
    </w:p>
    <w:p w14:paraId="66699D70" w14:textId="0E2E121A" w:rsidR="4C201E35" w:rsidRPr="00C02F52" w:rsidRDefault="4C201E35" w:rsidP="4EE57054">
      <w:pPr>
        <w:tabs>
          <w:tab w:val="left" w:pos="6540"/>
        </w:tabs>
        <w:spacing w:line="360" w:lineRule="auto"/>
      </w:pPr>
      <w:r w:rsidRPr="00C02F52">
        <w:rPr>
          <w:rFonts w:ascii="Arial" w:eastAsia="Arial" w:hAnsi="Arial" w:cs="Arial"/>
          <w:sz w:val="28"/>
          <w:szCs w:val="28"/>
          <w:lang w:val="en-GB"/>
        </w:rPr>
        <w:t xml:space="preserve">Assignment Title: written </w:t>
      </w:r>
      <w:r w:rsidR="00BC35A1" w:rsidRPr="00C02F52">
        <w:rPr>
          <w:rFonts w:ascii="Arial" w:eastAsia="Arial" w:hAnsi="Arial" w:cs="Arial"/>
          <w:sz w:val="28"/>
          <w:szCs w:val="28"/>
          <w:lang w:val="en-GB"/>
        </w:rPr>
        <w:t>Essay (</w:t>
      </w:r>
      <w:r w:rsidRPr="00C02F52">
        <w:rPr>
          <w:rFonts w:ascii="Arial" w:eastAsia="Arial" w:hAnsi="Arial" w:cs="Arial"/>
          <w:sz w:val="28"/>
          <w:szCs w:val="28"/>
          <w:lang w:val="en-GB"/>
        </w:rPr>
        <w:t>component 2)</w:t>
      </w:r>
    </w:p>
    <w:p w14:paraId="7411E79F" w14:textId="05F430C2" w:rsidR="00C02F52" w:rsidRPr="00C02F52" w:rsidRDefault="475A54AD" w:rsidP="00D9207A">
      <w:pPr>
        <w:rPr>
          <w:rFonts w:ascii="Times New Roman" w:eastAsia="Times New Roman" w:hAnsi="Times New Roman" w:cs="Times New Roman"/>
          <w:lang w:val="en-GB" w:eastAsia="en-GB"/>
        </w:rPr>
      </w:pPr>
      <w:r w:rsidRPr="00C02F52">
        <w:rPr>
          <w:rFonts w:ascii="Arial" w:eastAsia="Arial" w:hAnsi="Arial" w:cs="Arial"/>
          <w:sz w:val="28"/>
          <w:szCs w:val="28"/>
        </w:rPr>
        <w:t>Module code:</w:t>
      </w:r>
      <w:r w:rsidR="386E8A17" w:rsidRPr="00C02F52">
        <w:rPr>
          <w:rFonts w:ascii="Arial" w:eastAsia="Arial" w:hAnsi="Arial" w:cs="Arial"/>
          <w:sz w:val="28"/>
          <w:szCs w:val="28"/>
        </w:rPr>
        <w:t xml:space="preserve"> BMHP5016</w:t>
      </w:r>
      <w:r w:rsidR="00D9207A" w:rsidRPr="00C02F52">
        <w:rPr>
          <w:rFonts w:ascii="Times New Roman" w:eastAsia="Times New Roman" w:hAnsi="Times New Roman" w:cs="Times New Roman"/>
          <w:lang w:val="en-GB" w:eastAsia="en-GB"/>
        </w:rPr>
        <w:t xml:space="preserve"> </w:t>
      </w:r>
    </w:p>
    <w:p w14:paraId="05D1CCEB" w14:textId="4403FF40" w:rsidR="00BF2CCD" w:rsidRPr="00C02F52" w:rsidRDefault="00FC4342" w:rsidP="00D9207A">
      <w:pPr>
        <w:rPr>
          <w:rFonts w:ascii="Times New Roman" w:eastAsia="Times New Roman" w:hAnsi="Times New Roman" w:cs="Times New Roman"/>
          <w:lang w:val="en-GB" w:eastAsia="en-GB"/>
        </w:rPr>
      </w:pPr>
      <w:r w:rsidRPr="00C02F52">
        <w:rPr>
          <w:rFonts w:ascii="Times New Roman" w:eastAsia="Times New Roman" w:hAnsi="Times New Roman" w:cs="Times New Roman"/>
          <w:lang w:val="en-GB" w:eastAsia="en-GB"/>
        </w:rPr>
        <w:t>LECTURER</w:t>
      </w:r>
      <w:r w:rsidR="007B7ED2" w:rsidRPr="00C02F52">
        <w:rPr>
          <w:rFonts w:ascii="Times New Roman" w:eastAsia="Times New Roman" w:hAnsi="Times New Roman" w:cs="Times New Roman"/>
          <w:lang w:val="en-GB" w:eastAsia="en-GB"/>
        </w:rPr>
        <w:t xml:space="preserve">: </w:t>
      </w:r>
      <w:r w:rsidR="008A7CC7" w:rsidRPr="00C02F52">
        <w:rPr>
          <w:rFonts w:ascii="Times New Roman" w:eastAsia="Times New Roman" w:hAnsi="Times New Roman" w:cs="Times New Roman"/>
          <w:lang w:val="en-GB" w:eastAsia="en-GB"/>
        </w:rPr>
        <w:t>DR.</w:t>
      </w:r>
      <w:r w:rsidR="00D07CDF" w:rsidRPr="00C02F52">
        <w:rPr>
          <w:rFonts w:ascii="Times New Roman" w:eastAsia="Times New Roman" w:hAnsi="Times New Roman" w:cs="Times New Roman"/>
          <w:lang w:val="en-GB" w:eastAsia="en-GB"/>
        </w:rPr>
        <w:t xml:space="preserve"> ITSE OLAOYE</w:t>
      </w:r>
    </w:p>
    <w:p w14:paraId="444CE5FC" w14:textId="77777777" w:rsidR="00BF2CCD" w:rsidRDefault="00BF2CCD" w:rsidP="00D9207A">
      <w:pPr>
        <w:rPr>
          <w:rFonts w:ascii="Times New Roman" w:eastAsia="Times New Roman" w:hAnsi="Times New Roman" w:cs="Times New Roman"/>
          <w:lang w:val="en-GB" w:eastAsia="en-GB"/>
        </w:rPr>
      </w:pPr>
    </w:p>
    <w:p w14:paraId="3E26D5B1" w14:textId="77777777" w:rsidR="00BF2CCD" w:rsidRDefault="00BF2CCD" w:rsidP="00D9207A">
      <w:pPr>
        <w:rPr>
          <w:rFonts w:ascii="Times New Roman" w:eastAsia="Times New Roman" w:hAnsi="Times New Roman" w:cs="Times New Roman"/>
          <w:lang w:val="en-GB" w:eastAsia="en-GB"/>
        </w:rPr>
      </w:pPr>
    </w:p>
    <w:p w14:paraId="333055D2" w14:textId="77777777" w:rsidR="00BF2CCD" w:rsidRDefault="00BF2CCD" w:rsidP="00D9207A">
      <w:pPr>
        <w:rPr>
          <w:rFonts w:ascii="Times New Roman" w:eastAsia="Times New Roman" w:hAnsi="Times New Roman" w:cs="Times New Roman"/>
          <w:lang w:val="en-GB" w:eastAsia="en-GB"/>
        </w:rPr>
      </w:pPr>
    </w:p>
    <w:p w14:paraId="5761DDCD" w14:textId="77777777" w:rsidR="00BF2CCD" w:rsidRDefault="00BF2CCD" w:rsidP="00D9207A">
      <w:pPr>
        <w:rPr>
          <w:rFonts w:ascii="Times New Roman" w:eastAsia="Times New Roman" w:hAnsi="Times New Roman" w:cs="Times New Roman"/>
          <w:lang w:val="en-GB" w:eastAsia="en-GB"/>
        </w:rPr>
      </w:pPr>
    </w:p>
    <w:p w14:paraId="2FF1A53D" w14:textId="77777777" w:rsidR="00BF2CCD" w:rsidRDefault="00BF2CCD" w:rsidP="00D9207A">
      <w:pPr>
        <w:rPr>
          <w:rFonts w:ascii="Times New Roman" w:eastAsia="Times New Roman" w:hAnsi="Times New Roman" w:cs="Times New Roman"/>
          <w:lang w:val="en-GB" w:eastAsia="en-GB"/>
        </w:rPr>
      </w:pPr>
    </w:p>
    <w:p w14:paraId="57CBD867" w14:textId="77777777" w:rsidR="00BF2CCD" w:rsidRDefault="00BF2CCD" w:rsidP="00D9207A">
      <w:pPr>
        <w:rPr>
          <w:rFonts w:ascii="Times New Roman" w:eastAsia="Times New Roman" w:hAnsi="Times New Roman" w:cs="Times New Roman"/>
          <w:lang w:val="en-GB" w:eastAsia="en-GB"/>
        </w:rPr>
      </w:pPr>
    </w:p>
    <w:p w14:paraId="3C78957E" w14:textId="77777777" w:rsidR="00BF2CCD" w:rsidRDefault="00BF2CCD" w:rsidP="00D9207A">
      <w:pPr>
        <w:rPr>
          <w:rFonts w:ascii="Times New Roman" w:eastAsia="Times New Roman" w:hAnsi="Times New Roman" w:cs="Times New Roman"/>
          <w:lang w:val="en-GB" w:eastAsia="en-GB"/>
        </w:rPr>
      </w:pPr>
    </w:p>
    <w:p w14:paraId="5920AD6D" w14:textId="77777777" w:rsidR="00BF2CCD" w:rsidRDefault="00BF2CCD" w:rsidP="00D9207A">
      <w:pPr>
        <w:rPr>
          <w:rFonts w:ascii="Times New Roman" w:eastAsia="Times New Roman" w:hAnsi="Times New Roman" w:cs="Times New Roman"/>
          <w:lang w:val="en-GB" w:eastAsia="en-GB"/>
        </w:rPr>
      </w:pPr>
    </w:p>
    <w:p w14:paraId="7AD856E7" w14:textId="77777777" w:rsidR="00BF2CCD" w:rsidRDefault="00BF2CCD" w:rsidP="00D9207A">
      <w:pPr>
        <w:rPr>
          <w:rFonts w:ascii="Times New Roman" w:eastAsia="Times New Roman" w:hAnsi="Times New Roman" w:cs="Times New Roman"/>
          <w:lang w:val="en-GB" w:eastAsia="en-GB"/>
        </w:rPr>
      </w:pPr>
    </w:p>
    <w:p w14:paraId="619029FE" w14:textId="77777777" w:rsidR="00BF2CCD" w:rsidRDefault="00BF2CCD" w:rsidP="00D9207A">
      <w:pPr>
        <w:rPr>
          <w:rFonts w:ascii="Times New Roman" w:eastAsia="Times New Roman" w:hAnsi="Times New Roman" w:cs="Times New Roman"/>
          <w:lang w:val="en-GB" w:eastAsia="en-GB"/>
        </w:rPr>
      </w:pPr>
    </w:p>
    <w:p w14:paraId="2A963F26" w14:textId="77777777" w:rsidR="00BF2CCD" w:rsidRDefault="00BF2CCD" w:rsidP="00D9207A">
      <w:pPr>
        <w:rPr>
          <w:rFonts w:ascii="Times New Roman" w:eastAsia="Times New Roman" w:hAnsi="Times New Roman" w:cs="Times New Roman"/>
          <w:lang w:val="en-GB" w:eastAsia="en-GB"/>
        </w:rPr>
      </w:pPr>
    </w:p>
    <w:p w14:paraId="0CB41C00" w14:textId="77777777" w:rsidR="00BF2CCD" w:rsidRDefault="00BF2CCD" w:rsidP="00D9207A">
      <w:pPr>
        <w:rPr>
          <w:rFonts w:ascii="Times New Roman" w:eastAsia="Times New Roman" w:hAnsi="Times New Roman" w:cs="Times New Roman"/>
          <w:lang w:val="en-GB" w:eastAsia="en-GB"/>
        </w:rPr>
      </w:pPr>
    </w:p>
    <w:p w14:paraId="26D46376" w14:textId="77777777" w:rsidR="00BF2CCD" w:rsidRDefault="00BF2CCD" w:rsidP="00D9207A">
      <w:pPr>
        <w:rPr>
          <w:rFonts w:ascii="Times New Roman" w:eastAsia="Times New Roman" w:hAnsi="Times New Roman" w:cs="Times New Roman"/>
          <w:lang w:val="en-GB" w:eastAsia="en-GB"/>
        </w:rPr>
      </w:pPr>
    </w:p>
    <w:p w14:paraId="20993ED9" w14:textId="77777777" w:rsidR="00BF2CCD" w:rsidRDefault="00BF2CCD" w:rsidP="00702668">
      <w:pPr>
        <w:spacing w:line="360" w:lineRule="auto"/>
        <w:rPr>
          <w:rFonts w:ascii="Times New Roman" w:eastAsia="Times New Roman" w:hAnsi="Times New Roman" w:cs="Times New Roman"/>
          <w:lang w:val="en-GB" w:eastAsia="en-GB"/>
        </w:rPr>
      </w:pPr>
    </w:p>
    <w:p w14:paraId="732FC729" w14:textId="77777777" w:rsidR="00DB277C" w:rsidRPr="007232BF" w:rsidRDefault="00DB277C" w:rsidP="00702668">
      <w:pPr>
        <w:spacing w:line="360" w:lineRule="auto"/>
        <w:rPr>
          <w:rFonts w:ascii="Arial" w:eastAsia="Times New Roman" w:hAnsi="Arial" w:cs="Arial"/>
          <w:lang w:val="en-GB" w:eastAsia="en-GB"/>
        </w:rPr>
      </w:pPr>
    </w:p>
    <w:p w14:paraId="2089360B" w14:textId="10E74D34" w:rsidR="00DB277C" w:rsidRPr="007232BF" w:rsidRDefault="007C35F7" w:rsidP="001216C4">
      <w:pPr>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lastRenderedPageBreak/>
        <w:t>TABLE OF CONTENTS…………………………………………………………………</w:t>
      </w:r>
      <w:r w:rsidR="00DB277C" w:rsidRPr="007232BF">
        <w:rPr>
          <w:rFonts w:ascii="Arial" w:eastAsia="Times New Roman" w:hAnsi="Arial" w:cs="Arial"/>
          <w:sz w:val="22"/>
          <w:szCs w:val="22"/>
          <w:lang w:val="en-GB" w:eastAsia="en-GB"/>
        </w:rPr>
        <w:t>……………</w:t>
      </w:r>
      <w:r w:rsidRPr="007232BF">
        <w:rPr>
          <w:rFonts w:ascii="Arial" w:eastAsia="Times New Roman" w:hAnsi="Arial" w:cs="Arial"/>
          <w:sz w:val="22"/>
          <w:szCs w:val="22"/>
          <w:lang w:val="en-GB" w:eastAsia="en-GB"/>
        </w:rPr>
        <w:t>PAGE</w:t>
      </w:r>
      <w:r w:rsidR="00DB277C" w:rsidRPr="007232BF">
        <w:rPr>
          <w:rFonts w:ascii="Arial" w:eastAsia="Times New Roman" w:hAnsi="Arial" w:cs="Arial"/>
          <w:sz w:val="22"/>
          <w:szCs w:val="22"/>
          <w:lang w:val="en-GB" w:eastAsia="en-GB"/>
        </w:rPr>
        <w:t>S</w:t>
      </w:r>
    </w:p>
    <w:p w14:paraId="3A4315D3" w14:textId="00A9ACEB" w:rsidR="00E4706C" w:rsidRPr="007232BF" w:rsidRDefault="00E4706C">
      <w:pPr>
        <w:pStyle w:val="TOC3"/>
        <w:tabs>
          <w:tab w:val="right" w:leader="dot" w:pos="9350"/>
        </w:tabs>
        <w:rPr>
          <w:rFonts w:ascii="Arial" w:hAnsi="Arial" w:cs="Arial"/>
          <w:noProof/>
          <w:sz w:val="22"/>
          <w:szCs w:val="22"/>
        </w:rPr>
      </w:pPr>
      <w:r w:rsidRPr="007232BF">
        <w:rPr>
          <w:rFonts w:ascii="Arial" w:eastAsia="Times New Roman" w:hAnsi="Arial" w:cs="Arial"/>
          <w:sz w:val="22"/>
          <w:szCs w:val="22"/>
          <w:lang w:val="en-GB" w:eastAsia="en-GB"/>
        </w:rPr>
        <w:fldChar w:fldCharType="begin"/>
      </w:r>
      <w:r w:rsidRPr="007232BF">
        <w:rPr>
          <w:rFonts w:ascii="Arial" w:eastAsia="Times New Roman" w:hAnsi="Arial" w:cs="Arial"/>
          <w:sz w:val="22"/>
          <w:szCs w:val="22"/>
          <w:lang w:val="en-GB" w:eastAsia="en-GB"/>
        </w:rPr>
        <w:instrText xml:space="preserve"> TOC \o "1-3" \h \z \u </w:instrText>
      </w:r>
      <w:r w:rsidRPr="007232BF">
        <w:rPr>
          <w:rFonts w:ascii="Arial" w:eastAsia="Times New Roman" w:hAnsi="Arial" w:cs="Arial"/>
          <w:sz w:val="22"/>
          <w:szCs w:val="22"/>
          <w:lang w:val="en-GB" w:eastAsia="en-GB"/>
        </w:rPr>
        <w:fldChar w:fldCharType="separate"/>
      </w:r>
      <w:hyperlink w:anchor="_Toc236917032" w:history="1">
        <w:r w:rsidRPr="007232BF">
          <w:rPr>
            <w:rStyle w:val="Hyperlink"/>
            <w:rFonts w:ascii="Arial" w:eastAsia="Times New Roman" w:hAnsi="Arial" w:cs="Arial"/>
            <w:b/>
            <w:bCs/>
            <w:noProof/>
            <w:sz w:val="22"/>
            <w:szCs w:val="22"/>
            <w:lang w:val="en-GB" w:eastAsia="en-GB"/>
          </w:rPr>
          <w:t>Introduction</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_Toc236917032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3</w:t>
        </w:r>
        <w:r w:rsidRPr="007232BF">
          <w:rPr>
            <w:rFonts w:ascii="Arial" w:hAnsi="Arial" w:cs="Arial"/>
            <w:noProof/>
            <w:webHidden/>
            <w:sz w:val="22"/>
            <w:szCs w:val="22"/>
          </w:rPr>
          <w:fldChar w:fldCharType="end"/>
        </w:r>
      </w:hyperlink>
    </w:p>
    <w:p w14:paraId="3AA90F87" w14:textId="32A5859D" w:rsidR="00E4706C" w:rsidRPr="007232BF" w:rsidRDefault="00E4706C">
      <w:pPr>
        <w:pStyle w:val="TOC2"/>
        <w:tabs>
          <w:tab w:val="right" w:leader="dot" w:pos="9350"/>
        </w:tabs>
        <w:rPr>
          <w:rFonts w:ascii="Arial" w:hAnsi="Arial" w:cs="Arial"/>
          <w:noProof/>
          <w:sz w:val="22"/>
          <w:szCs w:val="22"/>
        </w:rPr>
      </w:pPr>
      <w:hyperlink w:anchor="_Toc236917033" w:history="1">
        <w:r w:rsidRPr="007232BF">
          <w:rPr>
            <w:rStyle w:val="Hyperlink"/>
            <w:rFonts w:ascii="Arial" w:eastAsia="Times New Roman" w:hAnsi="Arial" w:cs="Arial"/>
            <w:b/>
            <w:bCs/>
            <w:noProof/>
            <w:sz w:val="22"/>
            <w:szCs w:val="22"/>
            <w:lang w:val="en-GB" w:eastAsia="en-GB"/>
          </w:rPr>
          <w:t>1. Communication as a Fundamental Professional Responsibility</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_Toc236917033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4</w:t>
        </w:r>
        <w:r w:rsidRPr="007232BF">
          <w:rPr>
            <w:rFonts w:ascii="Arial" w:hAnsi="Arial" w:cs="Arial"/>
            <w:noProof/>
            <w:webHidden/>
            <w:sz w:val="22"/>
            <w:szCs w:val="22"/>
          </w:rPr>
          <w:fldChar w:fldCharType="end"/>
        </w:r>
      </w:hyperlink>
    </w:p>
    <w:p w14:paraId="02C579A6" w14:textId="0E93CE15" w:rsidR="00E4706C" w:rsidRPr="007232BF" w:rsidRDefault="00E4706C">
      <w:pPr>
        <w:pStyle w:val="TOC3"/>
        <w:tabs>
          <w:tab w:val="right" w:leader="dot" w:pos="9350"/>
        </w:tabs>
        <w:rPr>
          <w:rFonts w:ascii="Arial" w:hAnsi="Arial" w:cs="Arial"/>
          <w:noProof/>
          <w:sz w:val="22"/>
          <w:szCs w:val="22"/>
        </w:rPr>
      </w:pPr>
      <w:hyperlink w:anchor="_Toc236917034" w:history="1">
        <w:r w:rsidRPr="007232BF">
          <w:rPr>
            <w:rStyle w:val="Hyperlink"/>
            <w:rFonts w:ascii="Arial" w:eastAsia="Times New Roman" w:hAnsi="Arial" w:cs="Arial"/>
            <w:b/>
            <w:bCs/>
            <w:noProof/>
            <w:sz w:val="22"/>
            <w:szCs w:val="22"/>
            <w:lang w:val="en-GB" w:eastAsia="en-GB"/>
          </w:rPr>
          <w:t>1.1 Professionalism, Communication and Duty of Care</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_Toc236917034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4</w:t>
        </w:r>
        <w:r w:rsidRPr="007232BF">
          <w:rPr>
            <w:rFonts w:ascii="Arial" w:hAnsi="Arial" w:cs="Arial"/>
            <w:noProof/>
            <w:webHidden/>
            <w:sz w:val="22"/>
            <w:szCs w:val="22"/>
          </w:rPr>
          <w:fldChar w:fldCharType="end"/>
        </w:r>
      </w:hyperlink>
    </w:p>
    <w:p w14:paraId="6CD89358" w14:textId="0DFEB6FA" w:rsidR="00E4706C" w:rsidRPr="007232BF" w:rsidRDefault="00E4706C">
      <w:pPr>
        <w:pStyle w:val="TOC3"/>
        <w:tabs>
          <w:tab w:val="right" w:leader="dot" w:pos="9350"/>
        </w:tabs>
        <w:rPr>
          <w:rFonts w:ascii="Arial" w:hAnsi="Arial" w:cs="Arial"/>
          <w:noProof/>
          <w:sz w:val="22"/>
          <w:szCs w:val="22"/>
        </w:rPr>
      </w:pPr>
      <w:hyperlink w:anchor="_Toc236917035" w:history="1">
        <w:r w:rsidRPr="007232BF">
          <w:rPr>
            <w:rStyle w:val="Hyperlink"/>
            <w:rFonts w:ascii="Arial" w:eastAsia="Times New Roman" w:hAnsi="Arial" w:cs="Arial"/>
            <w:b/>
            <w:bCs/>
            <w:noProof/>
            <w:sz w:val="22"/>
            <w:szCs w:val="22"/>
            <w:lang w:val="en-GB" w:eastAsia="en-GB"/>
          </w:rPr>
          <w:t>1.2 Person-Centred Communication: Carl Rogers’ Theory</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_Toc236917035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4</w:t>
        </w:r>
        <w:r w:rsidRPr="007232BF">
          <w:rPr>
            <w:rFonts w:ascii="Arial" w:hAnsi="Arial" w:cs="Arial"/>
            <w:noProof/>
            <w:webHidden/>
            <w:sz w:val="22"/>
            <w:szCs w:val="22"/>
          </w:rPr>
          <w:fldChar w:fldCharType="end"/>
        </w:r>
      </w:hyperlink>
    </w:p>
    <w:p w14:paraId="4B998018" w14:textId="454F5618" w:rsidR="00E4706C" w:rsidRPr="007232BF" w:rsidRDefault="00E4706C">
      <w:pPr>
        <w:pStyle w:val="TOC3"/>
        <w:tabs>
          <w:tab w:val="right" w:leader="dot" w:pos="9350"/>
        </w:tabs>
        <w:rPr>
          <w:rFonts w:ascii="Arial" w:hAnsi="Arial" w:cs="Arial"/>
          <w:noProof/>
          <w:sz w:val="22"/>
          <w:szCs w:val="22"/>
        </w:rPr>
      </w:pPr>
      <w:hyperlink w:anchor="_Toc236917036" w:history="1">
        <w:r w:rsidRPr="007232BF">
          <w:rPr>
            <w:rStyle w:val="Hyperlink"/>
            <w:rFonts w:ascii="Arial" w:eastAsia="Times New Roman" w:hAnsi="Arial" w:cs="Arial"/>
            <w:b/>
            <w:bCs/>
            <w:noProof/>
            <w:sz w:val="22"/>
            <w:szCs w:val="22"/>
            <w:lang w:val="en-GB" w:eastAsia="en-GB"/>
          </w:rPr>
          <w:t>1.3 Meeting Diverse Communication Needs</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_Toc236917036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5</w:t>
        </w:r>
        <w:r w:rsidRPr="007232BF">
          <w:rPr>
            <w:rFonts w:ascii="Arial" w:hAnsi="Arial" w:cs="Arial"/>
            <w:noProof/>
            <w:webHidden/>
            <w:sz w:val="22"/>
            <w:szCs w:val="22"/>
          </w:rPr>
          <w:fldChar w:fldCharType="end"/>
        </w:r>
      </w:hyperlink>
    </w:p>
    <w:p w14:paraId="5AD4037E" w14:textId="0B59D266" w:rsidR="00E4706C" w:rsidRPr="007232BF" w:rsidRDefault="00E4706C">
      <w:pPr>
        <w:pStyle w:val="TOC3"/>
        <w:tabs>
          <w:tab w:val="right" w:leader="dot" w:pos="9350"/>
        </w:tabs>
        <w:rPr>
          <w:rFonts w:ascii="Arial" w:hAnsi="Arial" w:cs="Arial"/>
          <w:noProof/>
          <w:sz w:val="22"/>
          <w:szCs w:val="22"/>
        </w:rPr>
      </w:pPr>
      <w:hyperlink w:anchor="_Toc236917037" w:history="1">
        <w:r w:rsidRPr="007232BF">
          <w:rPr>
            <w:rStyle w:val="Hyperlink"/>
            <w:rFonts w:ascii="Arial" w:eastAsia="Times New Roman" w:hAnsi="Arial" w:cs="Arial"/>
            <w:b/>
            <w:bCs/>
            <w:noProof/>
            <w:sz w:val="22"/>
            <w:szCs w:val="22"/>
            <w:lang w:val="en-GB" w:eastAsia="en-GB"/>
          </w:rPr>
          <w:t>1.4 Professional Accountability and Consequences of Poor Communication</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_Toc236917037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5</w:t>
        </w:r>
        <w:r w:rsidRPr="007232BF">
          <w:rPr>
            <w:rFonts w:ascii="Arial" w:hAnsi="Arial" w:cs="Arial"/>
            <w:noProof/>
            <w:webHidden/>
            <w:sz w:val="22"/>
            <w:szCs w:val="22"/>
          </w:rPr>
          <w:fldChar w:fldCharType="end"/>
        </w:r>
      </w:hyperlink>
    </w:p>
    <w:p w14:paraId="1296CC66" w14:textId="019A3439" w:rsidR="00E4706C" w:rsidRPr="007232BF" w:rsidRDefault="00E4706C">
      <w:pPr>
        <w:pStyle w:val="TOC1"/>
        <w:tabs>
          <w:tab w:val="right" w:leader="dot" w:pos="9350"/>
        </w:tabs>
        <w:rPr>
          <w:rFonts w:ascii="Arial" w:hAnsi="Arial" w:cs="Arial"/>
          <w:noProof/>
          <w:kern w:val="2"/>
          <w:sz w:val="22"/>
          <w:szCs w:val="22"/>
          <w:lang w:val="en-GB" w:eastAsia="en-GB"/>
          <w14:ligatures w14:val="standardContextual"/>
        </w:rPr>
      </w:pPr>
      <w:hyperlink w:anchor="_Toc236917038" w:history="1">
        <w:r w:rsidRPr="007232BF">
          <w:rPr>
            <w:rStyle w:val="Hyperlink"/>
            <w:rFonts w:ascii="Arial" w:eastAsia="Times New Roman" w:hAnsi="Arial" w:cs="Arial"/>
            <w:b/>
            <w:bCs/>
            <w:noProof/>
            <w:kern w:val="36"/>
            <w:sz w:val="22"/>
            <w:szCs w:val="22"/>
            <w:lang w:val="en-GB" w:eastAsia="en-GB"/>
          </w:rPr>
          <w:t>2. Privacy and Dignity in Health and Social Care</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_Toc236917038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6</w:t>
        </w:r>
        <w:r w:rsidRPr="007232BF">
          <w:rPr>
            <w:rFonts w:ascii="Arial" w:hAnsi="Arial" w:cs="Arial"/>
            <w:noProof/>
            <w:webHidden/>
            <w:sz w:val="22"/>
            <w:szCs w:val="22"/>
          </w:rPr>
          <w:fldChar w:fldCharType="end"/>
        </w:r>
      </w:hyperlink>
    </w:p>
    <w:p w14:paraId="3E2C0D71" w14:textId="7ECF7E3F" w:rsidR="00E4706C" w:rsidRPr="007232BF" w:rsidRDefault="00E4706C">
      <w:pPr>
        <w:pStyle w:val="TOC2"/>
        <w:tabs>
          <w:tab w:val="right" w:leader="dot" w:pos="9350"/>
        </w:tabs>
        <w:rPr>
          <w:rFonts w:ascii="Arial" w:hAnsi="Arial" w:cs="Arial"/>
          <w:noProof/>
          <w:sz w:val="22"/>
          <w:szCs w:val="22"/>
        </w:rPr>
      </w:pPr>
      <w:hyperlink w:anchor="_Toc236917039" w:history="1">
        <w:r w:rsidRPr="007232BF">
          <w:rPr>
            <w:rStyle w:val="Hyperlink"/>
            <w:rFonts w:ascii="Arial" w:eastAsia="Times New Roman" w:hAnsi="Arial" w:cs="Arial"/>
            <w:b/>
            <w:bCs/>
            <w:noProof/>
            <w:sz w:val="22"/>
            <w:szCs w:val="22"/>
            <w:lang w:val="en-GB" w:eastAsia="en-GB"/>
          </w:rPr>
          <w:t>2.1 Understanding Privacy and Dignity</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_Toc236917039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6</w:t>
        </w:r>
        <w:r w:rsidRPr="007232BF">
          <w:rPr>
            <w:rFonts w:ascii="Arial" w:hAnsi="Arial" w:cs="Arial"/>
            <w:noProof/>
            <w:webHidden/>
            <w:sz w:val="22"/>
            <w:szCs w:val="22"/>
          </w:rPr>
          <w:fldChar w:fldCharType="end"/>
        </w:r>
      </w:hyperlink>
    </w:p>
    <w:p w14:paraId="3B0C7E38" w14:textId="0728AF06" w:rsidR="00E4706C" w:rsidRPr="007232BF" w:rsidRDefault="00E4706C">
      <w:pPr>
        <w:pStyle w:val="TOC2"/>
        <w:tabs>
          <w:tab w:val="right" w:leader="dot" w:pos="9350"/>
        </w:tabs>
        <w:rPr>
          <w:rFonts w:ascii="Arial" w:hAnsi="Arial" w:cs="Arial"/>
          <w:noProof/>
          <w:sz w:val="22"/>
          <w:szCs w:val="22"/>
        </w:rPr>
      </w:pPr>
      <w:hyperlink w:anchor="_Toc236917040" w:history="1">
        <w:r w:rsidRPr="007232BF">
          <w:rPr>
            <w:rStyle w:val="Hyperlink"/>
            <w:rFonts w:ascii="Arial" w:eastAsia="Times New Roman" w:hAnsi="Arial" w:cs="Arial"/>
            <w:b/>
            <w:bCs/>
            <w:noProof/>
            <w:sz w:val="22"/>
            <w:szCs w:val="22"/>
            <w:lang w:val="en-GB" w:eastAsia="en-GB"/>
          </w:rPr>
          <w:t>2.2 Legal and Ethical Responsibilities for Maintaining Privacy and Dignity</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_Toc236917040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6</w:t>
        </w:r>
        <w:r w:rsidRPr="007232BF">
          <w:rPr>
            <w:rFonts w:ascii="Arial" w:hAnsi="Arial" w:cs="Arial"/>
            <w:noProof/>
            <w:webHidden/>
            <w:sz w:val="22"/>
            <w:szCs w:val="22"/>
          </w:rPr>
          <w:fldChar w:fldCharType="end"/>
        </w:r>
      </w:hyperlink>
    </w:p>
    <w:p w14:paraId="6952FFD6" w14:textId="2B758BC7" w:rsidR="00E4706C" w:rsidRPr="007232BF" w:rsidRDefault="00E4706C">
      <w:pPr>
        <w:pStyle w:val="TOC2"/>
        <w:tabs>
          <w:tab w:val="right" w:leader="dot" w:pos="9350"/>
        </w:tabs>
        <w:rPr>
          <w:rFonts w:ascii="Arial" w:hAnsi="Arial" w:cs="Arial"/>
          <w:noProof/>
          <w:sz w:val="22"/>
          <w:szCs w:val="22"/>
        </w:rPr>
      </w:pPr>
      <w:hyperlink w:anchor="_Toc236917041" w:history="1">
        <w:r w:rsidRPr="007232BF">
          <w:rPr>
            <w:rStyle w:val="Hyperlink"/>
            <w:rFonts w:ascii="Arial" w:eastAsia="Times New Roman" w:hAnsi="Arial" w:cs="Arial"/>
            <w:b/>
            <w:bCs/>
            <w:noProof/>
            <w:sz w:val="22"/>
            <w:szCs w:val="22"/>
            <w:lang w:val="en-GB" w:eastAsia="en-GB"/>
          </w:rPr>
          <w:t>2.3 Impact of Respecting or Breaching Privacy and Dignity</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_Toc236917041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8</w:t>
        </w:r>
        <w:r w:rsidRPr="007232BF">
          <w:rPr>
            <w:rFonts w:ascii="Arial" w:hAnsi="Arial" w:cs="Arial"/>
            <w:noProof/>
            <w:webHidden/>
            <w:sz w:val="22"/>
            <w:szCs w:val="22"/>
          </w:rPr>
          <w:fldChar w:fldCharType="end"/>
        </w:r>
      </w:hyperlink>
    </w:p>
    <w:p w14:paraId="302D9840" w14:textId="663B001D" w:rsidR="00E4706C" w:rsidRPr="007232BF" w:rsidRDefault="00E4706C">
      <w:pPr>
        <w:pStyle w:val="TOC1"/>
        <w:tabs>
          <w:tab w:val="right" w:leader="dot" w:pos="9350"/>
        </w:tabs>
        <w:rPr>
          <w:rFonts w:ascii="Arial" w:hAnsi="Arial" w:cs="Arial"/>
          <w:noProof/>
          <w:kern w:val="2"/>
          <w:sz w:val="22"/>
          <w:szCs w:val="22"/>
          <w:lang w:val="en-GB" w:eastAsia="en-GB"/>
          <w14:ligatures w14:val="standardContextual"/>
        </w:rPr>
      </w:pPr>
      <w:hyperlink w:anchor="_Toc236917042" w:history="1">
        <w:r w:rsidRPr="007232BF">
          <w:rPr>
            <w:rStyle w:val="Hyperlink"/>
            <w:rFonts w:ascii="Arial" w:eastAsia="Times New Roman" w:hAnsi="Arial" w:cs="Arial"/>
            <w:b/>
            <w:bCs/>
            <w:noProof/>
            <w:kern w:val="36"/>
            <w:sz w:val="22"/>
            <w:szCs w:val="22"/>
            <w:lang w:val="en-GB" w:eastAsia="en-GB"/>
          </w:rPr>
          <w:t>3. The Relationship Between Communication, Privacy and Dignity</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_Toc236917042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8</w:t>
        </w:r>
        <w:r w:rsidRPr="007232BF">
          <w:rPr>
            <w:rFonts w:ascii="Arial" w:hAnsi="Arial" w:cs="Arial"/>
            <w:noProof/>
            <w:webHidden/>
            <w:sz w:val="22"/>
            <w:szCs w:val="22"/>
          </w:rPr>
          <w:fldChar w:fldCharType="end"/>
        </w:r>
      </w:hyperlink>
    </w:p>
    <w:p w14:paraId="60368B1E" w14:textId="55692CE2" w:rsidR="00E4706C" w:rsidRPr="007232BF" w:rsidRDefault="00E4706C">
      <w:pPr>
        <w:pStyle w:val="TOC1"/>
        <w:tabs>
          <w:tab w:val="right" w:leader="dot" w:pos="9350"/>
        </w:tabs>
        <w:rPr>
          <w:rFonts w:ascii="Arial" w:hAnsi="Arial" w:cs="Arial"/>
          <w:noProof/>
          <w:kern w:val="2"/>
          <w:sz w:val="22"/>
          <w:szCs w:val="22"/>
          <w:lang w:val="en-GB" w:eastAsia="en-GB"/>
          <w14:ligatures w14:val="standardContextual"/>
        </w:rPr>
      </w:pPr>
      <w:hyperlink w:anchor="_Toc236917043" w:history="1">
        <w:r w:rsidRPr="007232BF">
          <w:rPr>
            <w:rStyle w:val="Hyperlink"/>
            <w:rFonts w:ascii="Arial" w:eastAsia="Times New Roman" w:hAnsi="Arial" w:cs="Arial"/>
            <w:b/>
            <w:bCs/>
            <w:noProof/>
            <w:kern w:val="36"/>
            <w:sz w:val="22"/>
            <w:szCs w:val="22"/>
            <w:lang w:val="en-GB" w:eastAsia="en-GB"/>
          </w:rPr>
          <w:t>4. Challenges in Maintaining Communication, Privacy and Dignity</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_Toc236917043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9</w:t>
        </w:r>
        <w:r w:rsidRPr="007232BF">
          <w:rPr>
            <w:rFonts w:ascii="Arial" w:hAnsi="Arial" w:cs="Arial"/>
            <w:noProof/>
            <w:webHidden/>
            <w:sz w:val="22"/>
            <w:szCs w:val="22"/>
          </w:rPr>
          <w:fldChar w:fldCharType="end"/>
        </w:r>
      </w:hyperlink>
    </w:p>
    <w:p w14:paraId="2783DCC2" w14:textId="77A190CC" w:rsidR="00E4706C" w:rsidRPr="007232BF" w:rsidRDefault="00E4706C">
      <w:pPr>
        <w:pStyle w:val="TOC1"/>
        <w:tabs>
          <w:tab w:val="right" w:leader="dot" w:pos="9350"/>
        </w:tabs>
        <w:rPr>
          <w:rFonts w:ascii="Arial" w:hAnsi="Arial" w:cs="Arial"/>
          <w:noProof/>
          <w:kern w:val="2"/>
          <w:sz w:val="22"/>
          <w:szCs w:val="22"/>
          <w:lang w:val="en-GB" w:eastAsia="en-GB"/>
          <w14:ligatures w14:val="standardContextual"/>
        </w:rPr>
      </w:pPr>
      <w:hyperlink w:anchor="_Toc236917044" w:history="1">
        <w:r w:rsidRPr="007232BF">
          <w:rPr>
            <w:rStyle w:val="Hyperlink"/>
            <w:rFonts w:ascii="Arial" w:eastAsia="Times New Roman" w:hAnsi="Arial" w:cs="Arial"/>
            <w:b/>
            <w:bCs/>
            <w:noProof/>
            <w:kern w:val="36"/>
            <w:sz w:val="22"/>
            <w:szCs w:val="22"/>
            <w:lang w:val="en-GB" w:eastAsia="en-GB"/>
          </w:rPr>
          <w:t>Conclusion</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_Toc236917044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10</w:t>
        </w:r>
        <w:r w:rsidRPr="007232BF">
          <w:rPr>
            <w:rFonts w:ascii="Arial" w:hAnsi="Arial" w:cs="Arial"/>
            <w:noProof/>
            <w:webHidden/>
            <w:sz w:val="22"/>
            <w:szCs w:val="22"/>
          </w:rPr>
          <w:fldChar w:fldCharType="end"/>
        </w:r>
      </w:hyperlink>
    </w:p>
    <w:p w14:paraId="08B8D6AC" w14:textId="17C2BD3A" w:rsidR="00E4706C" w:rsidRPr="007232BF" w:rsidRDefault="00E4706C">
      <w:pPr>
        <w:pStyle w:val="TOC2"/>
        <w:tabs>
          <w:tab w:val="right" w:leader="dot" w:pos="9350"/>
        </w:tabs>
        <w:rPr>
          <w:rFonts w:ascii="Arial" w:hAnsi="Arial" w:cs="Arial"/>
          <w:noProof/>
          <w:sz w:val="22"/>
          <w:szCs w:val="22"/>
        </w:rPr>
      </w:pPr>
      <w:hyperlink w:anchor="_Toc236917045" w:history="1">
        <w:r w:rsidRPr="007232BF">
          <w:rPr>
            <w:rStyle w:val="Hyperlink"/>
            <w:rFonts w:ascii="Arial" w:eastAsia="Times New Roman" w:hAnsi="Arial" w:cs="Arial"/>
            <w:b/>
            <w:bCs/>
            <w:noProof/>
            <w:sz w:val="22"/>
            <w:szCs w:val="22"/>
            <w:lang w:val="en-GB" w:eastAsia="en-GB"/>
          </w:rPr>
          <w:t>References</w:t>
        </w:r>
        <w:r w:rsidRPr="007232BF">
          <w:rPr>
            <w:rFonts w:ascii="Arial" w:hAnsi="Arial" w:cs="Arial"/>
            <w:noProof/>
            <w:webHidden/>
            <w:sz w:val="22"/>
            <w:szCs w:val="22"/>
          </w:rPr>
          <w:tab/>
        </w:r>
        <w:r w:rsidRPr="007232BF">
          <w:rPr>
            <w:rFonts w:ascii="Arial" w:hAnsi="Arial" w:cs="Arial"/>
            <w:noProof/>
            <w:webHidden/>
            <w:sz w:val="22"/>
            <w:szCs w:val="22"/>
          </w:rPr>
          <w:fldChar w:fldCharType="begin"/>
        </w:r>
        <w:r w:rsidRPr="007232BF">
          <w:rPr>
            <w:rFonts w:ascii="Arial" w:hAnsi="Arial" w:cs="Arial"/>
            <w:noProof/>
            <w:webHidden/>
            <w:sz w:val="22"/>
            <w:szCs w:val="22"/>
          </w:rPr>
          <w:instrText xml:space="preserve"> PAGEREF _Toc236917045 \h </w:instrText>
        </w:r>
        <w:r w:rsidRPr="007232BF">
          <w:rPr>
            <w:rFonts w:ascii="Arial" w:hAnsi="Arial" w:cs="Arial"/>
            <w:noProof/>
            <w:webHidden/>
            <w:sz w:val="22"/>
            <w:szCs w:val="22"/>
          </w:rPr>
        </w:r>
        <w:r w:rsidRPr="007232BF">
          <w:rPr>
            <w:rFonts w:ascii="Arial" w:hAnsi="Arial" w:cs="Arial"/>
            <w:noProof/>
            <w:webHidden/>
            <w:sz w:val="22"/>
            <w:szCs w:val="22"/>
          </w:rPr>
          <w:fldChar w:fldCharType="separate"/>
        </w:r>
        <w:r w:rsidRPr="007232BF">
          <w:rPr>
            <w:rFonts w:ascii="Arial" w:hAnsi="Arial" w:cs="Arial"/>
            <w:noProof/>
            <w:webHidden/>
            <w:sz w:val="22"/>
            <w:szCs w:val="22"/>
          </w:rPr>
          <w:t>11</w:t>
        </w:r>
        <w:r w:rsidRPr="007232BF">
          <w:rPr>
            <w:rFonts w:ascii="Arial" w:hAnsi="Arial" w:cs="Arial"/>
            <w:noProof/>
            <w:webHidden/>
            <w:sz w:val="22"/>
            <w:szCs w:val="22"/>
          </w:rPr>
          <w:fldChar w:fldCharType="end"/>
        </w:r>
      </w:hyperlink>
    </w:p>
    <w:p w14:paraId="3525F37A" w14:textId="36102FF2" w:rsidR="00BF2CCD" w:rsidRPr="007232BF" w:rsidRDefault="00E4706C" w:rsidP="00D9207A">
      <w:pPr>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fldChar w:fldCharType="end"/>
      </w:r>
    </w:p>
    <w:p w14:paraId="1F312C1F" w14:textId="77777777" w:rsidR="00BF2CCD" w:rsidRPr="007232BF" w:rsidRDefault="00BF2CCD" w:rsidP="00D9207A">
      <w:pPr>
        <w:rPr>
          <w:rFonts w:ascii="Arial" w:eastAsia="Times New Roman" w:hAnsi="Arial" w:cs="Arial"/>
          <w:sz w:val="22"/>
          <w:szCs w:val="22"/>
          <w:lang w:val="en-GB" w:eastAsia="en-GB"/>
        </w:rPr>
      </w:pPr>
    </w:p>
    <w:p w14:paraId="26DC3773" w14:textId="77777777" w:rsidR="00BF2CCD" w:rsidRPr="007232BF" w:rsidRDefault="00BF2CCD" w:rsidP="00D9207A">
      <w:pPr>
        <w:rPr>
          <w:rFonts w:ascii="Arial" w:eastAsia="Times New Roman" w:hAnsi="Arial" w:cs="Arial"/>
          <w:sz w:val="22"/>
          <w:szCs w:val="22"/>
          <w:lang w:val="en-GB" w:eastAsia="en-GB"/>
        </w:rPr>
      </w:pPr>
    </w:p>
    <w:p w14:paraId="3FD4AA71" w14:textId="77777777" w:rsidR="00D9207A" w:rsidRPr="007232BF" w:rsidRDefault="00D9207A" w:rsidP="00D9207A">
      <w:pPr>
        <w:rPr>
          <w:rFonts w:ascii="Arial" w:eastAsia="Times New Roman" w:hAnsi="Arial" w:cs="Arial"/>
          <w:sz w:val="22"/>
          <w:szCs w:val="22"/>
          <w:lang w:val="en-GB" w:eastAsia="en-GB"/>
        </w:rPr>
      </w:pPr>
    </w:p>
    <w:p w14:paraId="548B5140" w14:textId="77777777" w:rsidR="00D9207A" w:rsidRPr="007232BF" w:rsidRDefault="00D9207A" w:rsidP="00D9207A">
      <w:pPr>
        <w:rPr>
          <w:rFonts w:ascii="Arial" w:eastAsia="Times New Roman" w:hAnsi="Arial" w:cs="Arial"/>
          <w:sz w:val="22"/>
          <w:szCs w:val="22"/>
          <w:lang w:val="en-GB" w:eastAsia="en-GB"/>
        </w:rPr>
      </w:pPr>
    </w:p>
    <w:p w14:paraId="756BA4A6" w14:textId="77777777" w:rsidR="00D9207A" w:rsidRPr="007232BF" w:rsidRDefault="00D9207A" w:rsidP="00D9207A">
      <w:pPr>
        <w:rPr>
          <w:rFonts w:ascii="Arial" w:eastAsia="Times New Roman" w:hAnsi="Arial" w:cs="Arial"/>
          <w:sz w:val="22"/>
          <w:szCs w:val="22"/>
          <w:lang w:val="en-GB" w:eastAsia="en-GB"/>
        </w:rPr>
      </w:pPr>
    </w:p>
    <w:p w14:paraId="1C69F499" w14:textId="77777777" w:rsidR="00D9207A" w:rsidRPr="007232BF" w:rsidRDefault="00D9207A" w:rsidP="00D9207A">
      <w:pPr>
        <w:rPr>
          <w:rFonts w:ascii="Arial" w:eastAsia="Times New Roman" w:hAnsi="Arial" w:cs="Arial"/>
          <w:sz w:val="22"/>
          <w:szCs w:val="22"/>
          <w:lang w:val="en-GB" w:eastAsia="en-GB"/>
        </w:rPr>
      </w:pPr>
    </w:p>
    <w:p w14:paraId="5640B65A" w14:textId="77777777" w:rsidR="00D9207A" w:rsidRPr="007232BF" w:rsidRDefault="00D9207A" w:rsidP="00D9207A">
      <w:pPr>
        <w:rPr>
          <w:rFonts w:ascii="Arial" w:eastAsia="Times New Roman" w:hAnsi="Arial" w:cs="Arial"/>
          <w:sz w:val="22"/>
          <w:szCs w:val="22"/>
          <w:lang w:val="en-GB" w:eastAsia="en-GB"/>
        </w:rPr>
      </w:pPr>
    </w:p>
    <w:p w14:paraId="26DCCF59" w14:textId="77777777" w:rsidR="00D9207A" w:rsidRPr="007232BF" w:rsidRDefault="00D9207A" w:rsidP="00D9207A">
      <w:pPr>
        <w:rPr>
          <w:rFonts w:ascii="Arial" w:eastAsia="Times New Roman" w:hAnsi="Arial" w:cs="Arial"/>
          <w:sz w:val="22"/>
          <w:szCs w:val="22"/>
          <w:lang w:val="en-GB" w:eastAsia="en-GB"/>
        </w:rPr>
      </w:pPr>
    </w:p>
    <w:p w14:paraId="4BC3B061" w14:textId="77777777" w:rsidR="00D9207A" w:rsidRPr="007232BF" w:rsidRDefault="00D9207A" w:rsidP="00D9207A">
      <w:pPr>
        <w:rPr>
          <w:rFonts w:ascii="Arial" w:eastAsia="Times New Roman" w:hAnsi="Arial" w:cs="Arial"/>
          <w:sz w:val="22"/>
          <w:szCs w:val="22"/>
          <w:lang w:val="en-GB" w:eastAsia="en-GB"/>
        </w:rPr>
      </w:pPr>
    </w:p>
    <w:p w14:paraId="4824FE47" w14:textId="77777777" w:rsidR="00D9207A" w:rsidRPr="007232BF" w:rsidRDefault="00D9207A" w:rsidP="00D9207A">
      <w:pPr>
        <w:rPr>
          <w:rFonts w:ascii="Arial" w:eastAsia="Times New Roman" w:hAnsi="Arial" w:cs="Arial"/>
          <w:sz w:val="22"/>
          <w:szCs w:val="22"/>
          <w:lang w:val="en-GB" w:eastAsia="en-GB"/>
        </w:rPr>
      </w:pPr>
    </w:p>
    <w:p w14:paraId="634BEC5C" w14:textId="77777777" w:rsidR="00D9207A" w:rsidRPr="007232BF" w:rsidRDefault="00D9207A" w:rsidP="00D9207A">
      <w:pPr>
        <w:rPr>
          <w:rFonts w:ascii="Arial" w:eastAsia="Times New Roman" w:hAnsi="Arial" w:cs="Arial"/>
          <w:sz w:val="22"/>
          <w:szCs w:val="22"/>
          <w:lang w:val="en-GB" w:eastAsia="en-GB"/>
        </w:rPr>
      </w:pPr>
    </w:p>
    <w:p w14:paraId="053AC08D" w14:textId="77777777" w:rsidR="00D9207A" w:rsidRPr="007232BF" w:rsidRDefault="00D9207A" w:rsidP="00D9207A">
      <w:pPr>
        <w:rPr>
          <w:rFonts w:ascii="Arial" w:eastAsia="Times New Roman" w:hAnsi="Arial" w:cs="Arial"/>
          <w:sz w:val="22"/>
          <w:szCs w:val="22"/>
          <w:lang w:val="en-GB" w:eastAsia="en-GB"/>
        </w:rPr>
      </w:pPr>
    </w:p>
    <w:p w14:paraId="3765A1B7" w14:textId="77777777" w:rsidR="00D9207A" w:rsidRPr="007232BF" w:rsidRDefault="00D9207A" w:rsidP="00D9207A">
      <w:pPr>
        <w:rPr>
          <w:rFonts w:ascii="Arial" w:eastAsia="Times New Roman" w:hAnsi="Arial" w:cs="Arial"/>
          <w:sz w:val="22"/>
          <w:szCs w:val="22"/>
          <w:lang w:val="en-GB" w:eastAsia="en-GB"/>
        </w:rPr>
      </w:pPr>
    </w:p>
    <w:p w14:paraId="19DAE60C" w14:textId="77777777" w:rsidR="00D9207A" w:rsidRPr="007232BF" w:rsidRDefault="00D9207A" w:rsidP="00D9207A">
      <w:pPr>
        <w:rPr>
          <w:rFonts w:ascii="Arial" w:eastAsia="Times New Roman" w:hAnsi="Arial" w:cs="Arial"/>
          <w:sz w:val="22"/>
          <w:szCs w:val="22"/>
          <w:lang w:val="en-GB" w:eastAsia="en-GB"/>
        </w:rPr>
      </w:pPr>
    </w:p>
    <w:p w14:paraId="1CDA2FAB" w14:textId="77777777" w:rsidR="00D9207A" w:rsidRPr="007232BF" w:rsidRDefault="00D9207A" w:rsidP="00D9207A">
      <w:pPr>
        <w:rPr>
          <w:rFonts w:ascii="Arial" w:eastAsia="Times New Roman" w:hAnsi="Arial" w:cs="Arial"/>
          <w:sz w:val="22"/>
          <w:szCs w:val="22"/>
          <w:lang w:val="en-GB" w:eastAsia="en-GB"/>
        </w:rPr>
      </w:pPr>
    </w:p>
    <w:p w14:paraId="7A1B16EF" w14:textId="77777777" w:rsidR="00D9207A" w:rsidRPr="007232BF" w:rsidRDefault="00D9207A" w:rsidP="00D9207A">
      <w:pPr>
        <w:rPr>
          <w:rFonts w:ascii="Arial" w:eastAsia="Times New Roman" w:hAnsi="Arial" w:cs="Arial"/>
          <w:sz w:val="22"/>
          <w:szCs w:val="22"/>
          <w:lang w:val="en-GB" w:eastAsia="en-GB"/>
        </w:rPr>
      </w:pPr>
    </w:p>
    <w:p w14:paraId="029A1992" w14:textId="77777777" w:rsidR="00D9207A" w:rsidRPr="007232BF" w:rsidRDefault="00D9207A" w:rsidP="00D9207A">
      <w:pPr>
        <w:rPr>
          <w:rFonts w:ascii="Arial" w:eastAsia="Times New Roman" w:hAnsi="Arial" w:cs="Arial"/>
          <w:sz w:val="22"/>
          <w:szCs w:val="22"/>
          <w:lang w:val="en-GB" w:eastAsia="en-GB"/>
        </w:rPr>
      </w:pPr>
    </w:p>
    <w:p w14:paraId="64E8418F" w14:textId="77777777" w:rsidR="005F07F2" w:rsidRPr="007232BF" w:rsidRDefault="005F07F2" w:rsidP="00D9207A">
      <w:pPr>
        <w:spacing w:before="100" w:beforeAutospacing="1" w:after="100" w:afterAutospacing="1" w:line="240" w:lineRule="auto"/>
        <w:outlineLvl w:val="2"/>
        <w:rPr>
          <w:rFonts w:ascii="Arial" w:eastAsia="Times New Roman" w:hAnsi="Arial" w:cs="Arial"/>
          <w:sz w:val="22"/>
          <w:szCs w:val="22"/>
          <w:lang w:val="en-GB" w:eastAsia="en-GB"/>
        </w:rPr>
      </w:pPr>
    </w:p>
    <w:p w14:paraId="39A618F1" w14:textId="080C8F75" w:rsidR="00D9207A" w:rsidRPr="007232BF" w:rsidRDefault="00D9207A" w:rsidP="00D9207A">
      <w:pPr>
        <w:spacing w:before="100" w:beforeAutospacing="1" w:after="100" w:afterAutospacing="1" w:line="240" w:lineRule="auto"/>
        <w:outlineLvl w:val="2"/>
        <w:rPr>
          <w:rFonts w:ascii="Arial" w:eastAsia="Times New Roman" w:hAnsi="Arial" w:cs="Arial"/>
          <w:b/>
          <w:bCs/>
          <w:sz w:val="22"/>
          <w:szCs w:val="22"/>
          <w:lang w:val="en-GB" w:eastAsia="en-GB"/>
        </w:rPr>
      </w:pPr>
      <w:bookmarkStart w:id="0" w:name="_Toc236917032"/>
      <w:r w:rsidRPr="007232BF">
        <w:rPr>
          <w:rFonts w:ascii="Arial" w:eastAsia="Times New Roman" w:hAnsi="Arial" w:cs="Arial"/>
          <w:b/>
          <w:bCs/>
          <w:sz w:val="22"/>
          <w:szCs w:val="22"/>
          <w:lang w:val="en-GB" w:eastAsia="en-GB"/>
        </w:rPr>
        <w:t>Introduction</w:t>
      </w:r>
      <w:bookmarkEnd w:id="0"/>
    </w:p>
    <w:p w14:paraId="3417B503"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Health and social care professionals have a responsibility to protect the health, wellbeing, safety and human rights of individuals who use care services. High-quality care involves more than clinical interventions; it requires effective communication, respect for individual choices, and protection of privacy and dignity. These principles are central to person-centred practice and are supported by UK legislation, professional standards and ethical frameworks.</w:t>
      </w:r>
    </w:p>
    <w:p w14:paraId="0C87F74E"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Effective communication enables individuals to understand information, express their preferences and participate in decisions about their care, while privacy and dignity promote autonomy, confidentiality and respect. Maintaining these principles helps develop trust and supports safe, compassionate care, whereas poor practice may result in distress, complaints and risks to individuals’ safety (NMC, 2018).</w:t>
      </w:r>
    </w:p>
    <w:p w14:paraId="312A2D71"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301B441B"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13B8546E"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085B56C2"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55D8ED6A"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1A58C206"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69CAD949"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3816F159"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1E9E9E8E"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0DDB7ACF"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68305B58"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3B172117"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7294576B"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4367F2B0"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0166FA9C" w14:textId="77777777" w:rsidR="00E6159B" w:rsidRPr="007232BF" w:rsidRDefault="00E6159B" w:rsidP="00D9207A">
      <w:pPr>
        <w:spacing w:before="100" w:beforeAutospacing="1" w:after="100" w:afterAutospacing="1" w:line="240" w:lineRule="auto"/>
        <w:rPr>
          <w:rFonts w:ascii="Arial" w:eastAsia="Times New Roman" w:hAnsi="Arial" w:cs="Arial"/>
          <w:sz w:val="22"/>
          <w:szCs w:val="22"/>
          <w:lang w:val="en-GB" w:eastAsia="en-GB"/>
        </w:rPr>
      </w:pPr>
    </w:p>
    <w:p w14:paraId="57271C30" w14:textId="77777777" w:rsidR="00D9207A" w:rsidRPr="007232BF" w:rsidRDefault="00D9207A" w:rsidP="00D9207A">
      <w:pPr>
        <w:spacing w:before="100" w:beforeAutospacing="1" w:after="100" w:afterAutospacing="1" w:line="240" w:lineRule="auto"/>
        <w:outlineLvl w:val="1"/>
        <w:rPr>
          <w:rFonts w:ascii="Arial" w:eastAsia="Times New Roman" w:hAnsi="Arial" w:cs="Arial"/>
          <w:b/>
          <w:bCs/>
          <w:sz w:val="22"/>
          <w:szCs w:val="22"/>
          <w:lang w:val="en-GB" w:eastAsia="en-GB"/>
        </w:rPr>
      </w:pPr>
      <w:bookmarkStart w:id="1" w:name="_Toc236917033"/>
      <w:r w:rsidRPr="007232BF">
        <w:rPr>
          <w:rFonts w:ascii="Arial" w:eastAsia="Times New Roman" w:hAnsi="Arial" w:cs="Arial"/>
          <w:b/>
          <w:bCs/>
          <w:sz w:val="22"/>
          <w:szCs w:val="22"/>
          <w:lang w:val="en-GB" w:eastAsia="en-GB"/>
        </w:rPr>
        <w:t>1. Communication as a Fundamental Professional Responsibility</w:t>
      </w:r>
      <w:bookmarkEnd w:id="1"/>
    </w:p>
    <w:p w14:paraId="127147C4" w14:textId="77777777" w:rsidR="00D9207A" w:rsidRPr="007232BF" w:rsidRDefault="00D9207A" w:rsidP="00D9207A">
      <w:pPr>
        <w:spacing w:before="100" w:beforeAutospacing="1" w:after="100" w:afterAutospacing="1" w:line="240" w:lineRule="auto"/>
        <w:outlineLvl w:val="2"/>
        <w:rPr>
          <w:rFonts w:ascii="Arial" w:eastAsia="Times New Roman" w:hAnsi="Arial" w:cs="Arial"/>
          <w:b/>
          <w:bCs/>
          <w:sz w:val="22"/>
          <w:szCs w:val="22"/>
          <w:lang w:val="en-GB" w:eastAsia="en-GB"/>
        </w:rPr>
      </w:pPr>
      <w:bookmarkStart w:id="2" w:name="_Toc236917034"/>
      <w:r w:rsidRPr="007232BF">
        <w:rPr>
          <w:rFonts w:ascii="Arial" w:eastAsia="Times New Roman" w:hAnsi="Arial" w:cs="Arial"/>
          <w:b/>
          <w:bCs/>
          <w:sz w:val="22"/>
          <w:szCs w:val="22"/>
          <w:lang w:val="en-GB" w:eastAsia="en-GB"/>
        </w:rPr>
        <w:t>1.1 Professionalism, Communication and Duty of Care</w:t>
      </w:r>
      <w:bookmarkEnd w:id="2"/>
    </w:p>
    <w:p w14:paraId="1EDAD404"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Effective communication is essential in health and social care as it supports safe decision-making, builds trust and allows professionals to understand individual needs. The NMC Code (2018) requires professionals to communicate clearly, listen effectively and adapt their approach according to individuals’ needs, abilities and preferences. This reflects their duty of care to act in people’s best interests and reduce avoidable harm.</w:t>
      </w:r>
    </w:p>
    <w:p w14:paraId="4C045E91"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Poor communication can result in misunderstandings about medication, treatment or health advice, affecting safety and care outcomes. It may also prevent professionals from recognising changes in a person’s condition or concerns requiring support (CQC, 2021). Therefore, communication is a key element of safe and effective practice.</w:t>
      </w:r>
    </w:p>
    <w:p w14:paraId="5EACB498"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Person-centred communication requires professionals to consider individual experiences, values and preferences. Social Care Wales (2022) highlights that effective care depends on understanding each person as an individual and adapting communication approaches accordingly.</w:t>
      </w:r>
    </w:p>
    <w:p w14:paraId="229915D8" w14:textId="77777777" w:rsidR="00D9207A" w:rsidRPr="007232BF" w:rsidRDefault="00D9207A" w:rsidP="00D9207A">
      <w:pPr>
        <w:spacing w:before="100" w:beforeAutospacing="1" w:after="100" w:afterAutospacing="1" w:line="240" w:lineRule="auto"/>
        <w:outlineLvl w:val="2"/>
        <w:rPr>
          <w:rFonts w:ascii="Arial" w:eastAsia="Times New Roman" w:hAnsi="Arial" w:cs="Arial"/>
          <w:b/>
          <w:bCs/>
          <w:sz w:val="22"/>
          <w:szCs w:val="22"/>
          <w:lang w:val="en-GB" w:eastAsia="en-GB"/>
        </w:rPr>
      </w:pPr>
      <w:bookmarkStart w:id="3" w:name="_Toc236917035"/>
      <w:r w:rsidRPr="007232BF">
        <w:rPr>
          <w:rFonts w:ascii="Arial" w:eastAsia="Times New Roman" w:hAnsi="Arial" w:cs="Arial"/>
          <w:b/>
          <w:bCs/>
          <w:sz w:val="22"/>
          <w:szCs w:val="22"/>
          <w:lang w:val="en-GB" w:eastAsia="en-GB"/>
        </w:rPr>
        <w:t>1.2 Person-Centred Communication: Carl Rogers’ Theory</w:t>
      </w:r>
      <w:bookmarkEnd w:id="3"/>
    </w:p>
    <w:p w14:paraId="65E7C526"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The importance of person-centred communication is supported by Carl Rogers’ humanistic theory. Rogers (1961) identified empathy, genuineness and unconditional positive regard as essential for developing effective relationships. These principles remain relevant in health and social care because they encourage professionals to see individuals as unique people rather than focusing only on their conditions.</w:t>
      </w:r>
    </w:p>
    <w:p w14:paraId="0783402A"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Empathy allows professionals to understand individuals’ feelings and experiences, while genuineness supports honest and respectful interactions. Unconditional positive regard ensures individuals are treated without judgement, encouraging confidence and involvement in decision-making (Rogers, 2003).</w:t>
      </w:r>
    </w:p>
    <w:p w14:paraId="51413A50"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Arnold and Boggs (2019) explain that therapeutic communication involves active listening, emotional awareness and trust-building. Therefore, effective communication depends not only on the information shared but also on how individuals experience their interactions with professionals.</w:t>
      </w:r>
    </w:p>
    <w:p w14:paraId="4E66EB99" w14:textId="77777777" w:rsidR="00D9207A" w:rsidRPr="007232BF" w:rsidRDefault="00D9207A" w:rsidP="00D9207A">
      <w:pPr>
        <w:spacing w:before="100" w:beforeAutospacing="1" w:after="100" w:afterAutospacing="1" w:line="240" w:lineRule="auto"/>
        <w:outlineLvl w:val="2"/>
        <w:rPr>
          <w:rFonts w:ascii="Arial" w:eastAsia="Times New Roman" w:hAnsi="Arial" w:cs="Arial"/>
          <w:b/>
          <w:bCs/>
          <w:sz w:val="22"/>
          <w:szCs w:val="22"/>
          <w:lang w:val="en-GB" w:eastAsia="en-GB"/>
        </w:rPr>
      </w:pPr>
      <w:bookmarkStart w:id="4" w:name="_Toc236917036"/>
      <w:r w:rsidRPr="007232BF">
        <w:rPr>
          <w:rFonts w:ascii="Arial" w:eastAsia="Times New Roman" w:hAnsi="Arial" w:cs="Arial"/>
          <w:b/>
          <w:bCs/>
          <w:sz w:val="22"/>
          <w:szCs w:val="22"/>
          <w:lang w:val="en-GB" w:eastAsia="en-GB"/>
        </w:rPr>
        <w:t>1.3 Meeting Diverse Communication Needs</w:t>
      </w:r>
      <w:bookmarkEnd w:id="4"/>
    </w:p>
    <w:p w14:paraId="5D6932EF"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Health and social care professionals must adapt communication methods to meet diverse needs related to language, disability, culture, sensory impairment and cognitive ability. Inclusive approaches support equality and enable individuals to participate effectively in their care.</w:t>
      </w:r>
    </w:p>
    <w:p w14:paraId="27D3D950"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For example, people with hearing loss may require British Sign Language interpreters, hearing technology or written information, while individuals with visual impairments may benefit from large-print resources or verbal explanations (RNIB, 2022). Those with dementia, autism or </w:t>
      </w:r>
      <w:r w:rsidRPr="007232BF">
        <w:rPr>
          <w:rFonts w:ascii="Arial" w:eastAsia="Times New Roman" w:hAnsi="Arial" w:cs="Arial"/>
          <w:sz w:val="22"/>
          <w:szCs w:val="22"/>
          <w:lang w:val="en-GB" w:eastAsia="en-GB"/>
        </w:rPr>
        <w:lastRenderedPageBreak/>
        <w:t>learning disabilities may require simple language, visual aids and additional time to process information (Alzheimer’s Society, 2022).</w:t>
      </w:r>
    </w:p>
    <w:p w14:paraId="0544876A"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The Equality Act 2010 requires organisations to make reasonable adjustments to prevent disadvantage, while the Welsh Language (Wales) Measure 2011 supports access to services in an individual’s preferred language. Professional interpreters should be used when necessary to maintain confidentiality and accuracy (CQC, 2021).</w:t>
      </w:r>
    </w:p>
    <w:p w14:paraId="310BAD93"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O’Hagan et al. (2014) found that person-centred communication improves satisfaction, involvement in decision-making and professional relationships. Therefore, adapting communication is essential for safe and inclusive care.</w:t>
      </w:r>
    </w:p>
    <w:p w14:paraId="280E9F7E" w14:textId="77777777" w:rsidR="00D9207A" w:rsidRPr="007232BF" w:rsidRDefault="00D9207A" w:rsidP="00D9207A">
      <w:pPr>
        <w:spacing w:before="100" w:beforeAutospacing="1" w:after="100" w:afterAutospacing="1" w:line="240" w:lineRule="auto"/>
        <w:outlineLvl w:val="2"/>
        <w:rPr>
          <w:rFonts w:ascii="Arial" w:eastAsia="Times New Roman" w:hAnsi="Arial" w:cs="Arial"/>
          <w:b/>
          <w:bCs/>
          <w:sz w:val="22"/>
          <w:szCs w:val="22"/>
          <w:lang w:val="en-GB" w:eastAsia="en-GB"/>
        </w:rPr>
      </w:pPr>
      <w:bookmarkStart w:id="5" w:name="_Toc236917037"/>
      <w:r w:rsidRPr="007232BF">
        <w:rPr>
          <w:rFonts w:ascii="Arial" w:eastAsia="Times New Roman" w:hAnsi="Arial" w:cs="Arial"/>
          <w:b/>
          <w:bCs/>
          <w:sz w:val="22"/>
          <w:szCs w:val="22"/>
          <w:lang w:val="en-GB" w:eastAsia="en-GB"/>
        </w:rPr>
        <w:t>1.4 Professional Accountability and Consequences of Poor Communication</w:t>
      </w:r>
      <w:bookmarkEnd w:id="5"/>
    </w:p>
    <w:p w14:paraId="54097C5D"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Health and social care professionals are accountable for ensuring communication supports safe and effective care. Failure to communicate effectively may result in misunderstandings, reduced trust, complaints and potential harm to individuals.</w:t>
      </w:r>
    </w:p>
    <w:p w14:paraId="0AF4E297" w14:textId="77777777" w:rsidR="00D9207A" w:rsidRPr="007232BF" w:rsidRDefault="00D9207A" w:rsidP="00D9207A">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Professionals must recognise communication barriers and take appropriate action to ensure individuals understand information and can participate in decisions. The NMC Code (2018) emphasises the importance of listening, sharing information appropriately and maintaining professional responsibility.</w:t>
      </w:r>
    </w:p>
    <w:p w14:paraId="29C9A11A" w14:textId="0EB9EC6F" w:rsidR="00B30069" w:rsidRPr="007232BF" w:rsidRDefault="00D9207A" w:rsidP="00976551">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Effective communication therefore protects individuals’ rights, improves safety and strengthens relationships between professionals and those receiving care.</w:t>
      </w:r>
    </w:p>
    <w:p w14:paraId="7AE7C297" w14:textId="77777777" w:rsidR="00D9207A" w:rsidRPr="007232BF" w:rsidRDefault="00D9207A" w:rsidP="0065572F">
      <w:pPr>
        <w:tabs>
          <w:tab w:val="left" w:pos="6540"/>
        </w:tabs>
        <w:spacing w:line="360" w:lineRule="auto"/>
        <w:rPr>
          <w:rFonts w:ascii="Arial" w:eastAsia="Arial" w:hAnsi="Arial" w:cs="Arial"/>
          <w:sz w:val="22"/>
          <w:szCs w:val="22"/>
        </w:rPr>
      </w:pPr>
    </w:p>
    <w:p w14:paraId="67C930D1" w14:textId="119F401D" w:rsidR="00687D56" w:rsidRPr="007232BF" w:rsidRDefault="00687D56" w:rsidP="00687D56">
      <w:pPr>
        <w:spacing w:before="100" w:beforeAutospacing="1" w:after="100" w:afterAutospacing="1" w:line="240" w:lineRule="auto"/>
        <w:outlineLvl w:val="0"/>
        <w:rPr>
          <w:rFonts w:ascii="Arial" w:eastAsia="Times New Roman" w:hAnsi="Arial" w:cs="Arial"/>
          <w:b/>
          <w:bCs/>
          <w:kern w:val="36"/>
          <w:sz w:val="22"/>
          <w:szCs w:val="22"/>
          <w:lang w:val="en-GB" w:eastAsia="en-GB"/>
        </w:rPr>
      </w:pPr>
      <w:bookmarkStart w:id="6" w:name="_Toc236917038"/>
      <w:r w:rsidRPr="007232BF">
        <w:rPr>
          <w:rFonts w:ascii="Arial" w:eastAsia="Times New Roman" w:hAnsi="Arial" w:cs="Arial"/>
          <w:b/>
          <w:bCs/>
          <w:kern w:val="36"/>
          <w:sz w:val="22"/>
          <w:szCs w:val="22"/>
          <w:lang w:val="en-GB" w:eastAsia="en-GB"/>
        </w:rPr>
        <w:t>2. Privacy and Dignity in Health and Social Care</w:t>
      </w:r>
      <w:bookmarkEnd w:id="6"/>
    </w:p>
    <w:p w14:paraId="2C62A761" w14:textId="77777777" w:rsidR="00687D56" w:rsidRPr="007232BF" w:rsidRDefault="00687D56" w:rsidP="00687D56">
      <w:pPr>
        <w:spacing w:before="100" w:beforeAutospacing="1" w:after="100" w:afterAutospacing="1" w:line="240" w:lineRule="auto"/>
        <w:outlineLvl w:val="1"/>
        <w:rPr>
          <w:rFonts w:ascii="Arial" w:eastAsia="Times New Roman" w:hAnsi="Arial" w:cs="Arial"/>
          <w:b/>
          <w:bCs/>
          <w:sz w:val="22"/>
          <w:szCs w:val="22"/>
          <w:lang w:val="en-GB" w:eastAsia="en-GB"/>
        </w:rPr>
      </w:pPr>
      <w:bookmarkStart w:id="7" w:name="_Toc236917039"/>
      <w:r w:rsidRPr="007232BF">
        <w:rPr>
          <w:rFonts w:ascii="Arial" w:eastAsia="Times New Roman" w:hAnsi="Arial" w:cs="Arial"/>
          <w:b/>
          <w:bCs/>
          <w:sz w:val="22"/>
          <w:szCs w:val="22"/>
          <w:lang w:val="en-GB" w:eastAsia="en-GB"/>
        </w:rPr>
        <w:t>2.1 Understanding Privacy and Dignity</w:t>
      </w:r>
      <w:bookmarkEnd w:id="7"/>
    </w:p>
    <w:p w14:paraId="5FBC0BD4"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Privacy and dignity are essential elements of ethical and person-centred care. Privacy involves protecting personal information, maintaining appropriate boundaries and respecting an individual’s personal space and choices. Dignity refers to treating individuals with respect, compassion and fairness regardless of their circumstances (Equality and Human Rights Commission (EHRC), 2020).</w:t>
      </w:r>
    </w:p>
    <w:p w14:paraId="4C1EAAD1"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Maintaining dignity requires professionals to recognise each person’s individuality, promote independence and respect personal preferences. Simple actions such as introducing oneself, explaining procedures, gaining consent and maintaining confidentiality help individuals feel valued and maintain control over their care (Age UK, 2023).</w:t>
      </w:r>
    </w:p>
    <w:p w14:paraId="4F8BF5DB" w14:textId="76FDD516" w:rsidR="00687D56"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Baillie (2018) highlights that dignity is created through consistent respectful interact</w:t>
      </w:r>
      <w:r w:rsidR="00252A45" w:rsidRPr="007232BF">
        <w:rPr>
          <w:rFonts w:ascii="Arial" w:eastAsia="Times New Roman" w:hAnsi="Arial" w:cs="Arial"/>
          <w:sz w:val="22"/>
          <w:szCs w:val="22"/>
          <w:lang w:val="en-GB" w:eastAsia="en-GB"/>
        </w:rPr>
        <w:t xml:space="preserve">ion </w:t>
      </w:r>
      <w:r w:rsidRPr="007232BF">
        <w:rPr>
          <w:rFonts w:ascii="Arial" w:eastAsia="Times New Roman" w:hAnsi="Arial" w:cs="Arial"/>
          <w:sz w:val="22"/>
          <w:szCs w:val="22"/>
          <w:lang w:val="en-GB" w:eastAsia="en-GB"/>
        </w:rPr>
        <w:t>Listening to individuals, respecting their choices and recognising their personal identity can improve emotional wellbeing and their overall experience of care.</w:t>
      </w:r>
    </w:p>
    <w:p w14:paraId="4E064C91" w14:textId="77777777" w:rsidR="00251FC8" w:rsidRPr="007232BF" w:rsidRDefault="00251FC8" w:rsidP="00687D56">
      <w:pPr>
        <w:spacing w:before="100" w:beforeAutospacing="1" w:after="100" w:afterAutospacing="1" w:line="240" w:lineRule="auto"/>
        <w:rPr>
          <w:rFonts w:ascii="Arial" w:eastAsia="Times New Roman" w:hAnsi="Arial" w:cs="Arial"/>
          <w:sz w:val="22"/>
          <w:szCs w:val="22"/>
          <w:lang w:val="en-GB" w:eastAsia="en-GB"/>
        </w:rPr>
      </w:pPr>
    </w:p>
    <w:p w14:paraId="2F21930E" w14:textId="77777777" w:rsidR="008C0882" w:rsidRPr="008C0882" w:rsidRDefault="008C0882" w:rsidP="008C0882">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8C0882">
        <w:rPr>
          <w:rFonts w:ascii="Times New Roman" w:eastAsia="Times New Roman" w:hAnsi="Times New Roman" w:cs="Times New Roman"/>
          <w:b/>
          <w:bCs/>
          <w:sz w:val="27"/>
          <w:szCs w:val="27"/>
          <w:lang w:val="en-GB" w:eastAsia="en-GB"/>
        </w:rPr>
        <w:lastRenderedPageBreak/>
        <w:t>2.2 Legal and Ethical Responsibilities for Maintaining Privacy and Dignity</w:t>
      </w:r>
    </w:p>
    <w:p w14:paraId="361345B2" w14:textId="77777777" w:rsidR="008C0882" w:rsidRPr="008C0882" w:rsidRDefault="008C0882" w:rsidP="008C0882">
      <w:pPr>
        <w:spacing w:before="100" w:beforeAutospacing="1" w:after="100" w:afterAutospacing="1" w:line="240" w:lineRule="auto"/>
        <w:rPr>
          <w:rFonts w:ascii="Times New Roman" w:eastAsia="Times New Roman" w:hAnsi="Times New Roman" w:cs="Times New Roman"/>
          <w:lang w:val="en-GB" w:eastAsia="en-GB"/>
        </w:rPr>
      </w:pPr>
      <w:r w:rsidRPr="008C0882">
        <w:rPr>
          <w:rFonts w:ascii="Times New Roman" w:eastAsia="Times New Roman" w:hAnsi="Times New Roman" w:cs="Times New Roman"/>
          <w:lang w:val="en-GB" w:eastAsia="en-GB"/>
        </w:rPr>
        <w:t>Privacy and dignity are protected by UK legislation and professional standards that place individuals' rights at the centre of health and social care.</w:t>
      </w:r>
    </w:p>
    <w:p w14:paraId="1C658DB1" w14:textId="77777777" w:rsidR="008C0882" w:rsidRPr="008C0882" w:rsidRDefault="008C0882" w:rsidP="008C0882">
      <w:pPr>
        <w:spacing w:before="100" w:beforeAutospacing="1" w:after="100" w:afterAutospacing="1" w:line="240" w:lineRule="auto"/>
        <w:rPr>
          <w:rFonts w:ascii="Times New Roman" w:eastAsia="Times New Roman" w:hAnsi="Times New Roman" w:cs="Times New Roman"/>
          <w:lang w:val="en-GB" w:eastAsia="en-GB"/>
        </w:rPr>
      </w:pPr>
      <w:r w:rsidRPr="008C0882">
        <w:rPr>
          <w:rFonts w:ascii="Times New Roman" w:eastAsia="Times New Roman" w:hAnsi="Times New Roman" w:cs="Times New Roman"/>
          <w:lang w:val="en-GB" w:eastAsia="en-GB"/>
        </w:rPr>
        <w:t xml:space="preserve">The </w:t>
      </w:r>
      <w:r w:rsidRPr="008C0882">
        <w:rPr>
          <w:rFonts w:ascii="Times New Roman" w:eastAsia="Times New Roman" w:hAnsi="Times New Roman" w:cs="Times New Roman"/>
          <w:b/>
          <w:bCs/>
          <w:lang w:val="en-GB" w:eastAsia="en-GB"/>
        </w:rPr>
        <w:t>Human Rights Act 1998</w:t>
      </w:r>
      <w:r w:rsidRPr="008C0882">
        <w:rPr>
          <w:rFonts w:ascii="Times New Roman" w:eastAsia="Times New Roman" w:hAnsi="Times New Roman" w:cs="Times New Roman"/>
          <w:lang w:val="en-GB" w:eastAsia="en-GB"/>
        </w:rPr>
        <w:t>, particularly Article 8, protects the right to private and family life. In practice, professionals must maintain confidentiality, respect personal boundaries and obtain consent before providing care or sharing personal information.</w:t>
      </w:r>
    </w:p>
    <w:p w14:paraId="7EF97279" w14:textId="77777777" w:rsidR="008C0882" w:rsidRPr="008C0882" w:rsidRDefault="008C0882" w:rsidP="008C0882">
      <w:pPr>
        <w:spacing w:before="100" w:beforeAutospacing="1" w:after="100" w:afterAutospacing="1" w:line="240" w:lineRule="auto"/>
        <w:rPr>
          <w:rFonts w:ascii="Times New Roman" w:eastAsia="Times New Roman" w:hAnsi="Times New Roman" w:cs="Times New Roman"/>
          <w:lang w:val="en-GB" w:eastAsia="en-GB"/>
        </w:rPr>
      </w:pPr>
      <w:r w:rsidRPr="008C0882">
        <w:rPr>
          <w:rFonts w:ascii="Times New Roman" w:eastAsia="Times New Roman" w:hAnsi="Times New Roman" w:cs="Times New Roman"/>
          <w:lang w:val="en-GB" w:eastAsia="en-GB"/>
        </w:rPr>
        <w:t xml:space="preserve">In Wales, the </w:t>
      </w:r>
      <w:r w:rsidRPr="008C0882">
        <w:rPr>
          <w:rFonts w:ascii="Times New Roman" w:eastAsia="Times New Roman" w:hAnsi="Times New Roman" w:cs="Times New Roman"/>
          <w:b/>
          <w:bCs/>
          <w:lang w:val="en-GB" w:eastAsia="en-GB"/>
        </w:rPr>
        <w:t>Social Services and Well-being (Wales) Act 2014</w:t>
      </w:r>
      <w:r w:rsidRPr="008C0882">
        <w:rPr>
          <w:rFonts w:ascii="Times New Roman" w:eastAsia="Times New Roman" w:hAnsi="Times New Roman" w:cs="Times New Roman"/>
          <w:lang w:val="en-GB" w:eastAsia="en-GB"/>
        </w:rPr>
        <w:t xml:space="preserve"> promotes wellbeing, independence and person-centred care through a strengths-based approach. Likewise, the </w:t>
      </w:r>
      <w:r w:rsidRPr="008C0882">
        <w:rPr>
          <w:rFonts w:ascii="Times New Roman" w:eastAsia="Times New Roman" w:hAnsi="Times New Roman" w:cs="Times New Roman"/>
          <w:b/>
          <w:bCs/>
          <w:lang w:val="en-GB" w:eastAsia="en-GB"/>
        </w:rPr>
        <w:t>Care Act 2014</w:t>
      </w:r>
      <w:r w:rsidRPr="008C0882">
        <w:rPr>
          <w:rFonts w:ascii="Times New Roman" w:eastAsia="Times New Roman" w:hAnsi="Times New Roman" w:cs="Times New Roman"/>
          <w:lang w:val="en-GB" w:eastAsia="en-GB"/>
        </w:rPr>
        <w:t xml:space="preserve"> in England supports personalised care, safeguarding and individual wellbeing.</w:t>
      </w:r>
    </w:p>
    <w:p w14:paraId="42A98E7B" w14:textId="77777777" w:rsidR="008C0882" w:rsidRPr="008C0882" w:rsidRDefault="008C0882" w:rsidP="008C0882">
      <w:pPr>
        <w:spacing w:before="100" w:beforeAutospacing="1" w:after="100" w:afterAutospacing="1" w:line="240" w:lineRule="auto"/>
        <w:rPr>
          <w:rFonts w:ascii="Times New Roman" w:eastAsia="Times New Roman" w:hAnsi="Times New Roman" w:cs="Times New Roman"/>
          <w:lang w:val="en-GB" w:eastAsia="en-GB"/>
        </w:rPr>
      </w:pPr>
      <w:r w:rsidRPr="008C0882">
        <w:rPr>
          <w:rFonts w:ascii="Times New Roman" w:eastAsia="Times New Roman" w:hAnsi="Times New Roman" w:cs="Times New Roman"/>
          <w:lang w:val="en-GB" w:eastAsia="en-GB"/>
        </w:rPr>
        <w:t xml:space="preserve">Professional guidance reinforces these duties. The </w:t>
      </w:r>
      <w:r w:rsidRPr="008C0882">
        <w:rPr>
          <w:rFonts w:ascii="Times New Roman" w:eastAsia="Times New Roman" w:hAnsi="Times New Roman" w:cs="Times New Roman"/>
          <w:b/>
          <w:bCs/>
          <w:lang w:val="en-GB" w:eastAsia="en-GB"/>
        </w:rPr>
        <w:t>NMC Code (2018)</w:t>
      </w:r>
      <w:r w:rsidRPr="008C0882">
        <w:rPr>
          <w:rFonts w:ascii="Times New Roman" w:eastAsia="Times New Roman" w:hAnsi="Times New Roman" w:cs="Times New Roman"/>
          <w:lang w:val="en-GB" w:eastAsia="en-GB"/>
        </w:rPr>
        <w:t xml:space="preserve"> requires nurses, midwives and nursing associates to respect dignity, protect confidentiality and involve individuals in decisions about their care. Similarly, </w:t>
      </w:r>
      <w:r w:rsidRPr="008C0882">
        <w:rPr>
          <w:rFonts w:ascii="Times New Roman" w:eastAsia="Times New Roman" w:hAnsi="Times New Roman" w:cs="Times New Roman"/>
          <w:b/>
          <w:bCs/>
          <w:lang w:val="en-GB" w:eastAsia="en-GB"/>
        </w:rPr>
        <w:t>Social Care Wales (2021)</w:t>
      </w:r>
      <w:r w:rsidRPr="008C0882">
        <w:rPr>
          <w:rFonts w:ascii="Times New Roman" w:eastAsia="Times New Roman" w:hAnsi="Times New Roman" w:cs="Times New Roman"/>
          <w:lang w:val="en-GB" w:eastAsia="en-GB"/>
        </w:rPr>
        <w:t xml:space="preserve"> emphasises respecting rights, preferences and dignity.</w:t>
      </w:r>
    </w:p>
    <w:p w14:paraId="7DCBEEB4" w14:textId="77777777" w:rsidR="008C0882" w:rsidRPr="008C0882" w:rsidRDefault="008C0882" w:rsidP="008C0882">
      <w:pPr>
        <w:spacing w:before="100" w:beforeAutospacing="1" w:after="100" w:afterAutospacing="1" w:line="240" w:lineRule="auto"/>
        <w:rPr>
          <w:rFonts w:ascii="Times New Roman" w:eastAsia="Times New Roman" w:hAnsi="Times New Roman" w:cs="Times New Roman"/>
          <w:lang w:val="en-GB" w:eastAsia="en-GB"/>
        </w:rPr>
      </w:pPr>
      <w:r w:rsidRPr="008C0882">
        <w:rPr>
          <w:rFonts w:ascii="Times New Roman" w:eastAsia="Times New Roman" w:hAnsi="Times New Roman" w:cs="Times New Roman"/>
          <w:lang w:val="en-GB" w:eastAsia="en-GB"/>
        </w:rPr>
        <w:t xml:space="preserve">Informed consent is essential for protecting autonomy. The </w:t>
      </w:r>
      <w:r w:rsidRPr="008C0882">
        <w:rPr>
          <w:rFonts w:ascii="Times New Roman" w:eastAsia="Times New Roman" w:hAnsi="Times New Roman" w:cs="Times New Roman"/>
          <w:b/>
          <w:bCs/>
          <w:lang w:val="en-GB" w:eastAsia="en-GB"/>
        </w:rPr>
        <w:t>GMC (2020)</w:t>
      </w:r>
      <w:r w:rsidRPr="008C0882">
        <w:rPr>
          <w:rFonts w:ascii="Times New Roman" w:eastAsia="Times New Roman" w:hAnsi="Times New Roman" w:cs="Times New Roman"/>
          <w:lang w:val="en-GB" w:eastAsia="en-GB"/>
        </w:rPr>
        <w:t xml:space="preserve"> states that individuals must receive clear information to make voluntary decisions and have the right to refuse treatment. Where a person lacks capacity, the </w:t>
      </w:r>
      <w:r w:rsidRPr="008C0882">
        <w:rPr>
          <w:rFonts w:ascii="Times New Roman" w:eastAsia="Times New Roman" w:hAnsi="Times New Roman" w:cs="Times New Roman"/>
          <w:b/>
          <w:bCs/>
          <w:lang w:val="en-GB" w:eastAsia="en-GB"/>
        </w:rPr>
        <w:t>Mental Capacity Act 2005</w:t>
      </w:r>
      <w:r w:rsidRPr="008C0882">
        <w:rPr>
          <w:rFonts w:ascii="Times New Roman" w:eastAsia="Times New Roman" w:hAnsi="Times New Roman" w:cs="Times New Roman"/>
          <w:lang w:val="en-GB" w:eastAsia="en-GB"/>
        </w:rPr>
        <w:t xml:space="preserve"> requires professionals to presume capacity unless proven otherwise and make decisions in the person's best interests using the least restrictive approach.</w:t>
      </w:r>
    </w:p>
    <w:p w14:paraId="1391706C" w14:textId="77777777" w:rsidR="008C0882" w:rsidRPr="008C0882" w:rsidRDefault="008C0882" w:rsidP="008C0882">
      <w:pPr>
        <w:spacing w:before="100" w:beforeAutospacing="1" w:after="100" w:afterAutospacing="1" w:line="240" w:lineRule="auto"/>
        <w:rPr>
          <w:rFonts w:ascii="Times New Roman" w:eastAsia="Times New Roman" w:hAnsi="Times New Roman" w:cs="Times New Roman"/>
          <w:lang w:val="en-GB" w:eastAsia="en-GB"/>
        </w:rPr>
      </w:pPr>
      <w:r w:rsidRPr="008C0882">
        <w:rPr>
          <w:rFonts w:ascii="Times New Roman" w:eastAsia="Times New Roman" w:hAnsi="Times New Roman" w:cs="Times New Roman"/>
          <w:lang w:val="en-GB" w:eastAsia="en-GB"/>
        </w:rPr>
        <w:t xml:space="preserve">Confidentiality is further protected by the </w:t>
      </w:r>
      <w:r w:rsidRPr="008C0882">
        <w:rPr>
          <w:rFonts w:ascii="Times New Roman" w:eastAsia="Times New Roman" w:hAnsi="Times New Roman" w:cs="Times New Roman"/>
          <w:b/>
          <w:bCs/>
          <w:lang w:val="en-GB" w:eastAsia="en-GB"/>
        </w:rPr>
        <w:t>Data Protection Act 2018</w:t>
      </w:r>
      <w:r w:rsidRPr="008C0882">
        <w:rPr>
          <w:rFonts w:ascii="Times New Roman" w:eastAsia="Times New Roman" w:hAnsi="Times New Roman" w:cs="Times New Roman"/>
          <w:lang w:val="en-GB" w:eastAsia="en-GB"/>
        </w:rPr>
        <w:t xml:space="preserve"> and </w:t>
      </w:r>
      <w:r w:rsidRPr="008C0882">
        <w:rPr>
          <w:rFonts w:ascii="Times New Roman" w:eastAsia="Times New Roman" w:hAnsi="Times New Roman" w:cs="Times New Roman"/>
          <w:b/>
          <w:bCs/>
          <w:lang w:val="en-GB" w:eastAsia="en-GB"/>
        </w:rPr>
        <w:t>UK GDPR</w:t>
      </w:r>
      <w:r w:rsidRPr="008C0882">
        <w:rPr>
          <w:rFonts w:ascii="Times New Roman" w:eastAsia="Times New Roman" w:hAnsi="Times New Roman" w:cs="Times New Roman"/>
          <w:lang w:val="en-GB" w:eastAsia="en-GB"/>
        </w:rPr>
        <w:t>, which require personal information to be stored securely and shared only with consent or a lawful reason, such as safeguarding (Information Commissioner's Office (ICO), 2023).</w:t>
      </w:r>
    </w:p>
    <w:p w14:paraId="4D928A9E" w14:textId="77777777" w:rsidR="008C0882" w:rsidRPr="008C0882" w:rsidRDefault="008C0882" w:rsidP="008C0882">
      <w:pPr>
        <w:spacing w:before="100" w:beforeAutospacing="1" w:after="100" w:afterAutospacing="1" w:line="240" w:lineRule="auto"/>
        <w:rPr>
          <w:rFonts w:ascii="Times New Roman" w:eastAsia="Times New Roman" w:hAnsi="Times New Roman" w:cs="Times New Roman"/>
          <w:lang w:val="en-GB" w:eastAsia="en-GB"/>
        </w:rPr>
      </w:pPr>
      <w:r w:rsidRPr="008C0882">
        <w:rPr>
          <w:rFonts w:ascii="Times New Roman" w:eastAsia="Times New Roman" w:hAnsi="Times New Roman" w:cs="Times New Roman"/>
          <w:lang w:val="en-GB" w:eastAsia="en-GB"/>
        </w:rPr>
        <w:t>Together, these legal and professional frameworks ensure privacy and dignity remain fundamental responsibilities that protect individuals' rights, safety and wellbeing.</w:t>
      </w:r>
    </w:p>
    <w:p w14:paraId="69C410CC" w14:textId="642810C2" w:rsidR="00687D56" w:rsidRDefault="00687D56" w:rsidP="008C0882">
      <w:pPr>
        <w:spacing w:before="100" w:beforeAutospacing="1" w:after="100" w:afterAutospacing="1" w:line="240" w:lineRule="auto"/>
        <w:rPr>
          <w:rFonts w:ascii="Arial" w:eastAsia="Times New Roman" w:hAnsi="Arial" w:cs="Arial"/>
          <w:sz w:val="22"/>
          <w:szCs w:val="22"/>
          <w:lang w:val="en-GB" w:eastAsia="en-GB"/>
        </w:rPr>
      </w:pPr>
    </w:p>
    <w:p w14:paraId="5BBF88A7" w14:textId="77777777" w:rsidR="008C0882" w:rsidRPr="007232BF" w:rsidRDefault="008C0882" w:rsidP="008C0882">
      <w:pPr>
        <w:spacing w:before="100" w:beforeAutospacing="1" w:after="100" w:afterAutospacing="1" w:line="240" w:lineRule="auto"/>
        <w:rPr>
          <w:rFonts w:ascii="Arial" w:eastAsia="Times New Roman" w:hAnsi="Arial" w:cs="Arial"/>
          <w:sz w:val="22"/>
          <w:szCs w:val="22"/>
          <w:lang w:val="en-GB" w:eastAsia="en-GB"/>
        </w:rPr>
      </w:pPr>
    </w:p>
    <w:p w14:paraId="467F9E72" w14:textId="77777777" w:rsidR="00FD15FD" w:rsidRPr="007232BF" w:rsidRDefault="00FD15FD" w:rsidP="00687D56">
      <w:pPr>
        <w:spacing w:before="100" w:beforeAutospacing="1" w:after="100" w:afterAutospacing="1" w:line="240" w:lineRule="auto"/>
        <w:rPr>
          <w:rFonts w:ascii="Arial" w:eastAsia="Times New Roman" w:hAnsi="Arial" w:cs="Arial"/>
          <w:sz w:val="22"/>
          <w:szCs w:val="22"/>
          <w:lang w:val="en-GB" w:eastAsia="en-GB"/>
        </w:rPr>
      </w:pPr>
    </w:p>
    <w:p w14:paraId="5C5A587D" w14:textId="77777777" w:rsidR="00FD15FD" w:rsidRPr="007232BF" w:rsidRDefault="00FD15FD" w:rsidP="00687D56">
      <w:pPr>
        <w:spacing w:before="100" w:beforeAutospacing="1" w:after="100" w:afterAutospacing="1" w:line="240" w:lineRule="auto"/>
        <w:rPr>
          <w:rFonts w:ascii="Arial" w:eastAsia="Times New Roman" w:hAnsi="Arial" w:cs="Arial"/>
          <w:sz w:val="22"/>
          <w:szCs w:val="22"/>
          <w:lang w:val="en-GB" w:eastAsia="en-GB"/>
        </w:rPr>
      </w:pPr>
    </w:p>
    <w:p w14:paraId="04DC532F" w14:textId="77777777" w:rsidR="00FD15FD" w:rsidRPr="007232BF" w:rsidRDefault="00FD15FD" w:rsidP="00687D56">
      <w:pPr>
        <w:spacing w:before="100" w:beforeAutospacing="1" w:after="100" w:afterAutospacing="1" w:line="240" w:lineRule="auto"/>
        <w:rPr>
          <w:rFonts w:ascii="Arial" w:eastAsia="Times New Roman" w:hAnsi="Arial" w:cs="Arial"/>
          <w:sz w:val="22"/>
          <w:szCs w:val="22"/>
          <w:lang w:val="en-GB" w:eastAsia="en-GB"/>
        </w:rPr>
      </w:pPr>
    </w:p>
    <w:p w14:paraId="454AB4F7" w14:textId="77777777" w:rsidR="00FD15FD" w:rsidRDefault="00FD15FD" w:rsidP="00687D56">
      <w:pPr>
        <w:spacing w:before="100" w:beforeAutospacing="1" w:after="100" w:afterAutospacing="1" w:line="240" w:lineRule="auto"/>
        <w:rPr>
          <w:rFonts w:ascii="Arial" w:eastAsia="Times New Roman" w:hAnsi="Arial" w:cs="Arial"/>
          <w:sz w:val="22"/>
          <w:szCs w:val="22"/>
          <w:lang w:val="en-GB" w:eastAsia="en-GB"/>
        </w:rPr>
      </w:pPr>
    </w:p>
    <w:p w14:paraId="35E127B0" w14:textId="77777777" w:rsidR="00251FC8" w:rsidRPr="007232BF" w:rsidRDefault="00251FC8" w:rsidP="00687D56">
      <w:pPr>
        <w:spacing w:before="100" w:beforeAutospacing="1" w:after="100" w:afterAutospacing="1" w:line="240" w:lineRule="auto"/>
        <w:rPr>
          <w:rFonts w:ascii="Arial" w:eastAsia="Times New Roman" w:hAnsi="Arial" w:cs="Arial"/>
          <w:sz w:val="22"/>
          <w:szCs w:val="22"/>
          <w:lang w:val="en-GB" w:eastAsia="en-GB"/>
        </w:rPr>
      </w:pPr>
    </w:p>
    <w:p w14:paraId="749D55CC" w14:textId="77777777" w:rsidR="001349E0" w:rsidRPr="007232BF" w:rsidRDefault="001349E0" w:rsidP="00687D56">
      <w:pPr>
        <w:spacing w:before="100" w:beforeAutospacing="1" w:after="100" w:afterAutospacing="1" w:line="240" w:lineRule="auto"/>
        <w:rPr>
          <w:rFonts w:ascii="Arial" w:eastAsia="Times New Roman" w:hAnsi="Arial" w:cs="Arial"/>
          <w:sz w:val="22"/>
          <w:szCs w:val="22"/>
          <w:lang w:val="en-GB" w:eastAsia="en-GB"/>
        </w:rPr>
      </w:pPr>
    </w:p>
    <w:p w14:paraId="21C548C3" w14:textId="77777777" w:rsidR="00687D56" w:rsidRPr="007232BF" w:rsidRDefault="00687D56" w:rsidP="00687D56">
      <w:pPr>
        <w:spacing w:before="100" w:beforeAutospacing="1" w:after="100" w:afterAutospacing="1" w:line="240" w:lineRule="auto"/>
        <w:outlineLvl w:val="1"/>
        <w:rPr>
          <w:rFonts w:ascii="Arial" w:eastAsia="Times New Roman" w:hAnsi="Arial" w:cs="Arial"/>
          <w:b/>
          <w:bCs/>
          <w:sz w:val="22"/>
          <w:szCs w:val="22"/>
          <w:lang w:val="en-GB" w:eastAsia="en-GB"/>
        </w:rPr>
      </w:pPr>
      <w:bookmarkStart w:id="8" w:name="_Toc236917041"/>
      <w:r w:rsidRPr="007232BF">
        <w:rPr>
          <w:rFonts w:ascii="Arial" w:eastAsia="Times New Roman" w:hAnsi="Arial" w:cs="Arial"/>
          <w:b/>
          <w:bCs/>
          <w:sz w:val="22"/>
          <w:szCs w:val="22"/>
          <w:lang w:val="en-GB" w:eastAsia="en-GB"/>
        </w:rPr>
        <w:lastRenderedPageBreak/>
        <w:t>2.3 Impact of Respecting or Breaching Privacy and Dignity</w:t>
      </w:r>
      <w:bookmarkEnd w:id="8"/>
    </w:p>
    <w:p w14:paraId="288534D6" w14:textId="07B63995"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Respecting privacy and dignity </w:t>
      </w:r>
      <w:r w:rsidR="00FD15FD" w:rsidRPr="007232BF">
        <w:rPr>
          <w:rFonts w:ascii="Arial" w:eastAsia="Times New Roman" w:hAnsi="Arial" w:cs="Arial"/>
          <w:sz w:val="22"/>
          <w:szCs w:val="22"/>
          <w:lang w:val="en-GB" w:eastAsia="en-GB"/>
        </w:rPr>
        <w:t>improve</w:t>
      </w:r>
      <w:r w:rsidRPr="007232BF">
        <w:rPr>
          <w:rFonts w:ascii="Arial" w:eastAsia="Times New Roman" w:hAnsi="Arial" w:cs="Arial"/>
          <w:sz w:val="22"/>
          <w:szCs w:val="22"/>
          <w:lang w:val="en-GB" w:eastAsia="en-GB"/>
        </w:rPr>
        <w:t xml:space="preserve"> individuals’ experiences of care by encouraging trust, confidence and involvement in decision-making. When individuals feel respected, they are more likely to communicate openly and engage with professionals.</w:t>
      </w:r>
    </w:p>
    <w:p w14:paraId="1948C0F9"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Maben et al. (2012) found that dignified care contributes to higher satisfaction and stronger relationships between individuals and healthcare professionals. Respectful practice also enables individuals to share important information, supporting safer and more personalised care.</w:t>
      </w:r>
    </w:p>
    <w:p w14:paraId="171FD206"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In contrast, breaches of privacy and dignity can cause embarrassment, distress, anxiety and loss of trust. Examples include sharing confidential information without permission, failing to provide privacy during personal care or ignoring individual preferences. Baillie (2018) explains that such experiences can make individuals feel like tasks rather than people, affecting self-esteem and emotional wellbeing.</w:t>
      </w:r>
    </w:p>
    <w:p w14:paraId="477399F9" w14:textId="28758011"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Failure to protect dignity may also indicate poor practice, neglect or abuse, leading to safeguarding concerns, complaints and professional investigation. The Department of Health and Social Care (2022) emphasises that safeguarding responsibilities include protecting individuals from emotional, psychological and institutional </w:t>
      </w:r>
      <w:r w:rsidR="007809AB" w:rsidRPr="007232BF">
        <w:rPr>
          <w:rFonts w:ascii="Arial" w:eastAsia="Times New Roman" w:hAnsi="Arial" w:cs="Arial"/>
          <w:sz w:val="22"/>
          <w:szCs w:val="22"/>
          <w:lang w:val="en-GB" w:eastAsia="en-GB"/>
        </w:rPr>
        <w:t>harm. Therefore</w:t>
      </w:r>
      <w:r w:rsidRPr="007232BF">
        <w:rPr>
          <w:rFonts w:ascii="Arial" w:eastAsia="Times New Roman" w:hAnsi="Arial" w:cs="Arial"/>
          <w:sz w:val="22"/>
          <w:szCs w:val="22"/>
          <w:lang w:val="en-GB" w:eastAsia="en-GB"/>
        </w:rPr>
        <w:t>, maintaining privacy and dignity is essential for promoting trust, improving care experiences and reducing risks associated with unsafe practice.</w:t>
      </w:r>
    </w:p>
    <w:p w14:paraId="38E6AD64" w14:textId="77777777" w:rsidR="00687D56" w:rsidRPr="007232BF" w:rsidRDefault="00687D56" w:rsidP="00687D56">
      <w:pPr>
        <w:spacing w:before="100" w:beforeAutospacing="1" w:after="100" w:afterAutospacing="1" w:line="240" w:lineRule="auto"/>
        <w:outlineLvl w:val="0"/>
        <w:rPr>
          <w:rFonts w:ascii="Arial" w:eastAsia="Times New Roman" w:hAnsi="Arial" w:cs="Arial"/>
          <w:b/>
          <w:bCs/>
          <w:kern w:val="36"/>
          <w:sz w:val="22"/>
          <w:szCs w:val="22"/>
          <w:lang w:val="en-GB" w:eastAsia="en-GB"/>
        </w:rPr>
      </w:pPr>
      <w:bookmarkStart w:id="9" w:name="_Toc236917042"/>
      <w:r w:rsidRPr="007232BF">
        <w:rPr>
          <w:rFonts w:ascii="Arial" w:eastAsia="Times New Roman" w:hAnsi="Arial" w:cs="Arial"/>
          <w:b/>
          <w:bCs/>
          <w:kern w:val="36"/>
          <w:sz w:val="22"/>
          <w:szCs w:val="22"/>
          <w:lang w:val="en-GB" w:eastAsia="en-GB"/>
        </w:rPr>
        <w:t>3. The Relationship Between Communication, Privacy and Dignity</w:t>
      </w:r>
      <w:bookmarkEnd w:id="9"/>
    </w:p>
    <w:p w14:paraId="04969732"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Communication, privacy and dignity are closely connected principles that form the foundation of person-centred health and social care. Effective communication enables professionals to understand individual needs and preferences, while respecting privacy and dignity demonstrates that these choices are valued.</w:t>
      </w:r>
    </w:p>
    <w:p w14:paraId="2032FFAE"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Person-centred care requires professionals to recognise that individuals may have different expectations based on their personal, cultural, religious and social backgrounds. Professionals should avoid assumptions and communicate openly about preferences, consent and information sharing (Social Care Institute for Excellence (SCIE), 2021).</w:t>
      </w:r>
    </w:p>
    <w:p w14:paraId="5F87779F"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Effective communication is essential when obtaining informed consent. Individuals must receive information in a way that allows them to understand their options and make decisions about their care. The GMC (2020) highlights that meaningful consent depends on a person’s ability to understand information, consider choices and communicate their decision.</w:t>
      </w:r>
    </w:p>
    <w:p w14:paraId="6B04FE8D"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Rogers’ (1961) principles of empathy, respect and genuine understanding support the development of trusting relationships. When individuals feel listened to and accepted without judgement, they are more likely to share concerns and participate actively in their care. This shows that communication is not only an information-sharing process but also a way of protecting dignity and emotional wellbeing.</w:t>
      </w:r>
    </w:p>
    <w:p w14:paraId="39A667BA"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Communication also supports safeguarding because individuals are more likely to disclose concerns about neglect, abuse or discrimination when they feel safe and respected. However, </w:t>
      </w:r>
      <w:r w:rsidRPr="007232BF">
        <w:rPr>
          <w:rFonts w:ascii="Arial" w:eastAsia="Times New Roman" w:hAnsi="Arial" w:cs="Arial"/>
          <w:sz w:val="22"/>
          <w:szCs w:val="22"/>
          <w:lang w:val="en-GB" w:eastAsia="en-GB"/>
        </w:rPr>
        <w:lastRenderedPageBreak/>
        <w:t>confidentiality must be balanced with professional responsibilities, meaning information may need to be shared where there is a risk of serious harm (Social Care Wales, 2023).</w:t>
      </w:r>
    </w:p>
    <w:p w14:paraId="3FE611D4"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Furthermore, effective communication supports teamwork between health and social care professionals. Accurate information sharing helps provide coordinated care, but information must always be shared appropriately according to legal requirements under the Data Protection Act 2018 and UK GDPR (ICO, 2023).</w:t>
      </w:r>
    </w:p>
    <w:p w14:paraId="3BBC5F4E" w14:textId="12CEE023" w:rsidR="00687D56" w:rsidRPr="007232BF" w:rsidRDefault="00687D56" w:rsidP="0023090F">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Therefore, communication, privacy and dignity should not be viewed as separate responsibilities. Together, they ensure individuals receive care that respects their rights, promotes independence and recognises their personal identit</w:t>
      </w:r>
      <w:r w:rsidR="0023090F" w:rsidRPr="007232BF">
        <w:rPr>
          <w:rFonts w:ascii="Arial" w:eastAsia="Times New Roman" w:hAnsi="Arial" w:cs="Arial"/>
          <w:sz w:val="22"/>
          <w:szCs w:val="22"/>
          <w:lang w:val="en-GB" w:eastAsia="en-GB"/>
        </w:rPr>
        <w:t>y.</w:t>
      </w:r>
    </w:p>
    <w:p w14:paraId="44A11066" w14:textId="77777777" w:rsidR="00687D56" w:rsidRPr="007232BF" w:rsidRDefault="00687D56" w:rsidP="00687D56">
      <w:pPr>
        <w:spacing w:before="100" w:beforeAutospacing="1" w:after="100" w:afterAutospacing="1" w:line="240" w:lineRule="auto"/>
        <w:outlineLvl w:val="0"/>
        <w:rPr>
          <w:rFonts w:ascii="Arial" w:eastAsia="Times New Roman" w:hAnsi="Arial" w:cs="Arial"/>
          <w:b/>
          <w:bCs/>
          <w:kern w:val="36"/>
          <w:sz w:val="22"/>
          <w:szCs w:val="22"/>
          <w:lang w:val="en-GB" w:eastAsia="en-GB"/>
        </w:rPr>
      </w:pPr>
      <w:bookmarkStart w:id="10" w:name="_Toc236917043"/>
      <w:r w:rsidRPr="007232BF">
        <w:rPr>
          <w:rFonts w:ascii="Arial" w:eastAsia="Times New Roman" w:hAnsi="Arial" w:cs="Arial"/>
          <w:b/>
          <w:bCs/>
          <w:kern w:val="36"/>
          <w:sz w:val="22"/>
          <w:szCs w:val="22"/>
          <w:lang w:val="en-GB" w:eastAsia="en-GB"/>
        </w:rPr>
        <w:t>4. Challenges in Maintaining Communication, Privacy and Dignity</w:t>
      </w:r>
      <w:bookmarkEnd w:id="10"/>
    </w:p>
    <w:p w14:paraId="71FEE375"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Although communication, privacy and dignity are essential responsibilities within health and social care, maintaining these standards can be challenging due to workload pressures, staff shortages, limited resources and busy care environments. Time constraints may reduce opportunities for meaningful conversations, while noise, shared spaces and limited private areas can affect confidentiality and individual choice.</w:t>
      </w:r>
    </w:p>
    <w:p w14:paraId="5A68E781"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Despite these challenges, person-centred care can be demonstrated through simple actions such as introducing oneself, listening carefully, showing compassion and involving individuals in decisions (SCIE, 2020). Effective communication can also improve care quality by reducing misunderstandings, preventing complaints and strengthening relationships between professionals and individuals receiving care (Maben et al., 2012).</w:t>
      </w:r>
    </w:p>
    <w:p w14:paraId="05861E34"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Meeting diverse communication needs can also be challenging, as professionals must consider barriers related to language, disability, health literacy, dementia and cultural differences. Continuing professional development helps practitioners maintain the skills and confidence required to provide inclusive care (Social Care Wales, 2022). Reflective practice also allows professionals to evaluate their communication approaches and identify areas for improvement.</w:t>
      </w:r>
    </w:p>
    <w:p w14:paraId="0541584F"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Professionals must also recognise and challenge poor practice when it places individuals’ safety, privacy or dignity at risk. The NMC Code (2018) highlights the responsibility of professionals to act when individuals may experience harm. Despite pressures within healthcare environments, communication, privacy and dignity remain essential for providing safe, ethical and compassionate care.</w:t>
      </w:r>
    </w:p>
    <w:p w14:paraId="2E4B7FFD" w14:textId="77777777" w:rsidR="00D31B10" w:rsidRPr="007232BF" w:rsidRDefault="00D31B10" w:rsidP="00687D56">
      <w:pPr>
        <w:spacing w:before="100" w:beforeAutospacing="1" w:after="100" w:afterAutospacing="1" w:line="240" w:lineRule="auto"/>
        <w:rPr>
          <w:rFonts w:ascii="Arial" w:eastAsia="Times New Roman" w:hAnsi="Arial" w:cs="Arial"/>
          <w:sz w:val="22"/>
          <w:szCs w:val="22"/>
          <w:lang w:val="en-GB" w:eastAsia="en-GB"/>
        </w:rPr>
      </w:pPr>
    </w:p>
    <w:p w14:paraId="59AAC70C" w14:textId="77777777" w:rsidR="00D31B10" w:rsidRPr="007232BF" w:rsidRDefault="00D31B10" w:rsidP="00687D56">
      <w:pPr>
        <w:spacing w:before="100" w:beforeAutospacing="1" w:after="100" w:afterAutospacing="1" w:line="240" w:lineRule="auto"/>
        <w:rPr>
          <w:rFonts w:ascii="Arial" w:eastAsia="Times New Roman" w:hAnsi="Arial" w:cs="Arial"/>
          <w:sz w:val="22"/>
          <w:szCs w:val="22"/>
          <w:lang w:val="en-GB" w:eastAsia="en-GB"/>
        </w:rPr>
      </w:pPr>
    </w:p>
    <w:p w14:paraId="109348A2" w14:textId="77777777" w:rsidR="00D31B10" w:rsidRPr="007232BF" w:rsidRDefault="00D31B10" w:rsidP="00687D56">
      <w:pPr>
        <w:spacing w:before="100" w:beforeAutospacing="1" w:after="100" w:afterAutospacing="1" w:line="240" w:lineRule="auto"/>
        <w:rPr>
          <w:rFonts w:ascii="Arial" w:eastAsia="Times New Roman" w:hAnsi="Arial" w:cs="Arial"/>
          <w:sz w:val="22"/>
          <w:szCs w:val="22"/>
          <w:lang w:val="en-GB" w:eastAsia="en-GB"/>
        </w:rPr>
      </w:pPr>
    </w:p>
    <w:p w14:paraId="6F4FA114" w14:textId="77777777" w:rsidR="00D31B10" w:rsidRPr="007232BF" w:rsidRDefault="00D31B10" w:rsidP="00687D56">
      <w:pPr>
        <w:spacing w:before="100" w:beforeAutospacing="1" w:after="100" w:afterAutospacing="1" w:line="240" w:lineRule="auto"/>
        <w:rPr>
          <w:rFonts w:ascii="Arial" w:eastAsia="Times New Roman" w:hAnsi="Arial" w:cs="Arial"/>
          <w:sz w:val="22"/>
          <w:szCs w:val="22"/>
          <w:lang w:val="en-GB" w:eastAsia="en-GB"/>
        </w:rPr>
      </w:pPr>
    </w:p>
    <w:p w14:paraId="7BB613A9" w14:textId="77777777" w:rsidR="00D31B10" w:rsidRPr="007232BF" w:rsidRDefault="00D31B10" w:rsidP="00687D56">
      <w:pPr>
        <w:spacing w:before="100" w:beforeAutospacing="1" w:after="100" w:afterAutospacing="1" w:line="240" w:lineRule="auto"/>
        <w:rPr>
          <w:rFonts w:ascii="Arial" w:eastAsia="Times New Roman" w:hAnsi="Arial" w:cs="Arial"/>
          <w:sz w:val="22"/>
          <w:szCs w:val="22"/>
          <w:lang w:val="en-GB" w:eastAsia="en-GB"/>
        </w:rPr>
      </w:pPr>
    </w:p>
    <w:p w14:paraId="1A1D7F81" w14:textId="77777777" w:rsidR="00D31B10" w:rsidRPr="007232BF" w:rsidRDefault="00D31B10" w:rsidP="00687D56">
      <w:pPr>
        <w:spacing w:before="100" w:beforeAutospacing="1" w:after="100" w:afterAutospacing="1" w:line="240" w:lineRule="auto"/>
        <w:rPr>
          <w:rFonts w:ascii="Arial" w:eastAsia="Times New Roman" w:hAnsi="Arial" w:cs="Arial"/>
          <w:sz w:val="22"/>
          <w:szCs w:val="22"/>
          <w:lang w:val="en-GB" w:eastAsia="en-GB"/>
        </w:rPr>
      </w:pPr>
    </w:p>
    <w:p w14:paraId="36E570A5" w14:textId="77777777" w:rsidR="00687D56" w:rsidRPr="007232BF" w:rsidRDefault="00687D56" w:rsidP="00687D56">
      <w:pPr>
        <w:spacing w:before="100" w:beforeAutospacing="1" w:after="100" w:afterAutospacing="1" w:line="240" w:lineRule="auto"/>
        <w:outlineLvl w:val="0"/>
        <w:rPr>
          <w:rFonts w:ascii="Arial" w:eastAsia="Times New Roman" w:hAnsi="Arial" w:cs="Arial"/>
          <w:b/>
          <w:bCs/>
          <w:kern w:val="36"/>
          <w:sz w:val="22"/>
          <w:szCs w:val="22"/>
          <w:lang w:val="en-GB" w:eastAsia="en-GB"/>
        </w:rPr>
      </w:pPr>
      <w:bookmarkStart w:id="11" w:name="_Toc236917044"/>
      <w:r w:rsidRPr="007232BF">
        <w:rPr>
          <w:rFonts w:ascii="Arial" w:eastAsia="Times New Roman" w:hAnsi="Arial" w:cs="Arial"/>
          <w:b/>
          <w:bCs/>
          <w:kern w:val="36"/>
          <w:sz w:val="22"/>
          <w:szCs w:val="22"/>
          <w:lang w:val="en-GB" w:eastAsia="en-GB"/>
        </w:rPr>
        <w:lastRenderedPageBreak/>
        <w:t>Conclusion</w:t>
      </w:r>
      <w:bookmarkEnd w:id="11"/>
    </w:p>
    <w:p w14:paraId="1B1F2849"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Effective communication, privacy and dignity are fundamental principles of health and social care practice. They support person-centred care by ensuring individuals are respected, involved and valued. Communication enables professionals to build trust, provide clear information and respond to individual needs, while privacy and dignity protect autonomy, confidentiality and personal identity.</w:t>
      </w:r>
    </w:p>
    <w:p w14:paraId="155930CB"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These responsibilities are supported by key legislation, including the Human Rights Act 1998, Equality Act 2010, Mental Capacity Act 2005, Data Protection Act 2018 and Social Services and Well-being (Wales) Act 2014. Professional standards, including the NMC Code (2018) and guidance from Social Care Wales, reinforce the importance of protecting individuals’ rights and promoting safe care.</w:t>
      </w:r>
    </w:p>
    <w:p w14:paraId="19B19F09"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Carl Rogers’ person-centred theory highlights the importance of empathy, acceptance and genuine relationships in healthcare interactions. His principles demonstrate that individuals should be treated as unique people rather than only according to their health conditions or care needs.</w:t>
      </w:r>
    </w:p>
    <w:p w14:paraId="531B9614" w14:textId="15890996" w:rsidR="00687D56" w:rsidRPr="007232BF" w:rsidRDefault="00687D56" w:rsidP="005A2F32">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Respectful communication and dignified care improve trust, satisfaction and involvement, whereas poor practice can result in distress, reduced confidence and safeguarding concerns. Although challenges such as workload pressures and limited resources exist, professionals remain responsible for maintaining ethical standards. By listening effectively, respecting choices, protecting confidentiality and involving individuals in decisions, practitioners can provide safe, compassionate and person-centred car</w:t>
      </w:r>
      <w:r w:rsidR="0015387C" w:rsidRPr="007232BF">
        <w:rPr>
          <w:rFonts w:ascii="Arial" w:eastAsia="Times New Roman" w:hAnsi="Arial" w:cs="Arial"/>
          <w:sz w:val="22"/>
          <w:szCs w:val="22"/>
          <w:lang w:val="en-GB" w:eastAsia="en-GB"/>
        </w:rPr>
        <w:t>e.</w:t>
      </w:r>
    </w:p>
    <w:p w14:paraId="79B97336"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5DADA56E"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2CACC039"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770BBB1D"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27CB466E"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56A5F017"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75A77CFF"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2195E6C1"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4CFF4D23"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0218B734"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6A1F58AF"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6491AD35"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21A8728D" w14:textId="77777777" w:rsidR="0015387C" w:rsidRPr="007232BF" w:rsidRDefault="0015387C" w:rsidP="005A2F32">
      <w:pPr>
        <w:spacing w:before="100" w:beforeAutospacing="1" w:after="100" w:afterAutospacing="1" w:line="240" w:lineRule="auto"/>
        <w:rPr>
          <w:rFonts w:ascii="Arial" w:eastAsia="Times New Roman" w:hAnsi="Arial" w:cs="Arial"/>
          <w:sz w:val="22"/>
          <w:szCs w:val="22"/>
          <w:lang w:val="en-GB" w:eastAsia="en-GB"/>
        </w:rPr>
      </w:pPr>
    </w:p>
    <w:p w14:paraId="1A6EE945" w14:textId="77777777" w:rsidR="00581F8A" w:rsidRPr="007232BF" w:rsidRDefault="00581F8A" w:rsidP="00687D56">
      <w:pPr>
        <w:spacing w:before="100" w:beforeAutospacing="1" w:after="100" w:afterAutospacing="1" w:line="240" w:lineRule="auto"/>
        <w:rPr>
          <w:rFonts w:ascii="Arial" w:eastAsia="Times New Roman" w:hAnsi="Arial" w:cs="Arial"/>
          <w:sz w:val="22"/>
          <w:szCs w:val="22"/>
          <w:lang w:val="en-GB" w:eastAsia="en-GB"/>
        </w:rPr>
      </w:pPr>
    </w:p>
    <w:p w14:paraId="5BB0EFA7" w14:textId="77777777" w:rsidR="00581F8A" w:rsidRPr="007232BF" w:rsidRDefault="00581F8A" w:rsidP="00687D56">
      <w:pPr>
        <w:spacing w:before="100" w:beforeAutospacing="1" w:after="100" w:afterAutospacing="1" w:line="240" w:lineRule="auto"/>
        <w:rPr>
          <w:rFonts w:ascii="Arial" w:eastAsia="Times New Roman" w:hAnsi="Arial" w:cs="Arial"/>
          <w:sz w:val="22"/>
          <w:szCs w:val="22"/>
          <w:lang w:val="en-GB" w:eastAsia="en-GB"/>
        </w:rPr>
      </w:pPr>
    </w:p>
    <w:p w14:paraId="531E0F25" w14:textId="77777777" w:rsidR="00581F8A" w:rsidRPr="007232BF" w:rsidRDefault="00581F8A" w:rsidP="00687D56">
      <w:pPr>
        <w:spacing w:before="100" w:beforeAutospacing="1" w:after="100" w:afterAutospacing="1" w:line="240" w:lineRule="auto"/>
        <w:rPr>
          <w:rFonts w:ascii="Arial" w:eastAsia="Times New Roman" w:hAnsi="Arial" w:cs="Arial"/>
          <w:sz w:val="22"/>
          <w:szCs w:val="22"/>
          <w:lang w:val="en-GB" w:eastAsia="en-GB"/>
        </w:rPr>
      </w:pPr>
    </w:p>
    <w:p w14:paraId="64595C33" w14:textId="77777777" w:rsidR="00687D56" w:rsidRPr="007232BF" w:rsidRDefault="00687D56" w:rsidP="00687D56">
      <w:pPr>
        <w:spacing w:before="100" w:beforeAutospacing="1" w:after="100" w:afterAutospacing="1" w:line="240" w:lineRule="auto"/>
        <w:outlineLvl w:val="1"/>
        <w:rPr>
          <w:rFonts w:ascii="Arial" w:eastAsia="Times New Roman" w:hAnsi="Arial" w:cs="Arial"/>
          <w:b/>
          <w:bCs/>
          <w:sz w:val="22"/>
          <w:szCs w:val="22"/>
          <w:lang w:val="en-GB" w:eastAsia="en-GB"/>
        </w:rPr>
      </w:pPr>
      <w:bookmarkStart w:id="12" w:name="_Toc236917045"/>
      <w:r w:rsidRPr="007232BF">
        <w:rPr>
          <w:rFonts w:ascii="Arial" w:eastAsia="Times New Roman" w:hAnsi="Arial" w:cs="Arial"/>
          <w:b/>
          <w:bCs/>
          <w:sz w:val="22"/>
          <w:szCs w:val="22"/>
          <w:lang w:val="en-GB" w:eastAsia="en-GB"/>
        </w:rPr>
        <w:t>References</w:t>
      </w:r>
      <w:bookmarkEnd w:id="12"/>
    </w:p>
    <w:p w14:paraId="5332EFAF"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Age UK (2023) </w:t>
      </w:r>
      <w:r w:rsidRPr="007232BF">
        <w:rPr>
          <w:rFonts w:ascii="Arial" w:eastAsia="Times New Roman" w:hAnsi="Arial" w:cs="Arial"/>
          <w:i/>
          <w:iCs/>
          <w:sz w:val="22"/>
          <w:szCs w:val="22"/>
          <w:lang w:val="en-GB" w:eastAsia="en-GB"/>
        </w:rPr>
        <w:t>Dignity in care</w:t>
      </w:r>
      <w:r w:rsidRPr="007232BF">
        <w:rPr>
          <w:rFonts w:ascii="Arial" w:eastAsia="Times New Roman" w:hAnsi="Arial" w:cs="Arial"/>
          <w:sz w:val="22"/>
          <w:szCs w:val="22"/>
          <w:lang w:val="en-GB" w:eastAsia="en-GB"/>
        </w:rPr>
        <w:t xml:space="preserve">. Available at: </w:t>
      </w:r>
      <w:hyperlink r:id="rId6" w:tgtFrame="_new" w:history="1">
        <w:r w:rsidRPr="007232BF">
          <w:rPr>
            <w:rFonts w:ascii="Arial" w:eastAsia="Times New Roman" w:hAnsi="Arial" w:cs="Arial"/>
            <w:color w:val="0000FF"/>
            <w:sz w:val="22"/>
            <w:szCs w:val="22"/>
            <w:u w:val="single"/>
            <w:lang w:val="en-GB" w:eastAsia="en-GB"/>
          </w:rPr>
          <w:t>https://www.ageuk.org.uk</w:t>
        </w:r>
      </w:hyperlink>
      <w:r w:rsidRPr="007232BF">
        <w:rPr>
          <w:rFonts w:ascii="Arial" w:eastAsia="Times New Roman" w:hAnsi="Arial" w:cs="Arial"/>
          <w:sz w:val="22"/>
          <w:szCs w:val="22"/>
          <w:lang w:val="en-GB" w:eastAsia="en-GB"/>
        </w:rPr>
        <w:t xml:space="preserve"> (Accessed: 6 August 2026).</w:t>
      </w:r>
    </w:p>
    <w:p w14:paraId="642200A3"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Arnold, E.C. and Boggs, K.U. (2019) </w:t>
      </w:r>
      <w:r w:rsidRPr="007232BF">
        <w:rPr>
          <w:rFonts w:ascii="Arial" w:eastAsia="Times New Roman" w:hAnsi="Arial" w:cs="Arial"/>
          <w:i/>
          <w:iCs/>
          <w:sz w:val="22"/>
          <w:szCs w:val="22"/>
          <w:lang w:val="en-GB" w:eastAsia="en-GB"/>
        </w:rPr>
        <w:t>Interpersonal Relationships: Professional Communication Skills for Nurses</w:t>
      </w:r>
      <w:r w:rsidRPr="007232BF">
        <w:rPr>
          <w:rFonts w:ascii="Arial" w:eastAsia="Times New Roman" w:hAnsi="Arial" w:cs="Arial"/>
          <w:sz w:val="22"/>
          <w:szCs w:val="22"/>
          <w:lang w:val="en-GB" w:eastAsia="en-GB"/>
        </w:rPr>
        <w:t xml:space="preserve">. 8th </w:t>
      </w:r>
      <w:proofErr w:type="spellStart"/>
      <w:r w:rsidRPr="007232BF">
        <w:rPr>
          <w:rFonts w:ascii="Arial" w:eastAsia="Times New Roman" w:hAnsi="Arial" w:cs="Arial"/>
          <w:sz w:val="22"/>
          <w:szCs w:val="22"/>
          <w:lang w:val="en-GB" w:eastAsia="en-GB"/>
        </w:rPr>
        <w:t>edn</w:t>
      </w:r>
      <w:proofErr w:type="spellEnd"/>
      <w:r w:rsidRPr="007232BF">
        <w:rPr>
          <w:rFonts w:ascii="Arial" w:eastAsia="Times New Roman" w:hAnsi="Arial" w:cs="Arial"/>
          <w:sz w:val="22"/>
          <w:szCs w:val="22"/>
          <w:lang w:val="en-GB" w:eastAsia="en-GB"/>
        </w:rPr>
        <w:t>. St Louis: Elsevier.</w:t>
      </w:r>
    </w:p>
    <w:p w14:paraId="077F54EB"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Baillie, L. (2018) ‘Dignity in health care: A concept analysis’, </w:t>
      </w:r>
      <w:r w:rsidRPr="007232BF">
        <w:rPr>
          <w:rFonts w:ascii="Arial" w:eastAsia="Times New Roman" w:hAnsi="Arial" w:cs="Arial"/>
          <w:i/>
          <w:iCs/>
          <w:sz w:val="22"/>
          <w:szCs w:val="22"/>
          <w:lang w:val="en-GB" w:eastAsia="en-GB"/>
        </w:rPr>
        <w:t>Journal of Clinical Nursing</w:t>
      </w:r>
      <w:r w:rsidRPr="007232BF">
        <w:rPr>
          <w:rFonts w:ascii="Arial" w:eastAsia="Times New Roman" w:hAnsi="Arial" w:cs="Arial"/>
          <w:sz w:val="22"/>
          <w:szCs w:val="22"/>
          <w:lang w:val="en-GB" w:eastAsia="en-GB"/>
        </w:rPr>
        <w:t>, 27(5–6), pp.968–985.</w:t>
      </w:r>
    </w:p>
    <w:p w14:paraId="3AE97DD5"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Care Quality Commission (2021) </w:t>
      </w:r>
      <w:r w:rsidRPr="007232BF">
        <w:rPr>
          <w:rFonts w:ascii="Arial" w:eastAsia="Times New Roman" w:hAnsi="Arial" w:cs="Arial"/>
          <w:i/>
          <w:iCs/>
          <w:sz w:val="22"/>
          <w:szCs w:val="22"/>
          <w:lang w:val="en-GB" w:eastAsia="en-GB"/>
        </w:rPr>
        <w:t>Supporting people to communicate</w:t>
      </w:r>
      <w:r w:rsidRPr="007232BF">
        <w:rPr>
          <w:rFonts w:ascii="Arial" w:eastAsia="Times New Roman" w:hAnsi="Arial" w:cs="Arial"/>
          <w:sz w:val="22"/>
          <w:szCs w:val="22"/>
          <w:lang w:val="en-GB" w:eastAsia="en-GB"/>
        </w:rPr>
        <w:t xml:space="preserve">. Available at: </w:t>
      </w:r>
      <w:hyperlink r:id="rId7" w:tgtFrame="_new" w:history="1">
        <w:r w:rsidRPr="007232BF">
          <w:rPr>
            <w:rFonts w:ascii="Arial" w:eastAsia="Times New Roman" w:hAnsi="Arial" w:cs="Arial"/>
            <w:color w:val="0000FF"/>
            <w:sz w:val="22"/>
            <w:szCs w:val="22"/>
            <w:u w:val="single"/>
            <w:lang w:val="en-GB" w:eastAsia="en-GB"/>
          </w:rPr>
          <w:t>https://www.cqc.org.uk</w:t>
        </w:r>
      </w:hyperlink>
      <w:r w:rsidRPr="007232BF">
        <w:rPr>
          <w:rFonts w:ascii="Arial" w:eastAsia="Times New Roman" w:hAnsi="Arial" w:cs="Arial"/>
          <w:sz w:val="22"/>
          <w:szCs w:val="22"/>
          <w:lang w:val="en-GB" w:eastAsia="en-GB"/>
        </w:rPr>
        <w:t xml:space="preserve"> (Accessed: 6 August 2026).</w:t>
      </w:r>
    </w:p>
    <w:p w14:paraId="2A8D32A4"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Equality Act 2010, c.15. Available at: </w:t>
      </w:r>
      <w:hyperlink r:id="rId8" w:tgtFrame="_new" w:history="1">
        <w:r w:rsidRPr="007232BF">
          <w:rPr>
            <w:rFonts w:ascii="Arial" w:eastAsia="Times New Roman" w:hAnsi="Arial" w:cs="Arial"/>
            <w:color w:val="0000FF"/>
            <w:sz w:val="22"/>
            <w:szCs w:val="22"/>
            <w:u w:val="single"/>
            <w:lang w:val="en-GB" w:eastAsia="en-GB"/>
          </w:rPr>
          <w:t>https://www.legislation.gov.uk/ukpga/2010/15/contents</w:t>
        </w:r>
      </w:hyperlink>
      <w:r w:rsidRPr="007232BF">
        <w:rPr>
          <w:rFonts w:ascii="Arial" w:eastAsia="Times New Roman" w:hAnsi="Arial" w:cs="Arial"/>
          <w:sz w:val="22"/>
          <w:szCs w:val="22"/>
          <w:lang w:val="en-GB" w:eastAsia="en-GB"/>
        </w:rPr>
        <w:t xml:space="preserve"> (Accessed: 6 August 2026).</w:t>
      </w:r>
    </w:p>
    <w:p w14:paraId="05DC8464"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Equality and Human Rights Commission (2020) </w:t>
      </w:r>
      <w:r w:rsidRPr="007232BF">
        <w:rPr>
          <w:rFonts w:ascii="Arial" w:eastAsia="Times New Roman" w:hAnsi="Arial" w:cs="Arial"/>
          <w:i/>
          <w:iCs/>
          <w:sz w:val="22"/>
          <w:szCs w:val="22"/>
          <w:lang w:val="en-GB" w:eastAsia="en-GB"/>
        </w:rPr>
        <w:t>Human rights in health and social care</w:t>
      </w:r>
      <w:r w:rsidRPr="007232BF">
        <w:rPr>
          <w:rFonts w:ascii="Arial" w:eastAsia="Times New Roman" w:hAnsi="Arial" w:cs="Arial"/>
          <w:sz w:val="22"/>
          <w:szCs w:val="22"/>
          <w:lang w:val="en-GB" w:eastAsia="en-GB"/>
        </w:rPr>
        <w:t xml:space="preserve">. Available at: </w:t>
      </w:r>
      <w:hyperlink r:id="rId9" w:tgtFrame="_new" w:history="1">
        <w:r w:rsidRPr="007232BF">
          <w:rPr>
            <w:rFonts w:ascii="Arial" w:eastAsia="Times New Roman" w:hAnsi="Arial" w:cs="Arial"/>
            <w:color w:val="0000FF"/>
            <w:sz w:val="22"/>
            <w:szCs w:val="22"/>
            <w:u w:val="single"/>
            <w:lang w:val="en-GB" w:eastAsia="en-GB"/>
          </w:rPr>
          <w:t>https://www.equalityhumanrights.com</w:t>
        </w:r>
      </w:hyperlink>
      <w:r w:rsidRPr="007232BF">
        <w:rPr>
          <w:rFonts w:ascii="Arial" w:eastAsia="Times New Roman" w:hAnsi="Arial" w:cs="Arial"/>
          <w:sz w:val="22"/>
          <w:szCs w:val="22"/>
          <w:lang w:val="en-GB" w:eastAsia="en-GB"/>
        </w:rPr>
        <w:t xml:space="preserve"> (Accessed: 6 August 2026).</w:t>
      </w:r>
    </w:p>
    <w:p w14:paraId="77CF9663"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General Medical Council (2020) </w:t>
      </w:r>
      <w:r w:rsidRPr="007232BF">
        <w:rPr>
          <w:rFonts w:ascii="Arial" w:eastAsia="Times New Roman" w:hAnsi="Arial" w:cs="Arial"/>
          <w:i/>
          <w:iCs/>
          <w:sz w:val="22"/>
          <w:szCs w:val="22"/>
          <w:lang w:val="en-GB" w:eastAsia="en-GB"/>
        </w:rPr>
        <w:t>Decision making and consent</w:t>
      </w:r>
      <w:r w:rsidRPr="007232BF">
        <w:rPr>
          <w:rFonts w:ascii="Arial" w:eastAsia="Times New Roman" w:hAnsi="Arial" w:cs="Arial"/>
          <w:sz w:val="22"/>
          <w:szCs w:val="22"/>
          <w:lang w:val="en-GB" w:eastAsia="en-GB"/>
        </w:rPr>
        <w:t xml:space="preserve">. Available at: </w:t>
      </w:r>
      <w:hyperlink r:id="rId10" w:tgtFrame="_new" w:history="1">
        <w:r w:rsidRPr="007232BF">
          <w:rPr>
            <w:rFonts w:ascii="Arial" w:eastAsia="Times New Roman" w:hAnsi="Arial" w:cs="Arial"/>
            <w:color w:val="0000FF"/>
            <w:sz w:val="22"/>
            <w:szCs w:val="22"/>
            <w:u w:val="single"/>
            <w:lang w:val="en-GB" w:eastAsia="en-GB"/>
          </w:rPr>
          <w:t>https://www.gmc-uk.org</w:t>
        </w:r>
      </w:hyperlink>
      <w:r w:rsidRPr="007232BF">
        <w:rPr>
          <w:rFonts w:ascii="Arial" w:eastAsia="Times New Roman" w:hAnsi="Arial" w:cs="Arial"/>
          <w:sz w:val="22"/>
          <w:szCs w:val="22"/>
          <w:lang w:val="en-GB" w:eastAsia="en-GB"/>
        </w:rPr>
        <w:t xml:space="preserve"> (Accessed: 6 August 2026).</w:t>
      </w:r>
    </w:p>
    <w:p w14:paraId="71C95EA8"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Information Commissioner’s Office (2023) </w:t>
      </w:r>
      <w:r w:rsidRPr="007232BF">
        <w:rPr>
          <w:rFonts w:ascii="Arial" w:eastAsia="Times New Roman" w:hAnsi="Arial" w:cs="Arial"/>
          <w:i/>
          <w:iCs/>
          <w:sz w:val="22"/>
          <w:szCs w:val="22"/>
          <w:lang w:val="en-GB" w:eastAsia="en-GB"/>
        </w:rPr>
        <w:t>Guide to the UK General Data Protection Regulation</w:t>
      </w:r>
      <w:r w:rsidRPr="007232BF">
        <w:rPr>
          <w:rFonts w:ascii="Arial" w:eastAsia="Times New Roman" w:hAnsi="Arial" w:cs="Arial"/>
          <w:sz w:val="22"/>
          <w:szCs w:val="22"/>
          <w:lang w:val="en-GB" w:eastAsia="en-GB"/>
        </w:rPr>
        <w:t xml:space="preserve">. Available at: </w:t>
      </w:r>
      <w:hyperlink r:id="rId11" w:tgtFrame="_new" w:history="1">
        <w:r w:rsidRPr="007232BF">
          <w:rPr>
            <w:rFonts w:ascii="Arial" w:eastAsia="Times New Roman" w:hAnsi="Arial" w:cs="Arial"/>
            <w:color w:val="0000FF"/>
            <w:sz w:val="22"/>
            <w:szCs w:val="22"/>
            <w:u w:val="single"/>
            <w:lang w:val="en-GB" w:eastAsia="en-GB"/>
          </w:rPr>
          <w:t>https://ico.org.uk</w:t>
        </w:r>
      </w:hyperlink>
      <w:r w:rsidRPr="007232BF">
        <w:rPr>
          <w:rFonts w:ascii="Arial" w:eastAsia="Times New Roman" w:hAnsi="Arial" w:cs="Arial"/>
          <w:sz w:val="22"/>
          <w:szCs w:val="22"/>
          <w:lang w:val="en-GB" w:eastAsia="en-GB"/>
        </w:rPr>
        <w:t xml:space="preserve"> (Accessed: 6 August 2026).</w:t>
      </w:r>
    </w:p>
    <w:p w14:paraId="55413543"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Maben, J. et al. (2012) ‘Evaluating a major innovation in hospital care: Dignity and patient experience’, </w:t>
      </w:r>
      <w:r w:rsidRPr="007232BF">
        <w:rPr>
          <w:rFonts w:ascii="Arial" w:eastAsia="Times New Roman" w:hAnsi="Arial" w:cs="Arial"/>
          <w:i/>
          <w:iCs/>
          <w:sz w:val="22"/>
          <w:szCs w:val="22"/>
          <w:lang w:val="en-GB" w:eastAsia="en-GB"/>
        </w:rPr>
        <w:t>International Journal of Nursing Studies</w:t>
      </w:r>
      <w:r w:rsidRPr="007232BF">
        <w:rPr>
          <w:rFonts w:ascii="Arial" w:eastAsia="Times New Roman" w:hAnsi="Arial" w:cs="Arial"/>
          <w:sz w:val="22"/>
          <w:szCs w:val="22"/>
          <w:lang w:val="en-GB" w:eastAsia="en-GB"/>
        </w:rPr>
        <w:t>, 49(10), pp.1242–1252.</w:t>
      </w:r>
    </w:p>
    <w:p w14:paraId="41A52A46"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Nursing and Midwifery Council (2018) </w:t>
      </w:r>
      <w:r w:rsidRPr="007232BF">
        <w:rPr>
          <w:rFonts w:ascii="Arial" w:eastAsia="Times New Roman" w:hAnsi="Arial" w:cs="Arial"/>
          <w:i/>
          <w:iCs/>
          <w:sz w:val="22"/>
          <w:szCs w:val="22"/>
          <w:lang w:val="en-GB" w:eastAsia="en-GB"/>
        </w:rPr>
        <w:t>The Code: Professional standards of practice and behaviour for nurses, midwives and nursing associates</w:t>
      </w:r>
      <w:r w:rsidRPr="007232BF">
        <w:rPr>
          <w:rFonts w:ascii="Arial" w:eastAsia="Times New Roman" w:hAnsi="Arial" w:cs="Arial"/>
          <w:sz w:val="22"/>
          <w:szCs w:val="22"/>
          <w:lang w:val="en-GB" w:eastAsia="en-GB"/>
        </w:rPr>
        <w:t>. London: NMC.</w:t>
      </w:r>
    </w:p>
    <w:p w14:paraId="78539E96"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O’Hagan, S. et al. (2014) ‘What counts as effective communication in nursing? Evidence from a systematic review’, </w:t>
      </w:r>
      <w:r w:rsidRPr="007232BF">
        <w:rPr>
          <w:rFonts w:ascii="Arial" w:eastAsia="Times New Roman" w:hAnsi="Arial" w:cs="Arial"/>
          <w:i/>
          <w:iCs/>
          <w:sz w:val="22"/>
          <w:szCs w:val="22"/>
          <w:lang w:val="en-GB" w:eastAsia="en-GB"/>
        </w:rPr>
        <w:t xml:space="preserve">Patient Education and </w:t>
      </w:r>
      <w:proofErr w:type="spellStart"/>
      <w:r w:rsidRPr="007232BF">
        <w:rPr>
          <w:rFonts w:ascii="Arial" w:eastAsia="Times New Roman" w:hAnsi="Arial" w:cs="Arial"/>
          <w:i/>
          <w:iCs/>
          <w:sz w:val="22"/>
          <w:szCs w:val="22"/>
          <w:lang w:val="en-GB" w:eastAsia="en-GB"/>
        </w:rPr>
        <w:t>Counseling</w:t>
      </w:r>
      <w:proofErr w:type="spellEnd"/>
      <w:r w:rsidRPr="007232BF">
        <w:rPr>
          <w:rFonts w:ascii="Arial" w:eastAsia="Times New Roman" w:hAnsi="Arial" w:cs="Arial"/>
          <w:sz w:val="22"/>
          <w:szCs w:val="22"/>
          <w:lang w:val="en-GB" w:eastAsia="en-GB"/>
        </w:rPr>
        <w:t>, 96(3), pp.289–298.</w:t>
      </w:r>
    </w:p>
    <w:p w14:paraId="3AF7D48F"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Rogers, C.R. (1961) </w:t>
      </w:r>
      <w:r w:rsidRPr="007232BF">
        <w:rPr>
          <w:rFonts w:ascii="Arial" w:eastAsia="Times New Roman" w:hAnsi="Arial" w:cs="Arial"/>
          <w:i/>
          <w:iCs/>
          <w:sz w:val="22"/>
          <w:szCs w:val="22"/>
          <w:lang w:val="en-GB" w:eastAsia="en-GB"/>
        </w:rPr>
        <w:t>On Becoming a Person: A Therapist’s View of Psychotherapy</w:t>
      </w:r>
      <w:r w:rsidRPr="007232BF">
        <w:rPr>
          <w:rFonts w:ascii="Arial" w:eastAsia="Times New Roman" w:hAnsi="Arial" w:cs="Arial"/>
          <w:sz w:val="22"/>
          <w:szCs w:val="22"/>
          <w:lang w:val="en-GB" w:eastAsia="en-GB"/>
        </w:rPr>
        <w:t>. London: Constable.</w:t>
      </w:r>
    </w:p>
    <w:p w14:paraId="50A2335C"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Rogers, C.R. (2003) </w:t>
      </w:r>
      <w:r w:rsidRPr="007232BF">
        <w:rPr>
          <w:rFonts w:ascii="Arial" w:eastAsia="Times New Roman" w:hAnsi="Arial" w:cs="Arial"/>
          <w:i/>
          <w:iCs/>
          <w:sz w:val="22"/>
          <w:szCs w:val="22"/>
          <w:lang w:val="en-GB" w:eastAsia="en-GB"/>
        </w:rPr>
        <w:t>On Becoming a Person</w:t>
      </w:r>
      <w:r w:rsidRPr="007232BF">
        <w:rPr>
          <w:rFonts w:ascii="Arial" w:eastAsia="Times New Roman" w:hAnsi="Arial" w:cs="Arial"/>
          <w:sz w:val="22"/>
          <w:szCs w:val="22"/>
          <w:lang w:val="en-GB" w:eastAsia="en-GB"/>
        </w:rPr>
        <w:t>. London: Constable &amp; Robinson.</w:t>
      </w:r>
    </w:p>
    <w:p w14:paraId="79994036" w14:textId="087D2EC8"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lastRenderedPageBreak/>
        <w:t xml:space="preserve">Social Care Institute for Excellence (2020) </w:t>
      </w:r>
      <w:r w:rsidRPr="007232BF">
        <w:rPr>
          <w:rFonts w:ascii="Arial" w:eastAsia="Times New Roman" w:hAnsi="Arial" w:cs="Arial"/>
          <w:i/>
          <w:iCs/>
          <w:sz w:val="22"/>
          <w:szCs w:val="22"/>
          <w:lang w:val="en-GB" w:eastAsia="en-GB"/>
        </w:rPr>
        <w:t>Person-centred care</w:t>
      </w:r>
      <w:r w:rsidRPr="007232BF">
        <w:rPr>
          <w:rFonts w:ascii="Arial" w:eastAsia="Times New Roman" w:hAnsi="Arial" w:cs="Arial"/>
          <w:sz w:val="22"/>
          <w:szCs w:val="22"/>
          <w:lang w:val="en-GB" w:eastAsia="en-GB"/>
        </w:rPr>
        <w:t xml:space="preserve">. Available at: </w:t>
      </w:r>
      <w:hyperlink r:id="rId12" w:tgtFrame="_new" w:history="1">
        <w:r w:rsidRPr="007232BF">
          <w:rPr>
            <w:rFonts w:ascii="Arial" w:eastAsia="Times New Roman" w:hAnsi="Arial" w:cs="Arial"/>
            <w:color w:val="0000FF"/>
            <w:sz w:val="22"/>
            <w:szCs w:val="22"/>
            <w:u w:val="single"/>
            <w:lang w:val="en-GB" w:eastAsia="en-GB"/>
          </w:rPr>
          <w:t>https://www.scie.org.uk</w:t>
        </w:r>
      </w:hyperlink>
      <w:r w:rsidRPr="007232BF">
        <w:rPr>
          <w:rFonts w:ascii="Arial" w:eastAsia="Times New Roman" w:hAnsi="Arial" w:cs="Arial"/>
          <w:sz w:val="22"/>
          <w:szCs w:val="22"/>
          <w:lang w:val="en-GB" w:eastAsia="en-GB"/>
        </w:rPr>
        <w:t xml:space="preserve"> (Accessed: </w:t>
      </w:r>
      <w:r w:rsidR="00FD0A7E">
        <w:rPr>
          <w:rFonts w:ascii="Arial" w:eastAsia="Times New Roman" w:hAnsi="Arial" w:cs="Arial"/>
          <w:sz w:val="22"/>
          <w:szCs w:val="22"/>
          <w:lang w:val="en-GB" w:eastAsia="en-GB"/>
        </w:rPr>
        <w:t xml:space="preserve">6 August </w:t>
      </w:r>
      <w:r w:rsidRPr="007232BF">
        <w:rPr>
          <w:rFonts w:ascii="Arial" w:eastAsia="Times New Roman" w:hAnsi="Arial" w:cs="Arial"/>
          <w:sz w:val="22"/>
          <w:szCs w:val="22"/>
          <w:lang w:val="en-GB" w:eastAsia="en-GB"/>
        </w:rPr>
        <w:t>2026).</w:t>
      </w:r>
    </w:p>
    <w:p w14:paraId="0741581F" w14:textId="2EACFFF8"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Social Care Institute for Excellence (2021) </w:t>
      </w:r>
      <w:r w:rsidRPr="007232BF">
        <w:rPr>
          <w:rFonts w:ascii="Arial" w:eastAsia="Times New Roman" w:hAnsi="Arial" w:cs="Arial"/>
          <w:i/>
          <w:iCs/>
          <w:sz w:val="22"/>
          <w:szCs w:val="22"/>
          <w:lang w:val="en-GB" w:eastAsia="en-GB"/>
        </w:rPr>
        <w:t>Person-centred practice</w:t>
      </w:r>
      <w:r w:rsidRPr="007232BF">
        <w:rPr>
          <w:rFonts w:ascii="Arial" w:eastAsia="Times New Roman" w:hAnsi="Arial" w:cs="Arial"/>
          <w:sz w:val="22"/>
          <w:szCs w:val="22"/>
          <w:lang w:val="en-GB" w:eastAsia="en-GB"/>
        </w:rPr>
        <w:t xml:space="preserve">. Available at: </w:t>
      </w:r>
      <w:hyperlink r:id="rId13" w:tgtFrame="_new" w:history="1">
        <w:r w:rsidRPr="007232BF">
          <w:rPr>
            <w:rFonts w:ascii="Arial" w:eastAsia="Times New Roman" w:hAnsi="Arial" w:cs="Arial"/>
            <w:color w:val="0000FF"/>
            <w:sz w:val="22"/>
            <w:szCs w:val="22"/>
            <w:u w:val="single"/>
            <w:lang w:val="en-GB" w:eastAsia="en-GB"/>
          </w:rPr>
          <w:t>https://www.scie.org.uk</w:t>
        </w:r>
      </w:hyperlink>
      <w:r w:rsidRPr="007232BF">
        <w:rPr>
          <w:rFonts w:ascii="Arial" w:eastAsia="Times New Roman" w:hAnsi="Arial" w:cs="Arial"/>
          <w:sz w:val="22"/>
          <w:szCs w:val="22"/>
          <w:lang w:val="en-GB" w:eastAsia="en-GB"/>
        </w:rPr>
        <w:t xml:space="preserve"> (Accessed: </w:t>
      </w:r>
      <w:r w:rsidR="00FD0A7E">
        <w:rPr>
          <w:rFonts w:ascii="Arial" w:eastAsia="Times New Roman" w:hAnsi="Arial" w:cs="Arial"/>
          <w:sz w:val="22"/>
          <w:szCs w:val="22"/>
          <w:lang w:val="en-GB" w:eastAsia="en-GB"/>
        </w:rPr>
        <w:t>6 August</w:t>
      </w:r>
      <w:r w:rsidR="00FC6CDE">
        <w:rPr>
          <w:rFonts w:ascii="Arial" w:eastAsia="Times New Roman" w:hAnsi="Arial" w:cs="Arial"/>
          <w:sz w:val="22"/>
          <w:szCs w:val="22"/>
          <w:lang w:val="en-GB" w:eastAsia="en-GB"/>
        </w:rPr>
        <w:t xml:space="preserve"> </w:t>
      </w:r>
      <w:r w:rsidRPr="007232BF">
        <w:rPr>
          <w:rFonts w:ascii="Arial" w:eastAsia="Times New Roman" w:hAnsi="Arial" w:cs="Arial"/>
          <w:sz w:val="22"/>
          <w:szCs w:val="22"/>
          <w:lang w:val="en-GB" w:eastAsia="en-GB"/>
        </w:rPr>
        <w:t>2026).</w:t>
      </w:r>
    </w:p>
    <w:p w14:paraId="70DE6484" w14:textId="77777777"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Social Care Wales (2022) </w:t>
      </w:r>
      <w:r w:rsidRPr="007232BF">
        <w:rPr>
          <w:rFonts w:ascii="Arial" w:eastAsia="Times New Roman" w:hAnsi="Arial" w:cs="Arial"/>
          <w:i/>
          <w:iCs/>
          <w:sz w:val="22"/>
          <w:szCs w:val="22"/>
          <w:lang w:val="en-GB" w:eastAsia="en-GB"/>
        </w:rPr>
        <w:t>Good communication guide for social care workers</w:t>
      </w:r>
      <w:r w:rsidRPr="007232BF">
        <w:rPr>
          <w:rFonts w:ascii="Arial" w:eastAsia="Times New Roman" w:hAnsi="Arial" w:cs="Arial"/>
          <w:sz w:val="22"/>
          <w:szCs w:val="22"/>
          <w:lang w:val="en-GB" w:eastAsia="en-GB"/>
        </w:rPr>
        <w:t xml:space="preserve">. Available at: </w:t>
      </w:r>
      <w:hyperlink r:id="rId14" w:tgtFrame="_new" w:history="1">
        <w:r w:rsidRPr="007232BF">
          <w:rPr>
            <w:rFonts w:ascii="Arial" w:eastAsia="Times New Roman" w:hAnsi="Arial" w:cs="Arial"/>
            <w:color w:val="0000FF"/>
            <w:sz w:val="22"/>
            <w:szCs w:val="22"/>
            <w:u w:val="single"/>
            <w:lang w:val="en-GB" w:eastAsia="en-GB"/>
          </w:rPr>
          <w:t>https://socialcare.wales</w:t>
        </w:r>
      </w:hyperlink>
      <w:r w:rsidRPr="007232BF">
        <w:rPr>
          <w:rFonts w:ascii="Arial" w:eastAsia="Times New Roman" w:hAnsi="Arial" w:cs="Arial"/>
          <w:sz w:val="22"/>
          <w:szCs w:val="22"/>
          <w:lang w:val="en-GB" w:eastAsia="en-GB"/>
        </w:rPr>
        <w:t xml:space="preserve"> (Accessed: 6 August 2026).</w:t>
      </w:r>
    </w:p>
    <w:p w14:paraId="1EC31231" w14:textId="4E6F6B52"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Social Care Wales (2023) </w:t>
      </w:r>
      <w:r w:rsidRPr="007232BF">
        <w:rPr>
          <w:rFonts w:ascii="Arial" w:eastAsia="Times New Roman" w:hAnsi="Arial" w:cs="Arial"/>
          <w:i/>
          <w:iCs/>
          <w:sz w:val="22"/>
          <w:szCs w:val="22"/>
          <w:lang w:val="en-GB" w:eastAsia="en-GB"/>
        </w:rPr>
        <w:t>Safeguarding guidance for social care professionals</w:t>
      </w:r>
      <w:r w:rsidRPr="007232BF">
        <w:rPr>
          <w:rFonts w:ascii="Arial" w:eastAsia="Times New Roman" w:hAnsi="Arial" w:cs="Arial"/>
          <w:sz w:val="22"/>
          <w:szCs w:val="22"/>
          <w:lang w:val="en-GB" w:eastAsia="en-GB"/>
        </w:rPr>
        <w:t xml:space="preserve">. Available at: </w:t>
      </w:r>
      <w:hyperlink r:id="rId15" w:tgtFrame="_new" w:history="1">
        <w:r w:rsidRPr="007232BF">
          <w:rPr>
            <w:rFonts w:ascii="Arial" w:eastAsia="Times New Roman" w:hAnsi="Arial" w:cs="Arial"/>
            <w:color w:val="0000FF"/>
            <w:sz w:val="22"/>
            <w:szCs w:val="22"/>
            <w:u w:val="single"/>
            <w:lang w:val="en-GB" w:eastAsia="en-GB"/>
          </w:rPr>
          <w:t>https://socialcare.wales</w:t>
        </w:r>
      </w:hyperlink>
      <w:r w:rsidRPr="007232BF">
        <w:rPr>
          <w:rFonts w:ascii="Arial" w:eastAsia="Times New Roman" w:hAnsi="Arial" w:cs="Arial"/>
          <w:sz w:val="22"/>
          <w:szCs w:val="22"/>
          <w:lang w:val="en-GB" w:eastAsia="en-GB"/>
        </w:rPr>
        <w:t xml:space="preserve"> (Accessed:</w:t>
      </w:r>
      <w:r w:rsidR="00FD0A7E">
        <w:rPr>
          <w:rFonts w:ascii="Arial" w:eastAsia="Times New Roman" w:hAnsi="Arial" w:cs="Arial"/>
          <w:sz w:val="22"/>
          <w:szCs w:val="22"/>
          <w:lang w:val="en-GB" w:eastAsia="en-GB"/>
        </w:rPr>
        <w:t>6 August</w:t>
      </w:r>
      <w:r w:rsidRPr="007232BF">
        <w:rPr>
          <w:rFonts w:ascii="Arial" w:eastAsia="Times New Roman" w:hAnsi="Arial" w:cs="Arial"/>
          <w:sz w:val="22"/>
          <w:szCs w:val="22"/>
          <w:lang w:val="en-GB" w:eastAsia="en-GB"/>
        </w:rPr>
        <w:t xml:space="preserve"> 2026).</w:t>
      </w:r>
    </w:p>
    <w:p w14:paraId="3C9DAD8E" w14:textId="04367D0E" w:rsidR="00687D56" w:rsidRPr="007232BF" w:rsidRDefault="00687D56" w:rsidP="00687D56">
      <w:pPr>
        <w:spacing w:before="100" w:beforeAutospacing="1" w:after="100" w:afterAutospacing="1" w:line="240" w:lineRule="auto"/>
        <w:rPr>
          <w:rFonts w:ascii="Arial" w:eastAsia="Times New Roman" w:hAnsi="Arial" w:cs="Arial"/>
          <w:sz w:val="22"/>
          <w:szCs w:val="22"/>
          <w:lang w:val="en-GB" w:eastAsia="en-GB"/>
        </w:rPr>
      </w:pPr>
      <w:r w:rsidRPr="007232BF">
        <w:rPr>
          <w:rFonts w:ascii="Arial" w:eastAsia="Times New Roman" w:hAnsi="Arial" w:cs="Arial"/>
          <w:sz w:val="22"/>
          <w:szCs w:val="22"/>
          <w:lang w:val="en-GB" w:eastAsia="en-GB"/>
        </w:rPr>
        <w:t xml:space="preserve">Social Services and Well-being (Wales) Act 2014. Available at: </w:t>
      </w:r>
      <w:hyperlink r:id="rId16" w:tgtFrame="_new" w:history="1">
        <w:r w:rsidRPr="007232BF">
          <w:rPr>
            <w:rFonts w:ascii="Arial" w:eastAsia="Times New Roman" w:hAnsi="Arial" w:cs="Arial"/>
            <w:color w:val="0000FF"/>
            <w:sz w:val="22"/>
            <w:szCs w:val="22"/>
            <w:u w:val="single"/>
            <w:lang w:val="en-GB" w:eastAsia="en-GB"/>
          </w:rPr>
          <w:t>https://www.legislation.gov.uk/anaw/2014/4/contents</w:t>
        </w:r>
      </w:hyperlink>
      <w:r w:rsidRPr="007232BF">
        <w:rPr>
          <w:rFonts w:ascii="Arial" w:eastAsia="Times New Roman" w:hAnsi="Arial" w:cs="Arial"/>
          <w:sz w:val="22"/>
          <w:szCs w:val="22"/>
          <w:lang w:val="en-GB" w:eastAsia="en-GB"/>
        </w:rPr>
        <w:t xml:space="preserve"> (Accessed: </w:t>
      </w:r>
      <w:r w:rsidR="00910CFF">
        <w:rPr>
          <w:rFonts w:ascii="Arial" w:eastAsia="Times New Roman" w:hAnsi="Arial" w:cs="Arial"/>
          <w:sz w:val="22"/>
          <w:szCs w:val="22"/>
          <w:lang w:val="en-GB" w:eastAsia="en-GB"/>
        </w:rPr>
        <w:t xml:space="preserve">6 August </w:t>
      </w:r>
      <w:r w:rsidRPr="007232BF">
        <w:rPr>
          <w:rFonts w:ascii="Arial" w:eastAsia="Times New Roman" w:hAnsi="Arial" w:cs="Arial"/>
          <w:sz w:val="22"/>
          <w:szCs w:val="22"/>
          <w:lang w:val="en-GB" w:eastAsia="en-GB"/>
        </w:rPr>
        <w:t>2026).</w:t>
      </w:r>
    </w:p>
    <w:p w14:paraId="682E2A73" w14:textId="2E02C11D" w:rsidR="00687D56" w:rsidRPr="007232BF" w:rsidRDefault="00687D56" w:rsidP="00581F8A">
      <w:pPr>
        <w:spacing w:after="0" w:line="240" w:lineRule="auto"/>
        <w:rPr>
          <w:rFonts w:ascii="Arial" w:eastAsia="Times New Roman" w:hAnsi="Arial" w:cs="Arial"/>
          <w:lang w:val="en-GB" w:eastAsia="en-GB"/>
        </w:rPr>
      </w:pPr>
      <w:r w:rsidRPr="007232BF">
        <w:rPr>
          <w:rFonts w:ascii="Arial" w:eastAsia="Times New Roman" w:hAnsi="Arial" w:cs="Arial"/>
          <w:vanish/>
          <w:sz w:val="16"/>
          <w:szCs w:val="16"/>
          <w:lang w:val="en-GB" w:eastAsia="en-GB"/>
        </w:rPr>
        <w:t>Top of Form</w:t>
      </w:r>
    </w:p>
    <w:p w14:paraId="4E1F6FD1" w14:textId="77777777" w:rsidR="00687D56" w:rsidRPr="007232BF" w:rsidRDefault="00687D56" w:rsidP="00687D56">
      <w:pPr>
        <w:spacing w:before="100" w:beforeAutospacing="1" w:after="100" w:afterAutospacing="1" w:line="240" w:lineRule="auto"/>
        <w:rPr>
          <w:rFonts w:ascii="Arial" w:eastAsia="Times New Roman" w:hAnsi="Arial" w:cs="Arial"/>
          <w:lang w:val="en-GB" w:eastAsia="en-GB"/>
        </w:rPr>
      </w:pPr>
    </w:p>
    <w:p w14:paraId="2711904D" w14:textId="77777777" w:rsidR="00687D56" w:rsidRPr="007232BF" w:rsidRDefault="00687D56" w:rsidP="00687D56">
      <w:pPr>
        <w:pBdr>
          <w:top w:val="single" w:sz="6" w:space="1" w:color="auto"/>
        </w:pBdr>
        <w:spacing w:after="0" w:line="240" w:lineRule="auto"/>
        <w:jc w:val="center"/>
        <w:rPr>
          <w:rFonts w:ascii="Arial" w:eastAsia="Times New Roman" w:hAnsi="Arial" w:cs="Arial"/>
          <w:vanish/>
          <w:sz w:val="16"/>
          <w:szCs w:val="16"/>
          <w:lang w:val="en-GB" w:eastAsia="en-GB"/>
        </w:rPr>
      </w:pPr>
      <w:r w:rsidRPr="007232BF">
        <w:rPr>
          <w:rFonts w:ascii="Arial" w:eastAsia="Times New Roman" w:hAnsi="Arial" w:cs="Arial"/>
          <w:vanish/>
          <w:sz w:val="16"/>
          <w:szCs w:val="16"/>
          <w:lang w:val="en-GB" w:eastAsia="en-GB"/>
        </w:rPr>
        <w:t>Bottom of Form</w:t>
      </w:r>
    </w:p>
    <w:p w14:paraId="61F93EC6" w14:textId="77777777" w:rsidR="00462622" w:rsidRPr="007232BF" w:rsidRDefault="00462622">
      <w:pPr>
        <w:rPr>
          <w:rFonts w:ascii="Arial" w:hAnsi="Arial" w:cs="Arial"/>
          <w:lang w:val="en-GB"/>
        </w:rPr>
      </w:pPr>
    </w:p>
    <w:p w14:paraId="6586FCFB" w14:textId="21A9D045" w:rsidR="00687D56" w:rsidRPr="007232BF" w:rsidRDefault="002F3D0B">
      <w:pPr>
        <w:rPr>
          <w:rFonts w:ascii="Arial" w:hAnsi="Arial" w:cs="Arial"/>
          <w:lang w:val="en-GB"/>
        </w:rPr>
      </w:pPr>
      <w:r>
        <w:rPr>
          <w:rFonts w:ascii="Arial" w:hAnsi="Arial" w:cs="Arial"/>
          <w:lang w:val="en-GB"/>
        </w:rPr>
        <w:t xml:space="preserve"> </w:t>
      </w:r>
    </w:p>
    <w:sectPr w:rsidR="00687D56" w:rsidRPr="007232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53ACjOUBXm63UL" int2:id="SDI0Duet">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2F2D"/>
    <w:multiLevelType w:val="multilevel"/>
    <w:tmpl w:val="F9AE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25334"/>
    <w:multiLevelType w:val="multilevel"/>
    <w:tmpl w:val="94CA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16614B"/>
    <w:multiLevelType w:val="multilevel"/>
    <w:tmpl w:val="9606F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825B69"/>
    <w:multiLevelType w:val="multilevel"/>
    <w:tmpl w:val="13AE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9E58DC"/>
    <w:multiLevelType w:val="multilevel"/>
    <w:tmpl w:val="9228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3804592">
    <w:abstractNumId w:val="1"/>
  </w:num>
  <w:num w:numId="2" w16cid:durableId="158926572">
    <w:abstractNumId w:val="4"/>
  </w:num>
  <w:num w:numId="3" w16cid:durableId="493687593">
    <w:abstractNumId w:val="2"/>
  </w:num>
  <w:num w:numId="4" w16cid:durableId="1323853014">
    <w:abstractNumId w:val="0"/>
  </w:num>
  <w:num w:numId="5" w16cid:durableId="1839954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3E2498"/>
    <w:rsid w:val="00012DBC"/>
    <w:rsid w:val="00015DBE"/>
    <w:rsid w:val="000C4007"/>
    <w:rsid w:val="000F694C"/>
    <w:rsid w:val="001216C4"/>
    <w:rsid w:val="001260F7"/>
    <w:rsid w:val="001349E0"/>
    <w:rsid w:val="00137FE2"/>
    <w:rsid w:val="0015387C"/>
    <w:rsid w:val="00166DF8"/>
    <w:rsid w:val="00194457"/>
    <w:rsid w:val="001A58A0"/>
    <w:rsid w:val="001D6D21"/>
    <w:rsid w:val="00203093"/>
    <w:rsid w:val="002171B6"/>
    <w:rsid w:val="00227D55"/>
    <w:rsid w:val="0023090F"/>
    <w:rsid w:val="00240C2A"/>
    <w:rsid w:val="00243D66"/>
    <w:rsid w:val="00251FC8"/>
    <w:rsid w:val="00252A45"/>
    <w:rsid w:val="00265FB8"/>
    <w:rsid w:val="002B40DB"/>
    <w:rsid w:val="002B6E8F"/>
    <w:rsid w:val="002F3D0B"/>
    <w:rsid w:val="00360E66"/>
    <w:rsid w:val="0038144F"/>
    <w:rsid w:val="00393BD2"/>
    <w:rsid w:val="00406850"/>
    <w:rsid w:val="00427CAC"/>
    <w:rsid w:val="00462622"/>
    <w:rsid w:val="004865DA"/>
    <w:rsid w:val="004D02E7"/>
    <w:rsid w:val="00510A30"/>
    <w:rsid w:val="00581F8A"/>
    <w:rsid w:val="00587D80"/>
    <w:rsid w:val="00595C12"/>
    <w:rsid w:val="005A2F32"/>
    <w:rsid w:val="005C2922"/>
    <w:rsid w:val="005C2D9B"/>
    <w:rsid w:val="005C3484"/>
    <w:rsid w:val="005F07F2"/>
    <w:rsid w:val="00631567"/>
    <w:rsid w:val="0065572F"/>
    <w:rsid w:val="00687D56"/>
    <w:rsid w:val="00696897"/>
    <w:rsid w:val="006B7950"/>
    <w:rsid w:val="00700C09"/>
    <w:rsid w:val="00702668"/>
    <w:rsid w:val="007028F0"/>
    <w:rsid w:val="00706014"/>
    <w:rsid w:val="007232BF"/>
    <w:rsid w:val="007528A5"/>
    <w:rsid w:val="007809AB"/>
    <w:rsid w:val="007B7ED2"/>
    <w:rsid w:val="007C35F7"/>
    <w:rsid w:val="007E13C1"/>
    <w:rsid w:val="00806988"/>
    <w:rsid w:val="00847A29"/>
    <w:rsid w:val="008748FB"/>
    <w:rsid w:val="008A7CC7"/>
    <w:rsid w:val="008C0882"/>
    <w:rsid w:val="00903FCE"/>
    <w:rsid w:val="00910CFF"/>
    <w:rsid w:val="00920B5D"/>
    <w:rsid w:val="00924F1E"/>
    <w:rsid w:val="00931D0D"/>
    <w:rsid w:val="00940798"/>
    <w:rsid w:val="009748C2"/>
    <w:rsid w:val="00976551"/>
    <w:rsid w:val="00976C0B"/>
    <w:rsid w:val="009D262F"/>
    <w:rsid w:val="00A058A0"/>
    <w:rsid w:val="00A6024F"/>
    <w:rsid w:val="00A867D1"/>
    <w:rsid w:val="00AA740B"/>
    <w:rsid w:val="00AC53FA"/>
    <w:rsid w:val="00B155CA"/>
    <w:rsid w:val="00B30069"/>
    <w:rsid w:val="00B454CA"/>
    <w:rsid w:val="00B45A1A"/>
    <w:rsid w:val="00B57778"/>
    <w:rsid w:val="00B61D5E"/>
    <w:rsid w:val="00B81A4A"/>
    <w:rsid w:val="00B87BDA"/>
    <w:rsid w:val="00BA47D5"/>
    <w:rsid w:val="00BC35A1"/>
    <w:rsid w:val="00BD165F"/>
    <w:rsid w:val="00BE3C6A"/>
    <w:rsid w:val="00BF2CCD"/>
    <w:rsid w:val="00BF48ED"/>
    <w:rsid w:val="00C02F52"/>
    <w:rsid w:val="00C325D0"/>
    <w:rsid w:val="00C57485"/>
    <w:rsid w:val="00C63678"/>
    <w:rsid w:val="00CA1630"/>
    <w:rsid w:val="00D07CDF"/>
    <w:rsid w:val="00D31B10"/>
    <w:rsid w:val="00D62A78"/>
    <w:rsid w:val="00D9207A"/>
    <w:rsid w:val="00DB277C"/>
    <w:rsid w:val="00DC41D9"/>
    <w:rsid w:val="00DD4102"/>
    <w:rsid w:val="00E051CB"/>
    <w:rsid w:val="00E053CB"/>
    <w:rsid w:val="00E20102"/>
    <w:rsid w:val="00E4706C"/>
    <w:rsid w:val="00E6066A"/>
    <w:rsid w:val="00E6159B"/>
    <w:rsid w:val="00E83163"/>
    <w:rsid w:val="00EC29B7"/>
    <w:rsid w:val="00F0684A"/>
    <w:rsid w:val="00F072F2"/>
    <w:rsid w:val="00F1383E"/>
    <w:rsid w:val="00F42C87"/>
    <w:rsid w:val="00F75ED5"/>
    <w:rsid w:val="00FB502C"/>
    <w:rsid w:val="00FC4342"/>
    <w:rsid w:val="00FC5711"/>
    <w:rsid w:val="00FC6CDE"/>
    <w:rsid w:val="00FD0A7E"/>
    <w:rsid w:val="00FD15FD"/>
    <w:rsid w:val="040BA48A"/>
    <w:rsid w:val="05B79C46"/>
    <w:rsid w:val="0D03E3C1"/>
    <w:rsid w:val="0DED6085"/>
    <w:rsid w:val="0E4380A7"/>
    <w:rsid w:val="0E58965A"/>
    <w:rsid w:val="133E07A4"/>
    <w:rsid w:val="14B8A2DE"/>
    <w:rsid w:val="16E57F36"/>
    <w:rsid w:val="18B6AFDF"/>
    <w:rsid w:val="1A8053B8"/>
    <w:rsid w:val="1C9F5390"/>
    <w:rsid w:val="1CF18EAE"/>
    <w:rsid w:val="1DEAF7B5"/>
    <w:rsid w:val="1FED068F"/>
    <w:rsid w:val="203E2498"/>
    <w:rsid w:val="21A99D01"/>
    <w:rsid w:val="2226D7B7"/>
    <w:rsid w:val="23DDE18B"/>
    <w:rsid w:val="24C6B388"/>
    <w:rsid w:val="2A9C6E58"/>
    <w:rsid w:val="2D219B82"/>
    <w:rsid w:val="2FF799AB"/>
    <w:rsid w:val="386E8A17"/>
    <w:rsid w:val="3AA5F949"/>
    <w:rsid w:val="3B7D3C8A"/>
    <w:rsid w:val="3DA57B56"/>
    <w:rsid w:val="3F0476E2"/>
    <w:rsid w:val="400C9D2E"/>
    <w:rsid w:val="44C8DABE"/>
    <w:rsid w:val="458B2456"/>
    <w:rsid w:val="4640621D"/>
    <w:rsid w:val="475A54AD"/>
    <w:rsid w:val="4C201E35"/>
    <w:rsid w:val="4CCFF615"/>
    <w:rsid w:val="4E60C107"/>
    <w:rsid w:val="4EE57054"/>
    <w:rsid w:val="4FD52BD4"/>
    <w:rsid w:val="514CE269"/>
    <w:rsid w:val="538D2436"/>
    <w:rsid w:val="5663AB39"/>
    <w:rsid w:val="57F9FD44"/>
    <w:rsid w:val="5A6093CD"/>
    <w:rsid w:val="5A948C4A"/>
    <w:rsid w:val="5B79FCC9"/>
    <w:rsid w:val="5C2D9313"/>
    <w:rsid w:val="5CADC009"/>
    <w:rsid w:val="5D7E07AD"/>
    <w:rsid w:val="5FB47C51"/>
    <w:rsid w:val="6060CB9D"/>
    <w:rsid w:val="62649706"/>
    <w:rsid w:val="627B9E56"/>
    <w:rsid w:val="640A109C"/>
    <w:rsid w:val="6525428C"/>
    <w:rsid w:val="65876C72"/>
    <w:rsid w:val="66E57EF6"/>
    <w:rsid w:val="6FAC62E5"/>
    <w:rsid w:val="723AEA7A"/>
    <w:rsid w:val="758045C1"/>
    <w:rsid w:val="7884B35B"/>
    <w:rsid w:val="788C5329"/>
    <w:rsid w:val="796BB109"/>
    <w:rsid w:val="7B4BDB52"/>
    <w:rsid w:val="7D5F46E0"/>
    <w:rsid w:val="7D91A3B0"/>
    <w:rsid w:val="7DA72497"/>
    <w:rsid w:val="7E2E39ED"/>
    <w:rsid w:val="7EA9EFEA"/>
    <w:rsid w:val="7F906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1D116"/>
  <w15:chartTrackingRefBased/>
  <w15:docId w15:val="{973E8AC1-98A7-4C4C-BBC3-ABFBB2AD4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D5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DC41D9"/>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166DF8"/>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166DF8"/>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6D21"/>
    <w:rPr>
      <w:rFonts w:ascii="Times New Roman" w:hAnsi="Times New Roman" w:cs="Times New Roman"/>
    </w:rPr>
  </w:style>
  <w:style w:type="character" w:customStyle="1" w:styleId="Heading2Char">
    <w:name w:val="Heading 2 Char"/>
    <w:basedOn w:val="DefaultParagraphFont"/>
    <w:link w:val="Heading2"/>
    <w:uiPriority w:val="9"/>
    <w:semiHidden/>
    <w:rsid w:val="00DC41D9"/>
    <w:rPr>
      <w:rFonts w:asciiTheme="majorHAnsi" w:eastAsiaTheme="majorEastAsia" w:hAnsiTheme="majorHAnsi" w:cstheme="majorBidi"/>
      <w:color w:val="0F4761" w:themeColor="accent1" w:themeShade="BF"/>
      <w:sz w:val="26"/>
      <w:szCs w:val="26"/>
    </w:rPr>
  </w:style>
  <w:style w:type="paragraph" w:customStyle="1" w:styleId="isselectedend">
    <w:name w:val="isselectedend"/>
    <w:basedOn w:val="Normal"/>
    <w:rsid w:val="00F42C8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3Char">
    <w:name w:val="Heading 3 Char"/>
    <w:basedOn w:val="DefaultParagraphFont"/>
    <w:link w:val="Heading3"/>
    <w:uiPriority w:val="9"/>
    <w:semiHidden/>
    <w:rsid w:val="00166DF8"/>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semiHidden/>
    <w:rsid w:val="00166DF8"/>
    <w:rPr>
      <w:rFonts w:asciiTheme="majorHAnsi" w:eastAsiaTheme="majorEastAsia" w:hAnsiTheme="majorHAnsi" w:cstheme="majorBidi"/>
      <w:i/>
      <w:iCs/>
      <w:color w:val="0F4761" w:themeColor="accent1" w:themeShade="BF"/>
    </w:rPr>
  </w:style>
  <w:style w:type="character" w:customStyle="1" w:styleId="Heading1Char">
    <w:name w:val="Heading 1 Char"/>
    <w:basedOn w:val="DefaultParagraphFont"/>
    <w:link w:val="Heading1"/>
    <w:uiPriority w:val="9"/>
    <w:rsid w:val="00687D56"/>
    <w:rPr>
      <w:rFonts w:asciiTheme="majorHAnsi" w:eastAsiaTheme="majorEastAsia" w:hAnsiTheme="majorHAnsi" w:cstheme="majorBidi"/>
      <w:color w:val="0F4761" w:themeColor="accent1" w:themeShade="BF"/>
      <w:sz w:val="32"/>
      <w:szCs w:val="32"/>
    </w:rPr>
  </w:style>
  <w:style w:type="paragraph" w:styleId="TOC1">
    <w:name w:val="toc 1"/>
    <w:basedOn w:val="Normal"/>
    <w:next w:val="Normal"/>
    <w:autoRedefine/>
    <w:uiPriority w:val="39"/>
    <w:unhideWhenUsed/>
    <w:rsid w:val="00E4706C"/>
    <w:pPr>
      <w:spacing w:after="100"/>
    </w:pPr>
  </w:style>
  <w:style w:type="paragraph" w:styleId="TOC3">
    <w:name w:val="toc 3"/>
    <w:basedOn w:val="Normal"/>
    <w:next w:val="Normal"/>
    <w:autoRedefine/>
    <w:uiPriority w:val="39"/>
    <w:unhideWhenUsed/>
    <w:rsid w:val="00E4706C"/>
    <w:pPr>
      <w:spacing w:after="100"/>
      <w:ind w:left="480"/>
    </w:pPr>
  </w:style>
  <w:style w:type="paragraph" w:styleId="TOC2">
    <w:name w:val="toc 2"/>
    <w:basedOn w:val="Normal"/>
    <w:next w:val="Normal"/>
    <w:autoRedefine/>
    <w:uiPriority w:val="39"/>
    <w:unhideWhenUsed/>
    <w:rsid w:val="00E4706C"/>
    <w:pPr>
      <w:spacing w:after="100"/>
      <w:ind w:left="240"/>
    </w:pPr>
  </w:style>
  <w:style w:type="character" w:styleId="Hyperlink">
    <w:name w:val="Hyperlink"/>
    <w:basedOn w:val="DefaultParagraphFont"/>
    <w:uiPriority w:val="99"/>
    <w:unhideWhenUsed/>
    <w:rsid w:val="00E4706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hyperlink" Target="https://www.scie.org.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qc.org.uk" TargetMode="External"/><Relationship Id="rId12" Type="http://schemas.openxmlformats.org/officeDocument/2006/relationships/hyperlink" Target="https://www.scie.org.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anaw/2014/4/contents" TargetMode="External"/><Relationship Id="rId1" Type="http://schemas.openxmlformats.org/officeDocument/2006/relationships/numbering" Target="numbering.xml"/><Relationship Id="rId6" Type="http://schemas.openxmlformats.org/officeDocument/2006/relationships/hyperlink" Target="https://www.ageuk.org.uk" TargetMode="External"/><Relationship Id="rId11" Type="http://schemas.openxmlformats.org/officeDocument/2006/relationships/hyperlink" Target="https://ico.org.uk" TargetMode="External"/><Relationship Id="rId5" Type="http://schemas.openxmlformats.org/officeDocument/2006/relationships/image" Target="media/image1.png"/><Relationship Id="rId15" Type="http://schemas.openxmlformats.org/officeDocument/2006/relationships/hyperlink" Target="https://socialcare.wales" TargetMode="External"/><Relationship Id="rId10" Type="http://schemas.openxmlformats.org/officeDocument/2006/relationships/hyperlink" Target="https://www.gmc-uk.org"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equalityhumanrights.com" TargetMode="External"/><Relationship Id="rId14" Type="http://schemas.openxmlformats.org/officeDocument/2006/relationships/hyperlink" Target="https://socialcare.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3024</Words>
  <Characters>17240</Characters>
  <Application>Microsoft Office Word</Application>
  <DocSecurity>0</DocSecurity>
  <Lines>143</Lines>
  <Paragraphs>40</Paragraphs>
  <ScaleCrop>false</ScaleCrop>
  <Company/>
  <LinksUpToDate>false</LinksUpToDate>
  <CharactersWithSpaces>20224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Racqueal Abigail Collins (2442244)</dc:creator>
  <cp:keywords/>
  <dc:description/>
  <cp:lastModifiedBy>Racqueal Abigail Collins (2442244)</cp:lastModifiedBy>
  <cp:revision>2</cp:revision>
  <dcterms:created xsi:type="dcterms:W3CDTF">2026-08-06T13:42:00Z</dcterms:created>
  <dcterms:modified xsi:type="dcterms:W3CDTF">2026-08-06T13:42:00Z</dcterms:modified>
</cp:coreProperties>
</file>