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03F38E" w14:textId="77777777" w:rsidR="00D547EA" w:rsidRDefault="00D547EA" w:rsidP="00D547EA">
      <w:pPr>
        <w:spacing w:before="1760" w:after="240"/>
        <w:jc w:val="center"/>
        <w:rPr>
          <w:rFonts w:ascii="Calibri" w:hAnsi="Calibri"/>
          <w:b/>
          <w:sz w:val="60"/>
        </w:rPr>
      </w:pPr>
    </w:p>
    <w:p w14:paraId="794A3DF7" w14:textId="1DA794CB" w:rsidR="006E64B6" w:rsidRDefault="00000000" w:rsidP="00D547EA">
      <w:pPr>
        <w:spacing w:before="1760" w:after="240"/>
        <w:jc w:val="center"/>
      </w:pPr>
      <w:r>
        <w:rPr>
          <w:rFonts w:ascii="Calibri" w:hAnsi="Calibri"/>
          <w:b/>
          <w:sz w:val="60"/>
        </w:rPr>
        <w:t>Cybersecurity and</w:t>
      </w:r>
      <w:r>
        <w:rPr>
          <w:rFonts w:ascii="Calibri" w:hAnsi="Calibri"/>
          <w:b/>
          <w:sz w:val="60"/>
        </w:rPr>
        <w:br/>
        <w:t>Data-Governance Strategy</w:t>
      </w:r>
    </w:p>
    <w:p w14:paraId="0CCB8A80" w14:textId="77777777" w:rsidR="00DA7CC0" w:rsidRDefault="00DA7CC0">
      <w:pPr>
        <w:spacing w:after="720"/>
        <w:rPr>
          <w:b/>
          <w:color w:val="2C2C2C" w:themeColor="text1"/>
          <w:sz w:val="32"/>
        </w:rPr>
      </w:pPr>
    </w:p>
    <w:p w14:paraId="73C7D9AC" w14:textId="03B57006" w:rsidR="006E64B6" w:rsidRDefault="006E64B6">
      <w:pPr>
        <w:spacing w:after="720"/>
      </w:pPr>
    </w:p>
    <w:tbl>
      <w:tblPr>
        <w:tblpPr w:leftFromText="180" w:rightFromText="180" w:vertAnchor="text" w:horzAnchor="margin" w:tblpY="282"/>
        <w:tblW w:w="9360" w:type="dxa"/>
        <w:tblLayout w:type="fixed"/>
        <w:tblLook w:val="04A0" w:firstRow="1" w:lastRow="0" w:firstColumn="1" w:lastColumn="0" w:noHBand="0" w:noVBand="1"/>
      </w:tblPr>
      <w:tblGrid>
        <w:gridCol w:w="2300"/>
        <w:gridCol w:w="7060"/>
      </w:tblGrid>
      <w:tr w:rsidR="00D547EA" w:rsidRPr="006C3FE0" w14:paraId="6F77A2FF" w14:textId="77777777" w:rsidTr="00D547EA">
        <w:trPr>
          <w:tblHeader/>
        </w:trPr>
        <w:tc>
          <w:tcPr>
            <w:tcW w:w="2300" w:type="dxa"/>
            <w:tcBorders>
              <w:top w:val="single" w:sz="5" w:space="0" w:color="CCD6DF"/>
              <w:left w:val="single" w:sz="5" w:space="0" w:color="CCD6DF"/>
              <w:bottom w:val="single" w:sz="5" w:space="0" w:color="CCD6DF"/>
              <w:right w:val="single" w:sz="5" w:space="0" w:color="CCD6DF"/>
            </w:tcBorders>
            <w:shd w:val="clear" w:color="auto" w:fill="F4F7FA"/>
            <w:tcMar>
              <w:top w:w="100" w:type="dxa"/>
              <w:left w:w="120" w:type="dxa"/>
              <w:bottom w:w="100" w:type="dxa"/>
              <w:right w:w="120" w:type="dxa"/>
            </w:tcMar>
            <w:vAlign w:val="center"/>
          </w:tcPr>
          <w:p w14:paraId="7C82622A" w14:textId="77777777" w:rsidR="00D547EA" w:rsidRPr="00F14C7E" w:rsidRDefault="00D547EA" w:rsidP="00D547EA">
            <w:pPr>
              <w:spacing w:after="0"/>
              <w:rPr>
                <w:rFonts w:cs="Arial"/>
                <w:b/>
                <w:bCs/>
              </w:rPr>
            </w:pPr>
            <w:r w:rsidRPr="00F14C7E">
              <w:rPr>
                <w:b/>
                <w:bCs/>
                <w:lang w:val="en-GB"/>
              </w:rPr>
              <w:t>Module Name</w:t>
            </w:r>
          </w:p>
        </w:tc>
        <w:tc>
          <w:tcPr>
            <w:tcW w:w="7060" w:type="dxa"/>
            <w:tcBorders>
              <w:top w:val="single" w:sz="5" w:space="0" w:color="CCD6DF"/>
              <w:left w:val="single" w:sz="5" w:space="0" w:color="CCD6DF"/>
              <w:bottom w:val="single" w:sz="5" w:space="0" w:color="CCD6DF"/>
              <w:right w:val="single" w:sz="5" w:space="0" w:color="CCD6DF"/>
            </w:tcBorders>
            <w:tcMar>
              <w:top w:w="100" w:type="dxa"/>
              <w:left w:w="120" w:type="dxa"/>
              <w:bottom w:w="100" w:type="dxa"/>
              <w:right w:w="120" w:type="dxa"/>
            </w:tcMar>
            <w:vAlign w:val="center"/>
          </w:tcPr>
          <w:p w14:paraId="30FCDB59" w14:textId="77777777" w:rsidR="00D547EA" w:rsidRPr="006C3FE0" w:rsidRDefault="00D547EA" w:rsidP="00D547EA">
            <w:pPr>
              <w:spacing w:after="0"/>
              <w:rPr>
                <w:rFonts w:cs="Arial"/>
              </w:rPr>
            </w:pPr>
            <w:r w:rsidRPr="00D547EA">
              <w:t>Networks and Cyber Security Essentials</w:t>
            </w:r>
          </w:p>
        </w:tc>
      </w:tr>
      <w:tr w:rsidR="00D547EA" w:rsidRPr="006C3FE0" w14:paraId="5A124AF6" w14:textId="77777777" w:rsidTr="00D547EA">
        <w:tc>
          <w:tcPr>
            <w:tcW w:w="2300" w:type="dxa"/>
            <w:tcBorders>
              <w:top w:val="single" w:sz="5" w:space="0" w:color="CCD6DF"/>
              <w:left w:val="single" w:sz="5" w:space="0" w:color="CCD6DF"/>
              <w:bottom w:val="single" w:sz="5" w:space="0" w:color="CCD6DF"/>
              <w:right w:val="single" w:sz="5" w:space="0" w:color="CCD6DF"/>
            </w:tcBorders>
            <w:shd w:val="clear" w:color="auto" w:fill="F4F7FA"/>
            <w:tcMar>
              <w:top w:w="100" w:type="dxa"/>
              <w:left w:w="120" w:type="dxa"/>
              <w:bottom w:w="100" w:type="dxa"/>
              <w:right w:w="120" w:type="dxa"/>
            </w:tcMar>
            <w:vAlign w:val="center"/>
          </w:tcPr>
          <w:p w14:paraId="5BB4FD48" w14:textId="77777777" w:rsidR="00D547EA" w:rsidRPr="00F14C7E" w:rsidRDefault="00D547EA" w:rsidP="00D547EA">
            <w:pPr>
              <w:spacing w:after="0"/>
              <w:rPr>
                <w:rFonts w:cs="Arial"/>
                <w:b/>
                <w:bCs/>
              </w:rPr>
            </w:pPr>
            <w:r w:rsidRPr="00F14C7E">
              <w:rPr>
                <w:b/>
                <w:bCs/>
                <w:lang w:val="en-GB"/>
              </w:rPr>
              <w:t>Module Code</w:t>
            </w:r>
          </w:p>
        </w:tc>
        <w:tc>
          <w:tcPr>
            <w:tcW w:w="7060" w:type="dxa"/>
            <w:tcBorders>
              <w:top w:val="single" w:sz="5" w:space="0" w:color="CCD6DF"/>
              <w:left w:val="single" w:sz="5" w:space="0" w:color="CCD6DF"/>
              <w:bottom w:val="single" w:sz="5" w:space="0" w:color="CCD6DF"/>
              <w:right w:val="single" w:sz="5" w:space="0" w:color="CCD6DF"/>
            </w:tcBorders>
            <w:tcMar>
              <w:top w:w="100" w:type="dxa"/>
              <w:left w:w="120" w:type="dxa"/>
              <w:bottom w:w="100" w:type="dxa"/>
              <w:right w:w="120" w:type="dxa"/>
            </w:tcMar>
            <w:vAlign w:val="center"/>
          </w:tcPr>
          <w:p w14:paraId="49659BAE" w14:textId="77777777" w:rsidR="00D547EA" w:rsidRPr="006C3FE0" w:rsidRDefault="00D547EA" w:rsidP="00D547EA">
            <w:pPr>
              <w:spacing w:after="0"/>
              <w:rPr>
                <w:rFonts w:cs="Arial"/>
              </w:rPr>
            </w:pPr>
            <w:r w:rsidRPr="00D547EA">
              <w:t>ACCA4024</w:t>
            </w:r>
          </w:p>
        </w:tc>
      </w:tr>
      <w:tr w:rsidR="00D547EA" w:rsidRPr="006C3FE0" w14:paraId="027BE835" w14:textId="77777777" w:rsidTr="00D547EA">
        <w:tc>
          <w:tcPr>
            <w:tcW w:w="2300" w:type="dxa"/>
            <w:tcBorders>
              <w:top w:val="single" w:sz="5" w:space="0" w:color="CCD6DF"/>
              <w:left w:val="single" w:sz="5" w:space="0" w:color="CCD6DF"/>
              <w:bottom w:val="single" w:sz="5" w:space="0" w:color="CCD6DF"/>
              <w:right w:val="single" w:sz="5" w:space="0" w:color="CCD6DF"/>
            </w:tcBorders>
            <w:shd w:val="clear" w:color="auto" w:fill="F4F7FA"/>
            <w:tcMar>
              <w:top w:w="100" w:type="dxa"/>
              <w:left w:w="120" w:type="dxa"/>
              <w:bottom w:w="100" w:type="dxa"/>
              <w:right w:w="120" w:type="dxa"/>
            </w:tcMar>
            <w:vAlign w:val="center"/>
          </w:tcPr>
          <w:p w14:paraId="0AD296AA" w14:textId="77777777" w:rsidR="00D547EA" w:rsidRPr="00F14C7E" w:rsidRDefault="00D547EA" w:rsidP="00D547EA">
            <w:pPr>
              <w:spacing w:after="0"/>
              <w:rPr>
                <w:rFonts w:cs="Arial"/>
                <w:b/>
                <w:bCs/>
              </w:rPr>
            </w:pPr>
            <w:r w:rsidRPr="00F14C7E">
              <w:rPr>
                <w:rFonts w:cs="Arial"/>
                <w:b/>
                <w:bCs/>
                <w:color w:val="243746"/>
              </w:rPr>
              <w:t xml:space="preserve">Student </w:t>
            </w:r>
            <w:r>
              <w:rPr>
                <w:rFonts w:cs="Arial"/>
                <w:b/>
                <w:bCs/>
                <w:color w:val="243746"/>
                <w:lang w:val="en-GB"/>
              </w:rPr>
              <w:t>Name</w:t>
            </w:r>
          </w:p>
        </w:tc>
        <w:tc>
          <w:tcPr>
            <w:tcW w:w="7060" w:type="dxa"/>
            <w:tcBorders>
              <w:top w:val="single" w:sz="5" w:space="0" w:color="CCD6DF"/>
              <w:left w:val="single" w:sz="5" w:space="0" w:color="CCD6DF"/>
              <w:bottom w:val="single" w:sz="5" w:space="0" w:color="CCD6DF"/>
              <w:right w:val="single" w:sz="5" w:space="0" w:color="CCD6DF"/>
            </w:tcBorders>
            <w:tcMar>
              <w:top w:w="100" w:type="dxa"/>
              <w:left w:w="120" w:type="dxa"/>
              <w:bottom w:w="100" w:type="dxa"/>
              <w:right w:w="120" w:type="dxa"/>
            </w:tcMar>
            <w:vAlign w:val="center"/>
          </w:tcPr>
          <w:p w14:paraId="4BEA9C53" w14:textId="77777777" w:rsidR="00D547EA" w:rsidRPr="00D1520A" w:rsidRDefault="00D547EA" w:rsidP="00D547EA">
            <w:pPr>
              <w:spacing w:after="0"/>
              <w:rPr>
                <w:rFonts w:cs="Arial"/>
                <w:lang w:val="en-GB"/>
              </w:rPr>
            </w:pPr>
            <w:r>
              <w:rPr>
                <w:rFonts w:cs="Arial"/>
                <w:lang w:val="en-GB"/>
              </w:rPr>
              <w:t>VITHURSHA PARAMESWARAN</w:t>
            </w:r>
          </w:p>
        </w:tc>
      </w:tr>
      <w:tr w:rsidR="00D547EA" w:rsidRPr="006C3FE0" w14:paraId="0447EB42" w14:textId="77777777" w:rsidTr="00D547EA">
        <w:tc>
          <w:tcPr>
            <w:tcW w:w="2300" w:type="dxa"/>
            <w:tcBorders>
              <w:top w:val="single" w:sz="5" w:space="0" w:color="CCD6DF"/>
              <w:left w:val="single" w:sz="5" w:space="0" w:color="CCD6DF"/>
              <w:bottom w:val="single" w:sz="5" w:space="0" w:color="CCD6DF"/>
              <w:right w:val="single" w:sz="5" w:space="0" w:color="CCD6DF"/>
            </w:tcBorders>
            <w:shd w:val="clear" w:color="auto" w:fill="F4F7FA"/>
            <w:tcMar>
              <w:top w:w="100" w:type="dxa"/>
              <w:left w:w="120" w:type="dxa"/>
              <w:bottom w:w="100" w:type="dxa"/>
              <w:right w:w="120" w:type="dxa"/>
            </w:tcMar>
            <w:vAlign w:val="center"/>
          </w:tcPr>
          <w:p w14:paraId="6687FABD" w14:textId="77777777" w:rsidR="00D547EA" w:rsidRPr="00F14C7E" w:rsidRDefault="00D547EA" w:rsidP="00D547EA">
            <w:pPr>
              <w:spacing w:after="0"/>
              <w:rPr>
                <w:rFonts w:cs="Arial"/>
                <w:b/>
                <w:bCs/>
              </w:rPr>
            </w:pPr>
            <w:r w:rsidRPr="00F14C7E">
              <w:rPr>
                <w:rFonts w:cs="Arial"/>
                <w:b/>
                <w:bCs/>
                <w:color w:val="243746"/>
              </w:rPr>
              <w:t>Student ID</w:t>
            </w:r>
          </w:p>
        </w:tc>
        <w:tc>
          <w:tcPr>
            <w:tcW w:w="7060" w:type="dxa"/>
            <w:tcBorders>
              <w:top w:val="single" w:sz="5" w:space="0" w:color="CCD6DF"/>
              <w:left w:val="single" w:sz="5" w:space="0" w:color="CCD6DF"/>
              <w:bottom w:val="single" w:sz="5" w:space="0" w:color="CCD6DF"/>
              <w:right w:val="single" w:sz="5" w:space="0" w:color="CCD6DF"/>
            </w:tcBorders>
            <w:tcMar>
              <w:top w:w="100" w:type="dxa"/>
              <w:left w:w="120" w:type="dxa"/>
              <w:bottom w:w="100" w:type="dxa"/>
              <w:right w:w="120" w:type="dxa"/>
            </w:tcMar>
            <w:vAlign w:val="center"/>
          </w:tcPr>
          <w:p w14:paraId="09AB1B6D" w14:textId="77777777" w:rsidR="00D547EA" w:rsidRPr="00D1520A" w:rsidRDefault="00D547EA" w:rsidP="00D547EA">
            <w:pPr>
              <w:spacing w:after="0"/>
              <w:rPr>
                <w:rFonts w:cs="Arial"/>
                <w:lang w:val="en-GB"/>
              </w:rPr>
            </w:pPr>
            <w:r>
              <w:rPr>
                <w:rFonts w:cs="Arial"/>
                <w:lang w:val="en-GB"/>
              </w:rPr>
              <w:t>2442072</w:t>
            </w:r>
          </w:p>
        </w:tc>
      </w:tr>
      <w:tr w:rsidR="00D547EA" w:rsidRPr="006C3FE0" w14:paraId="545C7FE1" w14:textId="77777777" w:rsidTr="00D547EA">
        <w:tc>
          <w:tcPr>
            <w:tcW w:w="2300" w:type="dxa"/>
            <w:tcBorders>
              <w:top w:val="single" w:sz="5" w:space="0" w:color="CCD6DF"/>
              <w:left w:val="single" w:sz="5" w:space="0" w:color="CCD6DF"/>
              <w:bottom w:val="single" w:sz="5" w:space="0" w:color="CCD6DF"/>
              <w:right w:val="single" w:sz="5" w:space="0" w:color="CCD6DF"/>
            </w:tcBorders>
            <w:shd w:val="clear" w:color="auto" w:fill="F4F7FA"/>
            <w:tcMar>
              <w:top w:w="100" w:type="dxa"/>
              <w:left w:w="120" w:type="dxa"/>
              <w:bottom w:w="100" w:type="dxa"/>
              <w:right w:w="120" w:type="dxa"/>
            </w:tcMar>
            <w:vAlign w:val="center"/>
          </w:tcPr>
          <w:p w14:paraId="56190177" w14:textId="77777777" w:rsidR="00D547EA" w:rsidRPr="00F14C7E" w:rsidRDefault="00D547EA" w:rsidP="00D547EA">
            <w:pPr>
              <w:spacing w:after="0"/>
              <w:rPr>
                <w:rFonts w:cs="Arial"/>
                <w:b/>
                <w:bCs/>
              </w:rPr>
            </w:pPr>
            <w:r w:rsidRPr="00F14C7E">
              <w:rPr>
                <w:b/>
                <w:bCs/>
                <w:lang w:val="en-GB"/>
              </w:rPr>
              <w:t>Group</w:t>
            </w:r>
          </w:p>
        </w:tc>
        <w:tc>
          <w:tcPr>
            <w:tcW w:w="7060" w:type="dxa"/>
            <w:tcBorders>
              <w:top w:val="single" w:sz="5" w:space="0" w:color="CCD6DF"/>
              <w:left w:val="single" w:sz="5" w:space="0" w:color="CCD6DF"/>
              <w:bottom w:val="single" w:sz="5" w:space="0" w:color="CCD6DF"/>
              <w:right w:val="single" w:sz="5" w:space="0" w:color="CCD6DF"/>
            </w:tcBorders>
            <w:tcMar>
              <w:top w:w="100" w:type="dxa"/>
              <w:left w:w="120" w:type="dxa"/>
              <w:bottom w:w="100" w:type="dxa"/>
              <w:right w:w="120" w:type="dxa"/>
            </w:tcMar>
            <w:vAlign w:val="center"/>
          </w:tcPr>
          <w:p w14:paraId="185A1ECE" w14:textId="77777777" w:rsidR="00D547EA" w:rsidRPr="00F14C7E" w:rsidRDefault="00D547EA" w:rsidP="00D547EA">
            <w:pPr>
              <w:spacing w:after="0"/>
              <w:rPr>
                <w:rFonts w:cs="Arial"/>
                <w:lang w:val="en-GB"/>
              </w:rPr>
            </w:pPr>
            <w:r>
              <w:rPr>
                <w:rFonts w:cs="Arial"/>
                <w:lang w:val="en-GB"/>
              </w:rPr>
              <w:t>4</w:t>
            </w:r>
          </w:p>
        </w:tc>
      </w:tr>
      <w:tr w:rsidR="00D547EA" w:rsidRPr="006C3FE0" w14:paraId="7105B9CA" w14:textId="77777777" w:rsidTr="00D547EA">
        <w:tc>
          <w:tcPr>
            <w:tcW w:w="2300" w:type="dxa"/>
            <w:tcBorders>
              <w:top w:val="single" w:sz="5" w:space="0" w:color="CCD6DF"/>
              <w:left w:val="single" w:sz="5" w:space="0" w:color="CCD6DF"/>
              <w:bottom w:val="single" w:sz="5" w:space="0" w:color="CCD6DF"/>
              <w:right w:val="single" w:sz="5" w:space="0" w:color="CCD6DF"/>
            </w:tcBorders>
            <w:shd w:val="clear" w:color="auto" w:fill="F4F7FA"/>
            <w:tcMar>
              <w:top w:w="100" w:type="dxa"/>
              <w:left w:w="120" w:type="dxa"/>
              <w:bottom w:w="100" w:type="dxa"/>
              <w:right w:w="120" w:type="dxa"/>
            </w:tcMar>
            <w:vAlign w:val="center"/>
          </w:tcPr>
          <w:p w14:paraId="7BA2B9AB" w14:textId="77777777" w:rsidR="00D547EA" w:rsidRPr="00F14C7E" w:rsidRDefault="00D547EA" w:rsidP="00D547EA">
            <w:pPr>
              <w:spacing w:after="0"/>
              <w:rPr>
                <w:b/>
                <w:bCs/>
                <w:lang w:val="en-GB"/>
              </w:rPr>
            </w:pPr>
            <w:r w:rsidRPr="00F14C7E">
              <w:rPr>
                <w:b/>
                <w:bCs/>
                <w:lang w:val="en-GB"/>
              </w:rPr>
              <w:t>Lecturer’s Name</w:t>
            </w:r>
          </w:p>
        </w:tc>
        <w:tc>
          <w:tcPr>
            <w:tcW w:w="7060" w:type="dxa"/>
            <w:tcBorders>
              <w:top w:val="single" w:sz="5" w:space="0" w:color="CCD6DF"/>
              <w:left w:val="single" w:sz="5" w:space="0" w:color="CCD6DF"/>
              <w:bottom w:val="single" w:sz="5" w:space="0" w:color="CCD6DF"/>
              <w:right w:val="single" w:sz="5" w:space="0" w:color="CCD6DF"/>
            </w:tcBorders>
            <w:tcMar>
              <w:top w:w="100" w:type="dxa"/>
              <w:left w:w="120" w:type="dxa"/>
              <w:bottom w:w="100" w:type="dxa"/>
              <w:right w:w="120" w:type="dxa"/>
            </w:tcMar>
            <w:vAlign w:val="center"/>
          </w:tcPr>
          <w:p w14:paraId="2CB9DAA5" w14:textId="77777777" w:rsidR="00D547EA" w:rsidRDefault="00D547EA" w:rsidP="00D547EA">
            <w:pPr>
              <w:spacing w:after="0"/>
              <w:rPr>
                <w:rFonts w:cs="Arial"/>
                <w:lang w:val="en-GB"/>
              </w:rPr>
            </w:pPr>
            <w:r w:rsidRPr="00D547EA">
              <w:t>Amit Naik</w:t>
            </w:r>
          </w:p>
        </w:tc>
      </w:tr>
    </w:tbl>
    <w:p w14:paraId="05922F0D" w14:textId="77777777" w:rsidR="005D00FE" w:rsidRDefault="005D00FE">
      <w:r>
        <w:br w:type="page"/>
      </w:r>
    </w:p>
    <w:sdt>
      <w:sdtPr>
        <w:rPr>
          <w:rFonts w:ascii="Times New Roman" w:hAnsi="Times New Roman"/>
          <w:b/>
          <w:bCs/>
          <w:color w:val="202124"/>
          <w:sz w:val="24"/>
        </w:rPr>
        <w:id w:val="-1249801179"/>
        <w:docPartObj>
          <w:docPartGallery w:val="Table of Contents"/>
          <w:docPartUnique/>
        </w:docPartObj>
      </w:sdtPr>
      <w:sdtEndPr>
        <w:rPr>
          <w:rFonts w:asciiTheme="minorHAnsi" w:hAnsiTheme="minorHAnsi"/>
          <w:b w:val="0"/>
          <w:bCs w:val="0"/>
          <w:caps w:val="0"/>
          <w:noProof/>
          <w:color w:val="auto"/>
          <w:spacing w:val="0"/>
          <w:sz w:val="20"/>
          <w:szCs w:val="20"/>
        </w:rPr>
      </w:sdtEndPr>
      <w:sdtContent>
        <w:p w14:paraId="4BD85B22" w14:textId="2504C5D0" w:rsidR="005D00FE" w:rsidRDefault="005D00FE">
          <w:pPr>
            <w:pStyle w:val="TOCHeading"/>
          </w:pPr>
          <w:r>
            <w:t>Table of Contents</w:t>
          </w:r>
        </w:p>
        <w:p w14:paraId="3BDECE2A" w14:textId="2E2B8855" w:rsidR="002361B4" w:rsidRDefault="005D00FE">
          <w:pPr>
            <w:pStyle w:val="TOC1"/>
            <w:tabs>
              <w:tab w:val="right" w:leader="dot" w:pos="9304"/>
            </w:tabs>
            <w:rPr>
              <w:noProof/>
              <w:kern w:val="2"/>
              <w:szCs w:val="24"/>
              <w14:ligatures w14:val="standardContextual"/>
            </w:rPr>
          </w:pPr>
          <w:r>
            <w:fldChar w:fldCharType="begin"/>
          </w:r>
          <w:r>
            <w:instrText xml:space="preserve"> TOC \o "1-3" \h \z \u </w:instrText>
          </w:r>
          <w:r>
            <w:fldChar w:fldCharType="separate"/>
          </w:r>
          <w:hyperlink w:anchor="_Toc237295819" w:history="1">
            <w:r w:rsidR="002361B4" w:rsidRPr="00412A56">
              <w:rPr>
                <w:rStyle w:val="Hyperlink"/>
                <w:noProof/>
              </w:rPr>
              <w:t>Abstract</w:t>
            </w:r>
            <w:r w:rsidR="002361B4">
              <w:rPr>
                <w:noProof/>
                <w:webHidden/>
              </w:rPr>
              <w:tab/>
            </w:r>
            <w:r w:rsidR="002361B4">
              <w:rPr>
                <w:noProof/>
                <w:webHidden/>
              </w:rPr>
              <w:fldChar w:fldCharType="begin"/>
            </w:r>
            <w:r w:rsidR="002361B4">
              <w:rPr>
                <w:noProof/>
                <w:webHidden/>
              </w:rPr>
              <w:instrText xml:space="preserve"> PAGEREF _Toc237295819 \h </w:instrText>
            </w:r>
            <w:r w:rsidR="002361B4">
              <w:rPr>
                <w:noProof/>
                <w:webHidden/>
              </w:rPr>
            </w:r>
            <w:r w:rsidR="002361B4">
              <w:rPr>
                <w:noProof/>
                <w:webHidden/>
              </w:rPr>
              <w:fldChar w:fldCharType="separate"/>
            </w:r>
            <w:r w:rsidR="002361B4">
              <w:rPr>
                <w:noProof/>
                <w:webHidden/>
              </w:rPr>
              <w:t>3</w:t>
            </w:r>
            <w:r w:rsidR="002361B4">
              <w:rPr>
                <w:noProof/>
                <w:webHidden/>
              </w:rPr>
              <w:fldChar w:fldCharType="end"/>
            </w:r>
          </w:hyperlink>
        </w:p>
        <w:p w14:paraId="6D97FFAA" w14:textId="1B6A693A" w:rsidR="002361B4" w:rsidRDefault="002361B4">
          <w:pPr>
            <w:pStyle w:val="TOC1"/>
            <w:tabs>
              <w:tab w:val="right" w:leader="dot" w:pos="9304"/>
            </w:tabs>
            <w:rPr>
              <w:noProof/>
              <w:kern w:val="2"/>
              <w:szCs w:val="24"/>
              <w14:ligatures w14:val="standardContextual"/>
            </w:rPr>
          </w:pPr>
          <w:hyperlink w:anchor="_Toc237295820" w:history="1">
            <w:r w:rsidRPr="00412A56">
              <w:rPr>
                <w:rStyle w:val="Hyperlink"/>
                <w:noProof/>
              </w:rPr>
              <w:t>1. Introduction</w:t>
            </w:r>
            <w:r>
              <w:rPr>
                <w:noProof/>
                <w:webHidden/>
              </w:rPr>
              <w:tab/>
            </w:r>
            <w:r>
              <w:rPr>
                <w:noProof/>
                <w:webHidden/>
              </w:rPr>
              <w:fldChar w:fldCharType="begin"/>
            </w:r>
            <w:r>
              <w:rPr>
                <w:noProof/>
                <w:webHidden/>
              </w:rPr>
              <w:instrText xml:space="preserve"> PAGEREF _Toc237295820 \h </w:instrText>
            </w:r>
            <w:r>
              <w:rPr>
                <w:noProof/>
                <w:webHidden/>
              </w:rPr>
            </w:r>
            <w:r>
              <w:rPr>
                <w:noProof/>
                <w:webHidden/>
              </w:rPr>
              <w:fldChar w:fldCharType="separate"/>
            </w:r>
            <w:r>
              <w:rPr>
                <w:noProof/>
                <w:webHidden/>
              </w:rPr>
              <w:t>3</w:t>
            </w:r>
            <w:r>
              <w:rPr>
                <w:noProof/>
                <w:webHidden/>
              </w:rPr>
              <w:fldChar w:fldCharType="end"/>
            </w:r>
          </w:hyperlink>
        </w:p>
        <w:p w14:paraId="7B3817DD" w14:textId="0B52173A" w:rsidR="002361B4" w:rsidRDefault="002361B4">
          <w:pPr>
            <w:pStyle w:val="TOC1"/>
            <w:tabs>
              <w:tab w:val="right" w:leader="dot" w:pos="9304"/>
            </w:tabs>
            <w:rPr>
              <w:noProof/>
              <w:kern w:val="2"/>
              <w:szCs w:val="24"/>
              <w14:ligatures w14:val="standardContextual"/>
            </w:rPr>
          </w:pPr>
          <w:hyperlink w:anchor="_Toc237295821" w:history="1">
            <w:r w:rsidRPr="00412A56">
              <w:rPr>
                <w:rStyle w:val="Hyperlink"/>
                <w:noProof/>
              </w:rPr>
              <w:t>2. Threat, Asset and Business-Risk Assessment</w:t>
            </w:r>
            <w:r>
              <w:rPr>
                <w:noProof/>
                <w:webHidden/>
              </w:rPr>
              <w:tab/>
            </w:r>
            <w:r>
              <w:rPr>
                <w:noProof/>
                <w:webHidden/>
              </w:rPr>
              <w:fldChar w:fldCharType="begin"/>
            </w:r>
            <w:r>
              <w:rPr>
                <w:noProof/>
                <w:webHidden/>
              </w:rPr>
              <w:instrText xml:space="preserve"> PAGEREF _Toc237295821 \h </w:instrText>
            </w:r>
            <w:r>
              <w:rPr>
                <w:noProof/>
                <w:webHidden/>
              </w:rPr>
            </w:r>
            <w:r>
              <w:rPr>
                <w:noProof/>
                <w:webHidden/>
              </w:rPr>
              <w:fldChar w:fldCharType="separate"/>
            </w:r>
            <w:r>
              <w:rPr>
                <w:noProof/>
                <w:webHidden/>
              </w:rPr>
              <w:t>3</w:t>
            </w:r>
            <w:r>
              <w:rPr>
                <w:noProof/>
                <w:webHidden/>
              </w:rPr>
              <w:fldChar w:fldCharType="end"/>
            </w:r>
          </w:hyperlink>
        </w:p>
        <w:p w14:paraId="31F863E9" w14:textId="448A826A" w:rsidR="002361B4" w:rsidRDefault="002361B4">
          <w:pPr>
            <w:pStyle w:val="TOC2"/>
            <w:tabs>
              <w:tab w:val="right" w:leader="dot" w:pos="9304"/>
            </w:tabs>
            <w:rPr>
              <w:noProof/>
              <w:kern w:val="2"/>
              <w:szCs w:val="24"/>
              <w14:ligatures w14:val="standardContextual"/>
            </w:rPr>
          </w:pPr>
          <w:hyperlink w:anchor="_Toc237295822" w:history="1">
            <w:r w:rsidRPr="00412A56">
              <w:rPr>
                <w:rStyle w:val="Hyperlink"/>
                <w:noProof/>
              </w:rPr>
              <w:t>2.1 Critical assets and trust relationships</w:t>
            </w:r>
            <w:r>
              <w:rPr>
                <w:noProof/>
                <w:webHidden/>
              </w:rPr>
              <w:tab/>
            </w:r>
            <w:r>
              <w:rPr>
                <w:noProof/>
                <w:webHidden/>
              </w:rPr>
              <w:fldChar w:fldCharType="begin"/>
            </w:r>
            <w:r>
              <w:rPr>
                <w:noProof/>
                <w:webHidden/>
              </w:rPr>
              <w:instrText xml:space="preserve"> PAGEREF _Toc237295822 \h </w:instrText>
            </w:r>
            <w:r>
              <w:rPr>
                <w:noProof/>
                <w:webHidden/>
              </w:rPr>
            </w:r>
            <w:r>
              <w:rPr>
                <w:noProof/>
                <w:webHidden/>
              </w:rPr>
              <w:fldChar w:fldCharType="separate"/>
            </w:r>
            <w:r>
              <w:rPr>
                <w:noProof/>
                <w:webHidden/>
              </w:rPr>
              <w:t>3</w:t>
            </w:r>
            <w:r>
              <w:rPr>
                <w:noProof/>
                <w:webHidden/>
              </w:rPr>
              <w:fldChar w:fldCharType="end"/>
            </w:r>
          </w:hyperlink>
        </w:p>
        <w:p w14:paraId="211DA768" w14:textId="47499BBB" w:rsidR="002361B4" w:rsidRDefault="002361B4">
          <w:pPr>
            <w:pStyle w:val="TOC2"/>
            <w:tabs>
              <w:tab w:val="right" w:leader="dot" w:pos="9304"/>
            </w:tabs>
            <w:rPr>
              <w:noProof/>
              <w:kern w:val="2"/>
              <w:szCs w:val="24"/>
              <w14:ligatures w14:val="standardContextual"/>
            </w:rPr>
          </w:pPr>
          <w:hyperlink w:anchor="_Toc237295823" w:history="1">
            <w:r w:rsidRPr="00412A56">
              <w:rPr>
                <w:rStyle w:val="Hyperlink"/>
                <w:noProof/>
              </w:rPr>
              <w:t>2.2 Internal and external threats and connected attack paths</w:t>
            </w:r>
            <w:r>
              <w:rPr>
                <w:noProof/>
                <w:webHidden/>
              </w:rPr>
              <w:tab/>
            </w:r>
            <w:r>
              <w:rPr>
                <w:noProof/>
                <w:webHidden/>
              </w:rPr>
              <w:fldChar w:fldCharType="begin"/>
            </w:r>
            <w:r>
              <w:rPr>
                <w:noProof/>
                <w:webHidden/>
              </w:rPr>
              <w:instrText xml:space="preserve"> PAGEREF _Toc237295823 \h </w:instrText>
            </w:r>
            <w:r>
              <w:rPr>
                <w:noProof/>
                <w:webHidden/>
              </w:rPr>
            </w:r>
            <w:r>
              <w:rPr>
                <w:noProof/>
                <w:webHidden/>
              </w:rPr>
              <w:fldChar w:fldCharType="separate"/>
            </w:r>
            <w:r>
              <w:rPr>
                <w:noProof/>
                <w:webHidden/>
              </w:rPr>
              <w:t>3</w:t>
            </w:r>
            <w:r>
              <w:rPr>
                <w:noProof/>
                <w:webHidden/>
              </w:rPr>
              <w:fldChar w:fldCharType="end"/>
            </w:r>
          </w:hyperlink>
        </w:p>
        <w:p w14:paraId="09ABF862" w14:textId="7F8AF145" w:rsidR="002361B4" w:rsidRDefault="002361B4">
          <w:pPr>
            <w:pStyle w:val="TOC1"/>
            <w:tabs>
              <w:tab w:val="right" w:leader="dot" w:pos="9304"/>
            </w:tabs>
            <w:rPr>
              <w:noProof/>
              <w:kern w:val="2"/>
              <w:szCs w:val="24"/>
              <w14:ligatures w14:val="standardContextual"/>
            </w:rPr>
          </w:pPr>
          <w:hyperlink w:anchor="_Toc237295824" w:history="1">
            <w:r w:rsidRPr="00412A56">
              <w:rPr>
                <w:rStyle w:val="Hyperlink"/>
                <w:noProof/>
              </w:rPr>
              <w:t>3. Governance, Framework and Policy</w:t>
            </w:r>
            <w:r>
              <w:rPr>
                <w:noProof/>
                <w:webHidden/>
              </w:rPr>
              <w:tab/>
            </w:r>
            <w:r>
              <w:rPr>
                <w:noProof/>
                <w:webHidden/>
              </w:rPr>
              <w:fldChar w:fldCharType="begin"/>
            </w:r>
            <w:r>
              <w:rPr>
                <w:noProof/>
                <w:webHidden/>
              </w:rPr>
              <w:instrText xml:space="preserve"> PAGEREF _Toc237295824 \h </w:instrText>
            </w:r>
            <w:r>
              <w:rPr>
                <w:noProof/>
                <w:webHidden/>
              </w:rPr>
            </w:r>
            <w:r>
              <w:rPr>
                <w:noProof/>
                <w:webHidden/>
              </w:rPr>
              <w:fldChar w:fldCharType="separate"/>
            </w:r>
            <w:r>
              <w:rPr>
                <w:noProof/>
                <w:webHidden/>
              </w:rPr>
              <w:t>4</w:t>
            </w:r>
            <w:r>
              <w:rPr>
                <w:noProof/>
                <w:webHidden/>
              </w:rPr>
              <w:fldChar w:fldCharType="end"/>
            </w:r>
          </w:hyperlink>
        </w:p>
        <w:p w14:paraId="2564728A" w14:textId="70D07930" w:rsidR="002361B4" w:rsidRDefault="002361B4">
          <w:pPr>
            <w:pStyle w:val="TOC1"/>
            <w:tabs>
              <w:tab w:val="right" w:leader="dot" w:pos="9304"/>
            </w:tabs>
            <w:rPr>
              <w:noProof/>
              <w:kern w:val="2"/>
              <w:szCs w:val="24"/>
              <w14:ligatures w14:val="standardContextual"/>
            </w:rPr>
          </w:pPr>
          <w:hyperlink w:anchor="_Toc237295825" w:history="1">
            <w:r w:rsidRPr="00412A56">
              <w:rPr>
                <w:rStyle w:val="Hyperlink"/>
                <w:noProof/>
              </w:rPr>
              <w:t>4. Proposed Security Architecture and Preventive Controls</w:t>
            </w:r>
            <w:r>
              <w:rPr>
                <w:noProof/>
                <w:webHidden/>
              </w:rPr>
              <w:tab/>
            </w:r>
            <w:r>
              <w:rPr>
                <w:noProof/>
                <w:webHidden/>
              </w:rPr>
              <w:fldChar w:fldCharType="begin"/>
            </w:r>
            <w:r>
              <w:rPr>
                <w:noProof/>
                <w:webHidden/>
              </w:rPr>
              <w:instrText xml:space="preserve"> PAGEREF _Toc237295825 \h </w:instrText>
            </w:r>
            <w:r>
              <w:rPr>
                <w:noProof/>
                <w:webHidden/>
              </w:rPr>
            </w:r>
            <w:r>
              <w:rPr>
                <w:noProof/>
                <w:webHidden/>
              </w:rPr>
              <w:fldChar w:fldCharType="separate"/>
            </w:r>
            <w:r>
              <w:rPr>
                <w:noProof/>
                <w:webHidden/>
              </w:rPr>
              <w:t>5</w:t>
            </w:r>
            <w:r>
              <w:rPr>
                <w:noProof/>
                <w:webHidden/>
              </w:rPr>
              <w:fldChar w:fldCharType="end"/>
            </w:r>
          </w:hyperlink>
        </w:p>
        <w:p w14:paraId="198ACEAF" w14:textId="35B3C8AB" w:rsidR="002361B4" w:rsidRDefault="002361B4">
          <w:pPr>
            <w:pStyle w:val="TOC2"/>
            <w:tabs>
              <w:tab w:val="right" w:leader="dot" w:pos="9304"/>
            </w:tabs>
            <w:rPr>
              <w:noProof/>
              <w:kern w:val="2"/>
              <w:szCs w:val="24"/>
              <w14:ligatures w14:val="standardContextual"/>
            </w:rPr>
          </w:pPr>
          <w:hyperlink w:anchor="_Toc237295826" w:history="1">
            <w:r w:rsidRPr="00412A56">
              <w:rPr>
                <w:rStyle w:val="Hyperlink"/>
                <w:noProof/>
              </w:rPr>
              <w:t>4.1 Identity, access and endpoint control</w:t>
            </w:r>
            <w:r>
              <w:rPr>
                <w:noProof/>
                <w:webHidden/>
              </w:rPr>
              <w:tab/>
            </w:r>
            <w:r>
              <w:rPr>
                <w:noProof/>
                <w:webHidden/>
              </w:rPr>
              <w:fldChar w:fldCharType="begin"/>
            </w:r>
            <w:r>
              <w:rPr>
                <w:noProof/>
                <w:webHidden/>
              </w:rPr>
              <w:instrText xml:space="preserve"> PAGEREF _Toc237295826 \h </w:instrText>
            </w:r>
            <w:r>
              <w:rPr>
                <w:noProof/>
                <w:webHidden/>
              </w:rPr>
            </w:r>
            <w:r>
              <w:rPr>
                <w:noProof/>
                <w:webHidden/>
              </w:rPr>
              <w:fldChar w:fldCharType="separate"/>
            </w:r>
            <w:r>
              <w:rPr>
                <w:noProof/>
                <w:webHidden/>
              </w:rPr>
              <w:t>5</w:t>
            </w:r>
            <w:r>
              <w:rPr>
                <w:noProof/>
                <w:webHidden/>
              </w:rPr>
              <w:fldChar w:fldCharType="end"/>
            </w:r>
          </w:hyperlink>
        </w:p>
        <w:p w14:paraId="7D27CC0A" w14:textId="47B2F16A" w:rsidR="002361B4" w:rsidRDefault="002361B4">
          <w:pPr>
            <w:pStyle w:val="TOC2"/>
            <w:tabs>
              <w:tab w:val="right" w:leader="dot" w:pos="9304"/>
            </w:tabs>
            <w:rPr>
              <w:noProof/>
              <w:kern w:val="2"/>
              <w:szCs w:val="24"/>
              <w14:ligatures w14:val="standardContextual"/>
            </w:rPr>
          </w:pPr>
          <w:hyperlink w:anchor="_Toc237295827" w:history="1">
            <w:r w:rsidRPr="00412A56">
              <w:rPr>
                <w:rStyle w:val="Hyperlink"/>
                <w:noProof/>
              </w:rPr>
              <w:t>4.2 Segmentation, vulnerability management and data governance</w:t>
            </w:r>
            <w:r>
              <w:rPr>
                <w:noProof/>
                <w:webHidden/>
              </w:rPr>
              <w:tab/>
            </w:r>
            <w:r>
              <w:rPr>
                <w:noProof/>
                <w:webHidden/>
              </w:rPr>
              <w:fldChar w:fldCharType="begin"/>
            </w:r>
            <w:r>
              <w:rPr>
                <w:noProof/>
                <w:webHidden/>
              </w:rPr>
              <w:instrText xml:space="preserve"> PAGEREF _Toc237295827 \h </w:instrText>
            </w:r>
            <w:r>
              <w:rPr>
                <w:noProof/>
                <w:webHidden/>
              </w:rPr>
            </w:r>
            <w:r>
              <w:rPr>
                <w:noProof/>
                <w:webHidden/>
              </w:rPr>
              <w:fldChar w:fldCharType="separate"/>
            </w:r>
            <w:r>
              <w:rPr>
                <w:noProof/>
                <w:webHidden/>
              </w:rPr>
              <w:t>5</w:t>
            </w:r>
            <w:r>
              <w:rPr>
                <w:noProof/>
                <w:webHidden/>
              </w:rPr>
              <w:fldChar w:fldCharType="end"/>
            </w:r>
          </w:hyperlink>
        </w:p>
        <w:p w14:paraId="7ACB8BDF" w14:textId="6F0F8ACE" w:rsidR="002361B4" w:rsidRDefault="002361B4">
          <w:pPr>
            <w:pStyle w:val="TOC1"/>
            <w:tabs>
              <w:tab w:val="right" w:leader="dot" w:pos="9304"/>
            </w:tabs>
            <w:rPr>
              <w:noProof/>
              <w:kern w:val="2"/>
              <w:szCs w:val="24"/>
              <w14:ligatures w14:val="standardContextual"/>
            </w:rPr>
          </w:pPr>
          <w:hyperlink w:anchor="_Toc237295828" w:history="1">
            <w:r w:rsidRPr="00412A56">
              <w:rPr>
                <w:rStyle w:val="Hyperlink"/>
                <w:noProof/>
              </w:rPr>
              <w:t>5. Detection, Incident Response and Business Continuity</w:t>
            </w:r>
            <w:r>
              <w:rPr>
                <w:noProof/>
                <w:webHidden/>
              </w:rPr>
              <w:tab/>
            </w:r>
            <w:r>
              <w:rPr>
                <w:noProof/>
                <w:webHidden/>
              </w:rPr>
              <w:fldChar w:fldCharType="begin"/>
            </w:r>
            <w:r>
              <w:rPr>
                <w:noProof/>
                <w:webHidden/>
              </w:rPr>
              <w:instrText xml:space="preserve"> PAGEREF _Toc237295828 \h </w:instrText>
            </w:r>
            <w:r>
              <w:rPr>
                <w:noProof/>
                <w:webHidden/>
              </w:rPr>
            </w:r>
            <w:r>
              <w:rPr>
                <w:noProof/>
                <w:webHidden/>
              </w:rPr>
              <w:fldChar w:fldCharType="separate"/>
            </w:r>
            <w:r>
              <w:rPr>
                <w:noProof/>
                <w:webHidden/>
              </w:rPr>
              <w:t>6</w:t>
            </w:r>
            <w:r>
              <w:rPr>
                <w:noProof/>
                <w:webHidden/>
              </w:rPr>
              <w:fldChar w:fldCharType="end"/>
            </w:r>
          </w:hyperlink>
        </w:p>
        <w:p w14:paraId="6DC1EE1C" w14:textId="1A5C85F0" w:rsidR="002361B4" w:rsidRDefault="002361B4">
          <w:pPr>
            <w:pStyle w:val="TOC2"/>
            <w:tabs>
              <w:tab w:val="right" w:leader="dot" w:pos="9304"/>
            </w:tabs>
            <w:rPr>
              <w:noProof/>
              <w:kern w:val="2"/>
              <w:szCs w:val="24"/>
              <w14:ligatures w14:val="standardContextual"/>
            </w:rPr>
          </w:pPr>
          <w:hyperlink w:anchor="_Toc237295829" w:history="1">
            <w:r w:rsidRPr="00412A56">
              <w:rPr>
                <w:rStyle w:val="Hyperlink"/>
                <w:noProof/>
              </w:rPr>
              <w:t>5.1 Testing and assurance</w:t>
            </w:r>
            <w:r>
              <w:rPr>
                <w:noProof/>
                <w:webHidden/>
              </w:rPr>
              <w:tab/>
            </w:r>
            <w:r>
              <w:rPr>
                <w:noProof/>
                <w:webHidden/>
              </w:rPr>
              <w:fldChar w:fldCharType="begin"/>
            </w:r>
            <w:r>
              <w:rPr>
                <w:noProof/>
                <w:webHidden/>
              </w:rPr>
              <w:instrText xml:space="preserve"> PAGEREF _Toc237295829 \h </w:instrText>
            </w:r>
            <w:r>
              <w:rPr>
                <w:noProof/>
                <w:webHidden/>
              </w:rPr>
            </w:r>
            <w:r>
              <w:rPr>
                <w:noProof/>
                <w:webHidden/>
              </w:rPr>
              <w:fldChar w:fldCharType="separate"/>
            </w:r>
            <w:r>
              <w:rPr>
                <w:noProof/>
                <w:webHidden/>
              </w:rPr>
              <w:t>7</w:t>
            </w:r>
            <w:r>
              <w:rPr>
                <w:noProof/>
                <w:webHidden/>
              </w:rPr>
              <w:fldChar w:fldCharType="end"/>
            </w:r>
          </w:hyperlink>
        </w:p>
        <w:p w14:paraId="43D88B01" w14:textId="73667D96" w:rsidR="002361B4" w:rsidRDefault="002361B4">
          <w:pPr>
            <w:pStyle w:val="TOC1"/>
            <w:tabs>
              <w:tab w:val="right" w:leader="dot" w:pos="9304"/>
            </w:tabs>
            <w:rPr>
              <w:noProof/>
              <w:kern w:val="2"/>
              <w:szCs w:val="24"/>
              <w14:ligatures w14:val="standardContextual"/>
            </w:rPr>
          </w:pPr>
          <w:hyperlink w:anchor="_Toc237295830" w:history="1">
            <w:r w:rsidRPr="00412A56">
              <w:rPr>
                <w:rStyle w:val="Hyperlink"/>
                <w:noProof/>
              </w:rPr>
              <w:t>6. People, Suppliers and Physical Security</w:t>
            </w:r>
            <w:r>
              <w:rPr>
                <w:noProof/>
                <w:webHidden/>
              </w:rPr>
              <w:tab/>
            </w:r>
            <w:r>
              <w:rPr>
                <w:noProof/>
                <w:webHidden/>
              </w:rPr>
              <w:fldChar w:fldCharType="begin"/>
            </w:r>
            <w:r>
              <w:rPr>
                <w:noProof/>
                <w:webHidden/>
              </w:rPr>
              <w:instrText xml:space="preserve"> PAGEREF _Toc237295830 \h </w:instrText>
            </w:r>
            <w:r>
              <w:rPr>
                <w:noProof/>
                <w:webHidden/>
              </w:rPr>
            </w:r>
            <w:r>
              <w:rPr>
                <w:noProof/>
                <w:webHidden/>
              </w:rPr>
              <w:fldChar w:fldCharType="separate"/>
            </w:r>
            <w:r>
              <w:rPr>
                <w:noProof/>
                <w:webHidden/>
              </w:rPr>
              <w:t>7</w:t>
            </w:r>
            <w:r>
              <w:rPr>
                <w:noProof/>
                <w:webHidden/>
              </w:rPr>
              <w:fldChar w:fldCharType="end"/>
            </w:r>
          </w:hyperlink>
        </w:p>
        <w:p w14:paraId="65596F51" w14:textId="4418D323" w:rsidR="002361B4" w:rsidRDefault="002361B4">
          <w:pPr>
            <w:pStyle w:val="TOC2"/>
            <w:tabs>
              <w:tab w:val="right" w:leader="dot" w:pos="9304"/>
            </w:tabs>
            <w:rPr>
              <w:noProof/>
              <w:kern w:val="2"/>
              <w:szCs w:val="24"/>
              <w14:ligatures w14:val="standardContextual"/>
            </w:rPr>
          </w:pPr>
          <w:hyperlink w:anchor="_Toc237295831" w:history="1">
            <w:r w:rsidRPr="00412A56">
              <w:rPr>
                <w:rStyle w:val="Hyperlink"/>
                <w:noProof/>
              </w:rPr>
              <w:t>6.1 Training and awareness programme</w:t>
            </w:r>
            <w:r>
              <w:rPr>
                <w:noProof/>
                <w:webHidden/>
              </w:rPr>
              <w:tab/>
            </w:r>
            <w:r>
              <w:rPr>
                <w:noProof/>
                <w:webHidden/>
              </w:rPr>
              <w:fldChar w:fldCharType="begin"/>
            </w:r>
            <w:r>
              <w:rPr>
                <w:noProof/>
                <w:webHidden/>
              </w:rPr>
              <w:instrText xml:space="preserve"> PAGEREF _Toc237295831 \h </w:instrText>
            </w:r>
            <w:r>
              <w:rPr>
                <w:noProof/>
                <w:webHidden/>
              </w:rPr>
            </w:r>
            <w:r>
              <w:rPr>
                <w:noProof/>
                <w:webHidden/>
              </w:rPr>
              <w:fldChar w:fldCharType="separate"/>
            </w:r>
            <w:r>
              <w:rPr>
                <w:noProof/>
                <w:webHidden/>
              </w:rPr>
              <w:t>7</w:t>
            </w:r>
            <w:r>
              <w:rPr>
                <w:noProof/>
                <w:webHidden/>
              </w:rPr>
              <w:fldChar w:fldCharType="end"/>
            </w:r>
          </w:hyperlink>
        </w:p>
        <w:p w14:paraId="33105AFB" w14:textId="59781186" w:rsidR="002361B4" w:rsidRDefault="002361B4">
          <w:pPr>
            <w:pStyle w:val="TOC2"/>
            <w:tabs>
              <w:tab w:val="right" w:leader="dot" w:pos="9304"/>
            </w:tabs>
            <w:rPr>
              <w:noProof/>
              <w:kern w:val="2"/>
              <w:szCs w:val="24"/>
              <w14:ligatures w14:val="standardContextual"/>
            </w:rPr>
          </w:pPr>
          <w:hyperlink w:anchor="_Toc237295832" w:history="1">
            <w:r w:rsidRPr="00412A56">
              <w:rPr>
                <w:rStyle w:val="Hyperlink"/>
                <w:noProof/>
              </w:rPr>
              <w:t>6.2 Supplier and physical security</w:t>
            </w:r>
            <w:r>
              <w:rPr>
                <w:noProof/>
                <w:webHidden/>
              </w:rPr>
              <w:tab/>
            </w:r>
            <w:r>
              <w:rPr>
                <w:noProof/>
                <w:webHidden/>
              </w:rPr>
              <w:fldChar w:fldCharType="begin"/>
            </w:r>
            <w:r>
              <w:rPr>
                <w:noProof/>
                <w:webHidden/>
              </w:rPr>
              <w:instrText xml:space="preserve"> PAGEREF _Toc237295832 \h </w:instrText>
            </w:r>
            <w:r>
              <w:rPr>
                <w:noProof/>
                <w:webHidden/>
              </w:rPr>
            </w:r>
            <w:r>
              <w:rPr>
                <w:noProof/>
                <w:webHidden/>
              </w:rPr>
              <w:fldChar w:fldCharType="separate"/>
            </w:r>
            <w:r>
              <w:rPr>
                <w:noProof/>
                <w:webHidden/>
              </w:rPr>
              <w:t>8</w:t>
            </w:r>
            <w:r>
              <w:rPr>
                <w:noProof/>
                <w:webHidden/>
              </w:rPr>
              <w:fldChar w:fldCharType="end"/>
            </w:r>
          </w:hyperlink>
        </w:p>
        <w:p w14:paraId="157F1FE2" w14:textId="6CA7EA33" w:rsidR="002361B4" w:rsidRDefault="002361B4">
          <w:pPr>
            <w:pStyle w:val="TOC1"/>
            <w:tabs>
              <w:tab w:val="right" w:leader="dot" w:pos="9304"/>
            </w:tabs>
            <w:rPr>
              <w:noProof/>
              <w:kern w:val="2"/>
              <w:szCs w:val="24"/>
              <w14:ligatures w14:val="standardContextual"/>
            </w:rPr>
          </w:pPr>
          <w:hyperlink w:anchor="_Toc237295833" w:history="1">
            <w:r w:rsidRPr="00412A56">
              <w:rPr>
                <w:rStyle w:val="Hyperlink"/>
                <w:noProof/>
              </w:rPr>
              <w:t>7. Implementation, Practicality and Board Oversight</w:t>
            </w:r>
            <w:r>
              <w:rPr>
                <w:noProof/>
                <w:webHidden/>
              </w:rPr>
              <w:tab/>
            </w:r>
            <w:r>
              <w:rPr>
                <w:noProof/>
                <w:webHidden/>
              </w:rPr>
              <w:fldChar w:fldCharType="begin"/>
            </w:r>
            <w:r>
              <w:rPr>
                <w:noProof/>
                <w:webHidden/>
              </w:rPr>
              <w:instrText xml:space="preserve"> PAGEREF _Toc237295833 \h </w:instrText>
            </w:r>
            <w:r>
              <w:rPr>
                <w:noProof/>
                <w:webHidden/>
              </w:rPr>
            </w:r>
            <w:r>
              <w:rPr>
                <w:noProof/>
                <w:webHidden/>
              </w:rPr>
              <w:fldChar w:fldCharType="separate"/>
            </w:r>
            <w:r>
              <w:rPr>
                <w:noProof/>
                <w:webHidden/>
              </w:rPr>
              <w:t>8</w:t>
            </w:r>
            <w:r>
              <w:rPr>
                <w:noProof/>
                <w:webHidden/>
              </w:rPr>
              <w:fldChar w:fldCharType="end"/>
            </w:r>
          </w:hyperlink>
        </w:p>
        <w:p w14:paraId="48F6ECA1" w14:textId="5FB024A5" w:rsidR="002361B4" w:rsidRDefault="002361B4">
          <w:pPr>
            <w:pStyle w:val="TOC1"/>
            <w:tabs>
              <w:tab w:val="right" w:leader="dot" w:pos="9304"/>
            </w:tabs>
            <w:rPr>
              <w:noProof/>
              <w:kern w:val="2"/>
              <w:szCs w:val="24"/>
              <w14:ligatures w14:val="standardContextual"/>
            </w:rPr>
          </w:pPr>
          <w:hyperlink w:anchor="_Toc237295834" w:history="1">
            <w:r w:rsidRPr="00412A56">
              <w:rPr>
                <w:rStyle w:val="Hyperlink"/>
                <w:noProof/>
              </w:rPr>
              <w:t>8. Conclusion</w:t>
            </w:r>
            <w:r>
              <w:rPr>
                <w:noProof/>
                <w:webHidden/>
              </w:rPr>
              <w:tab/>
            </w:r>
            <w:r>
              <w:rPr>
                <w:noProof/>
                <w:webHidden/>
              </w:rPr>
              <w:fldChar w:fldCharType="begin"/>
            </w:r>
            <w:r>
              <w:rPr>
                <w:noProof/>
                <w:webHidden/>
              </w:rPr>
              <w:instrText xml:space="preserve"> PAGEREF _Toc237295834 \h </w:instrText>
            </w:r>
            <w:r>
              <w:rPr>
                <w:noProof/>
                <w:webHidden/>
              </w:rPr>
            </w:r>
            <w:r>
              <w:rPr>
                <w:noProof/>
                <w:webHidden/>
              </w:rPr>
              <w:fldChar w:fldCharType="separate"/>
            </w:r>
            <w:r>
              <w:rPr>
                <w:noProof/>
                <w:webHidden/>
              </w:rPr>
              <w:t>9</w:t>
            </w:r>
            <w:r>
              <w:rPr>
                <w:noProof/>
                <w:webHidden/>
              </w:rPr>
              <w:fldChar w:fldCharType="end"/>
            </w:r>
          </w:hyperlink>
        </w:p>
        <w:p w14:paraId="43E0B9ED" w14:textId="154C8C3B" w:rsidR="002361B4" w:rsidRDefault="002361B4">
          <w:pPr>
            <w:pStyle w:val="TOC1"/>
            <w:tabs>
              <w:tab w:val="right" w:leader="dot" w:pos="9304"/>
            </w:tabs>
            <w:rPr>
              <w:noProof/>
              <w:kern w:val="2"/>
              <w:szCs w:val="24"/>
              <w14:ligatures w14:val="standardContextual"/>
            </w:rPr>
          </w:pPr>
          <w:hyperlink w:anchor="_Toc237295835" w:history="1">
            <w:r w:rsidRPr="00412A56">
              <w:rPr>
                <w:rStyle w:val="Hyperlink"/>
                <w:noProof/>
              </w:rPr>
              <w:t>References</w:t>
            </w:r>
            <w:r>
              <w:rPr>
                <w:noProof/>
                <w:webHidden/>
              </w:rPr>
              <w:tab/>
            </w:r>
            <w:r>
              <w:rPr>
                <w:noProof/>
                <w:webHidden/>
              </w:rPr>
              <w:fldChar w:fldCharType="begin"/>
            </w:r>
            <w:r>
              <w:rPr>
                <w:noProof/>
                <w:webHidden/>
              </w:rPr>
              <w:instrText xml:space="preserve"> PAGEREF _Toc237295835 \h </w:instrText>
            </w:r>
            <w:r>
              <w:rPr>
                <w:noProof/>
                <w:webHidden/>
              </w:rPr>
            </w:r>
            <w:r>
              <w:rPr>
                <w:noProof/>
                <w:webHidden/>
              </w:rPr>
              <w:fldChar w:fldCharType="separate"/>
            </w:r>
            <w:r>
              <w:rPr>
                <w:noProof/>
                <w:webHidden/>
              </w:rPr>
              <w:t>10</w:t>
            </w:r>
            <w:r>
              <w:rPr>
                <w:noProof/>
                <w:webHidden/>
              </w:rPr>
              <w:fldChar w:fldCharType="end"/>
            </w:r>
          </w:hyperlink>
        </w:p>
        <w:p w14:paraId="1F497FFB" w14:textId="58F9DC04" w:rsidR="002361B4" w:rsidRDefault="002361B4">
          <w:pPr>
            <w:pStyle w:val="TOC1"/>
            <w:tabs>
              <w:tab w:val="right" w:leader="dot" w:pos="9304"/>
            </w:tabs>
            <w:rPr>
              <w:noProof/>
              <w:kern w:val="2"/>
              <w:szCs w:val="24"/>
              <w14:ligatures w14:val="standardContextual"/>
            </w:rPr>
          </w:pPr>
          <w:hyperlink w:anchor="_Toc237295836" w:history="1">
            <w:r w:rsidRPr="00412A56">
              <w:rPr>
                <w:rStyle w:val="Hyperlink"/>
                <w:noProof/>
              </w:rPr>
              <w:t>Appendix A - Board Presentation</w:t>
            </w:r>
            <w:r>
              <w:rPr>
                <w:noProof/>
                <w:webHidden/>
              </w:rPr>
              <w:tab/>
            </w:r>
            <w:r>
              <w:rPr>
                <w:noProof/>
                <w:webHidden/>
              </w:rPr>
              <w:fldChar w:fldCharType="begin"/>
            </w:r>
            <w:r>
              <w:rPr>
                <w:noProof/>
                <w:webHidden/>
              </w:rPr>
              <w:instrText xml:space="preserve"> PAGEREF _Toc237295836 \h </w:instrText>
            </w:r>
            <w:r>
              <w:rPr>
                <w:noProof/>
                <w:webHidden/>
              </w:rPr>
            </w:r>
            <w:r>
              <w:rPr>
                <w:noProof/>
                <w:webHidden/>
              </w:rPr>
              <w:fldChar w:fldCharType="separate"/>
            </w:r>
            <w:r>
              <w:rPr>
                <w:noProof/>
                <w:webHidden/>
              </w:rPr>
              <w:t>12</w:t>
            </w:r>
            <w:r>
              <w:rPr>
                <w:noProof/>
                <w:webHidden/>
              </w:rPr>
              <w:fldChar w:fldCharType="end"/>
            </w:r>
          </w:hyperlink>
        </w:p>
        <w:p w14:paraId="61BF9394" w14:textId="68B46EBD" w:rsidR="002361B4" w:rsidRDefault="002361B4">
          <w:pPr>
            <w:pStyle w:val="TOC2"/>
            <w:tabs>
              <w:tab w:val="right" w:leader="dot" w:pos="9304"/>
            </w:tabs>
            <w:rPr>
              <w:noProof/>
              <w:kern w:val="2"/>
              <w:szCs w:val="24"/>
              <w14:ligatures w14:val="standardContextual"/>
            </w:rPr>
          </w:pPr>
          <w:hyperlink w:anchor="_Toc237295837" w:history="1">
            <w:r w:rsidRPr="00412A56">
              <w:rPr>
                <w:rStyle w:val="Hyperlink"/>
                <w:noProof/>
              </w:rPr>
              <w:t>Slide 1. Cybersecurity and Data-Governance Strategy</w:t>
            </w:r>
            <w:r>
              <w:rPr>
                <w:noProof/>
                <w:webHidden/>
              </w:rPr>
              <w:tab/>
            </w:r>
            <w:r>
              <w:rPr>
                <w:noProof/>
                <w:webHidden/>
              </w:rPr>
              <w:fldChar w:fldCharType="begin"/>
            </w:r>
            <w:r>
              <w:rPr>
                <w:noProof/>
                <w:webHidden/>
              </w:rPr>
              <w:instrText xml:space="preserve"> PAGEREF _Toc237295837 \h </w:instrText>
            </w:r>
            <w:r>
              <w:rPr>
                <w:noProof/>
                <w:webHidden/>
              </w:rPr>
            </w:r>
            <w:r>
              <w:rPr>
                <w:noProof/>
                <w:webHidden/>
              </w:rPr>
              <w:fldChar w:fldCharType="separate"/>
            </w:r>
            <w:r>
              <w:rPr>
                <w:noProof/>
                <w:webHidden/>
              </w:rPr>
              <w:t>12</w:t>
            </w:r>
            <w:r>
              <w:rPr>
                <w:noProof/>
                <w:webHidden/>
              </w:rPr>
              <w:fldChar w:fldCharType="end"/>
            </w:r>
          </w:hyperlink>
        </w:p>
        <w:p w14:paraId="0D8D74FA" w14:textId="16E9E738" w:rsidR="002361B4" w:rsidRDefault="002361B4">
          <w:pPr>
            <w:pStyle w:val="TOC2"/>
            <w:tabs>
              <w:tab w:val="right" w:leader="dot" w:pos="9304"/>
            </w:tabs>
            <w:rPr>
              <w:noProof/>
              <w:kern w:val="2"/>
              <w:szCs w:val="24"/>
              <w14:ligatures w14:val="standardContextual"/>
            </w:rPr>
          </w:pPr>
          <w:hyperlink w:anchor="_Toc237295838" w:history="1">
            <w:r w:rsidRPr="00412A56">
              <w:rPr>
                <w:rStyle w:val="Hyperlink"/>
                <w:noProof/>
              </w:rPr>
              <w:t>Slide 2. Recent events form one connected attack path</w:t>
            </w:r>
            <w:r>
              <w:rPr>
                <w:noProof/>
                <w:webHidden/>
              </w:rPr>
              <w:tab/>
            </w:r>
            <w:r>
              <w:rPr>
                <w:noProof/>
                <w:webHidden/>
              </w:rPr>
              <w:fldChar w:fldCharType="begin"/>
            </w:r>
            <w:r>
              <w:rPr>
                <w:noProof/>
                <w:webHidden/>
              </w:rPr>
              <w:instrText xml:space="preserve"> PAGEREF _Toc237295838 \h </w:instrText>
            </w:r>
            <w:r>
              <w:rPr>
                <w:noProof/>
                <w:webHidden/>
              </w:rPr>
            </w:r>
            <w:r>
              <w:rPr>
                <w:noProof/>
                <w:webHidden/>
              </w:rPr>
              <w:fldChar w:fldCharType="separate"/>
            </w:r>
            <w:r>
              <w:rPr>
                <w:noProof/>
                <w:webHidden/>
              </w:rPr>
              <w:t>13</w:t>
            </w:r>
            <w:r>
              <w:rPr>
                <w:noProof/>
                <w:webHidden/>
              </w:rPr>
              <w:fldChar w:fldCharType="end"/>
            </w:r>
          </w:hyperlink>
        </w:p>
        <w:p w14:paraId="06CD56FE" w14:textId="1D4257FE" w:rsidR="002361B4" w:rsidRDefault="002361B4">
          <w:pPr>
            <w:pStyle w:val="TOC2"/>
            <w:tabs>
              <w:tab w:val="right" w:leader="dot" w:pos="9304"/>
            </w:tabs>
            <w:rPr>
              <w:noProof/>
              <w:kern w:val="2"/>
              <w:szCs w:val="24"/>
              <w14:ligatures w14:val="standardContextual"/>
            </w:rPr>
          </w:pPr>
          <w:hyperlink w:anchor="_Toc237295839" w:history="1">
            <w:r w:rsidRPr="00412A56">
              <w:rPr>
                <w:rStyle w:val="Hyperlink"/>
                <w:noProof/>
              </w:rPr>
              <w:t>Slide 3. Five enterprise risks converge on production</w:t>
            </w:r>
            <w:r>
              <w:rPr>
                <w:noProof/>
                <w:webHidden/>
              </w:rPr>
              <w:tab/>
            </w:r>
            <w:r>
              <w:rPr>
                <w:noProof/>
                <w:webHidden/>
              </w:rPr>
              <w:fldChar w:fldCharType="begin"/>
            </w:r>
            <w:r>
              <w:rPr>
                <w:noProof/>
                <w:webHidden/>
              </w:rPr>
              <w:instrText xml:space="preserve"> PAGEREF _Toc237295839 \h </w:instrText>
            </w:r>
            <w:r>
              <w:rPr>
                <w:noProof/>
                <w:webHidden/>
              </w:rPr>
            </w:r>
            <w:r>
              <w:rPr>
                <w:noProof/>
                <w:webHidden/>
              </w:rPr>
              <w:fldChar w:fldCharType="separate"/>
            </w:r>
            <w:r>
              <w:rPr>
                <w:noProof/>
                <w:webHidden/>
              </w:rPr>
              <w:t>14</w:t>
            </w:r>
            <w:r>
              <w:rPr>
                <w:noProof/>
                <w:webHidden/>
              </w:rPr>
              <w:fldChar w:fldCharType="end"/>
            </w:r>
          </w:hyperlink>
        </w:p>
        <w:p w14:paraId="0E8EFC48" w14:textId="6489DEA4" w:rsidR="002361B4" w:rsidRDefault="002361B4">
          <w:pPr>
            <w:pStyle w:val="TOC2"/>
            <w:tabs>
              <w:tab w:val="right" w:leader="dot" w:pos="9304"/>
            </w:tabs>
            <w:rPr>
              <w:noProof/>
              <w:kern w:val="2"/>
              <w:szCs w:val="24"/>
              <w14:ligatures w14:val="standardContextual"/>
            </w:rPr>
          </w:pPr>
          <w:hyperlink w:anchor="_Toc237295840" w:history="1">
            <w:r w:rsidRPr="00412A56">
              <w:rPr>
                <w:rStyle w:val="Hyperlink"/>
                <w:noProof/>
              </w:rPr>
              <w:t>Slide 4. Identity and segmentation break the likely chains</w:t>
            </w:r>
            <w:r>
              <w:rPr>
                <w:noProof/>
                <w:webHidden/>
              </w:rPr>
              <w:tab/>
            </w:r>
            <w:r>
              <w:rPr>
                <w:noProof/>
                <w:webHidden/>
              </w:rPr>
              <w:fldChar w:fldCharType="begin"/>
            </w:r>
            <w:r>
              <w:rPr>
                <w:noProof/>
                <w:webHidden/>
              </w:rPr>
              <w:instrText xml:space="preserve"> PAGEREF _Toc237295840 \h </w:instrText>
            </w:r>
            <w:r>
              <w:rPr>
                <w:noProof/>
                <w:webHidden/>
              </w:rPr>
            </w:r>
            <w:r>
              <w:rPr>
                <w:noProof/>
                <w:webHidden/>
              </w:rPr>
              <w:fldChar w:fldCharType="separate"/>
            </w:r>
            <w:r>
              <w:rPr>
                <w:noProof/>
                <w:webHidden/>
              </w:rPr>
              <w:t>15</w:t>
            </w:r>
            <w:r>
              <w:rPr>
                <w:noProof/>
                <w:webHidden/>
              </w:rPr>
              <w:fldChar w:fldCharType="end"/>
            </w:r>
          </w:hyperlink>
        </w:p>
        <w:p w14:paraId="1E711DDD" w14:textId="6375A59B" w:rsidR="002361B4" w:rsidRDefault="002361B4">
          <w:pPr>
            <w:pStyle w:val="TOC2"/>
            <w:tabs>
              <w:tab w:val="right" w:leader="dot" w:pos="9304"/>
            </w:tabs>
            <w:rPr>
              <w:noProof/>
              <w:kern w:val="2"/>
              <w:szCs w:val="24"/>
              <w14:ligatures w14:val="standardContextual"/>
            </w:rPr>
          </w:pPr>
          <w:hyperlink w:anchor="_Toc237295841" w:history="1">
            <w:r w:rsidRPr="00412A56">
              <w:rPr>
                <w:rStyle w:val="Hyperlink"/>
                <w:noProof/>
              </w:rPr>
              <w:t>Slide 5. Detection and recovery must be engineered for production</w:t>
            </w:r>
            <w:r>
              <w:rPr>
                <w:noProof/>
                <w:webHidden/>
              </w:rPr>
              <w:tab/>
            </w:r>
            <w:r>
              <w:rPr>
                <w:noProof/>
                <w:webHidden/>
              </w:rPr>
              <w:fldChar w:fldCharType="begin"/>
            </w:r>
            <w:r>
              <w:rPr>
                <w:noProof/>
                <w:webHidden/>
              </w:rPr>
              <w:instrText xml:space="preserve"> PAGEREF _Toc237295841 \h </w:instrText>
            </w:r>
            <w:r>
              <w:rPr>
                <w:noProof/>
                <w:webHidden/>
              </w:rPr>
            </w:r>
            <w:r>
              <w:rPr>
                <w:noProof/>
                <w:webHidden/>
              </w:rPr>
              <w:fldChar w:fldCharType="separate"/>
            </w:r>
            <w:r>
              <w:rPr>
                <w:noProof/>
                <w:webHidden/>
              </w:rPr>
              <w:t>16</w:t>
            </w:r>
            <w:r>
              <w:rPr>
                <w:noProof/>
                <w:webHidden/>
              </w:rPr>
              <w:fldChar w:fldCharType="end"/>
            </w:r>
          </w:hyperlink>
        </w:p>
        <w:p w14:paraId="74937A9A" w14:textId="63D8E07C" w:rsidR="002361B4" w:rsidRDefault="002361B4">
          <w:pPr>
            <w:pStyle w:val="TOC2"/>
            <w:tabs>
              <w:tab w:val="right" w:leader="dot" w:pos="9304"/>
            </w:tabs>
            <w:rPr>
              <w:noProof/>
              <w:kern w:val="2"/>
              <w:szCs w:val="24"/>
              <w14:ligatures w14:val="standardContextual"/>
            </w:rPr>
          </w:pPr>
          <w:hyperlink w:anchor="_Toc237295842" w:history="1">
            <w:r w:rsidRPr="00412A56">
              <w:rPr>
                <w:rStyle w:val="Hyperlink"/>
                <w:noProof/>
              </w:rPr>
              <w:t>Slide 6. Trusted pathways need controls beyond technology</w:t>
            </w:r>
            <w:r>
              <w:rPr>
                <w:noProof/>
                <w:webHidden/>
              </w:rPr>
              <w:tab/>
            </w:r>
            <w:r>
              <w:rPr>
                <w:noProof/>
                <w:webHidden/>
              </w:rPr>
              <w:fldChar w:fldCharType="begin"/>
            </w:r>
            <w:r>
              <w:rPr>
                <w:noProof/>
                <w:webHidden/>
              </w:rPr>
              <w:instrText xml:space="preserve"> PAGEREF _Toc237295842 \h </w:instrText>
            </w:r>
            <w:r>
              <w:rPr>
                <w:noProof/>
                <w:webHidden/>
              </w:rPr>
            </w:r>
            <w:r>
              <w:rPr>
                <w:noProof/>
                <w:webHidden/>
              </w:rPr>
              <w:fldChar w:fldCharType="separate"/>
            </w:r>
            <w:r>
              <w:rPr>
                <w:noProof/>
                <w:webHidden/>
              </w:rPr>
              <w:t>17</w:t>
            </w:r>
            <w:r>
              <w:rPr>
                <w:noProof/>
                <w:webHidden/>
              </w:rPr>
              <w:fldChar w:fldCharType="end"/>
            </w:r>
          </w:hyperlink>
        </w:p>
        <w:p w14:paraId="58D3658C" w14:textId="4735F6DB" w:rsidR="002361B4" w:rsidRDefault="002361B4">
          <w:pPr>
            <w:pStyle w:val="TOC2"/>
            <w:tabs>
              <w:tab w:val="right" w:leader="dot" w:pos="9304"/>
            </w:tabs>
            <w:rPr>
              <w:noProof/>
              <w:kern w:val="2"/>
              <w:szCs w:val="24"/>
              <w14:ligatures w14:val="standardContextual"/>
            </w:rPr>
          </w:pPr>
          <w:hyperlink w:anchor="_Toc237295843" w:history="1">
            <w:r w:rsidRPr="00412A56">
              <w:rPr>
                <w:rStyle w:val="Hyperlink"/>
                <w:noProof/>
              </w:rPr>
              <w:t>Slide 7. Fund the basics first; phase structural change</w:t>
            </w:r>
            <w:r>
              <w:rPr>
                <w:noProof/>
                <w:webHidden/>
              </w:rPr>
              <w:tab/>
            </w:r>
            <w:r>
              <w:rPr>
                <w:noProof/>
                <w:webHidden/>
              </w:rPr>
              <w:fldChar w:fldCharType="begin"/>
            </w:r>
            <w:r>
              <w:rPr>
                <w:noProof/>
                <w:webHidden/>
              </w:rPr>
              <w:instrText xml:space="preserve"> PAGEREF _Toc237295843 \h </w:instrText>
            </w:r>
            <w:r>
              <w:rPr>
                <w:noProof/>
                <w:webHidden/>
              </w:rPr>
            </w:r>
            <w:r>
              <w:rPr>
                <w:noProof/>
                <w:webHidden/>
              </w:rPr>
              <w:fldChar w:fldCharType="separate"/>
            </w:r>
            <w:r>
              <w:rPr>
                <w:noProof/>
                <w:webHidden/>
              </w:rPr>
              <w:t>18</w:t>
            </w:r>
            <w:r>
              <w:rPr>
                <w:noProof/>
                <w:webHidden/>
              </w:rPr>
              <w:fldChar w:fldCharType="end"/>
            </w:r>
          </w:hyperlink>
        </w:p>
        <w:p w14:paraId="462D017E" w14:textId="40EB9296" w:rsidR="005D00FE" w:rsidRDefault="005D00FE">
          <w:r>
            <w:rPr>
              <w:b/>
              <w:bCs/>
              <w:noProof/>
            </w:rPr>
            <w:fldChar w:fldCharType="end"/>
          </w:r>
        </w:p>
      </w:sdtContent>
    </w:sdt>
    <w:p w14:paraId="13A79C8A" w14:textId="36E18AAF" w:rsidR="006E64B6" w:rsidRDefault="00000000">
      <w:r>
        <w:br w:type="page"/>
      </w:r>
    </w:p>
    <w:p w14:paraId="202D0A77" w14:textId="77777777" w:rsidR="006E64B6" w:rsidRDefault="00000000">
      <w:pPr>
        <w:pStyle w:val="Heading1"/>
      </w:pPr>
      <w:bookmarkStart w:id="0" w:name="_Toc237295819"/>
      <w:r>
        <w:lastRenderedPageBreak/>
        <w:t>Abstract</w:t>
      </w:r>
      <w:bookmarkEnd w:id="0"/>
    </w:p>
    <w:p w14:paraId="2BA83FE4" w14:textId="77777777" w:rsidR="009036BF" w:rsidRPr="009036BF" w:rsidRDefault="009036BF" w:rsidP="009036BF">
      <w:pPr>
        <w:spacing w:after="0"/>
        <w:rPr>
          <w:lang w:val="en-GB"/>
        </w:rPr>
      </w:pPr>
      <w:proofErr w:type="spellStart"/>
      <w:r w:rsidRPr="009036BF">
        <w:rPr>
          <w:lang w:val="en-GB"/>
        </w:rPr>
        <w:t>SteelForm</w:t>
      </w:r>
      <w:proofErr w:type="spellEnd"/>
      <w:r w:rsidRPr="009036BF">
        <w:rPr>
          <w:lang w:val="en-GB"/>
        </w:rPr>
        <w:t xml:space="preserve"> Manufacturing Ltd (SFM) is a medium-sized company that makes parts for cars and aircraft. The company uses IoT sensors, automatic machines and cloud systems to manage its work.</w:t>
      </w:r>
    </w:p>
    <w:p w14:paraId="70A7E438" w14:textId="77777777" w:rsidR="009036BF" w:rsidRPr="009036BF" w:rsidRDefault="009036BF" w:rsidP="009036BF">
      <w:pPr>
        <w:spacing w:after="0"/>
        <w:rPr>
          <w:lang w:val="en-GB"/>
        </w:rPr>
      </w:pPr>
      <w:r w:rsidRPr="009036BF">
        <w:rPr>
          <w:lang w:val="en-GB"/>
        </w:rPr>
        <w:t>The case study shows that SFM has some cyber security problems. These include malware, phishing emails sent to purchasing staff and people trying to access the production network without permission. These problems could stop production, put company and personal information at risk and affect customer trust.</w:t>
      </w:r>
    </w:p>
    <w:p w14:paraId="73EB22BD" w14:textId="77777777" w:rsidR="009036BF" w:rsidRPr="009036BF" w:rsidRDefault="009036BF" w:rsidP="009036BF">
      <w:pPr>
        <w:spacing w:after="0"/>
        <w:rPr>
          <w:lang w:val="en-GB"/>
        </w:rPr>
      </w:pPr>
      <w:r w:rsidRPr="009036BF">
        <w:rPr>
          <w:lang w:val="en-GB"/>
        </w:rPr>
        <w:t>This report explains some simple ways SFM can improve its cyber security and protect its data. The recommendations follow NIST CSF 2.0, ISO/IEC 27001 and OT security guidance [1], [3], [9]. First, SFM should remove malware, improve email and account security, check unusual access attempts and make sure backups work correctly. Later, the company can improve system monitoring, staff responsibilities, supplier security, network security and access controls. Management should also check the progress regularly.</w:t>
      </w:r>
    </w:p>
    <w:p w14:paraId="269A6E1F" w14:textId="77777777" w:rsidR="006E64B6" w:rsidRPr="000513F4" w:rsidRDefault="006E64B6">
      <w:pPr>
        <w:spacing w:after="0"/>
        <w:rPr>
          <w:lang w:val="en-GB"/>
        </w:rPr>
      </w:pPr>
    </w:p>
    <w:p w14:paraId="0D7F5017" w14:textId="77777777" w:rsidR="006E64B6" w:rsidRDefault="00000000">
      <w:pPr>
        <w:pStyle w:val="Heading1"/>
      </w:pPr>
      <w:bookmarkStart w:id="1" w:name="_Toc237295820"/>
      <w:r>
        <w:t>1. Introduction</w:t>
      </w:r>
      <w:bookmarkEnd w:id="1"/>
    </w:p>
    <w:p w14:paraId="1CE15A4E" w14:textId="02EA7F66" w:rsidR="006E64B6" w:rsidRPr="009036BF" w:rsidRDefault="009036BF" w:rsidP="009036BF">
      <w:pPr>
        <w:rPr>
          <w:lang w:val="en-GB"/>
        </w:rPr>
      </w:pPr>
      <w:r w:rsidRPr="009036BF">
        <w:t>SFM makes specially designed parts for automotive and aerospace companies and has recently started using smart technology in its manufacturing process</w:t>
      </w:r>
      <w:r w:rsidR="00000000">
        <w:t xml:space="preserve">. </w:t>
      </w:r>
      <w:r w:rsidR="005B51C8" w:rsidRPr="005B51C8">
        <w:rPr>
          <w:lang w:val="en-GB"/>
        </w:rPr>
        <w:t xml:space="preserve">The scenario shows three main security problems: malware infections, phishing emails targeting procurement staff, and unauthorised attempts to access the production network. </w:t>
      </w:r>
      <w:bookmarkStart w:id="2" w:name="_Toc237295821"/>
      <w:r w:rsidRPr="009036BF">
        <w:rPr>
          <w:lang w:val="en-GB"/>
        </w:rPr>
        <w:t xml:space="preserve">This report looks at the possible cyber security risks using the information given in the case study. It does not assume who carried out the attacks, how they accessed the system, whether any data was stolen, or which laws are </w:t>
      </w:r>
      <w:proofErr w:type="spellStart"/>
      <w:proofErr w:type="gramStart"/>
      <w:r w:rsidRPr="009036BF">
        <w:rPr>
          <w:lang w:val="en-GB"/>
        </w:rPr>
        <w:t>involved.NIST</w:t>
      </w:r>
      <w:proofErr w:type="spellEnd"/>
      <w:proofErr w:type="gramEnd"/>
      <w:r w:rsidRPr="009036BF">
        <w:rPr>
          <w:lang w:val="en-GB"/>
        </w:rPr>
        <w:t xml:space="preserve"> CSF 2.0 gives SFM a simple structure for managing cyber security through six areas: Govern, Identify, Protect, Detect, Respond and Recover. ISO/IEC 27001, 27002 and 27005 also help the company manage security and risks [1], [3]</w:t>
      </w:r>
      <w:proofErr w:type="gramStart"/>
      <w:r w:rsidRPr="009036BF">
        <w:rPr>
          <w:lang w:val="en-GB"/>
        </w:rPr>
        <w:t>–[</w:t>
      </w:r>
      <w:proofErr w:type="gramEnd"/>
      <w:r w:rsidRPr="009036BF">
        <w:rPr>
          <w:lang w:val="en-GB"/>
        </w:rPr>
        <w:t>5]. NIST SP 800-82 and IEC 62443 are useful for protecting operational technology (OT), such as the systems and machines used in production [6], [9].</w:t>
      </w:r>
      <w:r w:rsidR="00000000">
        <w:t>2. Threat, Asset and Business-Risk Assessment</w:t>
      </w:r>
      <w:bookmarkEnd w:id="2"/>
    </w:p>
    <w:p w14:paraId="0C5210F2" w14:textId="77777777" w:rsidR="006E64B6" w:rsidRDefault="00000000">
      <w:pPr>
        <w:pStyle w:val="Heading2"/>
      </w:pPr>
      <w:bookmarkStart w:id="3" w:name="_Toc237295822"/>
      <w:r>
        <w:t>2.1 Critical assets and trust relationships</w:t>
      </w:r>
      <w:bookmarkEnd w:id="3"/>
    </w:p>
    <w:p w14:paraId="4360C6A4" w14:textId="5ECEE626" w:rsidR="006E64B6" w:rsidRDefault="00000000">
      <w:r>
        <w:t>SFM's priority assets are business services rather than isolated devices</w:t>
      </w:r>
      <w:r w:rsidR="00AD3098">
        <w:t xml:space="preserve"> are </w:t>
      </w:r>
      <w:r>
        <w:t>identity email</w:t>
      </w:r>
      <w:r w:rsidR="00AD3098">
        <w:t xml:space="preserve"> and</w:t>
      </w:r>
      <w:r>
        <w:t xml:space="preserve"> ERP, finance and order processing</w:t>
      </w:r>
      <w:r w:rsidR="00AD3098">
        <w:t xml:space="preserve"> for </w:t>
      </w:r>
      <w:r>
        <w:t>engineering workstations, CAD/CAM files and recipes</w:t>
      </w:r>
      <w:r w:rsidR="00AD3098">
        <w:t>,</w:t>
      </w:r>
      <w:r>
        <w:t xml:space="preserve"> PLC logic and human-machine interfaces</w:t>
      </w:r>
      <w:r w:rsidR="00AD3098">
        <w:t>,</w:t>
      </w:r>
      <w:r>
        <w:t xml:space="preserve"> quality and traceability records</w:t>
      </w:r>
      <w:r w:rsidR="00AD3098">
        <w:t xml:space="preserve">, </w:t>
      </w:r>
      <w:r>
        <w:t>backups and recovery credentials</w:t>
      </w:r>
      <w:r w:rsidR="00AD3098">
        <w:t>,</w:t>
      </w:r>
      <w:r>
        <w:t xml:space="preserve"> customer and employee data and remote supplier connections. Their dependencies cross cloud services, the corporate network, engineering support and plant-floor OT. A current asset register must record owner, location, classification, software/firmware, remote-access route, backup requirement, supplier dependency and business impact. IoT/IIoT procurement should also require unique identity, secure configuration, update support, logging and vulnerability disclosure [14].</w:t>
      </w:r>
    </w:p>
    <w:p w14:paraId="72B15A4A" w14:textId="77777777" w:rsidR="006E64B6" w:rsidRDefault="00000000">
      <w:pPr>
        <w:pStyle w:val="Heading2"/>
      </w:pPr>
      <w:bookmarkStart w:id="4" w:name="_Toc237295823"/>
      <w:r>
        <w:t>2.2 Internal and external threats and connected attack paths</w:t>
      </w:r>
      <w:bookmarkEnd w:id="4"/>
    </w:p>
    <w:p w14:paraId="18E1CB7C" w14:textId="557506CF" w:rsidR="006E64B6" w:rsidRDefault="00000000">
      <w:r>
        <w:t>External threats include phishing and business-email compromise, ransomware and other malware, credential attacks, exploitation of unpatched internet-facing or cloud services, supplier compromise, denial-of-service, industrial espionage and attacks through remote-access or IIoT pathways. Internal threats include malicious or negligent insiders, excessive privilege, password sharing, unsafe removable media, unauthorised software, misconfiguration, weak cloud-sharing permissions and delayed account removal. These risks converge because procurement email, identity, engineering workstations, cloud services and vendor connections can lead toward production assets [9], [18]. Under the CIA triad, theft of CAD/CAM or customer data threatens confidentiality</w:t>
      </w:r>
      <w:r w:rsidR="00AD3098">
        <w:t>,</w:t>
      </w:r>
      <w:r>
        <w:t xml:space="preserve"> unauthorised PLC, recipe or quality-record changes threaten integrity</w:t>
      </w:r>
      <w:r w:rsidR="00AD3098">
        <w:t>,</w:t>
      </w:r>
      <w:r>
        <w:t xml:space="preserve"> ransomware or denial-of-service threatens availability. The observed incidents justify prioritising identity, segmentation, endpoint control and recovery. Priority risks are therefore IT-to-OT ransomware, privileged-account misuse, unauthorised engineering change, cloud-data exposure and supplier-enabled access. Hydro, Toyota and MKS show how cyber disruption can force manual workarounds, stop production or affect orders and service [23]–[25].</w:t>
      </w:r>
    </w:p>
    <w:p w14:paraId="29481E9A" w14:textId="77777777" w:rsidR="006E64B6" w:rsidRPr="002361B4" w:rsidRDefault="00000000">
      <w:pPr>
        <w:pStyle w:val="Caption"/>
        <w:rPr>
          <w:rFonts w:ascii="Times New Roman" w:hAnsi="Times New Roman" w:cs="Times New Roman"/>
          <w:color w:val="2C2C2C" w:themeColor="text1"/>
        </w:rPr>
      </w:pPr>
      <w:r w:rsidRPr="002361B4">
        <w:rPr>
          <w:rFonts w:ascii="Times New Roman" w:hAnsi="Times New Roman" w:cs="Times New Roman"/>
          <w:color w:val="2C2C2C" w:themeColor="text1"/>
        </w:rPr>
        <w:lastRenderedPageBreak/>
        <w:t>Table 1. Scenario-based priority risks</w:t>
      </w:r>
    </w:p>
    <w:tbl>
      <w:tblPr>
        <w:tblW w:w="0" w:type="auto"/>
        <w:jc w:val="center"/>
        <w:tblBorders>
          <w:top w:val="single" w:sz="4" w:space="0" w:color="D0D5DD"/>
          <w:left w:val="single" w:sz="4" w:space="0" w:color="D0D5DD"/>
          <w:bottom w:val="single" w:sz="4" w:space="0" w:color="D0D5DD"/>
          <w:right w:val="single" w:sz="4" w:space="0" w:color="D0D5DD"/>
          <w:insideH w:val="single" w:sz="4" w:space="0" w:color="D0D5DD"/>
          <w:insideV w:val="single" w:sz="4" w:space="0" w:color="D0D5DD"/>
        </w:tblBorders>
        <w:tblLayout w:type="fixed"/>
        <w:tblLook w:val="04A0" w:firstRow="1" w:lastRow="0" w:firstColumn="1" w:lastColumn="0" w:noHBand="0" w:noVBand="1"/>
      </w:tblPr>
      <w:tblGrid>
        <w:gridCol w:w="2200"/>
        <w:gridCol w:w="2550"/>
        <w:gridCol w:w="3100"/>
        <w:gridCol w:w="1510"/>
      </w:tblGrid>
      <w:tr w:rsidR="006E64B6" w14:paraId="38ADD33E" w14:textId="77777777">
        <w:trPr>
          <w:tblHeader/>
          <w:jc w:val="center"/>
        </w:trPr>
        <w:tc>
          <w:tcPr>
            <w:tcW w:w="2200" w:type="dxa"/>
            <w:shd w:val="clear" w:color="auto" w:fill="F2F4F7"/>
            <w:tcMar>
              <w:top w:w="80" w:type="dxa"/>
              <w:left w:w="120" w:type="dxa"/>
              <w:bottom w:w="80" w:type="dxa"/>
              <w:right w:w="120" w:type="dxa"/>
            </w:tcMar>
            <w:vAlign w:val="center"/>
          </w:tcPr>
          <w:p w14:paraId="4ECAC985" w14:textId="77777777" w:rsidR="006E64B6" w:rsidRPr="002361B4" w:rsidRDefault="00000000">
            <w:pPr>
              <w:spacing w:after="0"/>
              <w:rPr>
                <w:color w:val="2C2C2C" w:themeColor="text1"/>
              </w:rPr>
            </w:pPr>
            <w:r w:rsidRPr="002361B4">
              <w:rPr>
                <w:b/>
                <w:color w:val="2C2C2C" w:themeColor="text1"/>
                <w:sz w:val="18"/>
              </w:rPr>
              <w:t>Risk</w:t>
            </w:r>
          </w:p>
        </w:tc>
        <w:tc>
          <w:tcPr>
            <w:tcW w:w="2550" w:type="dxa"/>
            <w:shd w:val="clear" w:color="auto" w:fill="F2F4F7"/>
            <w:tcMar>
              <w:top w:w="80" w:type="dxa"/>
              <w:left w:w="120" w:type="dxa"/>
              <w:bottom w:w="80" w:type="dxa"/>
              <w:right w:w="120" w:type="dxa"/>
            </w:tcMar>
            <w:vAlign w:val="center"/>
          </w:tcPr>
          <w:p w14:paraId="54A1C968" w14:textId="77777777" w:rsidR="006E64B6" w:rsidRPr="002361B4" w:rsidRDefault="00000000">
            <w:pPr>
              <w:spacing w:after="0"/>
              <w:rPr>
                <w:color w:val="2C2C2C" w:themeColor="text1"/>
              </w:rPr>
            </w:pPr>
            <w:r w:rsidRPr="002361B4">
              <w:rPr>
                <w:b/>
                <w:color w:val="2C2C2C" w:themeColor="text1"/>
                <w:sz w:val="18"/>
              </w:rPr>
              <w:t>Plausible enabler</w:t>
            </w:r>
          </w:p>
        </w:tc>
        <w:tc>
          <w:tcPr>
            <w:tcW w:w="3100" w:type="dxa"/>
            <w:shd w:val="clear" w:color="auto" w:fill="F2F4F7"/>
            <w:tcMar>
              <w:top w:w="80" w:type="dxa"/>
              <w:left w:w="120" w:type="dxa"/>
              <w:bottom w:w="80" w:type="dxa"/>
              <w:right w:w="120" w:type="dxa"/>
            </w:tcMar>
            <w:vAlign w:val="center"/>
          </w:tcPr>
          <w:p w14:paraId="5DB88FAB" w14:textId="77777777" w:rsidR="006E64B6" w:rsidRPr="002361B4" w:rsidRDefault="00000000">
            <w:pPr>
              <w:spacing w:after="0"/>
              <w:rPr>
                <w:color w:val="2C2C2C" w:themeColor="text1"/>
              </w:rPr>
            </w:pPr>
            <w:r w:rsidRPr="002361B4">
              <w:rPr>
                <w:b/>
                <w:color w:val="2C2C2C" w:themeColor="text1"/>
                <w:sz w:val="18"/>
              </w:rPr>
              <w:t>Business consequence</w:t>
            </w:r>
          </w:p>
        </w:tc>
        <w:tc>
          <w:tcPr>
            <w:tcW w:w="1510" w:type="dxa"/>
            <w:shd w:val="clear" w:color="auto" w:fill="F2F4F7"/>
            <w:tcMar>
              <w:top w:w="80" w:type="dxa"/>
              <w:left w:w="120" w:type="dxa"/>
              <w:bottom w:w="80" w:type="dxa"/>
              <w:right w:w="120" w:type="dxa"/>
            </w:tcMar>
            <w:vAlign w:val="center"/>
          </w:tcPr>
          <w:p w14:paraId="0C6C7AC0" w14:textId="77777777" w:rsidR="006E64B6" w:rsidRPr="002361B4" w:rsidRDefault="00000000">
            <w:pPr>
              <w:spacing w:after="0"/>
              <w:rPr>
                <w:color w:val="2C2C2C" w:themeColor="text1"/>
              </w:rPr>
            </w:pPr>
            <w:r w:rsidRPr="002361B4">
              <w:rPr>
                <w:b/>
                <w:color w:val="2C2C2C" w:themeColor="text1"/>
                <w:sz w:val="18"/>
              </w:rPr>
              <w:t>Priority</w:t>
            </w:r>
          </w:p>
        </w:tc>
      </w:tr>
      <w:tr w:rsidR="006E64B6" w14:paraId="15AC8890" w14:textId="77777777">
        <w:trPr>
          <w:cantSplit/>
          <w:jc w:val="center"/>
        </w:trPr>
        <w:tc>
          <w:tcPr>
            <w:tcW w:w="2200" w:type="dxa"/>
            <w:tcMar>
              <w:top w:w="80" w:type="dxa"/>
              <w:left w:w="120" w:type="dxa"/>
              <w:bottom w:w="80" w:type="dxa"/>
              <w:right w:w="120" w:type="dxa"/>
            </w:tcMar>
          </w:tcPr>
          <w:p w14:paraId="7F8DD3E7" w14:textId="77777777" w:rsidR="006E64B6" w:rsidRDefault="00000000">
            <w:pPr>
              <w:spacing w:after="0"/>
            </w:pPr>
            <w:r>
              <w:rPr>
                <w:sz w:val="17"/>
              </w:rPr>
              <w:t>IT-to-OT ransomware</w:t>
            </w:r>
          </w:p>
        </w:tc>
        <w:tc>
          <w:tcPr>
            <w:tcW w:w="2550" w:type="dxa"/>
            <w:tcMar>
              <w:top w:w="80" w:type="dxa"/>
              <w:left w:w="120" w:type="dxa"/>
              <w:bottom w:w="80" w:type="dxa"/>
              <w:right w:w="120" w:type="dxa"/>
            </w:tcMar>
          </w:tcPr>
          <w:p w14:paraId="7F0731B6" w14:textId="77777777" w:rsidR="006E64B6" w:rsidRDefault="00000000">
            <w:pPr>
              <w:spacing w:after="0"/>
            </w:pPr>
            <w:r>
              <w:rPr>
                <w:sz w:val="17"/>
              </w:rPr>
              <w:t>Email, remote tools, flat trust</w:t>
            </w:r>
          </w:p>
        </w:tc>
        <w:tc>
          <w:tcPr>
            <w:tcW w:w="3100" w:type="dxa"/>
            <w:tcMar>
              <w:top w:w="80" w:type="dxa"/>
              <w:left w:w="120" w:type="dxa"/>
              <w:bottom w:w="80" w:type="dxa"/>
              <w:right w:w="120" w:type="dxa"/>
            </w:tcMar>
          </w:tcPr>
          <w:p w14:paraId="520B096E" w14:textId="786787C6" w:rsidR="006E64B6" w:rsidRDefault="00000000">
            <w:pPr>
              <w:spacing w:after="0"/>
            </w:pPr>
            <w:r>
              <w:rPr>
                <w:sz w:val="17"/>
              </w:rPr>
              <w:t>Production outage</w:t>
            </w:r>
            <w:r w:rsidR="00AD3098">
              <w:rPr>
                <w:sz w:val="17"/>
              </w:rPr>
              <w:t>,</w:t>
            </w:r>
            <w:r>
              <w:rPr>
                <w:sz w:val="17"/>
              </w:rPr>
              <w:t xml:space="preserve"> unsafe recovery</w:t>
            </w:r>
          </w:p>
        </w:tc>
        <w:tc>
          <w:tcPr>
            <w:tcW w:w="1510" w:type="dxa"/>
            <w:tcMar>
              <w:top w:w="80" w:type="dxa"/>
              <w:left w:w="120" w:type="dxa"/>
              <w:bottom w:w="80" w:type="dxa"/>
              <w:right w:w="120" w:type="dxa"/>
            </w:tcMar>
          </w:tcPr>
          <w:p w14:paraId="0C75939C" w14:textId="77777777" w:rsidR="006E64B6" w:rsidRDefault="00000000">
            <w:pPr>
              <w:spacing w:after="0"/>
            </w:pPr>
            <w:r>
              <w:rPr>
                <w:sz w:val="17"/>
              </w:rPr>
              <w:t>Critical</w:t>
            </w:r>
          </w:p>
        </w:tc>
      </w:tr>
      <w:tr w:rsidR="006E64B6" w14:paraId="11D18750" w14:textId="77777777">
        <w:trPr>
          <w:cantSplit/>
          <w:jc w:val="center"/>
        </w:trPr>
        <w:tc>
          <w:tcPr>
            <w:tcW w:w="2200" w:type="dxa"/>
            <w:tcMar>
              <w:top w:w="80" w:type="dxa"/>
              <w:left w:w="120" w:type="dxa"/>
              <w:bottom w:w="80" w:type="dxa"/>
              <w:right w:w="120" w:type="dxa"/>
            </w:tcMar>
          </w:tcPr>
          <w:p w14:paraId="16FFBB54" w14:textId="77777777" w:rsidR="006E64B6" w:rsidRDefault="00000000">
            <w:pPr>
              <w:spacing w:after="0"/>
            </w:pPr>
            <w:r>
              <w:rPr>
                <w:sz w:val="17"/>
              </w:rPr>
              <w:t>Privileged identity abuse</w:t>
            </w:r>
          </w:p>
        </w:tc>
        <w:tc>
          <w:tcPr>
            <w:tcW w:w="2550" w:type="dxa"/>
            <w:tcMar>
              <w:top w:w="80" w:type="dxa"/>
              <w:left w:w="120" w:type="dxa"/>
              <w:bottom w:w="80" w:type="dxa"/>
              <w:right w:w="120" w:type="dxa"/>
            </w:tcMar>
          </w:tcPr>
          <w:p w14:paraId="6BC25623" w14:textId="77777777" w:rsidR="006E64B6" w:rsidRDefault="00000000">
            <w:pPr>
              <w:spacing w:after="0"/>
            </w:pPr>
            <w:r>
              <w:rPr>
                <w:sz w:val="17"/>
              </w:rPr>
              <w:t>Weak MFA/elevation/revocation</w:t>
            </w:r>
          </w:p>
        </w:tc>
        <w:tc>
          <w:tcPr>
            <w:tcW w:w="3100" w:type="dxa"/>
            <w:tcMar>
              <w:top w:w="80" w:type="dxa"/>
              <w:left w:w="120" w:type="dxa"/>
              <w:bottom w:w="80" w:type="dxa"/>
              <w:right w:w="120" w:type="dxa"/>
            </w:tcMar>
          </w:tcPr>
          <w:p w14:paraId="196F67A4" w14:textId="77777777" w:rsidR="006E64B6" w:rsidRDefault="00000000">
            <w:pPr>
              <w:spacing w:after="0"/>
            </w:pPr>
            <w:r>
              <w:rPr>
                <w:sz w:val="17"/>
              </w:rPr>
              <w:t>Broad control and data access</w:t>
            </w:r>
          </w:p>
        </w:tc>
        <w:tc>
          <w:tcPr>
            <w:tcW w:w="1510" w:type="dxa"/>
            <w:tcMar>
              <w:top w:w="80" w:type="dxa"/>
              <w:left w:w="120" w:type="dxa"/>
              <w:bottom w:w="80" w:type="dxa"/>
              <w:right w:w="120" w:type="dxa"/>
            </w:tcMar>
          </w:tcPr>
          <w:p w14:paraId="61E7B9D8" w14:textId="77777777" w:rsidR="006E64B6" w:rsidRDefault="00000000">
            <w:pPr>
              <w:spacing w:after="0"/>
            </w:pPr>
            <w:r>
              <w:rPr>
                <w:sz w:val="17"/>
              </w:rPr>
              <w:t>Critical</w:t>
            </w:r>
          </w:p>
        </w:tc>
      </w:tr>
      <w:tr w:rsidR="006E64B6" w14:paraId="25D2DBAE" w14:textId="77777777">
        <w:trPr>
          <w:cantSplit/>
          <w:jc w:val="center"/>
        </w:trPr>
        <w:tc>
          <w:tcPr>
            <w:tcW w:w="2200" w:type="dxa"/>
            <w:tcMar>
              <w:top w:w="80" w:type="dxa"/>
              <w:left w:w="120" w:type="dxa"/>
              <w:bottom w:w="80" w:type="dxa"/>
              <w:right w:w="120" w:type="dxa"/>
            </w:tcMar>
          </w:tcPr>
          <w:p w14:paraId="2E40B47F" w14:textId="77777777" w:rsidR="006E64B6" w:rsidRDefault="00000000">
            <w:pPr>
              <w:spacing w:after="0"/>
            </w:pPr>
            <w:r>
              <w:rPr>
                <w:sz w:val="17"/>
              </w:rPr>
              <w:t>PLC or recipe manipulation</w:t>
            </w:r>
          </w:p>
        </w:tc>
        <w:tc>
          <w:tcPr>
            <w:tcW w:w="2550" w:type="dxa"/>
            <w:tcMar>
              <w:top w:w="80" w:type="dxa"/>
              <w:left w:w="120" w:type="dxa"/>
              <w:bottom w:w="80" w:type="dxa"/>
              <w:right w:w="120" w:type="dxa"/>
            </w:tcMar>
          </w:tcPr>
          <w:p w14:paraId="03593AF7" w14:textId="77777777" w:rsidR="006E64B6" w:rsidRDefault="00000000">
            <w:pPr>
              <w:spacing w:after="0"/>
            </w:pPr>
            <w:r>
              <w:rPr>
                <w:sz w:val="17"/>
              </w:rPr>
              <w:t>Uncontrolled engineering path</w:t>
            </w:r>
          </w:p>
        </w:tc>
        <w:tc>
          <w:tcPr>
            <w:tcW w:w="3100" w:type="dxa"/>
            <w:tcMar>
              <w:top w:w="80" w:type="dxa"/>
              <w:left w:w="120" w:type="dxa"/>
              <w:bottom w:w="80" w:type="dxa"/>
              <w:right w:w="120" w:type="dxa"/>
            </w:tcMar>
          </w:tcPr>
          <w:p w14:paraId="1137CC82" w14:textId="77777777" w:rsidR="006E64B6" w:rsidRDefault="00000000">
            <w:pPr>
              <w:spacing w:after="0"/>
            </w:pPr>
            <w:r>
              <w:rPr>
                <w:sz w:val="17"/>
              </w:rPr>
              <w:t>Quality, safety, traceability</w:t>
            </w:r>
          </w:p>
        </w:tc>
        <w:tc>
          <w:tcPr>
            <w:tcW w:w="1510" w:type="dxa"/>
            <w:tcMar>
              <w:top w:w="80" w:type="dxa"/>
              <w:left w:w="120" w:type="dxa"/>
              <w:bottom w:w="80" w:type="dxa"/>
              <w:right w:w="120" w:type="dxa"/>
            </w:tcMar>
          </w:tcPr>
          <w:p w14:paraId="24AD423D" w14:textId="77777777" w:rsidR="006E64B6" w:rsidRDefault="00000000">
            <w:pPr>
              <w:spacing w:after="0"/>
            </w:pPr>
            <w:r>
              <w:rPr>
                <w:sz w:val="17"/>
              </w:rPr>
              <w:t>High</w:t>
            </w:r>
          </w:p>
        </w:tc>
      </w:tr>
      <w:tr w:rsidR="006E64B6" w14:paraId="78D2822F" w14:textId="77777777">
        <w:trPr>
          <w:cantSplit/>
          <w:jc w:val="center"/>
        </w:trPr>
        <w:tc>
          <w:tcPr>
            <w:tcW w:w="2200" w:type="dxa"/>
            <w:tcMar>
              <w:top w:w="80" w:type="dxa"/>
              <w:left w:w="120" w:type="dxa"/>
              <w:bottom w:w="80" w:type="dxa"/>
              <w:right w:w="120" w:type="dxa"/>
            </w:tcMar>
          </w:tcPr>
          <w:p w14:paraId="25425A8F" w14:textId="77777777" w:rsidR="006E64B6" w:rsidRDefault="00000000">
            <w:pPr>
              <w:spacing w:after="0"/>
            </w:pPr>
            <w:r>
              <w:rPr>
                <w:sz w:val="17"/>
              </w:rPr>
              <w:t>Cloud data exposure</w:t>
            </w:r>
          </w:p>
        </w:tc>
        <w:tc>
          <w:tcPr>
            <w:tcW w:w="2550" w:type="dxa"/>
            <w:tcMar>
              <w:top w:w="80" w:type="dxa"/>
              <w:left w:w="120" w:type="dxa"/>
              <w:bottom w:w="80" w:type="dxa"/>
              <w:right w:w="120" w:type="dxa"/>
            </w:tcMar>
          </w:tcPr>
          <w:p w14:paraId="7D98EA33" w14:textId="77777777" w:rsidR="006E64B6" w:rsidRDefault="00000000">
            <w:pPr>
              <w:spacing w:after="0"/>
            </w:pPr>
            <w:r>
              <w:rPr>
                <w:sz w:val="17"/>
              </w:rPr>
              <w:t>Public links or weak ownership</w:t>
            </w:r>
          </w:p>
        </w:tc>
        <w:tc>
          <w:tcPr>
            <w:tcW w:w="3100" w:type="dxa"/>
            <w:tcMar>
              <w:top w:w="80" w:type="dxa"/>
              <w:left w:w="120" w:type="dxa"/>
              <w:bottom w:w="80" w:type="dxa"/>
              <w:right w:w="120" w:type="dxa"/>
            </w:tcMar>
          </w:tcPr>
          <w:p w14:paraId="6E5DA6F4" w14:textId="77777777" w:rsidR="006E64B6" w:rsidRDefault="00000000">
            <w:pPr>
              <w:spacing w:after="0"/>
            </w:pPr>
            <w:r>
              <w:rPr>
                <w:sz w:val="17"/>
              </w:rPr>
              <w:t>IP/privacy/customer impact</w:t>
            </w:r>
          </w:p>
        </w:tc>
        <w:tc>
          <w:tcPr>
            <w:tcW w:w="1510" w:type="dxa"/>
            <w:tcMar>
              <w:top w:w="80" w:type="dxa"/>
              <w:left w:w="120" w:type="dxa"/>
              <w:bottom w:w="80" w:type="dxa"/>
              <w:right w:w="120" w:type="dxa"/>
            </w:tcMar>
          </w:tcPr>
          <w:p w14:paraId="19DAC55F" w14:textId="77777777" w:rsidR="006E64B6" w:rsidRDefault="00000000">
            <w:pPr>
              <w:spacing w:after="0"/>
            </w:pPr>
            <w:r>
              <w:rPr>
                <w:sz w:val="17"/>
              </w:rPr>
              <w:t>High</w:t>
            </w:r>
          </w:p>
        </w:tc>
      </w:tr>
      <w:tr w:rsidR="006E64B6" w14:paraId="44E9FA23" w14:textId="77777777">
        <w:trPr>
          <w:cantSplit/>
          <w:jc w:val="center"/>
        </w:trPr>
        <w:tc>
          <w:tcPr>
            <w:tcW w:w="2200" w:type="dxa"/>
            <w:tcMar>
              <w:top w:w="80" w:type="dxa"/>
              <w:left w:w="120" w:type="dxa"/>
              <w:bottom w:w="80" w:type="dxa"/>
              <w:right w:w="120" w:type="dxa"/>
            </w:tcMar>
          </w:tcPr>
          <w:p w14:paraId="3ED93983" w14:textId="77777777" w:rsidR="006E64B6" w:rsidRDefault="00000000">
            <w:pPr>
              <w:spacing w:after="0"/>
            </w:pPr>
            <w:r>
              <w:rPr>
                <w:sz w:val="17"/>
              </w:rPr>
              <w:t>Supplier compromise</w:t>
            </w:r>
          </w:p>
        </w:tc>
        <w:tc>
          <w:tcPr>
            <w:tcW w:w="2550" w:type="dxa"/>
            <w:tcMar>
              <w:top w:w="80" w:type="dxa"/>
              <w:left w:w="120" w:type="dxa"/>
              <w:bottom w:w="80" w:type="dxa"/>
              <w:right w:w="120" w:type="dxa"/>
            </w:tcMar>
          </w:tcPr>
          <w:p w14:paraId="2E803AEC" w14:textId="77777777" w:rsidR="006E64B6" w:rsidRDefault="00000000">
            <w:pPr>
              <w:spacing w:after="0"/>
            </w:pPr>
            <w:r>
              <w:rPr>
                <w:sz w:val="17"/>
              </w:rPr>
              <w:t>Persistent third-party access</w:t>
            </w:r>
          </w:p>
        </w:tc>
        <w:tc>
          <w:tcPr>
            <w:tcW w:w="3100" w:type="dxa"/>
            <w:tcMar>
              <w:top w:w="80" w:type="dxa"/>
              <w:left w:w="120" w:type="dxa"/>
              <w:bottom w:w="80" w:type="dxa"/>
              <w:right w:w="120" w:type="dxa"/>
            </w:tcMar>
          </w:tcPr>
          <w:p w14:paraId="08612B88" w14:textId="77777777" w:rsidR="006E64B6" w:rsidRDefault="00000000">
            <w:pPr>
              <w:spacing w:after="0"/>
            </w:pPr>
            <w:r>
              <w:rPr>
                <w:sz w:val="17"/>
              </w:rPr>
              <w:t>Bypass of internal controls</w:t>
            </w:r>
          </w:p>
        </w:tc>
        <w:tc>
          <w:tcPr>
            <w:tcW w:w="1510" w:type="dxa"/>
            <w:tcMar>
              <w:top w:w="80" w:type="dxa"/>
              <w:left w:w="120" w:type="dxa"/>
              <w:bottom w:w="80" w:type="dxa"/>
              <w:right w:w="120" w:type="dxa"/>
            </w:tcMar>
          </w:tcPr>
          <w:p w14:paraId="12CFB1F0" w14:textId="77777777" w:rsidR="006E64B6" w:rsidRDefault="00000000">
            <w:pPr>
              <w:spacing w:after="0"/>
            </w:pPr>
            <w:r>
              <w:rPr>
                <w:sz w:val="17"/>
              </w:rPr>
              <w:t>High</w:t>
            </w:r>
          </w:p>
        </w:tc>
      </w:tr>
    </w:tbl>
    <w:p w14:paraId="5F2DE229" w14:textId="77777777" w:rsidR="006E64B6" w:rsidRDefault="006E64B6">
      <w:pPr>
        <w:spacing w:after="0"/>
      </w:pPr>
    </w:p>
    <w:p w14:paraId="7E4A29BD" w14:textId="77777777" w:rsidR="006E64B6" w:rsidRDefault="00000000">
      <w:pPr>
        <w:pStyle w:val="Heading1"/>
      </w:pPr>
      <w:bookmarkStart w:id="5" w:name="_Toc237295824"/>
      <w:r>
        <w:t>3. Governance, Framework and Policy</w:t>
      </w:r>
      <w:bookmarkEnd w:id="5"/>
    </w:p>
    <w:p w14:paraId="7E30389C" w14:textId="4D431419" w:rsidR="006E64B6" w:rsidRDefault="00000000">
      <w:r>
        <w:t>SFM should use one integrated management system rather than separate IT, OT, privacy and supplier projects. The board approves risk appetite and funding a steering group resolves priorities</w:t>
      </w:r>
      <w:r w:rsidR="00E3652E">
        <w:t xml:space="preserve">, </w:t>
      </w:r>
      <w:r>
        <w:t>asset and data owners accept residual risk</w:t>
      </w:r>
      <w:r w:rsidR="00E3652E">
        <w:t>,</w:t>
      </w:r>
      <w:r>
        <w:t xml:space="preserve"> IT and Engineering design controls Operations and Safety authorise production-impacting actions</w:t>
      </w:r>
      <w:r w:rsidR="00E3652E">
        <w:t>,</w:t>
      </w:r>
      <w:r>
        <w:t xml:space="preserve"> Quality protects validated configurations and traceability</w:t>
      </w:r>
      <w:r w:rsidR="00E3652E">
        <w:t xml:space="preserve">, </w:t>
      </w:r>
      <w:r>
        <w:t>Procurement governs suppliers</w:t>
      </w:r>
      <w:r w:rsidR="00E3652E">
        <w:t>,</w:t>
      </w:r>
      <w:r>
        <w:t xml:space="preserve"> and Legal/Privacy determines jurisdiction-specific duties, including those under UK GDPR and the Data Protection Act 2018 for any confirmed personal-data impact [26]. ISO/IEC 27001 certification may be a later assurance option, but immediate value comes from assigning ownership, a risk register, exception review and collected evidence [3].</w:t>
      </w:r>
    </w:p>
    <w:p w14:paraId="1AF8A9BE" w14:textId="77777777" w:rsidR="006E64B6" w:rsidRDefault="00000000">
      <w:r>
        <w:t>SFM should maintain a concise policy hierarchy covering information-security governance, acceptable use and remote access, identity and privileged access, asset/vulnerability/patch management, OT change and removable media, data classification and lifecycle, cloud configuration, supplier security, logging, incident response, continuity and security awareness. Each policy states scope, mandatory rules, owner, exceptions, evidence and review frequency. CIS Controls v8.1 and CISA performance goals provide implementation checks [7], [8]. Legal or contractual notification deadlines are inserted only once SFM confirms the affected data, customers and jurisdictions.</w:t>
      </w:r>
    </w:p>
    <w:p w14:paraId="5094953F" w14:textId="77777777" w:rsidR="006E64B6" w:rsidRPr="005D00FE" w:rsidRDefault="00000000">
      <w:pPr>
        <w:pStyle w:val="Caption"/>
        <w:rPr>
          <w:rFonts w:ascii="Times New Roman" w:hAnsi="Times New Roman" w:cs="Times New Roman"/>
          <w:color w:val="2C2C2C" w:themeColor="text1"/>
        </w:rPr>
      </w:pPr>
      <w:r w:rsidRPr="005D00FE">
        <w:rPr>
          <w:rFonts w:ascii="Times New Roman" w:hAnsi="Times New Roman" w:cs="Times New Roman"/>
          <w:color w:val="2C2C2C" w:themeColor="text1"/>
        </w:rPr>
        <w:t>Table 2. Core SFM policy requirements and accountability</w:t>
      </w:r>
    </w:p>
    <w:tbl>
      <w:tblPr>
        <w:tblW w:w="0" w:type="auto"/>
        <w:jc w:val="center"/>
        <w:tblLayout w:type="fixed"/>
        <w:tblLook w:val="04A0" w:firstRow="1" w:lastRow="0" w:firstColumn="1" w:lastColumn="0" w:noHBand="0" w:noVBand="1"/>
      </w:tblPr>
      <w:tblGrid>
        <w:gridCol w:w="1944"/>
        <w:gridCol w:w="5544"/>
        <w:gridCol w:w="2160"/>
      </w:tblGrid>
      <w:tr w:rsidR="006E64B6" w14:paraId="6B968884" w14:textId="77777777">
        <w:trPr>
          <w:tblHeader/>
          <w:jc w:val="center"/>
        </w:trPr>
        <w:tc>
          <w:tcPr>
            <w:tcW w:w="1944" w:type="dxa"/>
            <w:shd w:val="clear" w:color="auto" w:fill="F2F4F7"/>
            <w:tcMar>
              <w:top w:w="75" w:type="dxa"/>
              <w:left w:w="85" w:type="dxa"/>
              <w:bottom w:w="75" w:type="dxa"/>
              <w:right w:w="85" w:type="dxa"/>
            </w:tcMar>
          </w:tcPr>
          <w:p w14:paraId="6F2E66B4" w14:textId="77777777" w:rsidR="006E64B6" w:rsidRDefault="00000000">
            <w:pPr>
              <w:spacing w:after="0" w:line="240" w:lineRule="auto"/>
            </w:pPr>
            <w:r>
              <w:rPr>
                <w:b/>
                <w:sz w:val="17"/>
              </w:rPr>
              <w:t>Policy area</w:t>
            </w:r>
          </w:p>
        </w:tc>
        <w:tc>
          <w:tcPr>
            <w:tcW w:w="5544" w:type="dxa"/>
            <w:shd w:val="clear" w:color="auto" w:fill="F2F4F7"/>
            <w:tcMar>
              <w:top w:w="75" w:type="dxa"/>
              <w:left w:w="85" w:type="dxa"/>
              <w:bottom w:w="75" w:type="dxa"/>
              <w:right w:w="85" w:type="dxa"/>
            </w:tcMar>
          </w:tcPr>
          <w:p w14:paraId="6226F8E8" w14:textId="77777777" w:rsidR="006E64B6" w:rsidRDefault="00000000">
            <w:pPr>
              <w:spacing w:after="0" w:line="240" w:lineRule="auto"/>
            </w:pPr>
            <w:r>
              <w:rPr>
                <w:b/>
                <w:sz w:val="17"/>
              </w:rPr>
              <w:t>Mandatory SFM requirements</w:t>
            </w:r>
          </w:p>
        </w:tc>
        <w:tc>
          <w:tcPr>
            <w:tcW w:w="2160" w:type="dxa"/>
            <w:shd w:val="clear" w:color="auto" w:fill="F2F4F7"/>
            <w:tcMar>
              <w:top w:w="75" w:type="dxa"/>
              <w:left w:w="85" w:type="dxa"/>
              <w:bottom w:w="75" w:type="dxa"/>
              <w:right w:w="85" w:type="dxa"/>
            </w:tcMar>
          </w:tcPr>
          <w:p w14:paraId="0C27BD51" w14:textId="77777777" w:rsidR="006E64B6" w:rsidRDefault="00000000">
            <w:pPr>
              <w:spacing w:after="0" w:line="240" w:lineRule="auto"/>
            </w:pPr>
            <w:r>
              <w:rPr>
                <w:b/>
                <w:sz w:val="17"/>
              </w:rPr>
              <w:t>Owner and evidence</w:t>
            </w:r>
          </w:p>
        </w:tc>
      </w:tr>
      <w:tr w:rsidR="006E64B6" w14:paraId="048FD49E" w14:textId="77777777">
        <w:trPr>
          <w:jc w:val="center"/>
        </w:trPr>
        <w:tc>
          <w:tcPr>
            <w:tcW w:w="1944" w:type="dxa"/>
            <w:tcMar>
              <w:top w:w="75" w:type="dxa"/>
              <w:left w:w="85" w:type="dxa"/>
              <w:bottom w:w="75" w:type="dxa"/>
              <w:right w:w="85" w:type="dxa"/>
            </w:tcMar>
          </w:tcPr>
          <w:p w14:paraId="090023B9" w14:textId="77777777" w:rsidR="006E64B6" w:rsidRDefault="00000000">
            <w:pPr>
              <w:spacing w:after="0" w:line="240" w:lineRule="auto"/>
            </w:pPr>
            <w:r>
              <w:rPr>
                <w:sz w:val="17"/>
              </w:rPr>
              <w:t>Access &amp; remote access</w:t>
            </w:r>
          </w:p>
        </w:tc>
        <w:tc>
          <w:tcPr>
            <w:tcW w:w="5544" w:type="dxa"/>
            <w:tcMar>
              <w:top w:w="75" w:type="dxa"/>
              <w:left w:w="85" w:type="dxa"/>
              <w:bottom w:w="75" w:type="dxa"/>
              <w:right w:w="85" w:type="dxa"/>
            </w:tcMar>
          </w:tcPr>
          <w:p w14:paraId="656715BF" w14:textId="77777777" w:rsidR="006E64B6" w:rsidRDefault="00000000">
            <w:pPr>
              <w:spacing w:after="0" w:line="240" w:lineRule="auto"/>
            </w:pPr>
            <w:r>
              <w:rPr>
                <w:sz w:val="17"/>
              </w:rPr>
              <w:t>MFA for remote/privileged access; least privilege; separate admin accounts; quarterly reviews; time-limited vendor access.</w:t>
            </w:r>
          </w:p>
        </w:tc>
        <w:tc>
          <w:tcPr>
            <w:tcW w:w="2160" w:type="dxa"/>
            <w:tcMar>
              <w:top w:w="75" w:type="dxa"/>
              <w:left w:w="85" w:type="dxa"/>
              <w:bottom w:w="75" w:type="dxa"/>
              <w:right w:w="85" w:type="dxa"/>
            </w:tcMar>
          </w:tcPr>
          <w:p w14:paraId="3EBA1A4D" w14:textId="77777777" w:rsidR="006E64B6" w:rsidRDefault="00000000">
            <w:pPr>
              <w:spacing w:after="0" w:line="240" w:lineRule="auto"/>
            </w:pPr>
            <w:r>
              <w:rPr>
                <w:sz w:val="17"/>
              </w:rPr>
              <w:t>IT Security; access-review, MFA and session records.</w:t>
            </w:r>
          </w:p>
        </w:tc>
      </w:tr>
      <w:tr w:rsidR="006E64B6" w14:paraId="70BB179B" w14:textId="77777777">
        <w:trPr>
          <w:jc w:val="center"/>
        </w:trPr>
        <w:tc>
          <w:tcPr>
            <w:tcW w:w="1944" w:type="dxa"/>
            <w:tcMar>
              <w:top w:w="75" w:type="dxa"/>
              <w:left w:w="85" w:type="dxa"/>
              <w:bottom w:w="75" w:type="dxa"/>
              <w:right w:w="85" w:type="dxa"/>
            </w:tcMar>
          </w:tcPr>
          <w:p w14:paraId="1CDC604E" w14:textId="77777777" w:rsidR="006E64B6" w:rsidRDefault="00000000">
            <w:pPr>
              <w:spacing w:after="0" w:line="240" w:lineRule="auto"/>
            </w:pPr>
            <w:r>
              <w:rPr>
                <w:sz w:val="17"/>
              </w:rPr>
              <w:t>OT network &amp; change</w:t>
            </w:r>
          </w:p>
        </w:tc>
        <w:tc>
          <w:tcPr>
            <w:tcW w:w="5544" w:type="dxa"/>
            <w:tcMar>
              <w:top w:w="75" w:type="dxa"/>
              <w:left w:w="85" w:type="dxa"/>
              <w:bottom w:w="75" w:type="dxa"/>
              <w:right w:w="85" w:type="dxa"/>
            </w:tcMar>
          </w:tcPr>
          <w:p w14:paraId="4D675EEF" w14:textId="77777777" w:rsidR="006E64B6" w:rsidRDefault="00000000">
            <w:pPr>
              <w:spacing w:after="0" w:line="240" w:lineRule="auto"/>
            </w:pPr>
            <w:r>
              <w:rPr>
                <w:sz w:val="17"/>
              </w:rPr>
              <w:t>IT/OT zoning; no direct vendor-to-PLC access; approved engineering changes; baselines; controlled removable media.</w:t>
            </w:r>
          </w:p>
        </w:tc>
        <w:tc>
          <w:tcPr>
            <w:tcW w:w="2160" w:type="dxa"/>
            <w:tcMar>
              <w:top w:w="75" w:type="dxa"/>
              <w:left w:w="85" w:type="dxa"/>
              <w:bottom w:w="75" w:type="dxa"/>
              <w:right w:w="85" w:type="dxa"/>
            </w:tcMar>
          </w:tcPr>
          <w:p w14:paraId="11B1E56C" w14:textId="77777777" w:rsidR="006E64B6" w:rsidRDefault="00000000">
            <w:pPr>
              <w:spacing w:after="0" w:line="240" w:lineRule="auto"/>
            </w:pPr>
            <w:r>
              <w:rPr>
                <w:sz w:val="17"/>
              </w:rPr>
              <w:t>Engineering/Operations; firewall and change records.</w:t>
            </w:r>
          </w:p>
        </w:tc>
      </w:tr>
      <w:tr w:rsidR="006E64B6" w14:paraId="04F63342" w14:textId="77777777">
        <w:trPr>
          <w:jc w:val="center"/>
        </w:trPr>
        <w:tc>
          <w:tcPr>
            <w:tcW w:w="1944" w:type="dxa"/>
            <w:tcMar>
              <w:top w:w="75" w:type="dxa"/>
              <w:left w:w="85" w:type="dxa"/>
              <w:bottom w:w="75" w:type="dxa"/>
              <w:right w:w="85" w:type="dxa"/>
            </w:tcMar>
          </w:tcPr>
          <w:p w14:paraId="54857810" w14:textId="77777777" w:rsidR="006E64B6" w:rsidRDefault="00000000">
            <w:pPr>
              <w:spacing w:after="0" w:line="240" w:lineRule="auto"/>
            </w:pPr>
            <w:r>
              <w:rPr>
                <w:sz w:val="17"/>
              </w:rPr>
              <w:t>Data &amp; cloud governance</w:t>
            </w:r>
          </w:p>
        </w:tc>
        <w:tc>
          <w:tcPr>
            <w:tcW w:w="5544" w:type="dxa"/>
            <w:tcMar>
              <w:top w:w="75" w:type="dxa"/>
              <w:left w:w="85" w:type="dxa"/>
              <w:bottom w:w="75" w:type="dxa"/>
              <w:right w:w="85" w:type="dxa"/>
            </w:tcMar>
          </w:tcPr>
          <w:p w14:paraId="1F5BE73D" w14:textId="77777777" w:rsidR="006E64B6" w:rsidRDefault="00000000">
            <w:pPr>
              <w:spacing w:after="0" w:line="240" w:lineRule="auto"/>
            </w:pPr>
            <w:r>
              <w:rPr>
                <w:sz w:val="17"/>
              </w:rPr>
              <w:t>Classify sensitive data; restrict sharing; encrypt where feasible; retention, legal hold and secure disposal.</w:t>
            </w:r>
          </w:p>
        </w:tc>
        <w:tc>
          <w:tcPr>
            <w:tcW w:w="2160" w:type="dxa"/>
            <w:tcMar>
              <w:top w:w="75" w:type="dxa"/>
              <w:left w:w="85" w:type="dxa"/>
              <w:bottom w:w="75" w:type="dxa"/>
              <w:right w:w="85" w:type="dxa"/>
            </w:tcMar>
          </w:tcPr>
          <w:p w14:paraId="23C2D871" w14:textId="77777777" w:rsidR="006E64B6" w:rsidRDefault="00000000">
            <w:pPr>
              <w:spacing w:after="0" w:line="240" w:lineRule="auto"/>
            </w:pPr>
            <w:r>
              <w:rPr>
                <w:sz w:val="17"/>
              </w:rPr>
              <w:t>Data owners/Legal-Privacy; permissions and retention evidence.</w:t>
            </w:r>
          </w:p>
        </w:tc>
      </w:tr>
      <w:tr w:rsidR="006E64B6" w14:paraId="79A4C78D" w14:textId="77777777">
        <w:trPr>
          <w:jc w:val="center"/>
        </w:trPr>
        <w:tc>
          <w:tcPr>
            <w:tcW w:w="1944" w:type="dxa"/>
            <w:tcMar>
              <w:top w:w="75" w:type="dxa"/>
              <w:left w:w="85" w:type="dxa"/>
              <w:bottom w:w="75" w:type="dxa"/>
              <w:right w:w="85" w:type="dxa"/>
            </w:tcMar>
          </w:tcPr>
          <w:p w14:paraId="74191409" w14:textId="77777777" w:rsidR="006E64B6" w:rsidRDefault="00000000">
            <w:pPr>
              <w:spacing w:after="0" w:line="240" w:lineRule="auto"/>
            </w:pPr>
            <w:r>
              <w:rPr>
                <w:sz w:val="17"/>
              </w:rPr>
              <w:t>Vulnerability &amp; patch</w:t>
            </w:r>
          </w:p>
        </w:tc>
        <w:tc>
          <w:tcPr>
            <w:tcW w:w="5544" w:type="dxa"/>
            <w:tcMar>
              <w:top w:w="75" w:type="dxa"/>
              <w:left w:w="85" w:type="dxa"/>
              <w:bottom w:w="75" w:type="dxa"/>
              <w:right w:w="85" w:type="dxa"/>
            </w:tcMar>
          </w:tcPr>
          <w:p w14:paraId="01228BCB" w14:textId="77777777" w:rsidR="006E64B6" w:rsidRDefault="00000000">
            <w:pPr>
              <w:spacing w:after="0" w:line="240" w:lineRule="auto"/>
            </w:pPr>
            <w:r>
              <w:rPr>
                <w:sz w:val="17"/>
              </w:rPr>
              <w:t>Inventory assets; prioritise exploited/exposed flaws; test OT patches; use compensating controls when patching is unsafe.</w:t>
            </w:r>
          </w:p>
        </w:tc>
        <w:tc>
          <w:tcPr>
            <w:tcW w:w="2160" w:type="dxa"/>
            <w:tcMar>
              <w:top w:w="75" w:type="dxa"/>
              <w:left w:w="85" w:type="dxa"/>
              <w:bottom w:w="75" w:type="dxa"/>
              <w:right w:w="85" w:type="dxa"/>
            </w:tcMar>
          </w:tcPr>
          <w:p w14:paraId="25599B3A" w14:textId="77777777" w:rsidR="006E64B6" w:rsidRDefault="00000000">
            <w:pPr>
              <w:spacing w:after="0" w:line="240" w:lineRule="auto"/>
            </w:pPr>
            <w:r>
              <w:rPr>
                <w:sz w:val="17"/>
              </w:rPr>
              <w:t>IT/Engineering; vulnerability and patch register.</w:t>
            </w:r>
          </w:p>
        </w:tc>
      </w:tr>
      <w:tr w:rsidR="006E64B6" w14:paraId="54F48D7A" w14:textId="77777777">
        <w:trPr>
          <w:jc w:val="center"/>
        </w:trPr>
        <w:tc>
          <w:tcPr>
            <w:tcW w:w="1944" w:type="dxa"/>
            <w:tcMar>
              <w:top w:w="75" w:type="dxa"/>
              <w:left w:w="85" w:type="dxa"/>
              <w:bottom w:w="75" w:type="dxa"/>
              <w:right w:w="85" w:type="dxa"/>
            </w:tcMar>
          </w:tcPr>
          <w:p w14:paraId="41885C81" w14:textId="77777777" w:rsidR="006E64B6" w:rsidRDefault="00000000">
            <w:pPr>
              <w:spacing w:after="0" w:line="240" w:lineRule="auto"/>
            </w:pPr>
            <w:r>
              <w:rPr>
                <w:sz w:val="17"/>
              </w:rPr>
              <w:t>Incident &amp; continuity</w:t>
            </w:r>
          </w:p>
        </w:tc>
        <w:tc>
          <w:tcPr>
            <w:tcW w:w="5544" w:type="dxa"/>
            <w:tcMar>
              <w:top w:w="75" w:type="dxa"/>
              <w:left w:w="85" w:type="dxa"/>
              <w:bottom w:w="75" w:type="dxa"/>
              <w:right w:w="85" w:type="dxa"/>
            </w:tcMar>
          </w:tcPr>
          <w:p w14:paraId="27518EDE" w14:textId="77777777" w:rsidR="006E64B6" w:rsidRDefault="00000000">
            <w:pPr>
              <w:spacing w:after="0" w:line="240" w:lineRule="auto"/>
            </w:pPr>
            <w:r>
              <w:rPr>
                <w:sz w:val="17"/>
              </w:rPr>
              <w:t>Severity model; playbooks; evidence handling; BIA, RTO/RPO; protected backups and tested restoration.</w:t>
            </w:r>
          </w:p>
        </w:tc>
        <w:tc>
          <w:tcPr>
            <w:tcW w:w="2160" w:type="dxa"/>
            <w:tcMar>
              <w:top w:w="75" w:type="dxa"/>
              <w:left w:w="85" w:type="dxa"/>
              <w:bottom w:w="75" w:type="dxa"/>
              <w:right w:w="85" w:type="dxa"/>
            </w:tcMar>
          </w:tcPr>
          <w:p w14:paraId="7EE2917E" w14:textId="77777777" w:rsidR="006E64B6" w:rsidRDefault="00000000">
            <w:pPr>
              <w:spacing w:after="0" w:line="240" w:lineRule="auto"/>
            </w:pPr>
            <w:r>
              <w:rPr>
                <w:sz w:val="17"/>
              </w:rPr>
              <w:t>IT Security/BCM; exercise and restore records.</w:t>
            </w:r>
          </w:p>
        </w:tc>
      </w:tr>
      <w:tr w:rsidR="006E64B6" w14:paraId="2C7F1BA0" w14:textId="77777777">
        <w:trPr>
          <w:jc w:val="center"/>
        </w:trPr>
        <w:tc>
          <w:tcPr>
            <w:tcW w:w="1944" w:type="dxa"/>
            <w:tcMar>
              <w:top w:w="75" w:type="dxa"/>
              <w:left w:w="85" w:type="dxa"/>
              <w:bottom w:w="75" w:type="dxa"/>
              <w:right w:w="85" w:type="dxa"/>
            </w:tcMar>
          </w:tcPr>
          <w:p w14:paraId="44E46127" w14:textId="77777777" w:rsidR="006E64B6" w:rsidRDefault="00000000">
            <w:pPr>
              <w:spacing w:after="0" w:line="240" w:lineRule="auto"/>
            </w:pPr>
            <w:r>
              <w:rPr>
                <w:sz w:val="17"/>
              </w:rPr>
              <w:t>Supplier security</w:t>
            </w:r>
          </w:p>
        </w:tc>
        <w:tc>
          <w:tcPr>
            <w:tcW w:w="5544" w:type="dxa"/>
            <w:tcMar>
              <w:top w:w="75" w:type="dxa"/>
              <w:left w:w="85" w:type="dxa"/>
              <w:bottom w:w="75" w:type="dxa"/>
              <w:right w:w="85" w:type="dxa"/>
            </w:tcMar>
          </w:tcPr>
          <w:p w14:paraId="086FFB39" w14:textId="77777777" w:rsidR="006E64B6" w:rsidRDefault="00000000">
            <w:pPr>
              <w:spacing w:after="0" w:line="240" w:lineRule="auto"/>
            </w:pPr>
            <w:r>
              <w:rPr>
                <w:sz w:val="17"/>
              </w:rPr>
              <w:t>Risk-tier suppliers; security clauses; MFA; approved service windows; logging; notification and offboarding requirements.</w:t>
            </w:r>
          </w:p>
        </w:tc>
        <w:tc>
          <w:tcPr>
            <w:tcW w:w="2160" w:type="dxa"/>
            <w:tcMar>
              <w:top w:w="75" w:type="dxa"/>
              <w:left w:w="85" w:type="dxa"/>
              <w:bottom w:w="75" w:type="dxa"/>
              <w:right w:w="85" w:type="dxa"/>
            </w:tcMar>
          </w:tcPr>
          <w:p w14:paraId="4B057C51" w14:textId="77777777" w:rsidR="006E64B6" w:rsidRDefault="00000000">
            <w:pPr>
              <w:spacing w:after="0" w:line="240" w:lineRule="auto"/>
            </w:pPr>
            <w:r>
              <w:rPr>
                <w:sz w:val="17"/>
              </w:rPr>
              <w:t>Procurement/IT; due-diligence and access records.</w:t>
            </w:r>
          </w:p>
        </w:tc>
      </w:tr>
    </w:tbl>
    <w:p w14:paraId="235387B1" w14:textId="77777777" w:rsidR="006E64B6" w:rsidRDefault="00000000">
      <w:pPr>
        <w:pStyle w:val="Heading1"/>
      </w:pPr>
      <w:bookmarkStart w:id="6" w:name="_Toc237295825"/>
      <w:r>
        <w:lastRenderedPageBreak/>
        <w:t>4. Proposed Security Architecture and Preventive Controls</w:t>
      </w:r>
      <w:bookmarkEnd w:id="6"/>
    </w:p>
    <w:p w14:paraId="56895E7A" w14:textId="1D728DC8" w:rsidR="006E64B6" w:rsidRDefault="00017913">
      <w:pPr>
        <w:keepNext/>
        <w:jc w:val="center"/>
      </w:pPr>
      <w:r>
        <w:rPr>
          <w:noProof/>
        </w:rPr>
        <w:drawing>
          <wp:inline distT="0" distB="0" distL="0" distR="0" wp14:anchorId="1B4C43B2" wp14:editId="7FF64556">
            <wp:extent cx="6126480" cy="2596515"/>
            <wp:effectExtent l="0" t="0" r="7620" b="0"/>
            <wp:docPr id="1956154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26480" cy="2596515"/>
                    </a:xfrm>
                    <a:prstGeom prst="rect">
                      <a:avLst/>
                    </a:prstGeom>
                    <a:noFill/>
                    <a:ln>
                      <a:noFill/>
                    </a:ln>
                  </pic:spPr>
                </pic:pic>
              </a:graphicData>
            </a:graphic>
          </wp:inline>
        </w:drawing>
      </w:r>
    </w:p>
    <w:p w14:paraId="6EFA4B9A" w14:textId="74573212" w:rsidR="006E64B6" w:rsidRPr="005D00FE" w:rsidRDefault="00000000">
      <w:pPr>
        <w:pStyle w:val="Caption"/>
        <w:jc w:val="center"/>
        <w:rPr>
          <w:rFonts w:ascii="Times New Roman" w:hAnsi="Times New Roman" w:cs="Times New Roman"/>
          <w:color w:val="2C2C2C" w:themeColor="text1"/>
        </w:rPr>
      </w:pPr>
      <w:r w:rsidRPr="005D00FE">
        <w:rPr>
          <w:rFonts w:ascii="Times New Roman" w:hAnsi="Times New Roman" w:cs="Times New Roman"/>
          <w:color w:val="2C2C2C" w:themeColor="text1"/>
        </w:rPr>
        <w:t>Figure 1. Target security-zone concept for SFM. Final conduits require asset and data-flow discovery plus safety review</w:t>
      </w:r>
      <w:r w:rsidR="005D00FE" w:rsidRPr="005D00FE">
        <w:rPr>
          <w:rFonts w:ascii="Times New Roman" w:hAnsi="Times New Roman" w:cs="Times New Roman"/>
          <w:color w:val="2C2C2C" w:themeColor="text1"/>
        </w:rPr>
        <w:t xml:space="preserve"> </w:t>
      </w:r>
      <w:r w:rsidRPr="005D00FE">
        <w:rPr>
          <w:rFonts w:ascii="Times New Roman" w:hAnsi="Times New Roman" w:cs="Times New Roman"/>
          <w:color w:val="2C2C2C" w:themeColor="text1"/>
        </w:rPr>
        <w:t>adapted from NIST manufacturing segmentation and OT guidance [9], [10].</w:t>
      </w:r>
    </w:p>
    <w:p w14:paraId="1333589F" w14:textId="77777777" w:rsidR="006E64B6" w:rsidRDefault="00000000">
      <w:pPr>
        <w:pStyle w:val="Heading2"/>
      </w:pPr>
      <w:bookmarkStart w:id="7" w:name="_Toc237295826"/>
      <w:r>
        <w:t>4.1 Identity, access and endpoint control</w:t>
      </w:r>
      <w:bookmarkEnd w:id="7"/>
    </w:p>
    <w:p w14:paraId="33DB8109" w14:textId="77777777" w:rsidR="006E64B6" w:rsidRDefault="00000000">
      <w:r>
        <w:t>Identity is the first control plane. SFM should require MFA for remote, cloud and privileged access, preferring phishing-resistant authenticators for administrators where applications permit [13]. Administrators use named standard accounts for routine work and separate managed accounts for elevation. PAM issues time-bounded credentials, records sessions where proportionate, protects emergency accounts and alerts on unusual elevation. Joiner, mover and leaver workflows must update access quickly, while quarterly reviews confirm rights still match roles. Application allowlisting should block unapproved remote-access utilities on engineering and administrative endpoints. Endpoint detection and response should cover supported corporate and engineering systems, but passive monitoring suits fragile OT assets better.</w:t>
      </w:r>
    </w:p>
    <w:p w14:paraId="06F215BB" w14:textId="77777777" w:rsidR="006E64B6" w:rsidRDefault="00000000">
      <w:pPr>
        <w:pStyle w:val="Heading2"/>
      </w:pPr>
      <w:bookmarkStart w:id="8" w:name="_Toc237295827"/>
      <w:r>
        <w:t>4.2 Segmentation, vulnerability management and data governance</w:t>
      </w:r>
      <w:bookmarkEnd w:id="8"/>
    </w:p>
    <w:p w14:paraId="10386A26" w14:textId="3808AA47" w:rsidR="006E64B6" w:rsidRDefault="00000000">
      <w:r>
        <w:t>The target architecture separates internet and cloud services, enterprise IT, an industrial DMZ, engineering access, OT production cells and safety-relevant operations. No vendor connects directly to a PLC</w:t>
      </w:r>
      <w:r w:rsidR="00E3652E">
        <w:t xml:space="preserve"> with </w:t>
      </w:r>
      <w:r>
        <w:t>approved suppliers enter through MFA-protected, time-limited jump access sponsored by an SFM owner, with sessions and transfers logged. Firewalls permit only documented source, destination, protocol and business purpose. Within OT, zones limit cell-to-cell movement, and controller changes require approved engineering workstations, signed-off baselines and independent verification. NIST's small-manufacturer segmentation guidance supports staged implementation: map connectivity first, then protect the most consequential conduits [10].</w:t>
      </w:r>
    </w:p>
    <w:p w14:paraId="5F4CE4A8" w14:textId="3D608CEC" w:rsidR="006E64B6" w:rsidRDefault="00000000">
      <w:r>
        <w:t>Vulnerability management combines asset criticality, known exploitation, exposure, available mitigations and safe maintenance windows. Internet-facing and actively exploited weaknesses are prioritised using authoritative sources such as the CISA Known Exploited Vulnerabilities catalogue [17]. OT patching needs vendor and engineering approval, offline testing and compensating controls when immediate patching is unsafe [9], [16]. Data governance classifies engineering IP, customer/employee personal data, commercial records, quality evidence and operational logs</w:t>
      </w:r>
      <w:r w:rsidR="00E3652E">
        <w:t>,</w:t>
      </w:r>
      <w:r>
        <w:t xml:space="preserve"> assigns owners</w:t>
      </w:r>
      <w:r w:rsidR="00E3652E">
        <w:t>,</w:t>
      </w:r>
      <w:r>
        <w:t xml:space="preserve"> restricts cloud sharing</w:t>
      </w:r>
      <w:r w:rsidR="00E3652E">
        <w:t>,</w:t>
      </w:r>
      <w:r>
        <w:t xml:space="preserve"> encrypts sensitive data where feasible</w:t>
      </w:r>
      <w:r w:rsidR="00E3652E">
        <w:t>,</w:t>
      </w:r>
      <w:r>
        <w:t xml:space="preserve"> and enforces retention, legal hold and secure disposal in line with UK GDPR and Data Protection Act 2018 duties, including breach-notification timelines once affected data and individuals are confirmed [26]. Cloud responsibility varies by service model, so SFM must own identity, configuration, sharing and monitoring even where a provider runs the infrastructure [15].</w:t>
      </w:r>
    </w:p>
    <w:p w14:paraId="23ECEB5B" w14:textId="77777777" w:rsidR="006E64B6" w:rsidRDefault="00000000">
      <w:pPr>
        <w:pStyle w:val="Heading1"/>
      </w:pPr>
      <w:bookmarkStart w:id="9" w:name="_Toc237295828"/>
      <w:r>
        <w:lastRenderedPageBreak/>
        <w:t>5. Detection, Incident Response and Business Continuity</w:t>
      </w:r>
      <w:bookmarkEnd w:id="9"/>
    </w:p>
    <w:p w14:paraId="530DD23B" w14:textId="2E6A2C2A" w:rsidR="006E64B6" w:rsidRDefault="00000000">
      <w:r>
        <w:t xml:space="preserve">Monitoring should be use-case led. A central platform, internal or managed, collects identity-provider, email, VPN, firewall, endpoint, cloud-administration and priority application events. Passive OT telemetry detects new devices, unusual protocols, unexpected remote sessions and controller changes without disrupting deterministic processes. High-value detections join signals into attack </w:t>
      </w:r>
      <w:r w:rsidR="00E3652E">
        <w:t>paths such as</w:t>
      </w:r>
      <w:r>
        <w:t xml:space="preserve"> suspicious email followed by privileged login, remote-tool execution and a new IT</w:t>
      </w:r>
      <w:r w:rsidR="00E3652E">
        <w:t xml:space="preserve">- </w:t>
      </w:r>
      <w:r>
        <w:t>OT connection, as Figure 2 illustrates. Time synchronisation, protected log access, defined retention and tested alert ownership are prerequisites [11], [21].</w:t>
      </w:r>
    </w:p>
    <w:p w14:paraId="544708E9" w14:textId="77777777" w:rsidR="006E64B6" w:rsidRDefault="00000000">
      <w:r>
        <w:t>The incident-response plan should follow current NIST guidance and define authority, severity, evidence handling, communications and recovery decisions [12]. Separate playbooks are needed for business-email compromise, ransomware, public cloud exposure, unauthorised remote access, suspected PLC change and supplier compromise. The default first actions are to preserve evidence, disable exposed accounts and tokens, isolate affected enterprise systems and convene IT, Operations, Engineering, Safety, Quality, Legal/Privacy and Communications. OT isolation or shutdown decisions must remain shared with operations and safety leadership. Supplier notification and regulator/customer communication should use verified facts, named decision owners and approved templates.</w:t>
      </w:r>
    </w:p>
    <w:p w14:paraId="1E4FF22C" w14:textId="0E0F8ABE" w:rsidR="004D2EA4" w:rsidRPr="004D2EA4" w:rsidRDefault="004D2EA4" w:rsidP="004D2EA4">
      <w:pPr>
        <w:keepNext/>
        <w:jc w:val="center"/>
      </w:pPr>
      <w:r w:rsidRPr="004D2EA4">
        <w:rPr>
          <w:noProof/>
        </w:rPr>
        <w:drawing>
          <wp:inline distT="0" distB="0" distL="0" distR="0" wp14:anchorId="3839D93E" wp14:editId="59A79BC4">
            <wp:extent cx="6126480" cy="2118360"/>
            <wp:effectExtent l="0" t="0" r="7620" b="0"/>
            <wp:docPr id="6866625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26480" cy="2118360"/>
                    </a:xfrm>
                    <a:prstGeom prst="rect">
                      <a:avLst/>
                    </a:prstGeom>
                    <a:noFill/>
                    <a:ln>
                      <a:noFill/>
                    </a:ln>
                  </pic:spPr>
                </pic:pic>
              </a:graphicData>
            </a:graphic>
          </wp:inline>
        </w:drawing>
      </w:r>
    </w:p>
    <w:p w14:paraId="442DA690" w14:textId="7C763366" w:rsidR="006E64B6" w:rsidRDefault="006E64B6">
      <w:pPr>
        <w:keepNext/>
        <w:jc w:val="center"/>
      </w:pPr>
    </w:p>
    <w:p w14:paraId="265BCCF0" w14:textId="55D01370" w:rsidR="006E64B6" w:rsidRPr="005D00FE" w:rsidRDefault="00000000">
      <w:pPr>
        <w:pStyle w:val="Caption"/>
        <w:jc w:val="center"/>
        <w:rPr>
          <w:rFonts w:ascii="Times New Roman" w:hAnsi="Times New Roman" w:cs="Times New Roman"/>
          <w:color w:val="2C2C2C" w:themeColor="text1"/>
        </w:rPr>
      </w:pPr>
      <w:r w:rsidRPr="005D00FE">
        <w:rPr>
          <w:rFonts w:ascii="Times New Roman" w:hAnsi="Times New Roman" w:cs="Times New Roman"/>
          <w:color w:val="2C2C2C" w:themeColor="text1"/>
        </w:rPr>
        <w:t>Figure 2. Incident detection and response workflow. OT isolation and resumption decisions stay joint with Operations and Safety adapted from NIST SP 800-61 Rev. 3 guidance [12].</w:t>
      </w:r>
    </w:p>
    <w:p w14:paraId="2AD1D8DF" w14:textId="6E30C6B6" w:rsidR="006E64B6" w:rsidRDefault="00000000">
      <w:r>
        <w:t xml:space="preserve">Continuity planning begins with a business impact analysis that sets recovery-time and recovery-point objectives for identity, ERP, engineering, quality and plant services. Backups need offline or immutable protection, separate administration and regular restore tests [19], [20]. Recovery sequences include clean identity services, trusted golden builds, PLC/recipe baselines and verification by Engineering and Quality before production resumes, with manual order, dispatch and quality workarounds documented and exercised. A ransom payment is not a substitute for recovery </w:t>
      </w:r>
      <w:proofErr w:type="gramStart"/>
      <w:r>
        <w:t>capability</w:t>
      </w:r>
      <w:r w:rsidR="00E3652E">
        <w:t>,</w:t>
      </w:r>
      <w:proofErr w:type="gramEnd"/>
      <w:r>
        <w:t xml:space="preserve"> the objective is to restore safely from trusted data and configurations.</w:t>
      </w:r>
    </w:p>
    <w:p w14:paraId="4F79BA01" w14:textId="77777777" w:rsidR="006E64B6" w:rsidRDefault="00000000">
      <w:pPr>
        <w:pStyle w:val="Heading2"/>
      </w:pPr>
      <w:bookmarkStart w:id="10" w:name="_Toc237295829"/>
      <w:r>
        <w:t>5.1 Testing and assurance</w:t>
      </w:r>
      <w:bookmarkEnd w:id="10"/>
    </w:p>
    <w:p w14:paraId="0BE18DC9" w14:textId="77777777" w:rsidR="006E64B6" w:rsidRDefault="00000000">
      <w:r>
        <w:t xml:space="preserve">Testing must demonstrate control operation, not just configuration. A procurement-phishing exercise tests user reporting, mailbox investigation, credential/token revocation and verification of unusual payment or supplier requests. A malware/ransomware exercise tests endpoint isolation, lateral-movement checks, backup protection and restoration of priority services. An unauthorised production-network access exercise tests detection, evidence preservation and joint IT/Operations decisions before any OT isolation, following the Figure 2 workflow. Further table-tops should cover suspected PLC or recipe change, cloud-data exposure and supplier compromise, each recording detection, decision, containment, recovery and communication times, with unresolved actions assigned owners and deadlines. Later independent or purple-team testing can validate high-value controls </w:t>
      </w:r>
      <w:r>
        <w:lastRenderedPageBreak/>
        <w:t>without unsafe intrusion into production. The board should receive evidence that critical scenarios were exercised, recovery objectives were met, and repeated findings are declining.</w:t>
      </w:r>
    </w:p>
    <w:p w14:paraId="67090E31" w14:textId="77777777" w:rsidR="006E64B6" w:rsidRDefault="00000000">
      <w:pPr>
        <w:pStyle w:val="Heading1"/>
      </w:pPr>
      <w:bookmarkStart w:id="11" w:name="_Toc237295830"/>
      <w:r>
        <w:t>6. People, Suppliers and Physical Security</w:t>
      </w:r>
      <w:bookmarkEnd w:id="11"/>
    </w:p>
    <w:p w14:paraId="61725427" w14:textId="77777777" w:rsidR="006E64B6" w:rsidRDefault="00000000">
      <w:pPr>
        <w:pStyle w:val="Heading2"/>
      </w:pPr>
      <w:bookmarkStart w:id="12" w:name="_Toc237295831"/>
      <w:r>
        <w:t>6.1 Training and awareness programme</w:t>
      </w:r>
      <w:bookmarkEnd w:id="12"/>
    </w:p>
    <w:p w14:paraId="7A133AA6" w14:textId="0D5CA3FF" w:rsidR="006E64B6" w:rsidRDefault="00000000">
      <w:r>
        <w:t xml:space="preserve">SFM should operate a continuing, role-based awareness programme rather than a single annual module. New starters complete induction on phishing, incident reporting, data handling, passwords/MFA and removable media, followed by short quarterly refreshers and an annual policy acknowledgement. Procurement needs business-email-compromise, supplier-verification and payment-change exercises administrators need privileged-account, MFA and </w:t>
      </w:r>
      <w:r w:rsidR="00017913">
        <w:t>token revocation</w:t>
      </w:r>
      <w:r>
        <w:t xml:space="preserve"> drills</w:t>
      </w:r>
      <w:r w:rsidR="00E3652E">
        <w:t>,</w:t>
      </w:r>
      <w:r>
        <w:t xml:space="preserve"> OT and Engineering need remote-access, removable-media and safe-change training</w:t>
      </w:r>
      <w:r w:rsidR="00E3652E">
        <w:t xml:space="preserve"> and </w:t>
      </w:r>
      <w:r>
        <w:t>executives need spoofing and incident-decision table-tops. Simulated phishing supports learning and targeted coaching, not blame. Effectiveness is tracked through completion, reporting rate, time-to-report, repeat simulation failures and closure of exercise actions; evidence suggests training helps but retention and susceptibility remain challenges [22].</w:t>
      </w:r>
    </w:p>
    <w:p w14:paraId="4EBDF461" w14:textId="77777777" w:rsidR="006E64B6" w:rsidRPr="005D00FE" w:rsidRDefault="00000000">
      <w:pPr>
        <w:pStyle w:val="Caption"/>
        <w:rPr>
          <w:rFonts w:ascii="Times New Roman" w:hAnsi="Times New Roman" w:cs="Times New Roman"/>
          <w:color w:val="2C2C2C" w:themeColor="text1"/>
        </w:rPr>
      </w:pPr>
      <w:r w:rsidRPr="005D00FE">
        <w:rPr>
          <w:rFonts w:ascii="Times New Roman" w:hAnsi="Times New Roman" w:cs="Times New Roman"/>
          <w:color w:val="2C2C2C" w:themeColor="text1"/>
        </w:rPr>
        <w:t>Table 3. Role-based security awareness programme</w:t>
      </w:r>
    </w:p>
    <w:tbl>
      <w:tblPr>
        <w:tblW w:w="0" w:type="auto"/>
        <w:jc w:val="center"/>
        <w:tblLayout w:type="fixed"/>
        <w:tblLook w:val="04A0" w:firstRow="1" w:lastRow="0" w:firstColumn="1" w:lastColumn="0" w:noHBand="0" w:noVBand="1"/>
      </w:tblPr>
      <w:tblGrid>
        <w:gridCol w:w="1584"/>
        <w:gridCol w:w="1944"/>
        <w:gridCol w:w="4032"/>
        <w:gridCol w:w="2088"/>
      </w:tblGrid>
      <w:tr w:rsidR="006E64B6" w14:paraId="29A57805" w14:textId="77777777">
        <w:trPr>
          <w:tblHeader/>
          <w:jc w:val="center"/>
        </w:trPr>
        <w:tc>
          <w:tcPr>
            <w:tcW w:w="1584" w:type="dxa"/>
            <w:shd w:val="clear" w:color="auto" w:fill="F2F4F7"/>
            <w:tcMar>
              <w:top w:w="75" w:type="dxa"/>
              <w:left w:w="85" w:type="dxa"/>
              <w:bottom w:w="75" w:type="dxa"/>
              <w:right w:w="85" w:type="dxa"/>
            </w:tcMar>
          </w:tcPr>
          <w:p w14:paraId="685513AA" w14:textId="77777777" w:rsidR="006E64B6" w:rsidRDefault="00000000">
            <w:pPr>
              <w:spacing w:after="0" w:line="240" w:lineRule="auto"/>
            </w:pPr>
            <w:r>
              <w:rPr>
                <w:b/>
                <w:sz w:val="17"/>
              </w:rPr>
              <w:t>Audience</w:t>
            </w:r>
          </w:p>
        </w:tc>
        <w:tc>
          <w:tcPr>
            <w:tcW w:w="1944" w:type="dxa"/>
            <w:shd w:val="clear" w:color="auto" w:fill="F2F4F7"/>
            <w:tcMar>
              <w:top w:w="75" w:type="dxa"/>
              <w:left w:w="85" w:type="dxa"/>
              <w:bottom w:w="75" w:type="dxa"/>
              <w:right w:w="85" w:type="dxa"/>
            </w:tcMar>
          </w:tcPr>
          <w:p w14:paraId="22E04636" w14:textId="77777777" w:rsidR="006E64B6" w:rsidRDefault="00000000">
            <w:pPr>
              <w:spacing w:after="0" w:line="240" w:lineRule="auto"/>
            </w:pPr>
            <w:r>
              <w:rPr>
                <w:b/>
                <w:sz w:val="17"/>
              </w:rPr>
              <w:t>Cadence</w:t>
            </w:r>
          </w:p>
        </w:tc>
        <w:tc>
          <w:tcPr>
            <w:tcW w:w="4032" w:type="dxa"/>
            <w:shd w:val="clear" w:color="auto" w:fill="F2F4F7"/>
            <w:tcMar>
              <w:top w:w="75" w:type="dxa"/>
              <w:left w:w="85" w:type="dxa"/>
              <w:bottom w:w="75" w:type="dxa"/>
              <w:right w:w="85" w:type="dxa"/>
            </w:tcMar>
          </w:tcPr>
          <w:p w14:paraId="10F25D36" w14:textId="77777777" w:rsidR="006E64B6" w:rsidRDefault="00000000">
            <w:pPr>
              <w:spacing w:after="0" w:line="240" w:lineRule="auto"/>
            </w:pPr>
            <w:r>
              <w:rPr>
                <w:b/>
                <w:sz w:val="17"/>
              </w:rPr>
              <w:t>Primary focus</w:t>
            </w:r>
          </w:p>
        </w:tc>
        <w:tc>
          <w:tcPr>
            <w:tcW w:w="2088" w:type="dxa"/>
            <w:shd w:val="clear" w:color="auto" w:fill="F2F4F7"/>
            <w:tcMar>
              <w:top w:w="75" w:type="dxa"/>
              <w:left w:w="85" w:type="dxa"/>
              <w:bottom w:w="75" w:type="dxa"/>
              <w:right w:w="85" w:type="dxa"/>
            </w:tcMar>
          </w:tcPr>
          <w:p w14:paraId="3CEEA10E" w14:textId="77777777" w:rsidR="006E64B6" w:rsidRDefault="00000000">
            <w:pPr>
              <w:spacing w:after="0" w:line="240" w:lineRule="auto"/>
            </w:pPr>
            <w:r>
              <w:rPr>
                <w:b/>
                <w:sz w:val="17"/>
              </w:rPr>
              <w:t>Evidence/KPI</w:t>
            </w:r>
          </w:p>
        </w:tc>
      </w:tr>
      <w:tr w:rsidR="006E64B6" w14:paraId="34F0D950" w14:textId="77777777">
        <w:trPr>
          <w:jc w:val="center"/>
        </w:trPr>
        <w:tc>
          <w:tcPr>
            <w:tcW w:w="1584" w:type="dxa"/>
            <w:tcMar>
              <w:top w:w="75" w:type="dxa"/>
              <w:left w:w="85" w:type="dxa"/>
              <w:bottom w:w="75" w:type="dxa"/>
              <w:right w:w="85" w:type="dxa"/>
            </w:tcMar>
          </w:tcPr>
          <w:p w14:paraId="4BFA1ACD" w14:textId="77777777" w:rsidR="006E64B6" w:rsidRDefault="00000000">
            <w:pPr>
              <w:spacing w:after="0" w:line="240" w:lineRule="auto"/>
            </w:pPr>
            <w:r>
              <w:rPr>
                <w:sz w:val="17"/>
              </w:rPr>
              <w:t>All staff</w:t>
            </w:r>
          </w:p>
        </w:tc>
        <w:tc>
          <w:tcPr>
            <w:tcW w:w="1944" w:type="dxa"/>
            <w:tcMar>
              <w:top w:w="75" w:type="dxa"/>
              <w:left w:w="85" w:type="dxa"/>
              <w:bottom w:w="75" w:type="dxa"/>
              <w:right w:w="85" w:type="dxa"/>
            </w:tcMar>
          </w:tcPr>
          <w:p w14:paraId="54E31326" w14:textId="2794E5AD" w:rsidR="006E64B6" w:rsidRDefault="00000000">
            <w:pPr>
              <w:spacing w:after="0" w:line="240" w:lineRule="auto"/>
            </w:pPr>
            <w:r>
              <w:rPr>
                <w:sz w:val="17"/>
              </w:rPr>
              <w:t xml:space="preserve">Induction </w:t>
            </w:r>
            <w:r w:rsidR="00E3652E">
              <w:rPr>
                <w:sz w:val="17"/>
              </w:rPr>
              <w:t>with</w:t>
            </w:r>
            <w:r>
              <w:rPr>
                <w:sz w:val="17"/>
              </w:rPr>
              <w:t xml:space="preserve"> quarterly refreshers</w:t>
            </w:r>
          </w:p>
        </w:tc>
        <w:tc>
          <w:tcPr>
            <w:tcW w:w="4032" w:type="dxa"/>
            <w:tcMar>
              <w:top w:w="75" w:type="dxa"/>
              <w:left w:w="85" w:type="dxa"/>
              <w:bottom w:w="75" w:type="dxa"/>
              <w:right w:w="85" w:type="dxa"/>
            </w:tcMar>
          </w:tcPr>
          <w:p w14:paraId="26626921" w14:textId="77777777" w:rsidR="006E64B6" w:rsidRDefault="00000000">
            <w:pPr>
              <w:spacing w:after="0" w:line="240" w:lineRule="auto"/>
            </w:pPr>
            <w:r>
              <w:rPr>
                <w:sz w:val="17"/>
              </w:rPr>
              <w:t>Phishing, reporting, MFA, data handling, USB/removable media</w:t>
            </w:r>
          </w:p>
        </w:tc>
        <w:tc>
          <w:tcPr>
            <w:tcW w:w="2088" w:type="dxa"/>
            <w:tcMar>
              <w:top w:w="75" w:type="dxa"/>
              <w:left w:w="85" w:type="dxa"/>
              <w:bottom w:w="75" w:type="dxa"/>
              <w:right w:w="85" w:type="dxa"/>
            </w:tcMar>
          </w:tcPr>
          <w:p w14:paraId="2867E60A" w14:textId="1157A753" w:rsidR="006E64B6" w:rsidRDefault="00000000">
            <w:pPr>
              <w:spacing w:after="0" w:line="240" w:lineRule="auto"/>
            </w:pPr>
            <w:r>
              <w:rPr>
                <w:sz w:val="17"/>
              </w:rPr>
              <w:t>Completion</w:t>
            </w:r>
            <w:r w:rsidR="00E3652E">
              <w:rPr>
                <w:sz w:val="17"/>
              </w:rPr>
              <w:t>,</w:t>
            </w:r>
            <w:r>
              <w:rPr>
                <w:sz w:val="17"/>
              </w:rPr>
              <w:t xml:space="preserve"> reporting rate</w:t>
            </w:r>
            <w:r w:rsidR="00E3652E">
              <w:rPr>
                <w:sz w:val="17"/>
              </w:rPr>
              <w:t>,</w:t>
            </w:r>
            <w:r>
              <w:rPr>
                <w:sz w:val="17"/>
              </w:rPr>
              <w:t xml:space="preserve"> time-to-report</w:t>
            </w:r>
          </w:p>
        </w:tc>
      </w:tr>
      <w:tr w:rsidR="006E64B6" w14:paraId="641DB6B4" w14:textId="77777777">
        <w:trPr>
          <w:jc w:val="center"/>
        </w:trPr>
        <w:tc>
          <w:tcPr>
            <w:tcW w:w="1584" w:type="dxa"/>
            <w:tcMar>
              <w:top w:w="75" w:type="dxa"/>
              <w:left w:w="85" w:type="dxa"/>
              <w:bottom w:w="75" w:type="dxa"/>
              <w:right w:w="85" w:type="dxa"/>
            </w:tcMar>
          </w:tcPr>
          <w:p w14:paraId="16CD9713" w14:textId="77777777" w:rsidR="006E64B6" w:rsidRDefault="00000000">
            <w:pPr>
              <w:spacing w:after="0" w:line="240" w:lineRule="auto"/>
            </w:pPr>
            <w:r>
              <w:rPr>
                <w:sz w:val="17"/>
              </w:rPr>
              <w:t>Procurement</w:t>
            </w:r>
          </w:p>
        </w:tc>
        <w:tc>
          <w:tcPr>
            <w:tcW w:w="1944" w:type="dxa"/>
            <w:tcMar>
              <w:top w:w="75" w:type="dxa"/>
              <w:left w:w="85" w:type="dxa"/>
              <w:bottom w:w="75" w:type="dxa"/>
              <w:right w:w="85" w:type="dxa"/>
            </w:tcMar>
          </w:tcPr>
          <w:p w14:paraId="6829728A" w14:textId="430F0F1B" w:rsidR="006E64B6" w:rsidRDefault="00000000">
            <w:pPr>
              <w:spacing w:after="0" w:line="240" w:lineRule="auto"/>
            </w:pPr>
            <w:r>
              <w:rPr>
                <w:sz w:val="17"/>
              </w:rPr>
              <w:t xml:space="preserve">Quarterly </w:t>
            </w:r>
            <w:r w:rsidR="00E3652E">
              <w:rPr>
                <w:sz w:val="17"/>
              </w:rPr>
              <w:t>with</w:t>
            </w:r>
            <w:r>
              <w:rPr>
                <w:sz w:val="17"/>
              </w:rPr>
              <w:t xml:space="preserve"> simulations</w:t>
            </w:r>
          </w:p>
        </w:tc>
        <w:tc>
          <w:tcPr>
            <w:tcW w:w="4032" w:type="dxa"/>
            <w:tcMar>
              <w:top w:w="75" w:type="dxa"/>
              <w:left w:w="85" w:type="dxa"/>
              <w:bottom w:w="75" w:type="dxa"/>
              <w:right w:w="85" w:type="dxa"/>
            </w:tcMar>
          </w:tcPr>
          <w:p w14:paraId="191C12A5" w14:textId="77777777" w:rsidR="006E64B6" w:rsidRDefault="00000000">
            <w:pPr>
              <w:spacing w:after="0" w:line="240" w:lineRule="auto"/>
            </w:pPr>
            <w:r>
              <w:rPr>
                <w:sz w:val="17"/>
              </w:rPr>
              <w:t>BEC, supplier identity, payment/change verification</w:t>
            </w:r>
          </w:p>
        </w:tc>
        <w:tc>
          <w:tcPr>
            <w:tcW w:w="2088" w:type="dxa"/>
            <w:tcMar>
              <w:top w:w="75" w:type="dxa"/>
              <w:left w:w="85" w:type="dxa"/>
              <w:bottom w:w="75" w:type="dxa"/>
              <w:right w:w="85" w:type="dxa"/>
            </w:tcMar>
          </w:tcPr>
          <w:p w14:paraId="6503F6BE" w14:textId="19DB1C14" w:rsidR="006E64B6" w:rsidRDefault="00000000">
            <w:pPr>
              <w:spacing w:after="0" w:line="240" w:lineRule="auto"/>
            </w:pPr>
            <w:r>
              <w:rPr>
                <w:sz w:val="17"/>
              </w:rPr>
              <w:t>Simulation trends</w:t>
            </w:r>
            <w:r w:rsidR="00E3652E">
              <w:rPr>
                <w:sz w:val="17"/>
              </w:rPr>
              <w:t>,</w:t>
            </w:r>
            <w:r>
              <w:rPr>
                <w:sz w:val="17"/>
              </w:rPr>
              <w:t xml:space="preserve"> correct escalation</w:t>
            </w:r>
          </w:p>
        </w:tc>
      </w:tr>
      <w:tr w:rsidR="006E64B6" w14:paraId="3D19604E" w14:textId="77777777">
        <w:trPr>
          <w:jc w:val="center"/>
        </w:trPr>
        <w:tc>
          <w:tcPr>
            <w:tcW w:w="1584" w:type="dxa"/>
            <w:tcMar>
              <w:top w:w="75" w:type="dxa"/>
              <w:left w:w="85" w:type="dxa"/>
              <w:bottom w:w="75" w:type="dxa"/>
              <w:right w:w="85" w:type="dxa"/>
            </w:tcMar>
          </w:tcPr>
          <w:p w14:paraId="62F715DE" w14:textId="77777777" w:rsidR="006E64B6" w:rsidRDefault="00000000">
            <w:pPr>
              <w:spacing w:after="0" w:line="240" w:lineRule="auto"/>
            </w:pPr>
            <w:r>
              <w:rPr>
                <w:sz w:val="17"/>
              </w:rPr>
              <w:t>Admins</w:t>
            </w:r>
          </w:p>
        </w:tc>
        <w:tc>
          <w:tcPr>
            <w:tcW w:w="1944" w:type="dxa"/>
            <w:tcMar>
              <w:top w:w="75" w:type="dxa"/>
              <w:left w:w="85" w:type="dxa"/>
              <w:bottom w:w="75" w:type="dxa"/>
              <w:right w:w="85" w:type="dxa"/>
            </w:tcMar>
          </w:tcPr>
          <w:p w14:paraId="3C0ED6DE" w14:textId="77777777" w:rsidR="006E64B6" w:rsidRDefault="00000000">
            <w:pPr>
              <w:spacing w:after="0" w:line="240" w:lineRule="auto"/>
            </w:pPr>
            <w:r>
              <w:rPr>
                <w:sz w:val="17"/>
              </w:rPr>
              <w:t>Quarterly exercise</w:t>
            </w:r>
          </w:p>
        </w:tc>
        <w:tc>
          <w:tcPr>
            <w:tcW w:w="4032" w:type="dxa"/>
            <w:tcMar>
              <w:top w:w="75" w:type="dxa"/>
              <w:left w:w="85" w:type="dxa"/>
              <w:bottom w:w="75" w:type="dxa"/>
              <w:right w:w="85" w:type="dxa"/>
            </w:tcMar>
          </w:tcPr>
          <w:p w14:paraId="2055C7BC" w14:textId="77777777" w:rsidR="006E64B6" w:rsidRDefault="00000000">
            <w:pPr>
              <w:spacing w:after="0" w:line="240" w:lineRule="auto"/>
            </w:pPr>
            <w:r>
              <w:rPr>
                <w:sz w:val="17"/>
              </w:rPr>
              <w:t>PAM, phishing-resistant MFA, token revocation, emergency access</w:t>
            </w:r>
          </w:p>
        </w:tc>
        <w:tc>
          <w:tcPr>
            <w:tcW w:w="2088" w:type="dxa"/>
            <w:tcMar>
              <w:top w:w="75" w:type="dxa"/>
              <w:left w:w="85" w:type="dxa"/>
              <w:bottom w:w="75" w:type="dxa"/>
              <w:right w:w="85" w:type="dxa"/>
            </w:tcMar>
          </w:tcPr>
          <w:p w14:paraId="15DC3CE8" w14:textId="20F53C77" w:rsidR="006E64B6" w:rsidRDefault="00000000">
            <w:pPr>
              <w:spacing w:after="0" w:line="240" w:lineRule="auto"/>
            </w:pPr>
            <w:r>
              <w:rPr>
                <w:sz w:val="17"/>
              </w:rPr>
              <w:t>Access-review findings</w:t>
            </w:r>
            <w:r w:rsidR="00E3652E">
              <w:rPr>
                <w:sz w:val="17"/>
              </w:rPr>
              <w:t xml:space="preserve">, </w:t>
            </w:r>
            <w:r>
              <w:rPr>
                <w:sz w:val="17"/>
              </w:rPr>
              <w:t>exercise actions</w:t>
            </w:r>
          </w:p>
        </w:tc>
      </w:tr>
      <w:tr w:rsidR="006E64B6" w14:paraId="0B929AD6" w14:textId="77777777">
        <w:trPr>
          <w:jc w:val="center"/>
        </w:trPr>
        <w:tc>
          <w:tcPr>
            <w:tcW w:w="1584" w:type="dxa"/>
            <w:tcMar>
              <w:top w:w="75" w:type="dxa"/>
              <w:left w:w="85" w:type="dxa"/>
              <w:bottom w:w="75" w:type="dxa"/>
              <w:right w:w="85" w:type="dxa"/>
            </w:tcMar>
          </w:tcPr>
          <w:p w14:paraId="119069E1" w14:textId="77777777" w:rsidR="006E64B6" w:rsidRDefault="00000000">
            <w:pPr>
              <w:spacing w:after="0" w:line="240" w:lineRule="auto"/>
            </w:pPr>
            <w:r>
              <w:rPr>
                <w:sz w:val="17"/>
              </w:rPr>
              <w:t>OT/Engineering</w:t>
            </w:r>
          </w:p>
        </w:tc>
        <w:tc>
          <w:tcPr>
            <w:tcW w:w="1944" w:type="dxa"/>
            <w:tcMar>
              <w:top w:w="75" w:type="dxa"/>
              <w:left w:w="85" w:type="dxa"/>
              <w:bottom w:w="75" w:type="dxa"/>
              <w:right w:w="85" w:type="dxa"/>
            </w:tcMar>
          </w:tcPr>
          <w:p w14:paraId="6C3A9289" w14:textId="1827C92B" w:rsidR="006E64B6" w:rsidRDefault="00000000">
            <w:pPr>
              <w:spacing w:after="0" w:line="240" w:lineRule="auto"/>
            </w:pPr>
            <w:r>
              <w:rPr>
                <w:sz w:val="17"/>
              </w:rPr>
              <w:t>Six-</w:t>
            </w:r>
            <w:r w:rsidR="00E3652E">
              <w:rPr>
                <w:sz w:val="17"/>
              </w:rPr>
              <w:t xml:space="preserve">monthly </w:t>
            </w:r>
            <w:r>
              <w:rPr>
                <w:sz w:val="17"/>
              </w:rPr>
              <w:t>maintenance drills</w:t>
            </w:r>
          </w:p>
        </w:tc>
        <w:tc>
          <w:tcPr>
            <w:tcW w:w="4032" w:type="dxa"/>
            <w:tcMar>
              <w:top w:w="75" w:type="dxa"/>
              <w:left w:w="85" w:type="dxa"/>
              <w:bottom w:w="75" w:type="dxa"/>
              <w:right w:w="85" w:type="dxa"/>
            </w:tcMar>
          </w:tcPr>
          <w:p w14:paraId="1E147BA5" w14:textId="77777777" w:rsidR="006E64B6" w:rsidRDefault="00000000">
            <w:pPr>
              <w:spacing w:after="0" w:line="240" w:lineRule="auto"/>
            </w:pPr>
            <w:r>
              <w:rPr>
                <w:sz w:val="17"/>
              </w:rPr>
              <w:t>Vendor access, media control, safe change and incident isolation</w:t>
            </w:r>
          </w:p>
        </w:tc>
        <w:tc>
          <w:tcPr>
            <w:tcW w:w="2088" w:type="dxa"/>
            <w:tcMar>
              <w:top w:w="75" w:type="dxa"/>
              <w:left w:w="85" w:type="dxa"/>
              <w:bottom w:w="75" w:type="dxa"/>
              <w:right w:w="85" w:type="dxa"/>
            </w:tcMar>
          </w:tcPr>
          <w:p w14:paraId="12D835BF" w14:textId="3318C975" w:rsidR="006E64B6" w:rsidRDefault="00000000">
            <w:pPr>
              <w:spacing w:after="0" w:line="240" w:lineRule="auto"/>
            </w:pPr>
            <w:proofErr w:type="spellStart"/>
            <w:r>
              <w:rPr>
                <w:sz w:val="17"/>
              </w:rPr>
              <w:t>Unauthorised</w:t>
            </w:r>
            <w:proofErr w:type="spellEnd"/>
            <w:r>
              <w:rPr>
                <w:sz w:val="17"/>
              </w:rPr>
              <w:t>-change events</w:t>
            </w:r>
            <w:r w:rsidR="00E3652E">
              <w:rPr>
                <w:sz w:val="17"/>
              </w:rPr>
              <w:t>,</w:t>
            </w:r>
            <w:r>
              <w:rPr>
                <w:sz w:val="17"/>
              </w:rPr>
              <w:t xml:space="preserve"> actions closed</w:t>
            </w:r>
          </w:p>
        </w:tc>
      </w:tr>
      <w:tr w:rsidR="006E64B6" w14:paraId="230172E8" w14:textId="77777777">
        <w:trPr>
          <w:jc w:val="center"/>
        </w:trPr>
        <w:tc>
          <w:tcPr>
            <w:tcW w:w="1584" w:type="dxa"/>
            <w:tcMar>
              <w:top w:w="75" w:type="dxa"/>
              <w:left w:w="85" w:type="dxa"/>
              <w:bottom w:w="75" w:type="dxa"/>
              <w:right w:w="85" w:type="dxa"/>
            </w:tcMar>
          </w:tcPr>
          <w:p w14:paraId="124AAAEF" w14:textId="77777777" w:rsidR="006E64B6" w:rsidRDefault="00000000">
            <w:pPr>
              <w:spacing w:after="0" w:line="240" w:lineRule="auto"/>
            </w:pPr>
            <w:r>
              <w:rPr>
                <w:sz w:val="17"/>
              </w:rPr>
              <w:t>Executives/managers</w:t>
            </w:r>
          </w:p>
        </w:tc>
        <w:tc>
          <w:tcPr>
            <w:tcW w:w="1944" w:type="dxa"/>
            <w:tcMar>
              <w:top w:w="75" w:type="dxa"/>
              <w:left w:w="85" w:type="dxa"/>
              <w:bottom w:w="75" w:type="dxa"/>
              <w:right w:w="85" w:type="dxa"/>
            </w:tcMar>
          </w:tcPr>
          <w:p w14:paraId="558C4639" w14:textId="77777777" w:rsidR="006E64B6" w:rsidRDefault="00000000">
            <w:pPr>
              <w:spacing w:after="0" w:line="240" w:lineRule="auto"/>
            </w:pPr>
            <w:r>
              <w:rPr>
                <w:sz w:val="17"/>
              </w:rPr>
              <w:t>Six-monthly tabletop</w:t>
            </w:r>
          </w:p>
        </w:tc>
        <w:tc>
          <w:tcPr>
            <w:tcW w:w="4032" w:type="dxa"/>
            <w:tcMar>
              <w:top w:w="75" w:type="dxa"/>
              <w:left w:w="85" w:type="dxa"/>
              <w:bottom w:w="75" w:type="dxa"/>
              <w:right w:w="85" w:type="dxa"/>
            </w:tcMar>
          </w:tcPr>
          <w:p w14:paraId="016EE9C7" w14:textId="77777777" w:rsidR="006E64B6" w:rsidRDefault="00000000">
            <w:pPr>
              <w:spacing w:after="0" w:line="240" w:lineRule="auto"/>
            </w:pPr>
            <w:r>
              <w:rPr>
                <w:sz w:val="17"/>
              </w:rPr>
              <w:t>Spoofing, crisis decisions, communications and business continuity</w:t>
            </w:r>
          </w:p>
        </w:tc>
        <w:tc>
          <w:tcPr>
            <w:tcW w:w="2088" w:type="dxa"/>
            <w:tcMar>
              <w:top w:w="75" w:type="dxa"/>
              <w:left w:w="85" w:type="dxa"/>
              <w:bottom w:w="75" w:type="dxa"/>
              <w:right w:w="85" w:type="dxa"/>
            </w:tcMar>
          </w:tcPr>
          <w:p w14:paraId="170B2E71" w14:textId="567C8FD1" w:rsidR="006E64B6" w:rsidRDefault="00000000">
            <w:pPr>
              <w:spacing w:after="0" w:line="240" w:lineRule="auto"/>
            </w:pPr>
            <w:r>
              <w:rPr>
                <w:sz w:val="17"/>
              </w:rPr>
              <w:t>Decision/escalation time</w:t>
            </w:r>
            <w:r w:rsidR="00E3652E">
              <w:rPr>
                <w:sz w:val="17"/>
              </w:rPr>
              <w:t>,</w:t>
            </w:r>
            <w:r>
              <w:rPr>
                <w:sz w:val="17"/>
              </w:rPr>
              <w:t xml:space="preserve"> actions closed</w:t>
            </w:r>
          </w:p>
        </w:tc>
      </w:tr>
    </w:tbl>
    <w:p w14:paraId="09A1E2B2" w14:textId="77777777" w:rsidR="006E64B6" w:rsidRDefault="00000000">
      <w:pPr>
        <w:pStyle w:val="Heading2"/>
      </w:pPr>
      <w:bookmarkStart w:id="13" w:name="_Toc237295832"/>
      <w:r>
        <w:t>6.2 Supplier and physical security</w:t>
      </w:r>
      <w:bookmarkEnd w:id="13"/>
    </w:p>
    <w:p w14:paraId="22828F89" w14:textId="77777777" w:rsidR="006E64B6" w:rsidRDefault="00000000">
      <w:r>
        <w:t>Suppliers should be tiered by access and business criticality. High-risk contracts need minimum controls, incident-notification duties, subcontractor transparency, recovery expectations, evidence rights and secure termination. Access should expire automatically and be re-approved for each service window [18]. Physical measures should protect network cabinets, controller ports, engineering stations, backup media and server rooms; visitors are identified and escorted; abandoned badges, shared keys and unattended terminals are reviewed during plant inspections.</w:t>
      </w:r>
    </w:p>
    <w:p w14:paraId="05C933D5" w14:textId="77777777" w:rsidR="006E64B6" w:rsidRDefault="00000000">
      <w:pPr>
        <w:pStyle w:val="Heading1"/>
      </w:pPr>
      <w:bookmarkStart w:id="14" w:name="_Toc237295833"/>
      <w:r>
        <w:t>7. Implementation, Practicality and Board Oversight</w:t>
      </w:r>
      <w:bookmarkEnd w:id="14"/>
    </w:p>
    <w:p w14:paraId="12D61EED" w14:textId="77777777" w:rsidR="006E64B6" w:rsidRDefault="00000000">
      <w:r>
        <w:t>SFM should avoid a simultaneous certification exercise, full plant redesign and large tool purchase. NIST's small-business guidance supports a risk-based sequence using existing controls and managed expertise where internal capacity is limited [2]. Funding gates release when owners, requirements and success measures are clear, and operational changes require planned windows, rollback criteria and safety approval. Independent assurance should test control operation after the foundations are stable, not merely confirm that policies exist.</w:t>
      </w:r>
    </w:p>
    <w:p w14:paraId="3B6D3032" w14:textId="77777777" w:rsidR="006E64B6" w:rsidRPr="005D00FE" w:rsidRDefault="00000000">
      <w:pPr>
        <w:pStyle w:val="Caption"/>
        <w:rPr>
          <w:rFonts w:ascii="Times New Roman" w:hAnsi="Times New Roman" w:cs="Times New Roman"/>
          <w:color w:val="2C2C2C" w:themeColor="text1"/>
        </w:rPr>
      </w:pPr>
      <w:r w:rsidRPr="005D00FE">
        <w:rPr>
          <w:rFonts w:ascii="Times New Roman" w:hAnsi="Times New Roman" w:cs="Times New Roman"/>
          <w:color w:val="2C2C2C" w:themeColor="text1"/>
        </w:rPr>
        <w:t>Table 4. Phased implementation roadmap</w:t>
      </w:r>
    </w:p>
    <w:tbl>
      <w:tblPr>
        <w:tblW w:w="0" w:type="auto"/>
        <w:jc w:val="center"/>
        <w:tblBorders>
          <w:top w:val="single" w:sz="4" w:space="0" w:color="D0D5DD"/>
          <w:left w:val="single" w:sz="4" w:space="0" w:color="D0D5DD"/>
          <w:bottom w:val="single" w:sz="4" w:space="0" w:color="D0D5DD"/>
          <w:right w:val="single" w:sz="4" w:space="0" w:color="D0D5DD"/>
          <w:insideH w:val="single" w:sz="4" w:space="0" w:color="D0D5DD"/>
          <w:insideV w:val="single" w:sz="4" w:space="0" w:color="D0D5DD"/>
        </w:tblBorders>
        <w:tblLayout w:type="fixed"/>
        <w:tblLook w:val="04A0" w:firstRow="1" w:lastRow="0" w:firstColumn="1" w:lastColumn="0" w:noHBand="0" w:noVBand="1"/>
      </w:tblPr>
      <w:tblGrid>
        <w:gridCol w:w="1728"/>
        <w:gridCol w:w="5256"/>
        <w:gridCol w:w="2664"/>
      </w:tblGrid>
      <w:tr w:rsidR="006E64B6" w14:paraId="7573DCD9" w14:textId="77777777">
        <w:trPr>
          <w:tblHeader/>
          <w:jc w:val="center"/>
        </w:trPr>
        <w:tc>
          <w:tcPr>
            <w:tcW w:w="1728" w:type="dxa"/>
            <w:shd w:val="clear" w:color="auto" w:fill="F2F4F7"/>
            <w:tcMar>
              <w:top w:w="75" w:type="dxa"/>
              <w:left w:w="85" w:type="dxa"/>
              <w:bottom w:w="75" w:type="dxa"/>
              <w:right w:w="85" w:type="dxa"/>
            </w:tcMar>
          </w:tcPr>
          <w:p w14:paraId="66DEB1EF" w14:textId="77777777" w:rsidR="006E64B6" w:rsidRDefault="00000000">
            <w:pPr>
              <w:spacing w:after="0" w:line="240" w:lineRule="auto"/>
            </w:pPr>
            <w:r>
              <w:rPr>
                <w:b/>
                <w:sz w:val="17"/>
              </w:rPr>
              <w:lastRenderedPageBreak/>
              <w:t>Phase</w:t>
            </w:r>
          </w:p>
        </w:tc>
        <w:tc>
          <w:tcPr>
            <w:tcW w:w="5256" w:type="dxa"/>
            <w:shd w:val="clear" w:color="auto" w:fill="F2F4F7"/>
            <w:tcMar>
              <w:top w:w="75" w:type="dxa"/>
              <w:left w:w="85" w:type="dxa"/>
              <w:bottom w:w="75" w:type="dxa"/>
              <w:right w:w="85" w:type="dxa"/>
            </w:tcMar>
          </w:tcPr>
          <w:p w14:paraId="085D162A" w14:textId="77777777" w:rsidR="006E64B6" w:rsidRDefault="00000000">
            <w:pPr>
              <w:spacing w:after="0" w:line="240" w:lineRule="auto"/>
            </w:pPr>
            <w:r>
              <w:rPr>
                <w:b/>
                <w:sz w:val="17"/>
              </w:rPr>
              <w:t>Priority actions</w:t>
            </w:r>
          </w:p>
        </w:tc>
        <w:tc>
          <w:tcPr>
            <w:tcW w:w="2664" w:type="dxa"/>
            <w:shd w:val="clear" w:color="auto" w:fill="F2F4F7"/>
            <w:tcMar>
              <w:top w:w="75" w:type="dxa"/>
              <w:left w:w="85" w:type="dxa"/>
              <w:bottom w:w="75" w:type="dxa"/>
              <w:right w:w="85" w:type="dxa"/>
            </w:tcMar>
          </w:tcPr>
          <w:p w14:paraId="7627F1CB" w14:textId="77777777" w:rsidR="006E64B6" w:rsidRDefault="00000000">
            <w:pPr>
              <w:spacing w:after="0" w:line="240" w:lineRule="auto"/>
            </w:pPr>
            <w:r>
              <w:rPr>
                <w:b/>
                <w:sz w:val="17"/>
              </w:rPr>
              <w:t>Board evidence</w:t>
            </w:r>
          </w:p>
        </w:tc>
      </w:tr>
      <w:tr w:rsidR="006E64B6" w14:paraId="45BA2079" w14:textId="77777777">
        <w:trPr>
          <w:cantSplit/>
          <w:jc w:val="center"/>
        </w:trPr>
        <w:tc>
          <w:tcPr>
            <w:tcW w:w="1728" w:type="dxa"/>
            <w:tcMar>
              <w:top w:w="75" w:type="dxa"/>
              <w:left w:w="85" w:type="dxa"/>
              <w:bottom w:w="75" w:type="dxa"/>
              <w:right w:w="85" w:type="dxa"/>
            </w:tcMar>
          </w:tcPr>
          <w:p w14:paraId="78EC6471" w14:textId="644E148A" w:rsidR="006E64B6" w:rsidRDefault="00000000">
            <w:pPr>
              <w:spacing w:after="0" w:line="240" w:lineRule="auto"/>
            </w:pPr>
            <w:r>
              <w:rPr>
                <w:sz w:val="17"/>
              </w:rPr>
              <w:t>0</w:t>
            </w:r>
            <w:r w:rsidR="00E3652E">
              <w:rPr>
                <w:sz w:val="17"/>
              </w:rPr>
              <w:t xml:space="preserve"> - </w:t>
            </w:r>
            <w:r>
              <w:rPr>
                <w:sz w:val="17"/>
              </w:rPr>
              <w:t>30 days</w:t>
            </w:r>
          </w:p>
        </w:tc>
        <w:tc>
          <w:tcPr>
            <w:tcW w:w="5256" w:type="dxa"/>
            <w:tcMar>
              <w:top w:w="75" w:type="dxa"/>
              <w:left w:w="85" w:type="dxa"/>
              <w:bottom w:w="75" w:type="dxa"/>
              <w:right w:w="85" w:type="dxa"/>
            </w:tcMar>
          </w:tcPr>
          <w:p w14:paraId="1FD64DBF" w14:textId="05614850" w:rsidR="006E64B6" w:rsidRDefault="00000000">
            <w:pPr>
              <w:spacing w:after="0" w:line="240" w:lineRule="auto"/>
            </w:pPr>
            <w:r>
              <w:rPr>
                <w:sz w:val="17"/>
              </w:rPr>
              <w:t>Contain malware; harden procurement email and MFA</w:t>
            </w:r>
            <w:r w:rsidR="00E3652E">
              <w:rPr>
                <w:sz w:val="17"/>
              </w:rPr>
              <w:t>,</w:t>
            </w:r>
            <w:r>
              <w:rPr>
                <w:sz w:val="17"/>
              </w:rPr>
              <w:t xml:space="preserve"> investigate production-network access attempts</w:t>
            </w:r>
            <w:r w:rsidR="00E3652E">
              <w:rPr>
                <w:sz w:val="17"/>
              </w:rPr>
              <w:t>,</w:t>
            </w:r>
            <w:r>
              <w:rPr>
                <w:sz w:val="17"/>
              </w:rPr>
              <w:t xml:space="preserve"> verify restores</w:t>
            </w:r>
            <w:r w:rsidR="00E3652E">
              <w:rPr>
                <w:sz w:val="17"/>
              </w:rPr>
              <w:t xml:space="preserve"> and </w:t>
            </w:r>
            <w:r>
              <w:rPr>
                <w:sz w:val="17"/>
              </w:rPr>
              <w:t>appoint owners</w:t>
            </w:r>
          </w:p>
        </w:tc>
        <w:tc>
          <w:tcPr>
            <w:tcW w:w="2664" w:type="dxa"/>
            <w:tcMar>
              <w:top w:w="75" w:type="dxa"/>
              <w:left w:w="85" w:type="dxa"/>
              <w:bottom w:w="75" w:type="dxa"/>
              <w:right w:w="85" w:type="dxa"/>
            </w:tcMar>
          </w:tcPr>
          <w:p w14:paraId="7B715440" w14:textId="001FD8C4" w:rsidR="006E64B6" w:rsidRDefault="00000000">
            <w:pPr>
              <w:spacing w:after="0" w:line="240" w:lineRule="auto"/>
            </w:pPr>
            <w:r>
              <w:rPr>
                <w:sz w:val="17"/>
              </w:rPr>
              <w:t>Malware contained access investigation and recovery evidence</w:t>
            </w:r>
          </w:p>
        </w:tc>
      </w:tr>
      <w:tr w:rsidR="006E64B6" w14:paraId="39816288" w14:textId="77777777">
        <w:trPr>
          <w:cantSplit/>
          <w:jc w:val="center"/>
        </w:trPr>
        <w:tc>
          <w:tcPr>
            <w:tcW w:w="1728" w:type="dxa"/>
            <w:tcMar>
              <w:top w:w="75" w:type="dxa"/>
              <w:left w:w="85" w:type="dxa"/>
              <w:bottom w:w="75" w:type="dxa"/>
              <w:right w:w="85" w:type="dxa"/>
            </w:tcMar>
          </w:tcPr>
          <w:p w14:paraId="107C9A4D" w14:textId="7AEE64C5" w:rsidR="006E64B6" w:rsidRDefault="00000000">
            <w:pPr>
              <w:spacing w:after="0" w:line="240" w:lineRule="auto"/>
            </w:pPr>
            <w:r>
              <w:rPr>
                <w:sz w:val="17"/>
              </w:rPr>
              <w:t>1</w:t>
            </w:r>
            <w:r w:rsidR="00E3652E">
              <w:rPr>
                <w:sz w:val="17"/>
              </w:rPr>
              <w:t xml:space="preserve"> - </w:t>
            </w:r>
            <w:r>
              <w:rPr>
                <w:sz w:val="17"/>
              </w:rPr>
              <w:t>3 months</w:t>
            </w:r>
          </w:p>
        </w:tc>
        <w:tc>
          <w:tcPr>
            <w:tcW w:w="5256" w:type="dxa"/>
            <w:tcMar>
              <w:top w:w="75" w:type="dxa"/>
              <w:left w:w="85" w:type="dxa"/>
              <w:bottom w:w="75" w:type="dxa"/>
              <w:right w:w="85" w:type="dxa"/>
            </w:tcMar>
          </w:tcPr>
          <w:p w14:paraId="1738355F" w14:textId="5F521F01" w:rsidR="006E64B6" w:rsidRDefault="00000000">
            <w:pPr>
              <w:spacing w:after="0" w:line="240" w:lineRule="auto"/>
            </w:pPr>
            <w:r>
              <w:rPr>
                <w:sz w:val="17"/>
              </w:rPr>
              <w:t>Map critical assets/data flows</w:t>
            </w:r>
            <w:r w:rsidR="00E3652E">
              <w:rPr>
                <w:sz w:val="17"/>
              </w:rPr>
              <w:t>,</w:t>
            </w:r>
            <w:r>
              <w:rPr>
                <w:sz w:val="17"/>
              </w:rPr>
              <w:t xml:space="preserve"> approve policies</w:t>
            </w:r>
            <w:r w:rsidR="00E3652E">
              <w:rPr>
                <w:sz w:val="17"/>
              </w:rPr>
              <w:t>,</w:t>
            </w:r>
            <w:r>
              <w:rPr>
                <w:sz w:val="17"/>
              </w:rPr>
              <w:t xml:space="preserve"> </w:t>
            </w:r>
            <w:proofErr w:type="spellStart"/>
            <w:r>
              <w:rPr>
                <w:sz w:val="17"/>
              </w:rPr>
              <w:t>centralise</w:t>
            </w:r>
            <w:proofErr w:type="spellEnd"/>
            <w:r>
              <w:rPr>
                <w:sz w:val="17"/>
              </w:rPr>
              <w:t xml:space="preserve"> priority logs</w:t>
            </w:r>
            <w:r w:rsidR="00E3652E">
              <w:rPr>
                <w:sz w:val="17"/>
              </w:rPr>
              <w:t>,</w:t>
            </w:r>
            <w:r>
              <w:rPr>
                <w:sz w:val="17"/>
              </w:rPr>
              <w:t xml:space="preserve"> run exercises</w:t>
            </w:r>
          </w:p>
        </w:tc>
        <w:tc>
          <w:tcPr>
            <w:tcW w:w="2664" w:type="dxa"/>
            <w:tcMar>
              <w:top w:w="75" w:type="dxa"/>
              <w:left w:w="85" w:type="dxa"/>
              <w:bottom w:w="75" w:type="dxa"/>
              <w:right w:w="85" w:type="dxa"/>
            </w:tcMar>
          </w:tcPr>
          <w:p w14:paraId="6264363B" w14:textId="77777777" w:rsidR="006E64B6" w:rsidRDefault="00000000">
            <w:pPr>
              <w:spacing w:after="0" w:line="240" w:lineRule="auto"/>
            </w:pPr>
            <w:r>
              <w:rPr>
                <w:sz w:val="17"/>
              </w:rPr>
              <w:t>Coverage and exercise actions</w:t>
            </w:r>
          </w:p>
        </w:tc>
      </w:tr>
      <w:tr w:rsidR="006E64B6" w14:paraId="5D0366AD" w14:textId="77777777">
        <w:trPr>
          <w:cantSplit/>
          <w:jc w:val="center"/>
        </w:trPr>
        <w:tc>
          <w:tcPr>
            <w:tcW w:w="1728" w:type="dxa"/>
            <w:tcMar>
              <w:top w:w="75" w:type="dxa"/>
              <w:left w:w="85" w:type="dxa"/>
              <w:bottom w:w="75" w:type="dxa"/>
              <w:right w:w="85" w:type="dxa"/>
            </w:tcMar>
          </w:tcPr>
          <w:p w14:paraId="33ADC0DE" w14:textId="15AB7394" w:rsidR="006E64B6" w:rsidRDefault="00000000">
            <w:pPr>
              <w:spacing w:after="0" w:line="240" w:lineRule="auto"/>
            </w:pPr>
            <w:r>
              <w:rPr>
                <w:sz w:val="17"/>
              </w:rPr>
              <w:t>3</w:t>
            </w:r>
            <w:r w:rsidR="00E3652E">
              <w:rPr>
                <w:sz w:val="17"/>
              </w:rPr>
              <w:t xml:space="preserve"> - </w:t>
            </w:r>
            <w:r>
              <w:rPr>
                <w:sz w:val="17"/>
              </w:rPr>
              <w:t>18 months</w:t>
            </w:r>
          </w:p>
        </w:tc>
        <w:tc>
          <w:tcPr>
            <w:tcW w:w="5256" w:type="dxa"/>
            <w:tcMar>
              <w:top w:w="75" w:type="dxa"/>
              <w:left w:w="85" w:type="dxa"/>
              <w:bottom w:w="75" w:type="dxa"/>
              <w:right w:w="85" w:type="dxa"/>
            </w:tcMar>
          </w:tcPr>
          <w:p w14:paraId="2BCCC6BD" w14:textId="77777777" w:rsidR="006E64B6" w:rsidRDefault="00000000">
            <w:pPr>
              <w:spacing w:after="0" w:line="240" w:lineRule="auto"/>
            </w:pPr>
            <w:r>
              <w:rPr>
                <w:sz w:val="17"/>
              </w:rPr>
              <w:t>Implement IT–OT zoning/DMZ; expand PAM and data governance; independent testing</w:t>
            </w:r>
          </w:p>
        </w:tc>
        <w:tc>
          <w:tcPr>
            <w:tcW w:w="2664" w:type="dxa"/>
            <w:tcMar>
              <w:top w:w="75" w:type="dxa"/>
              <w:left w:w="85" w:type="dxa"/>
              <w:bottom w:w="75" w:type="dxa"/>
              <w:right w:w="85" w:type="dxa"/>
            </w:tcMar>
          </w:tcPr>
          <w:p w14:paraId="69F0FC13" w14:textId="77777777" w:rsidR="006E64B6" w:rsidRDefault="00000000">
            <w:pPr>
              <w:spacing w:after="0" w:line="240" w:lineRule="auto"/>
            </w:pPr>
            <w:r>
              <w:rPr>
                <w:sz w:val="17"/>
              </w:rPr>
              <w:t>Reduced pathways and assured controls</w:t>
            </w:r>
          </w:p>
        </w:tc>
      </w:tr>
    </w:tbl>
    <w:p w14:paraId="6686EBC3" w14:textId="77777777" w:rsidR="006E64B6" w:rsidRDefault="006E64B6">
      <w:pPr>
        <w:spacing w:after="0"/>
      </w:pPr>
    </w:p>
    <w:p w14:paraId="2CBEE163" w14:textId="77777777" w:rsidR="006E64B6" w:rsidRDefault="00000000">
      <w:pPr>
        <w:pStyle w:val="Heading1"/>
      </w:pPr>
      <w:bookmarkStart w:id="15" w:name="_Toc237295834"/>
      <w:r>
        <w:t>8. Conclusion</w:t>
      </w:r>
      <w:bookmarkEnd w:id="15"/>
    </w:p>
    <w:p w14:paraId="27089B21" w14:textId="7B2A1A02" w:rsidR="006E64B6" w:rsidRDefault="00000000">
      <w:r>
        <w:t>SFM's cyber challenge is not solved by one product. The defensible strategy is to reduce trusted pathways, protect identity, separate IT from OT, govern data and suppliers, and prove that critical services can be detected, contained and recovered. A phased, cross-functional programme gives the board early risk reduction without destabilising production, while later architecture and assurance work creates durable resilience.</w:t>
      </w:r>
      <w:r>
        <w:br w:type="page"/>
      </w:r>
    </w:p>
    <w:p w14:paraId="1033FD29" w14:textId="77777777" w:rsidR="006E64B6" w:rsidRDefault="00000000">
      <w:pPr>
        <w:pStyle w:val="Heading1"/>
      </w:pPr>
      <w:bookmarkStart w:id="16" w:name="_Toc237295835"/>
      <w:r>
        <w:lastRenderedPageBreak/>
        <w:t>References</w:t>
      </w:r>
      <w:bookmarkEnd w:id="16"/>
    </w:p>
    <w:p w14:paraId="3583BBE7" w14:textId="77777777" w:rsidR="006E64B6" w:rsidRDefault="00000000">
      <w:pPr>
        <w:spacing w:after="80"/>
        <w:ind w:left="403" w:hanging="403"/>
      </w:pPr>
      <w:r>
        <w:t xml:space="preserve">[1] National Institute of Standards and Technology, “The NIST Cybersecurity Framework (CSF) 2.0,” NIST CSWP 29, Feb. 2024, doi: 10.6028/NIST.CSWP.29. [Online]. Available: </w:t>
      </w:r>
      <w:hyperlink r:id="rId10">
        <w:r w:rsidR="006E64B6">
          <w:rPr>
            <w:color w:val="2E74B5"/>
            <w:u w:val="single"/>
          </w:rPr>
          <w:t>https://nvlpubs.nist.gov/nistpubs/CSWP/NIST.CSWP.29.pdf</w:t>
        </w:r>
      </w:hyperlink>
    </w:p>
    <w:p w14:paraId="19CC54A1" w14:textId="77777777" w:rsidR="006E64B6" w:rsidRDefault="00000000">
      <w:pPr>
        <w:spacing w:after="80"/>
        <w:ind w:left="403" w:hanging="403"/>
      </w:pPr>
      <w:r>
        <w:t xml:space="preserve">[2] National Institute of Standards and Technology, “NIST Cybersecurity Framework 2.0: Small Business Quick-Start Guide,” NIST SP 1300, Feb. 2024, doi: 10.6028/NIST.SP.1300. [Online]. Available: </w:t>
      </w:r>
      <w:hyperlink r:id="rId11">
        <w:r w:rsidR="006E64B6">
          <w:rPr>
            <w:color w:val="2E74B5"/>
            <w:u w:val="single"/>
          </w:rPr>
          <w:t>https://nvlpubs.nist.gov/nistpubs/SpecialPublications/NIST.SP.1300.pdf</w:t>
        </w:r>
      </w:hyperlink>
    </w:p>
    <w:p w14:paraId="4ED75172" w14:textId="77777777" w:rsidR="006E64B6" w:rsidRDefault="00000000">
      <w:pPr>
        <w:spacing w:after="80"/>
        <w:ind w:left="403" w:hanging="403"/>
      </w:pPr>
      <w:r>
        <w:t xml:space="preserve">[3] ISO and IEC, “Information security, cybersecurity and privacy protection — Information security management systems — Requirements,” ISO/IEC 27001:2022. [Online]. Available: </w:t>
      </w:r>
      <w:hyperlink r:id="rId12">
        <w:r w:rsidR="006E64B6">
          <w:rPr>
            <w:color w:val="2E74B5"/>
            <w:u w:val="single"/>
          </w:rPr>
          <w:t>https://www.iso.org/standard/27001</w:t>
        </w:r>
      </w:hyperlink>
    </w:p>
    <w:p w14:paraId="355C5BA8" w14:textId="77777777" w:rsidR="006E64B6" w:rsidRDefault="00000000">
      <w:pPr>
        <w:spacing w:after="80"/>
        <w:ind w:left="403" w:hanging="403"/>
      </w:pPr>
      <w:r>
        <w:t xml:space="preserve">[4] ISO and IEC, “Information security, cybersecurity and privacy protection — Information security controls,” ISO/IEC 27002:2022. [Online]. Available: </w:t>
      </w:r>
      <w:hyperlink r:id="rId13">
        <w:r w:rsidR="006E64B6">
          <w:rPr>
            <w:color w:val="2E74B5"/>
            <w:u w:val="single"/>
          </w:rPr>
          <w:t>https://www.iso.org/standard/75652.html</w:t>
        </w:r>
      </w:hyperlink>
    </w:p>
    <w:p w14:paraId="3334FC52" w14:textId="77777777" w:rsidR="006E64B6" w:rsidRDefault="00000000">
      <w:pPr>
        <w:spacing w:after="80"/>
        <w:ind w:left="403" w:hanging="403"/>
      </w:pPr>
      <w:r>
        <w:t xml:space="preserve">[5] ISO and IEC, “Information security, cybersecurity and privacy protection — Guidance on managing information security risks,” ISO/IEC 27005:2022. [Online]. Available: </w:t>
      </w:r>
      <w:hyperlink r:id="rId14">
        <w:r w:rsidR="006E64B6">
          <w:rPr>
            <w:color w:val="2E74B5"/>
            <w:u w:val="single"/>
          </w:rPr>
          <w:t>https://www.iso.org/standard/80585.html</w:t>
        </w:r>
      </w:hyperlink>
    </w:p>
    <w:p w14:paraId="12C0A9C9" w14:textId="77777777" w:rsidR="006E64B6" w:rsidRDefault="00000000">
      <w:pPr>
        <w:spacing w:after="80"/>
        <w:ind w:left="403" w:hanging="403"/>
      </w:pPr>
      <w:r>
        <w:t xml:space="preserve">[6] International Electrotechnical Commission, “Understanding IEC 62443,” Feb. 26, 2021. [Online]. Available: </w:t>
      </w:r>
      <w:hyperlink r:id="rId15">
        <w:r w:rsidR="006E64B6">
          <w:rPr>
            <w:color w:val="2E74B5"/>
            <w:u w:val="single"/>
          </w:rPr>
          <w:t>https://www.iec.ch/blog/understanding-iec-62443</w:t>
        </w:r>
      </w:hyperlink>
    </w:p>
    <w:p w14:paraId="043E4F40" w14:textId="77777777" w:rsidR="006E64B6" w:rsidRDefault="00000000">
      <w:pPr>
        <w:spacing w:after="80"/>
        <w:ind w:left="403" w:hanging="403"/>
      </w:pPr>
      <w:r>
        <w:t xml:space="preserve">[7] Center for Internet Security, “CIS Critical Security Controls v8.1,” Jun. 24, 2024. [Online]. Available: </w:t>
      </w:r>
      <w:hyperlink r:id="rId16">
        <w:r w:rsidR="006E64B6">
          <w:rPr>
            <w:color w:val="2E74B5"/>
            <w:u w:val="single"/>
          </w:rPr>
          <w:t>https://www.cisecurity.org/controls/v8-1</w:t>
        </w:r>
      </w:hyperlink>
    </w:p>
    <w:p w14:paraId="65730BCF" w14:textId="77777777" w:rsidR="006E64B6" w:rsidRDefault="00000000">
      <w:pPr>
        <w:spacing w:after="80"/>
        <w:ind w:left="403" w:hanging="403"/>
      </w:pPr>
      <w:r>
        <w:t xml:space="preserve">[8] Cybersecurity and Infrastructure Security Agency, “Cybersecurity Performance Goals 2.0,” Dec. 2025. [Online]. Available: </w:t>
      </w:r>
      <w:hyperlink r:id="rId17">
        <w:r w:rsidR="006E64B6">
          <w:rPr>
            <w:color w:val="2E74B5"/>
            <w:u w:val="single"/>
          </w:rPr>
          <w:t>https://www.cisa.gov/resources-tools/resources/cpg-20-report</w:t>
        </w:r>
      </w:hyperlink>
    </w:p>
    <w:p w14:paraId="099901EF" w14:textId="77777777" w:rsidR="006E64B6" w:rsidRDefault="00000000">
      <w:pPr>
        <w:spacing w:after="80"/>
        <w:ind w:left="403" w:hanging="403"/>
      </w:pPr>
      <w:r>
        <w:t xml:space="preserve">[9] National Institute of Standards and Technology, “Guide to Operational Technology (OT) Security,” NIST SP 800-82 Rev. 3, Sep. 2023, doi: 10.6028/NIST.SP.800-82r3. [Online]. Available: </w:t>
      </w:r>
      <w:hyperlink r:id="rId18">
        <w:r w:rsidR="006E64B6">
          <w:rPr>
            <w:color w:val="2E74B5"/>
            <w:u w:val="single"/>
          </w:rPr>
          <w:t>https://csrc.nist.gov/pubs/sp/800/82/r3/final</w:t>
        </w:r>
      </w:hyperlink>
    </w:p>
    <w:p w14:paraId="4DEBD95B" w14:textId="77777777" w:rsidR="006E64B6" w:rsidRDefault="00000000">
      <w:pPr>
        <w:spacing w:after="80"/>
        <w:ind w:left="403" w:hanging="403"/>
      </w:pPr>
      <w:r>
        <w:t xml:space="preserve">[10] M. Powell, J. Hoyt, A. Sherule, and L. Wilcox, “Security Segmentation in a Small Manufacturing Environment,” NIST CSWP 28, Apr. 2023, doi: 10.6028/NIST.CSWP.28. [Online]. Available: </w:t>
      </w:r>
      <w:hyperlink r:id="rId19">
        <w:r w:rsidR="006E64B6">
          <w:rPr>
            <w:color w:val="2E74B5"/>
            <w:u w:val="single"/>
          </w:rPr>
          <w:t>https://nvlpubs.nist.gov/nistpubs/CSWP/NIST.CSWP.28.pdf</w:t>
        </w:r>
      </w:hyperlink>
    </w:p>
    <w:p w14:paraId="6BFE665A" w14:textId="77777777" w:rsidR="006E64B6" w:rsidRDefault="00000000">
      <w:pPr>
        <w:spacing w:after="80"/>
        <w:ind w:left="403" w:hanging="403"/>
      </w:pPr>
      <w:r>
        <w:t xml:space="preserve">[11] National Institute of Standards and Technology, “Securing Manufacturing Industrial Control Systems: Behavioral Anomaly Detection,” NIST IR 8219, 2020, doi: 10.6028/NIST.IR.8219. [Online]. Available: </w:t>
      </w:r>
      <w:hyperlink r:id="rId20">
        <w:r w:rsidR="006E64B6">
          <w:rPr>
            <w:color w:val="2E74B5"/>
            <w:u w:val="single"/>
          </w:rPr>
          <w:t>https://csrc.nist.gov/pubs/ir/8219/final</w:t>
        </w:r>
      </w:hyperlink>
    </w:p>
    <w:p w14:paraId="19A972EC" w14:textId="77777777" w:rsidR="006E64B6" w:rsidRDefault="00000000">
      <w:pPr>
        <w:spacing w:after="80"/>
        <w:ind w:left="403" w:hanging="403"/>
      </w:pPr>
      <w:r>
        <w:t xml:space="preserve">[12] National Institute of Standards and Technology, “Incident Response Recommendations and Considerations for Cybersecurity Risk Management: A CSF 2.0 Community Profile,” NIST SP 800-61 Rev. 3, Apr. 2025, doi: 10.6028/NIST.SP.800-61r3. [Online]. Available: </w:t>
      </w:r>
      <w:hyperlink r:id="rId21">
        <w:r w:rsidR="006E64B6">
          <w:rPr>
            <w:color w:val="2E74B5"/>
            <w:u w:val="single"/>
          </w:rPr>
          <w:t>https://csrc.nist.gov/pubs/sp/800/61/r3/final</w:t>
        </w:r>
      </w:hyperlink>
    </w:p>
    <w:p w14:paraId="14AA94B0" w14:textId="77777777" w:rsidR="006E64B6" w:rsidRDefault="00000000">
      <w:pPr>
        <w:spacing w:after="80"/>
        <w:ind w:left="403" w:hanging="403"/>
      </w:pPr>
      <w:r>
        <w:t xml:space="preserve">[13] National Institute of Standards and Technology, “Digital Identity Guidelines: Authentication and Authenticator Management,” NIST SP 800-63B-4, Jul. 2025, doi: 10.6028/NIST.SP.800-63B-4. [Online]. Available: </w:t>
      </w:r>
      <w:hyperlink r:id="rId22">
        <w:r w:rsidR="006E64B6">
          <w:rPr>
            <w:color w:val="2E74B5"/>
            <w:u w:val="single"/>
          </w:rPr>
          <w:t>https://pages.nist.gov/800-63-4/sp800-63b.html</w:t>
        </w:r>
      </w:hyperlink>
    </w:p>
    <w:p w14:paraId="6F16EC51" w14:textId="77777777" w:rsidR="006E64B6" w:rsidRDefault="00000000">
      <w:pPr>
        <w:spacing w:after="80"/>
        <w:ind w:left="403" w:hanging="403"/>
      </w:pPr>
      <w:r>
        <w:t xml:space="preserve">[14] M. Fagan, K. Megas, K. Scarfone, and M. Smith, “IoT Device Cybersecurity Capability Core Baseline,” NISTIR 8259A, May 2020, doi: 10.6028/NIST.IR.8259A. [Online]. Available: </w:t>
      </w:r>
      <w:hyperlink r:id="rId23">
        <w:r w:rsidR="006E64B6">
          <w:rPr>
            <w:color w:val="2E74B5"/>
            <w:u w:val="single"/>
          </w:rPr>
          <w:t>https://nvlpubs.nist.gov/nistpubs/ir/2020/NIST.IR.8259a.pdf</w:t>
        </w:r>
      </w:hyperlink>
    </w:p>
    <w:p w14:paraId="5D74CB19" w14:textId="77777777" w:rsidR="006E64B6" w:rsidRDefault="00000000">
      <w:pPr>
        <w:spacing w:after="80"/>
        <w:ind w:left="403" w:hanging="403"/>
      </w:pPr>
      <w:r>
        <w:t xml:space="preserve">[15] National Cyber Security Centre, “Cloud security shared responsibility model,” May 10, 2022. [Online]. Available: </w:t>
      </w:r>
      <w:hyperlink r:id="rId24">
        <w:r w:rsidR="006E64B6">
          <w:rPr>
            <w:color w:val="2E74B5"/>
            <w:u w:val="single"/>
          </w:rPr>
          <w:t>https://www.ncsc.gov.uk/collection/cloud/understanding-cloud-services/cloud-security-shared-responsibility-model</w:t>
        </w:r>
      </w:hyperlink>
    </w:p>
    <w:p w14:paraId="64A058AB" w14:textId="77777777" w:rsidR="006E64B6" w:rsidRDefault="00000000">
      <w:pPr>
        <w:spacing w:after="80"/>
        <w:ind w:left="403" w:hanging="403"/>
      </w:pPr>
      <w:r>
        <w:t xml:space="preserve">[16] National Institute of Standards and Technology, “Guide to Enterprise Patch Management Planning,” NIST SP 800-40 Rev. 4, Apr. 2022, doi: 10.6028/NIST.SP.800-40r4. [Online]. Available: </w:t>
      </w:r>
      <w:hyperlink r:id="rId25">
        <w:r w:rsidR="006E64B6">
          <w:rPr>
            <w:color w:val="2E74B5"/>
            <w:u w:val="single"/>
          </w:rPr>
          <w:t>https://csrc.nist.gov/pubs/sp/800/40/r4/final</w:t>
        </w:r>
      </w:hyperlink>
    </w:p>
    <w:p w14:paraId="7676891C" w14:textId="77777777" w:rsidR="006E64B6" w:rsidRDefault="00000000">
      <w:pPr>
        <w:spacing w:after="80"/>
        <w:ind w:left="403" w:hanging="403"/>
      </w:pPr>
      <w:r>
        <w:lastRenderedPageBreak/>
        <w:t xml:space="preserve">[17] Cybersecurity and Infrastructure Security Agency, “Known Exploited Vulnerabilities Catalog.” [Online]. Available: </w:t>
      </w:r>
      <w:hyperlink r:id="rId26">
        <w:r w:rsidR="006E64B6">
          <w:rPr>
            <w:color w:val="2E74B5"/>
            <w:u w:val="single"/>
          </w:rPr>
          <w:t>https://www.cisa.gov/known-exploited-vulnerabilities-catalog</w:t>
        </w:r>
      </w:hyperlink>
    </w:p>
    <w:p w14:paraId="3C76F414" w14:textId="77777777" w:rsidR="006E64B6" w:rsidRDefault="00000000">
      <w:pPr>
        <w:spacing w:after="80"/>
        <w:ind w:left="403" w:hanging="403"/>
      </w:pPr>
      <w:r>
        <w:t xml:space="preserve">[18] National Institute of Standards and Technology, “Cybersecurity Supply Chain Risk Management Practices for Systems and Organizations,” NIST SP 800-161 Rev. 1 Update 1, Nov. 2024, doi: 10.6028/NIST.SP.800-161r1-upd1. [Online]. Available: </w:t>
      </w:r>
      <w:hyperlink r:id="rId27">
        <w:r w:rsidR="006E64B6">
          <w:rPr>
            <w:color w:val="2E74B5"/>
            <w:u w:val="single"/>
          </w:rPr>
          <w:t>https://csrc.nist.gov/pubs/sp/800/161/r1/upd1/final</w:t>
        </w:r>
      </w:hyperlink>
    </w:p>
    <w:p w14:paraId="3A7E7550" w14:textId="77777777" w:rsidR="006E64B6" w:rsidRDefault="00000000">
      <w:pPr>
        <w:spacing w:after="80"/>
        <w:ind w:left="403" w:hanging="403"/>
      </w:pPr>
      <w:r>
        <w:t xml:space="preserve">[19] Cybersecurity and Infrastructure Security Agency, “#StopRansomware Guide,” May 2023. [Online]. Available: </w:t>
      </w:r>
      <w:hyperlink r:id="rId28">
        <w:r w:rsidR="006E64B6">
          <w:rPr>
            <w:color w:val="2E74B5"/>
            <w:u w:val="single"/>
          </w:rPr>
          <w:t>https://www.cisa.gov/stopransomware/ransomware-guide</w:t>
        </w:r>
      </w:hyperlink>
    </w:p>
    <w:p w14:paraId="206753EF" w14:textId="77777777" w:rsidR="006E64B6" w:rsidRDefault="00000000">
      <w:pPr>
        <w:spacing w:after="80"/>
        <w:ind w:left="403" w:hanging="403"/>
      </w:pPr>
      <w:r>
        <w:t xml:space="preserve">[20] National Cyber Security Centre, “Principles for ransomware-resistant on premises backups,” Nov. 22, 2024. [Online]. Available: </w:t>
      </w:r>
      <w:hyperlink r:id="rId29">
        <w:r w:rsidR="006E64B6">
          <w:rPr>
            <w:color w:val="2E74B5"/>
            <w:u w:val="single"/>
          </w:rPr>
          <w:t>https://www.ncsc.gov.uk/collection/ransomware-resistant-backups/principles-for-ransomware-resistant-on-premises-backups</w:t>
        </w:r>
      </w:hyperlink>
    </w:p>
    <w:p w14:paraId="370BB172" w14:textId="77777777" w:rsidR="006E64B6" w:rsidRDefault="00000000">
      <w:pPr>
        <w:spacing w:after="80"/>
        <w:ind w:left="403" w:hanging="403"/>
      </w:pPr>
      <w:r>
        <w:t xml:space="preserve">[21] Cybersecurity and Infrastructure Security Agency et al., “Best Practices for Event Logging and Threat Detection,” Aug. 21, 2024. [Online]. Available: </w:t>
      </w:r>
      <w:hyperlink r:id="rId30">
        <w:r w:rsidR="006E64B6">
          <w:rPr>
            <w:color w:val="2E74B5"/>
            <w:u w:val="single"/>
          </w:rPr>
          <w:t>https://www.cisa.gov/resources-tools/resources/best-practices-event-logging-and-threat-detection</w:t>
        </w:r>
      </w:hyperlink>
    </w:p>
    <w:p w14:paraId="56A3300A" w14:textId="77777777" w:rsidR="006E64B6" w:rsidRDefault="00000000">
      <w:pPr>
        <w:spacing w:after="80"/>
        <w:ind w:left="403" w:hanging="403"/>
      </w:pPr>
      <w:r>
        <w:t xml:space="preserve">[22] N. Marshall, D. Sturman, and J. C. Auton, “Exploring the evidence for email phishing training: A scoping review,” Computers &amp; Security, vol. 139, Art. no. 103695, 2024, doi: 10.1016/j.cose.2023.103695. [Online]. Available: </w:t>
      </w:r>
      <w:hyperlink r:id="rId31">
        <w:r w:rsidR="006E64B6">
          <w:rPr>
            <w:color w:val="2E74B5"/>
            <w:u w:val="single"/>
          </w:rPr>
          <w:t>https://doi.org/10.1016/j.cose.2023.103695</w:t>
        </w:r>
      </w:hyperlink>
    </w:p>
    <w:p w14:paraId="4D76D05D" w14:textId="77777777" w:rsidR="006E64B6" w:rsidRDefault="00000000">
      <w:pPr>
        <w:spacing w:after="80"/>
        <w:ind w:left="403" w:hanging="403"/>
      </w:pPr>
      <w:r>
        <w:t xml:space="preserve">[23] Norsk Hydro, “Cyber-attack on Hydro,” updated May 15, 2024. [Online]. Available: </w:t>
      </w:r>
      <w:hyperlink r:id="rId32">
        <w:r w:rsidR="006E64B6">
          <w:rPr>
            <w:color w:val="2E74B5"/>
            <w:u w:val="single"/>
          </w:rPr>
          <w:t>https://www.hydro.com/en/global/media/on-the-agenda/cyber-attack/</w:t>
        </w:r>
      </w:hyperlink>
    </w:p>
    <w:p w14:paraId="62246CBB" w14:textId="77777777" w:rsidR="006E64B6" w:rsidRDefault="00000000">
      <w:pPr>
        <w:spacing w:after="80"/>
        <w:ind w:left="403" w:hanging="403"/>
      </w:pPr>
      <w:r>
        <w:t xml:space="preserve">[24] Toyota Motor Corporation, “Deepening Ties in Difficult Times--1 Year on from Kojima Industries Cyberattack,” Toyota Times, Mar. 8, 2023. [Online]. Available: </w:t>
      </w:r>
      <w:hyperlink r:id="rId33">
        <w:r w:rsidR="006E64B6">
          <w:rPr>
            <w:color w:val="2E74B5"/>
            <w:u w:val="single"/>
          </w:rPr>
          <w:t>https://toyotatimes.jp/en/newscast/008.html</w:t>
        </w:r>
      </w:hyperlink>
    </w:p>
    <w:p w14:paraId="2A6C1FD2" w14:textId="77777777" w:rsidR="006E64B6" w:rsidRDefault="00000000">
      <w:pPr>
        <w:spacing w:after="80"/>
        <w:ind w:left="403" w:hanging="403"/>
      </w:pPr>
      <w:r>
        <w:t xml:space="preserve">[25] MKS Instruments, Inc., “MKS Reschedules Fourth Quarter and Full Year 2022 Earnings Call to February 28, 2023,” Exhibit 99.1, Feb. 13, 2023. [Online]. Available: </w:t>
      </w:r>
      <w:hyperlink r:id="rId34">
        <w:r w:rsidR="006E64B6">
          <w:rPr>
            <w:color w:val="2E74B5"/>
            <w:u w:val="single"/>
          </w:rPr>
          <w:t>https://www.sec.gov/Archives/edgar/data/1049502/000119312523034334/d464518dex991.htm</w:t>
        </w:r>
      </w:hyperlink>
    </w:p>
    <w:p w14:paraId="110D859F" w14:textId="77777777" w:rsidR="006E64B6" w:rsidRDefault="00000000">
      <w:pPr>
        <w:spacing w:after="80"/>
        <w:ind w:left="403" w:hanging="403"/>
      </w:pPr>
      <w:r>
        <w:t xml:space="preserve">[26] UK Public General Acts, “Data Protection Act 2018,” incorporating UK GDPR, legislation.gov.uk. [Online]. Available: </w:t>
      </w:r>
      <w:hyperlink r:id="rId35">
        <w:r w:rsidR="006E64B6">
          <w:rPr>
            <w:color w:val="2E74B5"/>
            <w:u w:val="single"/>
          </w:rPr>
          <w:t>https://www.legislation.gov.uk/ukpga/2018/12/contents</w:t>
        </w:r>
      </w:hyperlink>
    </w:p>
    <w:p w14:paraId="4ECBDF6E" w14:textId="77777777" w:rsidR="006E64B6" w:rsidRDefault="00000000">
      <w:r>
        <w:br w:type="page"/>
      </w:r>
    </w:p>
    <w:p w14:paraId="7E47616A" w14:textId="093154CA" w:rsidR="006E64B6" w:rsidRDefault="00000000">
      <w:pPr>
        <w:pStyle w:val="Heading1"/>
      </w:pPr>
      <w:bookmarkStart w:id="17" w:name="_Toc237295836"/>
      <w:r>
        <w:lastRenderedPageBreak/>
        <w:t xml:space="preserve">Appendix A </w:t>
      </w:r>
      <w:r w:rsidR="00017913">
        <w:t>-</w:t>
      </w:r>
      <w:r>
        <w:t xml:space="preserve"> Board Presentation</w:t>
      </w:r>
      <w:bookmarkEnd w:id="17"/>
    </w:p>
    <w:p w14:paraId="73FD3054" w14:textId="448E8720" w:rsidR="006E64B6" w:rsidRDefault="006E64B6"/>
    <w:p w14:paraId="533406CB" w14:textId="77777777" w:rsidR="006E64B6" w:rsidRDefault="00000000">
      <w:pPr>
        <w:pStyle w:val="Heading2"/>
        <w:spacing w:before="0"/>
      </w:pPr>
      <w:bookmarkStart w:id="18" w:name="_Toc237295837"/>
      <w:r>
        <w:t>Slide 1. Cybersecurity and Data-Governance Strategy</w:t>
      </w:r>
      <w:bookmarkEnd w:id="18"/>
    </w:p>
    <w:p w14:paraId="0DF57264" w14:textId="52079378" w:rsidR="006E64B6" w:rsidRDefault="00093ADF">
      <w:pPr>
        <w:spacing w:after="80"/>
        <w:jc w:val="center"/>
      </w:pPr>
      <w:r w:rsidRPr="00093ADF">
        <w:rPr>
          <w:noProof/>
        </w:rPr>
        <w:drawing>
          <wp:inline distT="0" distB="0" distL="0" distR="0" wp14:anchorId="07B13F95" wp14:editId="480B65D7">
            <wp:extent cx="5914390" cy="3345815"/>
            <wp:effectExtent l="0" t="0" r="0" b="6985"/>
            <wp:docPr id="1380235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235471" name=""/>
                    <pic:cNvPicPr/>
                  </pic:nvPicPr>
                  <pic:blipFill>
                    <a:blip r:embed="rId36"/>
                    <a:stretch>
                      <a:fillRect/>
                    </a:stretch>
                  </pic:blipFill>
                  <pic:spPr>
                    <a:xfrm>
                      <a:off x="0" y="0"/>
                      <a:ext cx="5914390" cy="3345815"/>
                    </a:xfrm>
                    <a:prstGeom prst="rect">
                      <a:avLst/>
                    </a:prstGeom>
                  </pic:spPr>
                </pic:pic>
              </a:graphicData>
            </a:graphic>
          </wp:inline>
        </w:drawing>
      </w:r>
    </w:p>
    <w:p w14:paraId="1C32153C" w14:textId="77777777" w:rsidR="006E64B6" w:rsidRDefault="00000000">
      <w:pPr>
        <w:pStyle w:val="Caption"/>
        <w:jc w:val="center"/>
      </w:pPr>
      <w:r w:rsidRPr="00093ADF">
        <w:rPr>
          <w:rFonts w:ascii="Times New Roman" w:hAnsi="Times New Roman" w:cs="Times New Roman"/>
          <w:color w:val="2C2C2C" w:themeColor="text1"/>
        </w:rPr>
        <w:t>Appendix Figure A1. Board-presentation slide 1 of 7</w:t>
      </w:r>
      <w:r>
        <w:t>.</w:t>
      </w:r>
    </w:p>
    <w:p w14:paraId="48656D65" w14:textId="77777777" w:rsidR="006E64B6" w:rsidRDefault="00000000">
      <w:r>
        <w:br w:type="page"/>
      </w:r>
    </w:p>
    <w:p w14:paraId="7622AA48" w14:textId="77777777" w:rsidR="006E64B6" w:rsidRDefault="00000000">
      <w:pPr>
        <w:pStyle w:val="Heading2"/>
        <w:spacing w:before="0"/>
      </w:pPr>
      <w:bookmarkStart w:id="19" w:name="_Toc237295838"/>
      <w:r>
        <w:lastRenderedPageBreak/>
        <w:t>Slide 2. Recent events form one connected attack path</w:t>
      </w:r>
      <w:bookmarkEnd w:id="19"/>
    </w:p>
    <w:p w14:paraId="2AEB9042" w14:textId="6F4016B5" w:rsidR="006E64B6" w:rsidRDefault="00093ADF">
      <w:pPr>
        <w:spacing w:after="80"/>
        <w:jc w:val="center"/>
      </w:pPr>
      <w:r w:rsidRPr="00093ADF">
        <w:rPr>
          <w:noProof/>
        </w:rPr>
        <w:drawing>
          <wp:inline distT="0" distB="0" distL="0" distR="0" wp14:anchorId="08B40396" wp14:editId="1A3348E8">
            <wp:extent cx="5914390" cy="3325495"/>
            <wp:effectExtent l="0" t="0" r="0" b="8255"/>
            <wp:docPr id="1516685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685825" name=""/>
                    <pic:cNvPicPr/>
                  </pic:nvPicPr>
                  <pic:blipFill>
                    <a:blip r:embed="rId37"/>
                    <a:stretch>
                      <a:fillRect/>
                    </a:stretch>
                  </pic:blipFill>
                  <pic:spPr>
                    <a:xfrm>
                      <a:off x="0" y="0"/>
                      <a:ext cx="5914390" cy="3325495"/>
                    </a:xfrm>
                    <a:prstGeom prst="rect">
                      <a:avLst/>
                    </a:prstGeom>
                  </pic:spPr>
                </pic:pic>
              </a:graphicData>
            </a:graphic>
          </wp:inline>
        </w:drawing>
      </w:r>
    </w:p>
    <w:p w14:paraId="2A09F072" w14:textId="77777777" w:rsidR="006E64B6" w:rsidRPr="00093ADF" w:rsidRDefault="00000000">
      <w:pPr>
        <w:pStyle w:val="Caption"/>
        <w:jc w:val="center"/>
        <w:rPr>
          <w:rFonts w:ascii="Times New Roman" w:hAnsi="Times New Roman" w:cs="Times New Roman"/>
          <w:color w:val="2C2C2C" w:themeColor="text1"/>
        </w:rPr>
      </w:pPr>
      <w:r w:rsidRPr="00093ADF">
        <w:rPr>
          <w:rFonts w:ascii="Times New Roman" w:hAnsi="Times New Roman" w:cs="Times New Roman"/>
          <w:color w:val="2C2C2C" w:themeColor="text1"/>
        </w:rPr>
        <w:t>Appendix Figure A2. Board-presentation slide 2 of 7.</w:t>
      </w:r>
    </w:p>
    <w:p w14:paraId="5A5A0F4B" w14:textId="77777777" w:rsidR="006E64B6" w:rsidRDefault="00000000">
      <w:r>
        <w:br w:type="page"/>
      </w:r>
    </w:p>
    <w:p w14:paraId="4C098DD5" w14:textId="77777777" w:rsidR="006E64B6" w:rsidRDefault="00000000">
      <w:pPr>
        <w:pStyle w:val="Heading2"/>
        <w:spacing w:before="0"/>
      </w:pPr>
      <w:bookmarkStart w:id="20" w:name="_Toc237295839"/>
      <w:r>
        <w:lastRenderedPageBreak/>
        <w:t>Slide 3. Five enterprise risks converge on production</w:t>
      </w:r>
      <w:bookmarkEnd w:id="20"/>
    </w:p>
    <w:p w14:paraId="2592F933" w14:textId="1055413E" w:rsidR="006E64B6" w:rsidRDefault="00093ADF">
      <w:pPr>
        <w:spacing w:after="80"/>
        <w:jc w:val="center"/>
      </w:pPr>
      <w:r w:rsidRPr="00093ADF">
        <w:rPr>
          <w:noProof/>
        </w:rPr>
        <w:drawing>
          <wp:inline distT="0" distB="0" distL="0" distR="0" wp14:anchorId="31B4ADCF" wp14:editId="59A9ED64">
            <wp:extent cx="5914390" cy="3332480"/>
            <wp:effectExtent l="0" t="0" r="0" b="1270"/>
            <wp:docPr id="180170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70067" name=""/>
                    <pic:cNvPicPr/>
                  </pic:nvPicPr>
                  <pic:blipFill>
                    <a:blip r:embed="rId38"/>
                    <a:stretch>
                      <a:fillRect/>
                    </a:stretch>
                  </pic:blipFill>
                  <pic:spPr>
                    <a:xfrm>
                      <a:off x="0" y="0"/>
                      <a:ext cx="5914390" cy="3332480"/>
                    </a:xfrm>
                    <a:prstGeom prst="rect">
                      <a:avLst/>
                    </a:prstGeom>
                  </pic:spPr>
                </pic:pic>
              </a:graphicData>
            </a:graphic>
          </wp:inline>
        </w:drawing>
      </w:r>
    </w:p>
    <w:p w14:paraId="126EE4AF" w14:textId="77777777" w:rsidR="006E64B6" w:rsidRPr="00093ADF" w:rsidRDefault="00000000">
      <w:pPr>
        <w:pStyle w:val="Caption"/>
        <w:jc w:val="center"/>
        <w:rPr>
          <w:rFonts w:ascii="Times New Roman" w:hAnsi="Times New Roman" w:cs="Times New Roman"/>
          <w:color w:val="2C2C2C" w:themeColor="text1"/>
        </w:rPr>
      </w:pPr>
      <w:r w:rsidRPr="00093ADF">
        <w:rPr>
          <w:rFonts w:ascii="Times New Roman" w:hAnsi="Times New Roman" w:cs="Times New Roman"/>
          <w:color w:val="2C2C2C" w:themeColor="text1"/>
        </w:rPr>
        <w:t>Appendix Figure A3. Board-presentation slide 3 of 7.</w:t>
      </w:r>
    </w:p>
    <w:p w14:paraId="4347C82B" w14:textId="77777777" w:rsidR="006E64B6" w:rsidRDefault="00000000">
      <w:r>
        <w:br w:type="page"/>
      </w:r>
    </w:p>
    <w:p w14:paraId="33D6F51C" w14:textId="77777777" w:rsidR="006E64B6" w:rsidRDefault="00000000">
      <w:pPr>
        <w:pStyle w:val="Heading2"/>
        <w:spacing w:before="0"/>
      </w:pPr>
      <w:bookmarkStart w:id="21" w:name="_Toc237295840"/>
      <w:r>
        <w:lastRenderedPageBreak/>
        <w:t>Slide 4. Identity and segmentation break the likely chains</w:t>
      </w:r>
      <w:bookmarkEnd w:id="21"/>
    </w:p>
    <w:p w14:paraId="588604B1" w14:textId="56E88629" w:rsidR="006E64B6" w:rsidRDefault="00093ADF">
      <w:pPr>
        <w:spacing w:after="80"/>
        <w:jc w:val="center"/>
      </w:pPr>
      <w:r w:rsidRPr="00093ADF">
        <w:rPr>
          <w:noProof/>
        </w:rPr>
        <w:drawing>
          <wp:inline distT="0" distB="0" distL="0" distR="0" wp14:anchorId="316FC7EF" wp14:editId="7161E517">
            <wp:extent cx="5914390" cy="3249930"/>
            <wp:effectExtent l="0" t="0" r="0" b="7620"/>
            <wp:docPr id="1191976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976486" name=""/>
                    <pic:cNvPicPr/>
                  </pic:nvPicPr>
                  <pic:blipFill>
                    <a:blip r:embed="rId39"/>
                    <a:stretch>
                      <a:fillRect/>
                    </a:stretch>
                  </pic:blipFill>
                  <pic:spPr>
                    <a:xfrm>
                      <a:off x="0" y="0"/>
                      <a:ext cx="5914390" cy="3249930"/>
                    </a:xfrm>
                    <a:prstGeom prst="rect">
                      <a:avLst/>
                    </a:prstGeom>
                  </pic:spPr>
                </pic:pic>
              </a:graphicData>
            </a:graphic>
          </wp:inline>
        </w:drawing>
      </w:r>
    </w:p>
    <w:p w14:paraId="286EEC1E" w14:textId="77777777" w:rsidR="006E64B6" w:rsidRPr="00093ADF" w:rsidRDefault="00000000">
      <w:pPr>
        <w:pStyle w:val="Caption"/>
        <w:jc w:val="center"/>
        <w:rPr>
          <w:rFonts w:ascii="Times New Roman" w:hAnsi="Times New Roman" w:cs="Times New Roman"/>
          <w:color w:val="2C2C2C" w:themeColor="text1"/>
        </w:rPr>
      </w:pPr>
      <w:r w:rsidRPr="00093ADF">
        <w:rPr>
          <w:rFonts w:ascii="Times New Roman" w:hAnsi="Times New Roman" w:cs="Times New Roman"/>
          <w:color w:val="2C2C2C" w:themeColor="text1"/>
        </w:rPr>
        <w:t>Appendix Figure A4. Board-presentation slide 4 of 7.</w:t>
      </w:r>
    </w:p>
    <w:p w14:paraId="4265115E" w14:textId="77777777" w:rsidR="006E64B6" w:rsidRDefault="00000000">
      <w:r>
        <w:br w:type="page"/>
      </w:r>
    </w:p>
    <w:p w14:paraId="3A580E27" w14:textId="77777777" w:rsidR="006E64B6" w:rsidRDefault="00000000">
      <w:pPr>
        <w:pStyle w:val="Heading2"/>
        <w:spacing w:before="0"/>
      </w:pPr>
      <w:bookmarkStart w:id="22" w:name="_Toc237295841"/>
      <w:r>
        <w:lastRenderedPageBreak/>
        <w:t>Slide 5. Detection and recovery must be engineered for production</w:t>
      </w:r>
      <w:bookmarkEnd w:id="22"/>
    </w:p>
    <w:p w14:paraId="5F23C130" w14:textId="3024F391" w:rsidR="006E64B6" w:rsidRDefault="00093ADF">
      <w:pPr>
        <w:spacing w:after="80"/>
        <w:jc w:val="center"/>
      </w:pPr>
      <w:r w:rsidRPr="00093ADF">
        <w:rPr>
          <w:noProof/>
        </w:rPr>
        <w:drawing>
          <wp:inline distT="0" distB="0" distL="0" distR="0" wp14:anchorId="14A0CB68" wp14:editId="5DDEC11A">
            <wp:extent cx="5914390" cy="3340735"/>
            <wp:effectExtent l="0" t="0" r="0" b="0"/>
            <wp:docPr id="997889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889404" name=""/>
                    <pic:cNvPicPr/>
                  </pic:nvPicPr>
                  <pic:blipFill>
                    <a:blip r:embed="rId40"/>
                    <a:stretch>
                      <a:fillRect/>
                    </a:stretch>
                  </pic:blipFill>
                  <pic:spPr>
                    <a:xfrm>
                      <a:off x="0" y="0"/>
                      <a:ext cx="5914390" cy="3340735"/>
                    </a:xfrm>
                    <a:prstGeom prst="rect">
                      <a:avLst/>
                    </a:prstGeom>
                  </pic:spPr>
                </pic:pic>
              </a:graphicData>
            </a:graphic>
          </wp:inline>
        </w:drawing>
      </w:r>
    </w:p>
    <w:p w14:paraId="79B7322A" w14:textId="77777777" w:rsidR="006E64B6" w:rsidRPr="00093ADF" w:rsidRDefault="00000000">
      <w:pPr>
        <w:pStyle w:val="Caption"/>
        <w:jc w:val="center"/>
        <w:rPr>
          <w:rFonts w:ascii="Times New Roman" w:hAnsi="Times New Roman" w:cs="Times New Roman"/>
          <w:color w:val="2C2C2C" w:themeColor="text1"/>
        </w:rPr>
      </w:pPr>
      <w:r w:rsidRPr="00093ADF">
        <w:rPr>
          <w:rFonts w:ascii="Times New Roman" w:hAnsi="Times New Roman" w:cs="Times New Roman"/>
          <w:color w:val="2C2C2C" w:themeColor="text1"/>
        </w:rPr>
        <w:t>Appendix Figure A5. Board-presentation slide 5 of 7.</w:t>
      </w:r>
    </w:p>
    <w:p w14:paraId="040C6C66" w14:textId="77777777" w:rsidR="006E64B6" w:rsidRDefault="00000000">
      <w:r>
        <w:br w:type="page"/>
      </w:r>
    </w:p>
    <w:p w14:paraId="6BA73156" w14:textId="77777777" w:rsidR="006E64B6" w:rsidRDefault="00000000">
      <w:pPr>
        <w:pStyle w:val="Heading2"/>
        <w:spacing w:before="0"/>
      </w:pPr>
      <w:bookmarkStart w:id="23" w:name="_Toc237295842"/>
      <w:r>
        <w:lastRenderedPageBreak/>
        <w:t>Slide 6. Trusted pathways need controls beyond technology</w:t>
      </w:r>
      <w:bookmarkEnd w:id="23"/>
    </w:p>
    <w:p w14:paraId="081C977F" w14:textId="582F7417" w:rsidR="006E64B6" w:rsidRDefault="00093ADF">
      <w:pPr>
        <w:spacing w:after="80"/>
        <w:jc w:val="center"/>
      </w:pPr>
      <w:r w:rsidRPr="00093ADF">
        <w:rPr>
          <w:noProof/>
        </w:rPr>
        <w:drawing>
          <wp:inline distT="0" distB="0" distL="0" distR="0" wp14:anchorId="2F856A77" wp14:editId="2F06F8A3">
            <wp:extent cx="5914390" cy="3279775"/>
            <wp:effectExtent l="0" t="0" r="0" b="0"/>
            <wp:docPr id="1054790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790091" name=""/>
                    <pic:cNvPicPr/>
                  </pic:nvPicPr>
                  <pic:blipFill>
                    <a:blip r:embed="rId41"/>
                    <a:stretch>
                      <a:fillRect/>
                    </a:stretch>
                  </pic:blipFill>
                  <pic:spPr>
                    <a:xfrm>
                      <a:off x="0" y="0"/>
                      <a:ext cx="5914390" cy="3279775"/>
                    </a:xfrm>
                    <a:prstGeom prst="rect">
                      <a:avLst/>
                    </a:prstGeom>
                  </pic:spPr>
                </pic:pic>
              </a:graphicData>
            </a:graphic>
          </wp:inline>
        </w:drawing>
      </w:r>
    </w:p>
    <w:p w14:paraId="4BECA24D" w14:textId="77777777" w:rsidR="006E64B6" w:rsidRPr="00093ADF" w:rsidRDefault="00000000">
      <w:pPr>
        <w:pStyle w:val="Caption"/>
        <w:jc w:val="center"/>
        <w:rPr>
          <w:rFonts w:ascii="Times New Roman" w:hAnsi="Times New Roman" w:cs="Times New Roman"/>
          <w:color w:val="2C2C2C" w:themeColor="text1"/>
        </w:rPr>
      </w:pPr>
      <w:r w:rsidRPr="00093ADF">
        <w:rPr>
          <w:rFonts w:ascii="Times New Roman" w:hAnsi="Times New Roman" w:cs="Times New Roman"/>
          <w:color w:val="2C2C2C" w:themeColor="text1"/>
        </w:rPr>
        <w:t>Appendix Figure A6. Board-presentation slide 6 of 7.</w:t>
      </w:r>
    </w:p>
    <w:p w14:paraId="501B4288" w14:textId="77777777" w:rsidR="006E64B6" w:rsidRDefault="00000000">
      <w:r>
        <w:br w:type="page"/>
      </w:r>
    </w:p>
    <w:p w14:paraId="40D43E16" w14:textId="69022374" w:rsidR="006E64B6" w:rsidRDefault="00000000">
      <w:pPr>
        <w:pStyle w:val="Heading2"/>
        <w:spacing w:before="0"/>
      </w:pPr>
      <w:bookmarkStart w:id="24" w:name="_Toc237295843"/>
      <w:r>
        <w:lastRenderedPageBreak/>
        <w:t>Slide 7. Fund the basics first</w:t>
      </w:r>
      <w:r w:rsidR="00093ADF">
        <w:t>,</w:t>
      </w:r>
      <w:r>
        <w:t xml:space="preserve"> phase structural change</w:t>
      </w:r>
      <w:bookmarkEnd w:id="24"/>
    </w:p>
    <w:p w14:paraId="295EB44D" w14:textId="18F5AF3A" w:rsidR="006E64B6" w:rsidRDefault="00093ADF">
      <w:pPr>
        <w:spacing w:after="80"/>
        <w:jc w:val="center"/>
      </w:pPr>
      <w:r w:rsidRPr="00093ADF">
        <w:rPr>
          <w:noProof/>
        </w:rPr>
        <w:drawing>
          <wp:inline distT="0" distB="0" distL="0" distR="0" wp14:anchorId="245013F2" wp14:editId="31BBFF4E">
            <wp:extent cx="5914390" cy="3342640"/>
            <wp:effectExtent l="0" t="0" r="0" b="0"/>
            <wp:docPr id="654129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129992" name=""/>
                    <pic:cNvPicPr/>
                  </pic:nvPicPr>
                  <pic:blipFill>
                    <a:blip r:embed="rId42"/>
                    <a:stretch>
                      <a:fillRect/>
                    </a:stretch>
                  </pic:blipFill>
                  <pic:spPr>
                    <a:xfrm>
                      <a:off x="0" y="0"/>
                      <a:ext cx="5914390" cy="3342640"/>
                    </a:xfrm>
                    <a:prstGeom prst="rect">
                      <a:avLst/>
                    </a:prstGeom>
                  </pic:spPr>
                </pic:pic>
              </a:graphicData>
            </a:graphic>
          </wp:inline>
        </w:drawing>
      </w:r>
    </w:p>
    <w:p w14:paraId="3137AD70" w14:textId="77777777" w:rsidR="006E64B6" w:rsidRPr="00093ADF" w:rsidRDefault="00000000">
      <w:pPr>
        <w:pStyle w:val="Caption"/>
        <w:jc w:val="center"/>
        <w:rPr>
          <w:rFonts w:ascii="Times New Roman" w:hAnsi="Times New Roman" w:cs="Times New Roman"/>
          <w:color w:val="2C2C2C" w:themeColor="text1"/>
        </w:rPr>
      </w:pPr>
      <w:r w:rsidRPr="00093ADF">
        <w:rPr>
          <w:rFonts w:ascii="Times New Roman" w:hAnsi="Times New Roman" w:cs="Times New Roman"/>
          <w:color w:val="2C2C2C" w:themeColor="text1"/>
        </w:rPr>
        <w:t>Appendix Figure A7. Board-presentation slide 7 of 7.</w:t>
      </w:r>
    </w:p>
    <w:sectPr w:rsidR="006E64B6" w:rsidRPr="00093ADF" w:rsidSect="002361B4">
      <w:headerReference w:type="default" r:id="rId43"/>
      <w:footerReference w:type="default" r:id="rId44"/>
      <w:headerReference w:type="first" r:id="rId45"/>
      <w:pgSz w:w="11906" w:h="16838" w:code="9"/>
      <w:pgMar w:top="1224" w:right="1296" w:bottom="1152" w:left="1296" w:header="504" w:footer="504"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FFA865" w14:textId="77777777" w:rsidR="001172B0" w:rsidRDefault="001172B0">
      <w:pPr>
        <w:spacing w:after="0" w:line="240" w:lineRule="auto"/>
      </w:pPr>
      <w:r>
        <w:separator/>
      </w:r>
    </w:p>
  </w:endnote>
  <w:endnote w:type="continuationSeparator" w:id="0">
    <w:p w14:paraId="4C9F67CC" w14:textId="77777777" w:rsidR="001172B0" w:rsidRDefault="001172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579D81" w14:textId="390B08C8" w:rsidR="006E64B6" w:rsidRDefault="00000000">
    <w:pPr>
      <w:pStyle w:val="Footer"/>
      <w:spacing w:before="40"/>
      <w:jc w:val="center"/>
    </w:pPr>
    <w:r>
      <w:rPr>
        <w:rFonts w:ascii="Calibri" w:hAnsi="Calibri"/>
        <w:color w:val="667085"/>
        <w:sz w:val="17"/>
      </w:rPr>
      <w:t xml:space="preserve">Page </w:t>
    </w:r>
    <w:r>
      <w:fldChar w:fldCharType="begin"/>
    </w:r>
    <w:r>
      <w:instrText xml:space="preserve"> PAGE </w:instrText>
    </w:r>
    <w:r>
      <w:fldChar w:fldCharType="separate"/>
    </w:r>
    <w:r w:rsidR="00AD3098">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32EB68" w14:textId="77777777" w:rsidR="001172B0" w:rsidRDefault="001172B0">
      <w:pPr>
        <w:spacing w:after="0" w:line="240" w:lineRule="auto"/>
      </w:pPr>
      <w:r>
        <w:separator/>
      </w:r>
    </w:p>
  </w:footnote>
  <w:footnote w:type="continuationSeparator" w:id="0">
    <w:p w14:paraId="6DFA85AA" w14:textId="77777777" w:rsidR="001172B0" w:rsidRDefault="001172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03D621" w14:textId="77777777" w:rsidR="006E64B6" w:rsidRDefault="006E64B6">
    <w:pPr>
      <w:pStyle w:val="Header"/>
    </w:pPr>
  </w:p>
  <w:tbl>
    <w:tblPr>
      <w:tblW w:w="0" w:type="auto"/>
      <w:jc w:val="center"/>
      <w:tblBorders>
        <w:top w:val="single" w:sz="8" w:space="0" w:color="EAF5FB"/>
        <w:left w:val="single" w:sz="8" w:space="0" w:color="EAF5FB"/>
        <w:bottom w:val="single" w:sz="8" w:space="0" w:color="EAF5FB"/>
        <w:right w:val="single" w:sz="8" w:space="0" w:color="EAF5FB"/>
        <w:insideH w:val="single" w:sz="8" w:space="0" w:color="EAF5FB"/>
        <w:insideV w:val="single" w:sz="8" w:space="0" w:color="EAF5FB"/>
      </w:tblBorders>
      <w:tblLayout w:type="fixed"/>
      <w:tblLook w:val="04A0" w:firstRow="1" w:lastRow="0" w:firstColumn="1" w:lastColumn="0" w:noHBand="0" w:noVBand="1"/>
    </w:tblPr>
    <w:tblGrid>
      <w:gridCol w:w="6000"/>
      <w:gridCol w:w="3360"/>
    </w:tblGrid>
    <w:tr w:rsidR="006E64B6" w14:paraId="7F06E32C" w14:textId="77777777">
      <w:trPr>
        <w:jc w:val="center"/>
      </w:trPr>
      <w:tc>
        <w:tcPr>
          <w:tcW w:w="6000" w:type="dxa"/>
          <w:tcMar>
            <w:top w:w="0" w:type="dxa"/>
            <w:left w:w="0" w:type="dxa"/>
            <w:bottom w:w="20" w:type="dxa"/>
            <w:right w:w="0" w:type="dxa"/>
          </w:tcMar>
        </w:tcPr>
        <w:p w14:paraId="4D3A7093" w14:textId="69F3819E" w:rsidR="006E64B6" w:rsidRDefault="006E64B6">
          <w:pPr>
            <w:spacing w:after="0"/>
          </w:pPr>
        </w:p>
      </w:tc>
      <w:tc>
        <w:tcPr>
          <w:tcW w:w="3360" w:type="dxa"/>
          <w:tcMar>
            <w:top w:w="0" w:type="dxa"/>
            <w:left w:w="0" w:type="dxa"/>
            <w:bottom w:w="20" w:type="dxa"/>
            <w:right w:w="0" w:type="dxa"/>
          </w:tcMar>
        </w:tcPr>
        <w:p w14:paraId="55FDA745" w14:textId="77777777" w:rsidR="006E64B6" w:rsidRDefault="00000000">
          <w:pPr>
            <w:spacing w:after="0"/>
            <w:jc w:val="right"/>
          </w:pPr>
          <w:r>
            <w:rPr>
              <w:rFonts w:ascii="Calibri" w:hAnsi="Calibri"/>
              <w:color w:val="667085"/>
              <w:sz w:val="17"/>
            </w:rPr>
            <w:t>CYBERSECURITY &amp; DATA GOVERNANCE</w:t>
          </w:r>
        </w:p>
      </w:tc>
    </w:tr>
  </w:tbl>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E4DAD7" w14:textId="22293E02" w:rsidR="00D547EA" w:rsidRPr="00D547EA" w:rsidRDefault="00D547EA" w:rsidP="00D547EA">
    <w:pPr>
      <w:pStyle w:val="Header"/>
    </w:pPr>
    <w:r>
      <w:rPr>
        <w:noProof/>
      </w:rPr>
      <w:drawing>
        <wp:inline distT="0" distB="0" distL="0" distR="0" wp14:anchorId="233C86CE" wp14:editId="640C4987">
          <wp:extent cx="1806575" cy="601980"/>
          <wp:effectExtent l="0" t="0" r="3175" b="7620"/>
          <wp:docPr id="51260829" name="Picture 2" descr="A black background with white tex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1260829" name="Picture 2" descr="A black background with white text&#10;&#10;AI-generated content may be incorrect."/>
                  <pic:cNvPicPr>
                    <a:picLocks/>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06575" cy="60198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4211194">
    <w:abstractNumId w:val="8"/>
  </w:num>
  <w:num w:numId="2" w16cid:durableId="798109829">
    <w:abstractNumId w:val="6"/>
  </w:num>
  <w:num w:numId="3" w16cid:durableId="457576735">
    <w:abstractNumId w:val="5"/>
  </w:num>
  <w:num w:numId="4" w16cid:durableId="403839346">
    <w:abstractNumId w:val="4"/>
  </w:num>
  <w:num w:numId="5" w16cid:durableId="178782953">
    <w:abstractNumId w:val="7"/>
  </w:num>
  <w:num w:numId="6" w16cid:durableId="801776198">
    <w:abstractNumId w:val="3"/>
  </w:num>
  <w:num w:numId="7" w16cid:durableId="1421173857">
    <w:abstractNumId w:val="2"/>
  </w:num>
  <w:num w:numId="8" w16cid:durableId="1584678612">
    <w:abstractNumId w:val="1"/>
  </w:num>
  <w:num w:numId="9" w16cid:durableId="15622125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7913"/>
    <w:rsid w:val="00034616"/>
    <w:rsid w:val="000513F4"/>
    <w:rsid w:val="0006063C"/>
    <w:rsid w:val="00093ADF"/>
    <w:rsid w:val="001172B0"/>
    <w:rsid w:val="0015074B"/>
    <w:rsid w:val="002361B4"/>
    <w:rsid w:val="00243548"/>
    <w:rsid w:val="0029639D"/>
    <w:rsid w:val="00326F90"/>
    <w:rsid w:val="004D2EA4"/>
    <w:rsid w:val="00550414"/>
    <w:rsid w:val="005B51C8"/>
    <w:rsid w:val="005D00FE"/>
    <w:rsid w:val="00603D49"/>
    <w:rsid w:val="00610909"/>
    <w:rsid w:val="006E64B6"/>
    <w:rsid w:val="007E580F"/>
    <w:rsid w:val="009036BF"/>
    <w:rsid w:val="009F5E23"/>
    <w:rsid w:val="00AA1D8D"/>
    <w:rsid w:val="00AA2194"/>
    <w:rsid w:val="00AD3098"/>
    <w:rsid w:val="00B47730"/>
    <w:rsid w:val="00CB0664"/>
    <w:rsid w:val="00D547EA"/>
    <w:rsid w:val="00DA7CC0"/>
    <w:rsid w:val="00E3652E"/>
    <w:rsid w:val="00E72D0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F30A840"/>
  <w14:defaultImageDpi w14:val="300"/>
  <w15:docId w15:val="{9CB81C19-B6D0-43FD-BE4D-49A5B5F32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47EA"/>
  </w:style>
  <w:style w:type="paragraph" w:styleId="Heading1">
    <w:name w:val="heading 1"/>
    <w:basedOn w:val="Normal"/>
    <w:next w:val="Normal"/>
    <w:link w:val="Heading1Char"/>
    <w:uiPriority w:val="9"/>
    <w:qFormat/>
    <w:rsid w:val="00D547EA"/>
    <w:pPr>
      <w:pBdr>
        <w:top w:val="single" w:sz="24" w:space="0" w:color="FFC000" w:themeColor="accent1"/>
        <w:left w:val="single" w:sz="24" w:space="0" w:color="FFC000" w:themeColor="accent1"/>
        <w:bottom w:val="single" w:sz="24" w:space="0" w:color="FFC000" w:themeColor="accent1"/>
        <w:right w:val="single" w:sz="24" w:space="0" w:color="FFC000" w:themeColor="accent1"/>
      </w:pBdr>
      <w:shd w:val="clear" w:color="auto" w:fill="FFC000"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D547EA"/>
    <w:pPr>
      <w:pBdr>
        <w:top w:val="single" w:sz="24" w:space="0" w:color="FFF2CC" w:themeColor="accent1" w:themeTint="33"/>
        <w:left w:val="single" w:sz="24" w:space="0" w:color="FFF2CC" w:themeColor="accent1" w:themeTint="33"/>
        <w:bottom w:val="single" w:sz="24" w:space="0" w:color="FFF2CC" w:themeColor="accent1" w:themeTint="33"/>
        <w:right w:val="single" w:sz="24" w:space="0" w:color="FFF2CC" w:themeColor="accent1" w:themeTint="33"/>
      </w:pBdr>
      <w:shd w:val="clear" w:color="auto" w:fill="FFF2CC"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D547EA"/>
    <w:pPr>
      <w:pBdr>
        <w:top w:val="single" w:sz="6" w:space="2" w:color="FFC000" w:themeColor="accent1"/>
      </w:pBdr>
      <w:spacing w:before="300" w:after="0"/>
      <w:outlineLvl w:val="2"/>
    </w:pPr>
    <w:rPr>
      <w:caps/>
      <w:color w:val="7F5F00" w:themeColor="accent1" w:themeShade="7F"/>
      <w:spacing w:val="15"/>
    </w:rPr>
  </w:style>
  <w:style w:type="paragraph" w:styleId="Heading4">
    <w:name w:val="heading 4"/>
    <w:basedOn w:val="Normal"/>
    <w:next w:val="Normal"/>
    <w:link w:val="Heading4Char"/>
    <w:uiPriority w:val="9"/>
    <w:semiHidden/>
    <w:unhideWhenUsed/>
    <w:qFormat/>
    <w:rsid w:val="00D547EA"/>
    <w:pPr>
      <w:pBdr>
        <w:top w:val="dotted" w:sz="6" w:space="2" w:color="FFC000" w:themeColor="accent1"/>
      </w:pBdr>
      <w:spacing w:before="200" w:after="0"/>
      <w:outlineLvl w:val="3"/>
    </w:pPr>
    <w:rPr>
      <w:caps/>
      <w:color w:val="BF8F00" w:themeColor="accent1" w:themeShade="BF"/>
      <w:spacing w:val="10"/>
    </w:rPr>
  </w:style>
  <w:style w:type="paragraph" w:styleId="Heading5">
    <w:name w:val="heading 5"/>
    <w:basedOn w:val="Normal"/>
    <w:next w:val="Normal"/>
    <w:link w:val="Heading5Char"/>
    <w:uiPriority w:val="9"/>
    <w:semiHidden/>
    <w:unhideWhenUsed/>
    <w:qFormat/>
    <w:rsid w:val="00D547EA"/>
    <w:pPr>
      <w:pBdr>
        <w:bottom w:val="single" w:sz="6" w:space="1" w:color="FFC000" w:themeColor="accent1"/>
      </w:pBdr>
      <w:spacing w:before="200" w:after="0"/>
      <w:outlineLvl w:val="4"/>
    </w:pPr>
    <w:rPr>
      <w:caps/>
      <w:color w:val="BF8F00" w:themeColor="accent1" w:themeShade="BF"/>
      <w:spacing w:val="10"/>
    </w:rPr>
  </w:style>
  <w:style w:type="paragraph" w:styleId="Heading6">
    <w:name w:val="heading 6"/>
    <w:basedOn w:val="Normal"/>
    <w:next w:val="Normal"/>
    <w:link w:val="Heading6Char"/>
    <w:uiPriority w:val="9"/>
    <w:semiHidden/>
    <w:unhideWhenUsed/>
    <w:qFormat/>
    <w:rsid w:val="00D547EA"/>
    <w:pPr>
      <w:pBdr>
        <w:bottom w:val="dotted" w:sz="6" w:space="1" w:color="FFC000" w:themeColor="accent1"/>
      </w:pBdr>
      <w:spacing w:before="200" w:after="0"/>
      <w:outlineLvl w:val="5"/>
    </w:pPr>
    <w:rPr>
      <w:caps/>
      <w:color w:val="BF8F00" w:themeColor="accent1" w:themeShade="BF"/>
      <w:spacing w:val="10"/>
    </w:rPr>
  </w:style>
  <w:style w:type="paragraph" w:styleId="Heading7">
    <w:name w:val="heading 7"/>
    <w:basedOn w:val="Normal"/>
    <w:next w:val="Normal"/>
    <w:link w:val="Heading7Char"/>
    <w:uiPriority w:val="9"/>
    <w:semiHidden/>
    <w:unhideWhenUsed/>
    <w:qFormat/>
    <w:rsid w:val="00D547EA"/>
    <w:pPr>
      <w:spacing w:before="200" w:after="0"/>
      <w:outlineLvl w:val="6"/>
    </w:pPr>
    <w:rPr>
      <w:caps/>
      <w:color w:val="BF8F00" w:themeColor="accent1" w:themeShade="BF"/>
      <w:spacing w:val="10"/>
    </w:rPr>
  </w:style>
  <w:style w:type="paragraph" w:styleId="Heading8">
    <w:name w:val="heading 8"/>
    <w:basedOn w:val="Normal"/>
    <w:next w:val="Normal"/>
    <w:link w:val="Heading8Char"/>
    <w:uiPriority w:val="9"/>
    <w:semiHidden/>
    <w:unhideWhenUsed/>
    <w:qFormat/>
    <w:rsid w:val="00D547EA"/>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D547EA"/>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D547EA"/>
    <w:pPr>
      <w:spacing w:after="0" w:line="240" w:lineRule="auto"/>
    </w:pPr>
  </w:style>
  <w:style w:type="character" w:customStyle="1" w:styleId="Heading1Char">
    <w:name w:val="Heading 1 Char"/>
    <w:basedOn w:val="DefaultParagraphFont"/>
    <w:link w:val="Heading1"/>
    <w:uiPriority w:val="9"/>
    <w:rsid w:val="00D547EA"/>
    <w:rPr>
      <w:caps/>
      <w:color w:val="FFFFFF" w:themeColor="background1"/>
      <w:spacing w:val="15"/>
      <w:sz w:val="22"/>
      <w:szCs w:val="22"/>
      <w:shd w:val="clear" w:color="auto" w:fill="FFC000" w:themeFill="accent1"/>
    </w:rPr>
  </w:style>
  <w:style w:type="character" w:customStyle="1" w:styleId="Heading2Char">
    <w:name w:val="Heading 2 Char"/>
    <w:basedOn w:val="DefaultParagraphFont"/>
    <w:link w:val="Heading2"/>
    <w:uiPriority w:val="9"/>
    <w:rsid w:val="00D547EA"/>
    <w:rPr>
      <w:caps/>
      <w:spacing w:val="15"/>
      <w:shd w:val="clear" w:color="auto" w:fill="FFF2CC" w:themeFill="accent1" w:themeFillTint="33"/>
    </w:rPr>
  </w:style>
  <w:style w:type="character" w:customStyle="1" w:styleId="Heading3Char">
    <w:name w:val="Heading 3 Char"/>
    <w:basedOn w:val="DefaultParagraphFont"/>
    <w:link w:val="Heading3"/>
    <w:uiPriority w:val="9"/>
    <w:rsid w:val="00D547EA"/>
    <w:rPr>
      <w:caps/>
      <w:color w:val="7F5F00" w:themeColor="accent1" w:themeShade="7F"/>
      <w:spacing w:val="15"/>
    </w:rPr>
  </w:style>
  <w:style w:type="paragraph" w:styleId="Title">
    <w:name w:val="Title"/>
    <w:basedOn w:val="Normal"/>
    <w:next w:val="Normal"/>
    <w:link w:val="TitleChar"/>
    <w:uiPriority w:val="10"/>
    <w:qFormat/>
    <w:rsid w:val="00D547EA"/>
    <w:pPr>
      <w:spacing w:before="0" w:after="0"/>
    </w:pPr>
    <w:rPr>
      <w:rFonts w:asciiTheme="majorHAnsi" w:eastAsiaTheme="majorEastAsia" w:hAnsiTheme="majorHAnsi" w:cstheme="majorBidi"/>
      <w:caps/>
      <w:color w:val="FFC000" w:themeColor="accent1"/>
      <w:spacing w:val="10"/>
      <w:sz w:val="52"/>
      <w:szCs w:val="52"/>
    </w:rPr>
  </w:style>
  <w:style w:type="character" w:customStyle="1" w:styleId="TitleChar">
    <w:name w:val="Title Char"/>
    <w:basedOn w:val="DefaultParagraphFont"/>
    <w:link w:val="Title"/>
    <w:uiPriority w:val="10"/>
    <w:rsid w:val="00D547EA"/>
    <w:rPr>
      <w:rFonts w:asciiTheme="majorHAnsi" w:eastAsiaTheme="majorEastAsia" w:hAnsiTheme="majorHAnsi" w:cstheme="majorBidi"/>
      <w:caps/>
      <w:color w:val="FFC000" w:themeColor="accent1"/>
      <w:spacing w:val="10"/>
      <w:sz w:val="52"/>
      <w:szCs w:val="52"/>
    </w:rPr>
  </w:style>
  <w:style w:type="paragraph" w:styleId="Subtitle">
    <w:name w:val="Subtitle"/>
    <w:basedOn w:val="Normal"/>
    <w:next w:val="Normal"/>
    <w:link w:val="SubtitleChar"/>
    <w:uiPriority w:val="11"/>
    <w:qFormat/>
    <w:rsid w:val="00D547EA"/>
    <w:pPr>
      <w:spacing w:before="0" w:after="500" w:line="240" w:lineRule="auto"/>
    </w:pPr>
    <w:rPr>
      <w:caps/>
      <w:color w:val="757575" w:themeColor="text1" w:themeTint="A6"/>
      <w:spacing w:val="10"/>
      <w:sz w:val="21"/>
      <w:szCs w:val="21"/>
    </w:rPr>
  </w:style>
  <w:style w:type="character" w:customStyle="1" w:styleId="SubtitleChar">
    <w:name w:val="Subtitle Char"/>
    <w:basedOn w:val="DefaultParagraphFont"/>
    <w:link w:val="Subtitle"/>
    <w:uiPriority w:val="11"/>
    <w:rsid w:val="00D547EA"/>
    <w:rPr>
      <w:caps/>
      <w:color w:val="757575" w:themeColor="text1" w:themeTint="A6"/>
      <w:spacing w:val="10"/>
      <w:sz w:val="21"/>
      <w:szCs w:val="21"/>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D547EA"/>
    <w:rPr>
      <w:i/>
      <w:iCs/>
      <w:sz w:val="24"/>
      <w:szCs w:val="24"/>
    </w:rPr>
  </w:style>
  <w:style w:type="character" w:customStyle="1" w:styleId="QuoteChar">
    <w:name w:val="Quote Char"/>
    <w:basedOn w:val="DefaultParagraphFont"/>
    <w:link w:val="Quote"/>
    <w:uiPriority w:val="29"/>
    <w:rsid w:val="00D547EA"/>
    <w:rPr>
      <w:i/>
      <w:iCs/>
      <w:sz w:val="24"/>
      <w:szCs w:val="24"/>
    </w:rPr>
  </w:style>
  <w:style w:type="character" w:customStyle="1" w:styleId="Heading4Char">
    <w:name w:val="Heading 4 Char"/>
    <w:basedOn w:val="DefaultParagraphFont"/>
    <w:link w:val="Heading4"/>
    <w:uiPriority w:val="9"/>
    <w:semiHidden/>
    <w:rsid w:val="00D547EA"/>
    <w:rPr>
      <w:caps/>
      <w:color w:val="BF8F00" w:themeColor="accent1" w:themeShade="BF"/>
      <w:spacing w:val="10"/>
    </w:rPr>
  </w:style>
  <w:style w:type="character" w:customStyle="1" w:styleId="Heading5Char">
    <w:name w:val="Heading 5 Char"/>
    <w:basedOn w:val="DefaultParagraphFont"/>
    <w:link w:val="Heading5"/>
    <w:uiPriority w:val="9"/>
    <w:semiHidden/>
    <w:rsid w:val="00D547EA"/>
    <w:rPr>
      <w:caps/>
      <w:color w:val="BF8F00" w:themeColor="accent1" w:themeShade="BF"/>
      <w:spacing w:val="10"/>
    </w:rPr>
  </w:style>
  <w:style w:type="character" w:customStyle="1" w:styleId="Heading6Char">
    <w:name w:val="Heading 6 Char"/>
    <w:basedOn w:val="DefaultParagraphFont"/>
    <w:link w:val="Heading6"/>
    <w:uiPriority w:val="9"/>
    <w:semiHidden/>
    <w:rsid w:val="00D547EA"/>
    <w:rPr>
      <w:caps/>
      <w:color w:val="BF8F00" w:themeColor="accent1" w:themeShade="BF"/>
      <w:spacing w:val="10"/>
    </w:rPr>
  </w:style>
  <w:style w:type="character" w:customStyle="1" w:styleId="Heading7Char">
    <w:name w:val="Heading 7 Char"/>
    <w:basedOn w:val="DefaultParagraphFont"/>
    <w:link w:val="Heading7"/>
    <w:uiPriority w:val="9"/>
    <w:semiHidden/>
    <w:rsid w:val="00D547EA"/>
    <w:rPr>
      <w:caps/>
      <w:color w:val="BF8F00" w:themeColor="accent1" w:themeShade="BF"/>
      <w:spacing w:val="10"/>
    </w:rPr>
  </w:style>
  <w:style w:type="character" w:customStyle="1" w:styleId="Heading8Char">
    <w:name w:val="Heading 8 Char"/>
    <w:basedOn w:val="DefaultParagraphFont"/>
    <w:link w:val="Heading8"/>
    <w:uiPriority w:val="9"/>
    <w:semiHidden/>
    <w:rsid w:val="00D547EA"/>
    <w:rPr>
      <w:caps/>
      <w:spacing w:val="10"/>
      <w:sz w:val="18"/>
      <w:szCs w:val="18"/>
    </w:rPr>
  </w:style>
  <w:style w:type="character" w:customStyle="1" w:styleId="Heading9Char">
    <w:name w:val="Heading 9 Char"/>
    <w:basedOn w:val="DefaultParagraphFont"/>
    <w:link w:val="Heading9"/>
    <w:uiPriority w:val="9"/>
    <w:semiHidden/>
    <w:rsid w:val="00D547EA"/>
    <w:rPr>
      <w:i/>
      <w:iCs/>
      <w:caps/>
      <w:spacing w:val="10"/>
      <w:sz w:val="18"/>
      <w:szCs w:val="18"/>
    </w:rPr>
  </w:style>
  <w:style w:type="paragraph" w:styleId="Caption">
    <w:name w:val="caption"/>
    <w:basedOn w:val="Normal"/>
    <w:next w:val="Normal"/>
    <w:uiPriority w:val="35"/>
    <w:semiHidden/>
    <w:unhideWhenUsed/>
    <w:qFormat/>
    <w:rsid w:val="00D547EA"/>
    <w:rPr>
      <w:b/>
      <w:bCs/>
      <w:color w:val="BF8F00" w:themeColor="accent1" w:themeShade="BF"/>
      <w:sz w:val="16"/>
      <w:szCs w:val="16"/>
    </w:rPr>
  </w:style>
  <w:style w:type="character" w:styleId="Strong">
    <w:name w:val="Strong"/>
    <w:uiPriority w:val="22"/>
    <w:qFormat/>
    <w:rsid w:val="00D547EA"/>
    <w:rPr>
      <w:b/>
      <w:bCs/>
    </w:rPr>
  </w:style>
  <w:style w:type="character" w:styleId="Emphasis">
    <w:name w:val="Emphasis"/>
    <w:uiPriority w:val="20"/>
    <w:qFormat/>
    <w:rsid w:val="00D547EA"/>
    <w:rPr>
      <w:caps/>
      <w:color w:val="7F5F00" w:themeColor="accent1" w:themeShade="7F"/>
      <w:spacing w:val="5"/>
    </w:rPr>
  </w:style>
  <w:style w:type="paragraph" w:styleId="IntenseQuote">
    <w:name w:val="Intense Quote"/>
    <w:basedOn w:val="Normal"/>
    <w:next w:val="Normal"/>
    <w:link w:val="IntenseQuoteChar"/>
    <w:uiPriority w:val="30"/>
    <w:qFormat/>
    <w:rsid w:val="00D547EA"/>
    <w:pPr>
      <w:spacing w:before="240" w:after="240" w:line="240" w:lineRule="auto"/>
      <w:ind w:left="1080" w:right="1080"/>
      <w:jc w:val="center"/>
    </w:pPr>
    <w:rPr>
      <w:color w:val="FFC000" w:themeColor="accent1"/>
      <w:sz w:val="24"/>
      <w:szCs w:val="24"/>
    </w:rPr>
  </w:style>
  <w:style w:type="character" w:customStyle="1" w:styleId="IntenseQuoteChar">
    <w:name w:val="Intense Quote Char"/>
    <w:basedOn w:val="DefaultParagraphFont"/>
    <w:link w:val="IntenseQuote"/>
    <w:uiPriority w:val="30"/>
    <w:rsid w:val="00D547EA"/>
    <w:rPr>
      <w:color w:val="FFC000" w:themeColor="accent1"/>
      <w:sz w:val="24"/>
      <w:szCs w:val="24"/>
    </w:rPr>
  </w:style>
  <w:style w:type="character" w:styleId="SubtleEmphasis">
    <w:name w:val="Subtle Emphasis"/>
    <w:uiPriority w:val="19"/>
    <w:qFormat/>
    <w:rsid w:val="00D547EA"/>
    <w:rPr>
      <w:i/>
      <w:iCs/>
      <w:color w:val="7F5F00" w:themeColor="accent1" w:themeShade="7F"/>
    </w:rPr>
  </w:style>
  <w:style w:type="character" w:styleId="IntenseEmphasis">
    <w:name w:val="Intense Emphasis"/>
    <w:uiPriority w:val="21"/>
    <w:qFormat/>
    <w:rsid w:val="00D547EA"/>
    <w:rPr>
      <w:b/>
      <w:bCs/>
      <w:caps/>
      <w:color w:val="7F5F00" w:themeColor="accent1" w:themeShade="7F"/>
      <w:spacing w:val="10"/>
    </w:rPr>
  </w:style>
  <w:style w:type="character" w:styleId="SubtleReference">
    <w:name w:val="Subtle Reference"/>
    <w:uiPriority w:val="31"/>
    <w:qFormat/>
    <w:rsid w:val="00D547EA"/>
    <w:rPr>
      <w:b/>
      <w:bCs/>
      <w:color w:val="FFC000" w:themeColor="accent1"/>
    </w:rPr>
  </w:style>
  <w:style w:type="character" w:styleId="IntenseReference">
    <w:name w:val="Intense Reference"/>
    <w:uiPriority w:val="32"/>
    <w:qFormat/>
    <w:rsid w:val="00D547EA"/>
    <w:rPr>
      <w:b/>
      <w:bCs/>
      <w:i/>
      <w:iCs/>
      <w:caps/>
      <w:color w:val="FFC000" w:themeColor="accent1"/>
    </w:rPr>
  </w:style>
  <w:style w:type="character" w:styleId="BookTitle">
    <w:name w:val="Book Title"/>
    <w:uiPriority w:val="33"/>
    <w:qFormat/>
    <w:rsid w:val="00D547EA"/>
    <w:rPr>
      <w:b/>
      <w:bCs/>
      <w:i/>
      <w:iCs/>
      <w:spacing w:val="0"/>
    </w:rPr>
  </w:style>
  <w:style w:type="paragraph" w:styleId="TOCHeading">
    <w:name w:val="TOC Heading"/>
    <w:basedOn w:val="Heading1"/>
    <w:next w:val="Normal"/>
    <w:uiPriority w:val="39"/>
    <w:unhideWhenUsed/>
    <w:qFormat/>
    <w:rsid w:val="00D547EA"/>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202020" w:themeColor="text1" w:themeShade="BF"/>
    </w:rPr>
    <w:tblPr>
      <w:tblStyleRowBandSize w:val="1"/>
      <w:tblStyleColBandSize w:val="1"/>
      <w:tblBorders>
        <w:top w:val="single" w:sz="8" w:space="0" w:color="2C2C2C" w:themeColor="text1"/>
        <w:bottom w:val="single" w:sz="8" w:space="0" w:color="2C2C2C" w:themeColor="text1"/>
      </w:tblBorders>
    </w:tblPr>
    <w:tblStylePr w:type="firstRow">
      <w:pPr>
        <w:spacing w:before="0" w:after="0" w:line="240" w:lineRule="auto"/>
      </w:pPr>
      <w:rPr>
        <w:b/>
        <w:bCs/>
      </w:rPr>
      <w:tblPr/>
      <w:tcPr>
        <w:tcBorders>
          <w:top w:val="single" w:sz="8" w:space="0" w:color="2C2C2C" w:themeColor="text1"/>
          <w:left w:val="nil"/>
          <w:bottom w:val="single" w:sz="8" w:space="0" w:color="2C2C2C" w:themeColor="text1"/>
          <w:right w:val="nil"/>
          <w:insideH w:val="nil"/>
          <w:insideV w:val="nil"/>
        </w:tcBorders>
      </w:tcPr>
    </w:tblStylePr>
    <w:tblStylePr w:type="lastRow">
      <w:pPr>
        <w:spacing w:before="0" w:after="0" w:line="240" w:lineRule="auto"/>
      </w:pPr>
      <w:rPr>
        <w:b/>
        <w:bCs/>
      </w:rPr>
      <w:tblPr/>
      <w:tcPr>
        <w:tcBorders>
          <w:top w:val="single" w:sz="8" w:space="0" w:color="2C2C2C" w:themeColor="text1"/>
          <w:left w:val="nil"/>
          <w:bottom w:val="single" w:sz="8" w:space="0" w:color="2C2C2C"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ACACA" w:themeFill="text1" w:themeFillTint="3F"/>
      </w:tcPr>
    </w:tblStylePr>
    <w:tblStylePr w:type="band1Horz">
      <w:tblPr/>
      <w:tcPr>
        <w:tcBorders>
          <w:left w:val="nil"/>
          <w:right w:val="nil"/>
          <w:insideH w:val="nil"/>
          <w:insideV w:val="nil"/>
        </w:tcBorders>
        <w:shd w:val="clear" w:color="auto" w:fill="CACACA" w:themeFill="text1" w:themeFillTint="3F"/>
      </w:tcPr>
    </w:tblStylePr>
  </w:style>
  <w:style w:type="table" w:styleId="LightShading-Accent1">
    <w:name w:val="Light Shading Accent 1"/>
    <w:basedOn w:val="TableNormal"/>
    <w:uiPriority w:val="60"/>
    <w:rsid w:val="00FC693F"/>
    <w:pPr>
      <w:spacing w:after="0" w:line="240" w:lineRule="auto"/>
    </w:pPr>
    <w:rPr>
      <w:color w:val="BF8F00" w:themeColor="accent1" w:themeShade="BF"/>
    </w:rPr>
    <w:tblPr>
      <w:tblStyleRowBandSize w:val="1"/>
      <w:tblStyleColBandSize w:val="1"/>
      <w:tblBorders>
        <w:top w:val="single" w:sz="8" w:space="0" w:color="FFC000" w:themeColor="accent1"/>
        <w:bottom w:val="single" w:sz="8" w:space="0" w:color="FFC000" w:themeColor="accent1"/>
      </w:tblBorders>
    </w:tblPr>
    <w:tblStylePr w:type="firstRow">
      <w:pPr>
        <w:spacing w:before="0" w:after="0" w:line="240" w:lineRule="auto"/>
      </w:pPr>
      <w:rPr>
        <w:b/>
        <w:bCs/>
      </w:rPr>
      <w:tblPr/>
      <w:tcPr>
        <w:tcBorders>
          <w:top w:val="single" w:sz="8" w:space="0" w:color="FFC000" w:themeColor="accent1"/>
          <w:left w:val="nil"/>
          <w:bottom w:val="single" w:sz="8" w:space="0" w:color="FFC000" w:themeColor="accent1"/>
          <w:right w:val="nil"/>
          <w:insideH w:val="nil"/>
          <w:insideV w:val="nil"/>
        </w:tcBorders>
      </w:tcPr>
    </w:tblStylePr>
    <w:tblStylePr w:type="lastRow">
      <w:pPr>
        <w:spacing w:before="0" w:after="0" w:line="240" w:lineRule="auto"/>
      </w:pPr>
      <w:rPr>
        <w:b/>
        <w:bCs/>
      </w:rPr>
      <w:tblPr/>
      <w:tcPr>
        <w:tcBorders>
          <w:top w:val="single" w:sz="8" w:space="0" w:color="FFC000" w:themeColor="accent1"/>
          <w:left w:val="nil"/>
          <w:bottom w:val="single" w:sz="8" w:space="0" w:color="FFC000"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1" w:themeFillTint="3F"/>
      </w:tcPr>
    </w:tblStylePr>
    <w:tblStylePr w:type="band1Horz">
      <w:tblPr/>
      <w:tcPr>
        <w:tcBorders>
          <w:left w:val="nil"/>
          <w:right w:val="nil"/>
          <w:insideH w:val="nil"/>
          <w:insideV w:val="nil"/>
        </w:tcBorders>
        <w:shd w:val="clear" w:color="auto" w:fill="FFEFC0" w:themeFill="accent1" w:themeFillTint="3F"/>
      </w:tcPr>
    </w:tblStylePr>
  </w:style>
  <w:style w:type="table" w:styleId="LightShading-Accent2">
    <w:name w:val="Light Shading Accent 2"/>
    <w:basedOn w:val="TableNormal"/>
    <w:uiPriority w:val="60"/>
    <w:rsid w:val="00FC693F"/>
    <w:pPr>
      <w:spacing w:after="0" w:line="240" w:lineRule="auto"/>
    </w:pPr>
    <w:rPr>
      <w:color w:val="7B9B1E" w:themeColor="accent2" w:themeShade="BF"/>
    </w:rPr>
    <w:tblPr>
      <w:tblStyleRowBandSize w:val="1"/>
      <w:tblStyleColBandSize w:val="1"/>
      <w:tblBorders>
        <w:top w:val="single" w:sz="8" w:space="0" w:color="A5D028" w:themeColor="accent2"/>
        <w:bottom w:val="single" w:sz="8" w:space="0" w:color="A5D028" w:themeColor="accent2"/>
      </w:tblBorders>
    </w:tblPr>
    <w:tblStylePr w:type="firstRow">
      <w:pPr>
        <w:spacing w:before="0" w:after="0" w:line="240" w:lineRule="auto"/>
      </w:pPr>
      <w:rPr>
        <w:b/>
        <w:bCs/>
      </w:rPr>
      <w:tblPr/>
      <w:tcPr>
        <w:tcBorders>
          <w:top w:val="single" w:sz="8" w:space="0" w:color="A5D028" w:themeColor="accent2"/>
          <w:left w:val="nil"/>
          <w:bottom w:val="single" w:sz="8" w:space="0" w:color="A5D028" w:themeColor="accent2"/>
          <w:right w:val="nil"/>
          <w:insideH w:val="nil"/>
          <w:insideV w:val="nil"/>
        </w:tcBorders>
      </w:tcPr>
    </w:tblStylePr>
    <w:tblStylePr w:type="lastRow">
      <w:pPr>
        <w:spacing w:before="0" w:after="0" w:line="240" w:lineRule="auto"/>
      </w:pPr>
      <w:rPr>
        <w:b/>
        <w:bCs/>
      </w:rPr>
      <w:tblPr/>
      <w:tcPr>
        <w:tcBorders>
          <w:top w:val="single" w:sz="8" w:space="0" w:color="A5D028" w:themeColor="accent2"/>
          <w:left w:val="nil"/>
          <w:bottom w:val="single" w:sz="8" w:space="0" w:color="A5D02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9F4C8" w:themeFill="accent2" w:themeFillTint="3F"/>
      </w:tcPr>
    </w:tblStylePr>
    <w:tblStylePr w:type="band1Horz">
      <w:tblPr/>
      <w:tcPr>
        <w:tcBorders>
          <w:left w:val="nil"/>
          <w:right w:val="nil"/>
          <w:insideH w:val="nil"/>
          <w:insideV w:val="nil"/>
        </w:tcBorders>
        <w:shd w:val="clear" w:color="auto" w:fill="E9F4C8" w:themeFill="accent2" w:themeFillTint="3F"/>
      </w:tcPr>
    </w:tblStylePr>
  </w:style>
  <w:style w:type="table" w:styleId="LightShading-Accent3">
    <w:name w:val="Light Shading Accent 3"/>
    <w:basedOn w:val="TableNormal"/>
    <w:uiPriority w:val="60"/>
    <w:rsid w:val="00FC693F"/>
    <w:pPr>
      <w:spacing w:after="0" w:line="240" w:lineRule="auto"/>
    </w:pPr>
    <w:rPr>
      <w:color w:val="069859" w:themeColor="accent3" w:themeShade="BF"/>
    </w:rPr>
    <w:tblPr>
      <w:tblStyleRowBandSize w:val="1"/>
      <w:tblStyleColBandSize w:val="1"/>
      <w:tblBorders>
        <w:top w:val="single" w:sz="8" w:space="0" w:color="08CC78" w:themeColor="accent3"/>
        <w:bottom w:val="single" w:sz="8" w:space="0" w:color="08CC78" w:themeColor="accent3"/>
      </w:tblBorders>
    </w:tblPr>
    <w:tblStylePr w:type="firstRow">
      <w:pPr>
        <w:spacing w:before="0" w:after="0" w:line="240" w:lineRule="auto"/>
      </w:pPr>
      <w:rPr>
        <w:b/>
        <w:bCs/>
      </w:rPr>
      <w:tblPr/>
      <w:tcPr>
        <w:tcBorders>
          <w:top w:val="single" w:sz="8" w:space="0" w:color="08CC78" w:themeColor="accent3"/>
          <w:left w:val="nil"/>
          <w:bottom w:val="single" w:sz="8" w:space="0" w:color="08CC78" w:themeColor="accent3"/>
          <w:right w:val="nil"/>
          <w:insideH w:val="nil"/>
          <w:insideV w:val="nil"/>
        </w:tcBorders>
      </w:tcPr>
    </w:tblStylePr>
    <w:tblStylePr w:type="lastRow">
      <w:pPr>
        <w:spacing w:before="0" w:after="0" w:line="240" w:lineRule="auto"/>
      </w:pPr>
      <w:rPr>
        <w:b/>
        <w:bCs/>
      </w:rPr>
      <w:tblPr/>
      <w:tcPr>
        <w:tcBorders>
          <w:top w:val="single" w:sz="8" w:space="0" w:color="08CC78" w:themeColor="accent3"/>
          <w:left w:val="nil"/>
          <w:bottom w:val="single" w:sz="8" w:space="0" w:color="08CC78"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FCDE" w:themeFill="accent3" w:themeFillTint="3F"/>
      </w:tcPr>
    </w:tblStylePr>
    <w:tblStylePr w:type="band1Horz">
      <w:tblPr/>
      <w:tcPr>
        <w:tcBorders>
          <w:left w:val="nil"/>
          <w:right w:val="nil"/>
          <w:insideH w:val="nil"/>
          <w:insideV w:val="nil"/>
        </w:tcBorders>
        <w:shd w:val="clear" w:color="auto" w:fill="B8FCDE" w:themeFill="accent3" w:themeFillTint="3F"/>
      </w:tcPr>
    </w:tblStylePr>
  </w:style>
  <w:style w:type="table" w:styleId="LightShading-Accent4">
    <w:name w:val="Light Shading Accent 4"/>
    <w:basedOn w:val="TableNormal"/>
    <w:uiPriority w:val="60"/>
    <w:rsid w:val="00FC693F"/>
    <w:pPr>
      <w:spacing w:after="0" w:line="240" w:lineRule="auto"/>
    </w:pPr>
    <w:rPr>
      <w:color w:val="D60E72" w:themeColor="accent4" w:themeShade="BF"/>
    </w:rPr>
    <w:tblPr>
      <w:tblStyleRowBandSize w:val="1"/>
      <w:tblStyleColBandSize w:val="1"/>
      <w:tblBorders>
        <w:top w:val="single" w:sz="8" w:space="0" w:color="F24099" w:themeColor="accent4"/>
        <w:bottom w:val="single" w:sz="8" w:space="0" w:color="F24099" w:themeColor="accent4"/>
      </w:tblBorders>
    </w:tblPr>
    <w:tblStylePr w:type="firstRow">
      <w:pPr>
        <w:spacing w:before="0" w:after="0" w:line="240" w:lineRule="auto"/>
      </w:pPr>
      <w:rPr>
        <w:b/>
        <w:bCs/>
      </w:rPr>
      <w:tblPr/>
      <w:tcPr>
        <w:tcBorders>
          <w:top w:val="single" w:sz="8" w:space="0" w:color="F24099" w:themeColor="accent4"/>
          <w:left w:val="nil"/>
          <w:bottom w:val="single" w:sz="8" w:space="0" w:color="F24099" w:themeColor="accent4"/>
          <w:right w:val="nil"/>
          <w:insideH w:val="nil"/>
          <w:insideV w:val="nil"/>
        </w:tcBorders>
      </w:tcPr>
    </w:tblStylePr>
    <w:tblStylePr w:type="lastRow">
      <w:pPr>
        <w:spacing w:before="0" w:after="0" w:line="240" w:lineRule="auto"/>
      </w:pPr>
      <w:rPr>
        <w:b/>
        <w:bCs/>
      </w:rPr>
      <w:tblPr/>
      <w:tcPr>
        <w:tcBorders>
          <w:top w:val="single" w:sz="8" w:space="0" w:color="F24099" w:themeColor="accent4"/>
          <w:left w:val="nil"/>
          <w:bottom w:val="single" w:sz="8" w:space="0" w:color="F24099"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BCFE5" w:themeFill="accent4" w:themeFillTint="3F"/>
      </w:tcPr>
    </w:tblStylePr>
    <w:tblStylePr w:type="band1Horz">
      <w:tblPr/>
      <w:tcPr>
        <w:tcBorders>
          <w:left w:val="nil"/>
          <w:right w:val="nil"/>
          <w:insideH w:val="nil"/>
          <w:insideV w:val="nil"/>
        </w:tcBorders>
        <w:shd w:val="clear" w:color="auto" w:fill="FBCFE5" w:themeFill="accent4" w:themeFillTint="3F"/>
      </w:tcPr>
    </w:tblStylePr>
  </w:style>
  <w:style w:type="table" w:styleId="LightShading-Accent5">
    <w:name w:val="Light Shading Accent 5"/>
    <w:basedOn w:val="TableNormal"/>
    <w:uiPriority w:val="60"/>
    <w:rsid w:val="00FC693F"/>
    <w:pPr>
      <w:spacing w:after="0" w:line="240" w:lineRule="auto"/>
    </w:pPr>
    <w:rPr>
      <w:color w:val="616165" w:themeColor="accent5" w:themeShade="BF"/>
    </w:rPr>
    <w:tblPr>
      <w:tblStyleRowBandSize w:val="1"/>
      <w:tblStyleColBandSize w:val="1"/>
      <w:tblBorders>
        <w:top w:val="single" w:sz="8" w:space="0" w:color="828288" w:themeColor="accent5"/>
        <w:bottom w:val="single" w:sz="8" w:space="0" w:color="828288" w:themeColor="accent5"/>
      </w:tblBorders>
    </w:tblPr>
    <w:tblStylePr w:type="firstRow">
      <w:pPr>
        <w:spacing w:before="0" w:after="0" w:line="240" w:lineRule="auto"/>
      </w:pPr>
      <w:rPr>
        <w:b/>
        <w:bCs/>
      </w:rPr>
      <w:tblPr/>
      <w:tcPr>
        <w:tcBorders>
          <w:top w:val="single" w:sz="8" w:space="0" w:color="828288" w:themeColor="accent5"/>
          <w:left w:val="nil"/>
          <w:bottom w:val="single" w:sz="8" w:space="0" w:color="828288" w:themeColor="accent5"/>
          <w:right w:val="nil"/>
          <w:insideH w:val="nil"/>
          <w:insideV w:val="nil"/>
        </w:tcBorders>
      </w:tcPr>
    </w:tblStylePr>
    <w:tblStylePr w:type="lastRow">
      <w:pPr>
        <w:spacing w:before="0" w:after="0" w:line="240" w:lineRule="auto"/>
      </w:pPr>
      <w:rPr>
        <w:b/>
        <w:bCs/>
      </w:rPr>
      <w:tblPr/>
      <w:tcPr>
        <w:tcBorders>
          <w:top w:val="single" w:sz="8" w:space="0" w:color="828288" w:themeColor="accent5"/>
          <w:left w:val="nil"/>
          <w:bottom w:val="single" w:sz="8" w:space="0" w:color="828288"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0E0E1" w:themeFill="accent5" w:themeFillTint="3F"/>
      </w:tcPr>
    </w:tblStylePr>
    <w:tblStylePr w:type="band1Horz">
      <w:tblPr/>
      <w:tcPr>
        <w:tcBorders>
          <w:left w:val="nil"/>
          <w:right w:val="nil"/>
          <w:insideH w:val="nil"/>
          <w:insideV w:val="nil"/>
        </w:tcBorders>
        <w:shd w:val="clear" w:color="auto" w:fill="E0E0E1" w:themeFill="accent5" w:themeFillTint="3F"/>
      </w:tcPr>
    </w:tblStylePr>
  </w:style>
  <w:style w:type="table" w:styleId="LightShading-Accent6">
    <w:name w:val="Light Shading Accent 6"/>
    <w:basedOn w:val="TableNormal"/>
    <w:uiPriority w:val="60"/>
    <w:rsid w:val="00FC693F"/>
    <w:pPr>
      <w:spacing w:after="0" w:line="240" w:lineRule="auto"/>
    </w:pPr>
    <w:rPr>
      <w:color w:val="C04908" w:themeColor="accent6" w:themeShade="BF"/>
    </w:rPr>
    <w:tblPr>
      <w:tblStyleRowBandSize w:val="1"/>
      <w:tblStyleColBandSize w:val="1"/>
      <w:tblBorders>
        <w:top w:val="single" w:sz="8" w:space="0" w:color="F56617" w:themeColor="accent6"/>
        <w:bottom w:val="single" w:sz="8" w:space="0" w:color="F56617" w:themeColor="accent6"/>
      </w:tblBorders>
    </w:tblPr>
    <w:tblStylePr w:type="firstRow">
      <w:pPr>
        <w:spacing w:before="0" w:after="0" w:line="240" w:lineRule="auto"/>
      </w:pPr>
      <w:rPr>
        <w:b/>
        <w:bCs/>
      </w:rPr>
      <w:tblPr/>
      <w:tcPr>
        <w:tcBorders>
          <w:top w:val="single" w:sz="8" w:space="0" w:color="F56617" w:themeColor="accent6"/>
          <w:left w:val="nil"/>
          <w:bottom w:val="single" w:sz="8" w:space="0" w:color="F56617" w:themeColor="accent6"/>
          <w:right w:val="nil"/>
          <w:insideH w:val="nil"/>
          <w:insideV w:val="nil"/>
        </w:tcBorders>
      </w:tcPr>
    </w:tblStylePr>
    <w:tblStylePr w:type="lastRow">
      <w:pPr>
        <w:spacing w:before="0" w:after="0" w:line="240" w:lineRule="auto"/>
      </w:pPr>
      <w:rPr>
        <w:b/>
        <w:bCs/>
      </w:rPr>
      <w:tblPr/>
      <w:tcPr>
        <w:tcBorders>
          <w:top w:val="single" w:sz="8" w:space="0" w:color="F56617" w:themeColor="accent6"/>
          <w:left w:val="nil"/>
          <w:bottom w:val="single" w:sz="8" w:space="0" w:color="F5661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CD8C5" w:themeFill="accent6" w:themeFillTint="3F"/>
      </w:tcPr>
    </w:tblStylePr>
    <w:tblStylePr w:type="band1Horz">
      <w:tblPr/>
      <w:tcPr>
        <w:tcBorders>
          <w:left w:val="nil"/>
          <w:right w:val="nil"/>
          <w:insideH w:val="nil"/>
          <w:insideV w:val="nil"/>
        </w:tcBorders>
        <w:shd w:val="clear" w:color="auto" w:fill="FCD8C5"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2C2C2C" w:themeColor="text1"/>
        <w:left w:val="single" w:sz="8" w:space="0" w:color="2C2C2C" w:themeColor="text1"/>
        <w:bottom w:val="single" w:sz="8" w:space="0" w:color="2C2C2C" w:themeColor="text1"/>
        <w:right w:val="single" w:sz="8" w:space="0" w:color="2C2C2C" w:themeColor="text1"/>
      </w:tblBorders>
    </w:tblPr>
    <w:tblStylePr w:type="firstRow">
      <w:pPr>
        <w:spacing w:before="0" w:after="0" w:line="240" w:lineRule="auto"/>
      </w:pPr>
      <w:rPr>
        <w:b/>
        <w:bCs/>
        <w:color w:val="FFFFFF" w:themeColor="background1"/>
      </w:rPr>
      <w:tblPr/>
      <w:tcPr>
        <w:shd w:val="clear" w:color="auto" w:fill="2C2C2C" w:themeFill="text1"/>
      </w:tcPr>
    </w:tblStylePr>
    <w:tblStylePr w:type="lastRow">
      <w:pPr>
        <w:spacing w:before="0" w:after="0" w:line="240" w:lineRule="auto"/>
      </w:pPr>
      <w:rPr>
        <w:b/>
        <w:bCs/>
      </w:rPr>
      <w:tblPr/>
      <w:tcPr>
        <w:tcBorders>
          <w:top w:val="double" w:sz="6" w:space="0" w:color="2C2C2C" w:themeColor="text1"/>
          <w:left w:val="single" w:sz="8" w:space="0" w:color="2C2C2C" w:themeColor="text1"/>
          <w:bottom w:val="single" w:sz="8" w:space="0" w:color="2C2C2C" w:themeColor="text1"/>
          <w:right w:val="single" w:sz="8" w:space="0" w:color="2C2C2C" w:themeColor="text1"/>
        </w:tcBorders>
      </w:tcPr>
    </w:tblStylePr>
    <w:tblStylePr w:type="firstCol">
      <w:rPr>
        <w:b/>
        <w:bCs/>
      </w:rPr>
    </w:tblStylePr>
    <w:tblStylePr w:type="lastCol">
      <w:rPr>
        <w:b/>
        <w:bCs/>
      </w:rPr>
    </w:tblStylePr>
    <w:tblStylePr w:type="band1Vert">
      <w:tblPr/>
      <w:tcPr>
        <w:tcBorders>
          <w:top w:val="single" w:sz="8" w:space="0" w:color="2C2C2C" w:themeColor="text1"/>
          <w:left w:val="single" w:sz="8" w:space="0" w:color="2C2C2C" w:themeColor="text1"/>
          <w:bottom w:val="single" w:sz="8" w:space="0" w:color="2C2C2C" w:themeColor="text1"/>
          <w:right w:val="single" w:sz="8" w:space="0" w:color="2C2C2C" w:themeColor="text1"/>
        </w:tcBorders>
      </w:tcPr>
    </w:tblStylePr>
    <w:tblStylePr w:type="band1Horz">
      <w:tblPr/>
      <w:tcPr>
        <w:tcBorders>
          <w:top w:val="single" w:sz="8" w:space="0" w:color="2C2C2C" w:themeColor="text1"/>
          <w:left w:val="single" w:sz="8" w:space="0" w:color="2C2C2C" w:themeColor="text1"/>
          <w:bottom w:val="single" w:sz="8" w:space="0" w:color="2C2C2C" w:themeColor="text1"/>
          <w:right w:val="single" w:sz="8" w:space="0" w:color="2C2C2C"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FFC000" w:themeColor="accent1"/>
        <w:left w:val="single" w:sz="8" w:space="0" w:color="FFC000" w:themeColor="accent1"/>
        <w:bottom w:val="single" w:sz="8" w:space="0" w:color="FFC000" w:themeColor="accent1"/>
        <w:right w:val="single" w:sz="8" w:space="0" w:color="FFC000" w:themeColor="accent1"/>
      </w:tblBorders>
    </w:tblPr>
    <w:tblStylePr w:type="firstRow">
      <w:pPr>
        <w:spacing w:before="0" w:after="0" w:line="240" w:lineRule="auto"/>
      </w:pPr>
      <w:rPr>
        <w:b/>
        <w:bCs/>
        <w:color w:val="FFFFFF" w:themeColor="background1"/>
      </w:rPr>
      <w:tblPr/>
      <w:tcPr>
        <w:shd w:val="clear" w:color="auto" w:fill="FFC000" w:themeFill="accent1"/>
      </w:tcPr>
    </w:tblStylePr>
    <w:tblStylePr w:type="lastRow">
      <w:pPr>
        <w:spacing w:before="0" w:after="0" w:line="240" w:lineRule="auto"/>
      </w:pPr>
      <w:rPr>
        <w:b/>
        <w:bCs/>
      </w:rPr>
      <w:tblPr/>
      <w:tcPr>
        <w:tcBorders>
          <w:top w:val="double" w:sz="6" w:space="0" w:color="FFC000" w:themeColor="accent1"/>
          <w:left w:val="single" w:sz="8" w:space="0" w:color="FFC000" w:themeColor="accent1"/>
          <w:bottom w:val="single" w:sz="8" w:space="0" w:color="FFC000" w:themeColor="accent1"/>
          <w:right w:val="single" w:sz="8" w:space="0" w:color="FFC000" w:themeColor="accent1"/>
        </w:tcBorders>
      </w:tcPr>
    </w:tblStylePr>
    <w:tblStylePr w:type="firstCol">
      <w:rPr>
        <w:b/>
        <w:bCs/>
      </w:rPr>
    </w:tblStylePr>
    <w:tblStylePr w:type="lastCol">
      <w:rPr>
        <w:b/>
        <w:bCs/>
      </w:rPr>
    </w:tblStylePr>
    <w:tblStylePr w:type="band1Vert">
      <w:tblPr/>
      <w:tcPr>
        <w:tcBorders>
          <w:top w:val="single" w:sz="8" w:space="0" w:color="FFC000" w:themeColor="accent1"/>
          <w:left w:val="single" w:sz="8" w:space="0" w:color="FFC000" w:themeColor="accent1"/>
          <w:bottom w:val="single" w:sz="8" w:space="0" w:color="FFC000" w:themeColor="accent1"/>
          <w:right w:val="single" w:sz="8" w:space="0" w:color="FFC000" w:themeColor="accent1"/>
        </w:tcBorders>
      </w:tcPr>
    </w:tblStylePr>
    <w:tblStylePr w:type="band1Horz">
      <w:tblPr/>
      <w:tcPr>
        <w:tcBorders>
          <w:top w:val="single" w:sz="8" w:space="0" w:color="FFC000" w:themeColor="accent1"/>
          <w:left w:val="single" w:sz="8" w:space="0" w:color="FFC000" w:themeColor="accent1"/>
          <w:bottom w:val="single" w:sz="8" w:space="0" w:color="FFC000" w:themeColor="accent1"/>
          <w:right w:val="single" w:sz="8" w:space="0" w:color="FFC000"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A5D028" w:themeColor="accent2"/>
        <w:left w:val="single" w:sz="8" w:space="0" w:color="A5D028" w:themeColor="accent2"/>
        <w:bottom w:val="single" w:sz="8" w:space="0" w:color="A5D028" w:themeColor="accent2"/>
        <w:right w:val="single" w:sz="8" w:space="0" w:color="A5D028" w:themeColor="accent2"/>
      </w:tblBorders>
    </w:tblPr>
    <w:tblStylePr w:type="firstRow">
      <w:pPr>
        <w:spacing w:before="0" w:after="0" w:line="240" w:lineRule="auto"/>
      </w:pPr>
      <w:rPr>
        <w:b/>
        <w:bCs/>
        <w:color w:val="FFFFFF" w:themeColor="background1"/>
      </w:rPr>
      <w:tblPr/>
      <w:tcPr>
        <w:shd w:val="clear" w:color="auto" w:fill="A5D028" w:themeFill="accent2"/>
      </w:tcPr>
    </w:tblStylePr>
    <w:tblStylePr w:type="lastRow">
      <w:pPr>
        <w:spacing w:before="0" w:after="0" w:line="240" w:lineRule="auto"/>
      </w:pPr>
      <w:rPr>
        <w:b/>
        <w:bCs/>
      </w:rPr>
      <w:tblPr/>
      <w:tcPr>
        <w:tcBorders>
          <w:top w:val="double" w:sz="6" w:space="0" w:color="A5D028" w:themeColor="accent2"/>
          <w:left w:val="single" w:sz="8" w:space="0" w:color="A5D028" w:themeColor="accent2"/>
          <w:bottom w:val="single" w:sz="8" w:space="0" w:color="A5D028" w:themeColor="accent2"/>
          <w:right w:val="single" w:sz="8" w:space="0" w:color="A5D028" w:themeColor="accent2"/>
        </w:tcBorders>
      </w:tcPr>
    </w:tblStylePr>
    <w:tblStylePr w:type="firstCol">
      <w:rPr>
        <w:b/>
        <w:bCs/>
      </w:rPr>
    </w:tblStylePr>
    <w:tblStylePr w:type="lastCol">
      <w:rPr>
        <w:b/>
        <w:bCs/>
      </w:rPr>
    </w:tblStylePr>
    <w:tblStylePr w:type="band1Vert">
      <w:tblPr/>
      <w:tcPr>
        <w:tcBorders>
          <w:top w:val="single" w:sz="8" w:space="0" w:color="A5D028" w:themeColor="accent2"/>
          <w:left w:val="single" w:sz="8" w:space="0" w:color="A5D028" w:themeColor="accent2"/>
          <w:bottom w:val="single" w:sz="8" w:space="0" w:color="A5D028" w:themeColor="accent2"/>
          <w:right w:val="single" w:sz="8" w:space="0" w:color="A5D028" w:themeColor="accent2"/>
        </w:tcBorders>
      </w:tcPr>
    </w:tblStylePr>
    <w:tblStylePr w:type="band1Horz">
      <w:tblPr/>
      <w:tcPr>
        <w:tcBorders>
          <w:top w:val="single" w:sz="8" w:space="0" w:color="A5D028" w:themeColor="accent2"/>
          <w:left w:val="single" w:sz="8" w:space="0" w:color="A5D028" w:themeColor="accent2"/>
          <w:bottom w:val="single" w:sz="8" w:space="0" w:color="A5D028" w:themeColor="accent2"/>
          <w:right w:val="single" w:sz="8" w:space="0" w:color="A5D028"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08CC78" w:themeColor="accent3"/>
        <w:left w:val="single" w:sz="8" w:space="0" w:color="08CC78" w:themeColor="accent3"/>
        <w:bottom w:val="single" w:sz="8" w:space="0" w:color="08CC78" w:themeColor="accent3"/>
        <w:right w:val="single" w:sz="8" w:space="0" w:color="08CC78" w:themeColor="accent3"/>
      </w:tblBorders>
    </w:tblPr>
    <w:tblStylePr w:type="firstRow">
      <w:pPr>
        <w:spacing w:before="0" w:after="0" w:line="240" w:lineRule="auto"/>
      </w:pPr>
      <w:rPr>
        <w:b/>
        <w:bCs/>
        <w:color w:val="FFFFFF" w:themeColor="background1"/>
      </w:rPr>
      <w:tblPr/>
      <w:tcPr>
        <w:shd w:val="clear" w:color="auto" w:fill="08CC78" w:themeFill="accent3"/>
      </w:tcPr>
    </w:tblStylePr>
    <w:tblStylePr w:type="lastRow">
      <w:pPr>
        <w:spacing w:before="0" w:after="0" w:line="240" w:lineRule="auto"/>
      </w:pPr>
      <w:rPr>
        <w:b/>
        <w:bCs/>
      </w:rPr>
      <w:tblPr/>
      <w:tcPr>
        <w:tcBorders>
          <w:top w:val="double" w:sz="6" w:space="0" w:color="08CC78" w:themeColor="accent3"/>
          <w:left w:val="single" w:sz="8" w:space="0" w:color="08CC78" w:themeColor="accent3"/>
          <w:bottom w:val="single" w:sz="8" w:space="0" w:color="08CC78" w:themeColor="accent3"/>
          <w:right w:val="single" w:sz="8" w:space="0" w:color="08CC78" w:themeColor="accent3"/>
        </w:tcBorders>
      </w:tcPr>
    </w:tblStylePr>
    <w:tblStylePr w:type="firstCol">
      <w:rPr>
        <w:b/>
        <w:bCs/>
      </w:rPr>
    </w:tblStylePr>
    <w:tblStylePr w:type="lastCol">
      <w:rPr>
        <w:b/>
        <w:bCs/>
      </w:rPr>
    </w:tblStylePr>
    <w:tblStylePr w:type="band1Vert">
      <w:tblPr/>
      <w:tcPr>
        <w:tcBorders>
          <w:top w:val="single" w:sz="8" w:space="0" w:color="08CC78" w:themeColor="accent3"/>
          <w:left w:val="single" w:sz="8" w:space="0" w:color="08CC78" w:themeColor="accent3"/>
          <w:bottom w:val="single" w:sz="8" w:space="0" w:color="08CC78" w:themeColor="accent3"/>
          <w:right w:val="single" w:sz="8" w:space="0" w:color="08CC78" w:themeColor="accent3"/>
        </w:tcBorders>
      </w:tcPr>
    </w:tblStylePr>
    <w:tblStylePr w:type="band1Horz">
      <w:tblPr/>
      <w:tcPr>
        <w:tcBorders>
          <w:top w:val="single" w:sz="8" w:space="0" w:color="08CC78" w:themeColor="accent3"/>
          <w:left w:val="single" w:sz="8" w:space="0" w:color="08CC78" w:themeColor="accent3"/>
          <w:bottom w:val="single" w:sz="8" w:space="0" w:color="08CC78" w:themeColor="accent3"/>
          <w:right w:val="single" w:sz="8" w:space="0" w:color="08CC78"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F24099" w:themeColor="accent4"/>
        <w:left w:val="single" w:sz="8" w:space="0" w:color="F24099" w:themeColor="accent4"/>
        <w:bottom w:val="single" w:sz="8" w:space="0" w:color="F24099" w:themeColor="accent4"/>
        <w:right w:val="single" w:sz="8" w:space="0" w:color="F24099" w:themeColor="accent4"/>
      </w:tblBorders>
    </w:tblPr>
    <w:tblStylePr w:type="firstRow">
      <w:pPr>
        <w:spacing w:before="0" w:after="0" w:line="240" w:lineRule="auto"/>
      </w:pPr>
      <w:rPr>
        <w:b/>
        <w:bCs/>
        <w:color w:val="FFFFFF" w:themeColor="background1"/>
      </w:rPr>
      <w:tblPr/>
      <w:tcPr>
        <w:shd w:val="clear" w:color="auto" w:fill="F24099" w:themeFill="accent4"/>
      </w:tcPr>
    </w:tblStylePr>
    <w:tblStylePr w:type="lastRow">
      <w:pPr>
        <w:spacing w:before="0" w:after="0" w:line="240" w:lineRule="auto"/>
      </w:pPr>
      <w:rPr>
        <w:b/>
        <w:bCs/>
      </w:rPr>
      <w:tblPr/>
      <w:tcPr>
        <w:tcBorders>
          <w:top w:val="double" w:sz="6" w:space="0" w:color="F24099" w:themeColor="accent4"/>
          <w:left w:val="single" w:sz="8" w:space="0" w:color="F24099" w:themeColor="accent4"/>
          <w:bottom w:val="single" w:sz="8" w:space="0" w:color="F24099" w:themeColor="accent4"/>
          <w:right w:val="single" w:sz="8" w:space="0" w:color="F24099" w:themeColor="accent4"/>
        </w:tcBorders>
      </w:tcPr>
    </w:tblStylePr>
    <w:tblStylePr w:type="firstCol">
      <w:rPr>
        <w:b/>
        <w:bCs/>
      </w:rPr>
    </w:tblStylePr>
    <w:tblStylePr w:type="lastCol">
      <w:rPr>
        <w:b/>
        <w:bCs/>
      </w:rPr>
    </w:tblStylePr>
    <w:tblStylePr w:type="band1Vert">
      <w:tblPr/>
      <w:tcPr>
        <w:tcBorders>
          <w:top w:val="single" w:sz="8" w:space="0" w:color="F24099" w:themeColor="accent4"/>
          <w:left w:val="single" w:sz="8" w:space="0" w:color="F24099" w:themeColor="accent4"/>
          <w:bottom w:val="single" w:sz="8" w:space="0" w:color="F24099" w:themeColor="accent4"/>
          <w:right w:val="single" w:sz="8" w:space="0" w:color="F24099" w:themeColor="accent4"/>
        </w:tcBorders>
      </w:tcPr>
    </w:tblStylePr>
    <w:tblStylePr w:type="band1Horz">
      <w:tblPr/>
      <w:tcPr>
        <w:tcBorders>
          <w:top w:val="single" w:sz="8" w:space="0" w:color="F24099" w:themeColor="accent4"/>
          <w:left w:val="single" w:sz="8" w:space="0" w:color="F24099" w:themeColor="accent4"/>
          <w:bottom w:val="single" w:sz="8" w:space="0" w:color="F24099" w:themeColor="accent4"/>
          <w:right w:val="single" w:sz="8" w:space="0" w:color="F24099"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828288" w:themeColor="accent5"/>
        <w:left w:val="single" w:sz="8" w:space="0" w:color="828288" w:themeColor="accent5"/>
        <w:bottom w:val="single" w:sz="8" w:space="0" w:color="828288" w:themeColor="accent5"/>
        <w:right w:val="single" w:sz="8" w:space="0" w:color="828288" w:themeColor="accent5"/>
      </w:tblBorders>
    </w:tblPr>
    <w:tblStylePr w:type="firstRow">
      <w:pPr>
        <w:spacing w:before="0" w:after="0" w:line="240" w:lineRule="auto"/>
      </w:pPr>
      <w:rPr>
        <w:b/>
        <w:bCs/>
        <w:color w:val="FFFFFF" w:themeColor="background1"/>
      </w:rPr>
      <w:tblPr/>
      <w:tcPr>
        <w:shd w:val="clear" w:color="auto" w:fill="828288" w:themeFill="accent5"/>
      </w:tcPr>
    </w:tblStylePr>
    <w:tblStylePr w:type="lastRow">
      <w:pPr>
        <w:spacing w:before="0" w:after="0" w:line="240" w:lineRule="auto"/>
      </w:pPr>
      <w:rPr>
        <w:b/>
        <w:bCs/>
      </w:rPr>
      <w:tblPr/>
      <w:tcPr>
        <w:tcBorders>
          <w:top w:val="double" w:sz="6" w:space="0" w:color="828288" w:themeColor="accent5"/>
          <w:left w:val="single" w:sz="8" w:space="0" w:color="828288" w:themeColor="accent5"/>
          <w:bottom w:val="single" w:sz="8" w:space="0" w:color="828288" w:themeColor="accent5"/>
          <w:right w:val="single" w:sz="8" w:space="0" w:color="828288" w:themeColor="accent5"/>
        </w:tcBorders>
      </w:tcPr>
    </w:tblStylePr>
    <w:tblStylePr w:type="firstCol">
      <w:rPr>
        <w:b/>
        <w:bCs/>
      </w:rPr>
    </w:tblStylePr>
    <w:tblStylePr w:type="lastCol">
      <w:rPr>
        <w:b/>
        <w:bCs/>
      </w:rPr>
    </w:tblStylePr>
    <w:tblStylePr w:type="band1Vert">
      <w:tblPr/>
      <w:tcPr>
        <w:tcBorders>
          <w:top w:val="single" w:sz="8" w:space="0" w:color="828288" w:themeColor="accent5"/>
          <w:left w:val="single" w:sz="8" w:space="0" w:color="828288" w:themeColor="accent5"/>
          <w:bottom w:val="single" w:sz="8" w:space="0" w:color="828288" w:themeColor="accent5"/>
          <w:right w:val="single" w:sz="8" w:space="0" w:color="828288" w:themeColor="accent5"/>
        </w:tcBorders>
      </w:tcPr>
    </w:tblStylePr>
    <w:tblStylePr w:type="band1Horz">
      <w:tblPr/>
      <w:tcPr>
        <w:tcBorders>
          <w:top w:val="single" w:sz="8" w:space="0" w:color="828288" w:themeColor="accent5"/>
          <w:left w:val="single" w:sz="8" w:space="0" w:color="828288" w:themeColor="accent5"/>
          <w:bottom w:val="single" w:sz="8" w:space="0" w:color="828288" w:themeColor="accent5"/>
          <w:right w:val="single" w:sz="8" w:space="0" w:color="828288"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56617" w:themeColor="accent6"/>
        <w:left w:val="single" w:sz="8" w:space="0" w:color="F56617" w:themeColor="accent6"/>
        <w:bottom w:val="single" w:sz="8" w:space="0" w:color="F56617" w:themeColor="accent6"/>
        <w:right w:val="single" w:sz="8" w:space="0" w:color="F56617" w:themeColor="accent6"/>
      </w:tblBorders>
    </w:tblPr>
    <w:tblStylePr w:type="firstRow">
      <w:pPr>
        <w:spacing w:before="0" w:after="0" w:line="240" w:lineRule="auto"/>
      </w:pPr>
      <w:rPr>
        <w:b/>
        <w:bCs/>
        <w:color w:val="FFFFFF" w:themeColor="background1"/>
      </w:rPr>
      <w:tblPr/>
      <w:tcPr>
        <w:shd w:val="clear" w:color="auto" w:fill="F56617" w:themeFill="accent6"/>
      </w:tcPr>
    </w:tblStylePr>
    <w:tblStylePr w:type="lastRow">
      <w:pPr>
        <w:spacing w:before="0" w:after="0" w:line="240" w:lineRule="auto"/>
      </w:pPr>
      <w:rPr>
        <w:b/>
        <w:bCs/>
      </w:rPr>
      <w:tblPr/>
      <w:tcPr>
        <w:tcBorders>
          <w:top w:val="double" w:sz="6" w:space="0" w:color="F56617" w:themeColor="accent6"/>
          <w:left w:val="single" w:sz="8" w:space="0" w:color="F56617" w:themeColor="accent6"/>
          <w:bottom w:val="single" w:sz="8" w:space="0" w:color="F56617" w:themeColor="accent6"/>
          <w:right w:val="single" w:sz="8" w:space="0" w:color="F56617" w:themeColor="accent6"/>
        </w:tcBorders>
      </w:tcPr>
    </w:tblStylePr>
    <w:tblStylePr w:type="firstCol">
      <w:rPr>
        <w:b/>
        <w:bCs/>
      </w:rPr>
    </w:tblStylePr>
    <w:tblStylePr w:type="lastCol">
      <w:rPr>
        <w:b/>
        <w:bCs/>
      </w:rPr>
    </w:tblStylePr>
    <w:tblStylePr w:type="band1Vert">
      <w:tblPr/>
      <w:tcPr>
        <w:tcBorders>
          <w:top w:val="single" w:sz="8" w:space="0" w:color="F56617" w:themeColor="accent6"/>
          <w:left w:val="single" w:sz="8" w:space="0" w:color="F56617" w:themeColor="accent6"/>
          <w:bottom w:val="single" w:sz="8" w:space="0" w:color="F56617" w:themeColor="accent6"/>
          <w:right w:val="single" w:sz="8" w:space="0" w:color="F56617" w:themeColor="accent6"/>
        </w:tcBorders>
      </w:tcPr>
    </w:tblStylePr>
    <w:tblStylePr w:type="band1Horz">
      <w:tblPr/>
      <w:tcPr>
        <w:tcBorders>
          <w:top w:val="single" w:sz="8" w:space="0" w:color="F56617" w:themeColor="accent6"/>
          <w:left w:val="single" w:sz="8" w:space="0" w:color="F56617" w:themeColor="accent6"/>
          <w:bottom w:val="single" w:sz="8" w:space="0" w:color="F56617" w:themeColor="accent6"/>
          <w:right w:val="single" w:sz="8" w:space="0" w:color="F56617"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2C2C2C" w:themeColor="text1"/>
        <w:left w:val="single" w:sz="8" w:space="0" w:color="2C2C2C" w:themeColor="text1"/>
        <w:bottom w:val="single" w:sz="8" w:space="0" w:color="2C2C2C" w:themeColor="text1"/>
        <w:right w:val="single" w:sz="8" w:space="0" w:color="2C2C2C" w:themeColor="text1"/>
        <w:insideH w:val="single" w:sz="8" w:space="0" w:color="2C2C2C" w:themeColor="text1"/>
        <w:insideV w:val="single" w:sz="8" w:space="0" w:color="2C2C2C"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C2C2C" w:themeColor="text1"/>
          <w:left w:val="single" w:sz="8" w:space="0" w:color="2C2C2C" w:themeColor="text1"/>
          <w:bottom w:val="single" w:sz="18" w:space="0" w:color="2C2C2C" w:themeColor="text1"/>
          <w:right w:val="single" w:sz="8" w:space="0" w:color="2C2C2C" w:themeColor="text1"/>
          <w:insideH w:val="nil"/>
          <w:insideV w:val="single" w:sz="8" w:space="0" w:color="2C2C2C"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C2C2C" w:themeColor="text1"/>
          <w:left w:val="single" w:sz="8" w:space="0" w:color="2C2C2C" w:themeColor="text1"/>
          <w:bottom w:val="single" w:sz="8" w:space="0" w:color="2C2C2C" w:themeColor="text1"/>
          <w:right w:val="single" w:sz="8" w:space="0" w:color="2C2C2C" w:themeColor="text1"/>
          <w:insideH w:val="nil"/>
          <w:insideV w:val="single" w:sz="8" w:space="0" w:color="2C2C2C"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C2C2C" w:themeColor="text1"/>
          <w:left w:val="single" w:sz="8" w:space="0" w:color="2C2C2C" w:themeColor="text1"/>
          <w:bottom w:val="single" w:sz="8" w:space="0" w:color="2C2C2C" w:themeColor="text1"/>
          <w:right w:val="single" w:sz="8" w:space="0" w:color="2C2C2C" w:themeColor="text1"/>
        </w:tcBorders>
      </w:tcPr>
    </w:tblStylePr>
    <w:tblStylePr w:type="band1Vert">
      <w:tblPr/>
      <w:tcPr>
        <w:tcBorders>
          <w:top w:val="single" w:sz="8" w:space="0" w:color="2C2C2C" w:themeColor="text1"/>
          <w:left w:val="single" w:sz="8" w:space="0" w:color="2C2C2C" w:themeColor="text1"/>
          <w:bottom w:val="single" w:sz="8" w:space="0" w:color="2C2C2C" w:themeColor="text1"/>
          <w:right w:val="single" w:sz="8" w:space="0" w:color="2C2C2C" w:themeColor="text1"/>
        </w:tcBorders>
        <w:shd w:val="clear" w:color="auto" w:fill="CACACA" w:themeFill="text1" w:themeFillTint="3F"/>
      </w:tcPr>
    </w:tblStylePr>
    <w:tblStylePr w:type="band1Horz">
      <w:tblPr/>
      <w:tcPr>
        <w:tcBorders>
          <w:top w:val="single" w:sz="8" w:space="0" w:color="2C2C2C" w:themeColor="text1"/>
          <w:left w:val="single" w:sz="8" w:space="0" w:color="2C2C2C" w:themeColor="text1"/>
          <w:bottom w:val="single" w:sz="8" w:space="0" w:color="2C2C2C" w:themeColor="text1"/>
          <w:right w:val="single" w:sz="8" w:space="0" w:color="2C2C2C" w:themeColor="text1"/>
          <w:insideV w:val="single" w:sz="8" w:space="0" w:color="2C2C2C" w:themeColor="text1"/>
        </w:tcBorders>
        <w:shd w:val="clear" w:color="auto" w:fill="CACACA" w:themeFill="text1" w:themeFillTint="3F"/>
      </w:tcPr>
    </w:tblStylePr>
    <w:tblStylePr w:type="band2Horz">
      <w:tblPr/>
      <w:tcPr>
        <w:tcBorders>
          <w:top w:val="single" w:sz="8" w:space="0" w:color="2C2C2C" w:themeColor="text1"/>
          <w:left w:val="single" w:sz="8" w:space="0" w:color="2C2C2C" w:themeColor="text1"/>
          <w:bottom w:val="single" w:sz="8" w:space="0" w:color="2C2C2C" w:themeColor="text1"/>
          <w:right w:val="single" w:sz="8" w:space="0" w:color="2C2C2C" w:themeColor="text1"/>
          <w:insideV w:val="single" w:sz="8" w:space="0" w:color="2C2C2C"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FFC000" w:themeColor="accent1"/>
        <w:left w:val="single" w:sz="8" w:space="0" w:color="FFC000" w:themeColor="accent1"/>
        <w:bottom w:val="single" w:sz="8" w:space="0" w:color="FFC000" w:themeColor="accent1"/>
        <w:right w:val="single" w:sz="8" w:space="0" w:color="FFC000" w:themeColor="accent1"/>
        <w:insideH w:val="single" w:sz="8" w:space="0" w:color="FFC000" w:themeColor="accent1"/>
        <w:insideV w:val="single" w:sz="8" w:space="0" w:color="FFC000"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1"/>
          <w:left w:val="single" w:sz="8" w:space="0" w:color="FFC000" w:themeColor="accent1"/>
          <w:bottom w:val="single" w:sz="18" w:space="0" w:color="FFC000" w:themeColor="accent1"/>
          <w:right w:val="single" w:sz="8" w:space="0" w:color="FFC000" w:themeColor="accent1"/>
          <w:insideH w:val="nil"/>
          <w:insideV w:val="single" w:sz="8" w:space="0" w:color="FFC000"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1"/>
          <w:left w:val="single" w:sz="8" w:space="0" w:color="FFC000" w:themeColor="accent1"/>
          <w:bottom w:val="single" w:sz="8" w:space="0" w:color="FFC000" w:themeColor="accent1"/>
          <w:right w:val="single" w:sz="8" w:space="0" w:color="FFC000" w:themeColor="accent1"/>
          <w:insideH w:val="nil"/>
          <w:insideV w:val="single" w:sz="8" w:space="0" w:color="FFC000"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1"/>
          <w:left w:val="single" w:sz="8" w:space="0" w:color="FFC000" w:themeColor="accent1"/>
          <w:bottom w:val="single" w:sz="8" w:space="0" w:color="FFC000" w:themeColor="accent1"/>
          <w:right w:val="single" w:sz="8" w:space="0" w:color="FFC000" w:themeColor="accent1"/>
        </w:tcBorders>
      </w:tcPr>
    </w:tblStylePr>
    <w:tblStylePr w:type="band1Vert">
      <w:tblPr/>
      <w:tcPr>
        <w:tcBorders>
          <w:top w:val="single" w:sz="8" w:space="0" w:color="FFC000" w:themeColor="accent1"/>
          <w:left w:val="single" w:sz="8" w:space="0" w:color="FFC000" w:themeColor="accent1"/>
          <w:bottom w:val="single" w:sz="8" w:space="0" w:color="FFC000" w:themeColor="accent1"/>
          <w:right w:val="single" w:sz="8" w:space="0" w:color="FFC000" w:themeColor="accent1"/>
        </w:tcBorders>
        <w:shd w:val="clear" w:color="auto" w:fill="FFEFC0" w:themeFill="accent1" w:themeFillTint="3F"/>
      </w:tcPr>
    </w:tblStylePr>
    <w:tblStylePr w:type="band1Horz">
      <w:tblPr/>
      <w:tcPr>
        <w:tcBorders>
          <w:top w:val="single" w:sz="8" w:space="0" w:color="FFC000" w:themeColor="accent1"/>
          <w:left w:val="single" w:sz="8" w:space="0" w:color="FFC000" w:themeColor="accent1"/>
          <w:bottom w:val="single" w:sz="8" w:space="0" w:color="FFC000" w:themeColor="accent1"/>
          <w:right w:val="single" w:sz="8" w:space="0" w:color="FFC000" w:themeColor="accent1"/>
          <w:insideV w:val="single" w:sz="8" w:space="0" w:color="FFC000" w:themeColor="accent1"/>
        </w:tcBorders>
        <w:shd w:val="clear" w:color="auto" w:fill="FFEFC0" w:themeFill="accent1" w:themeFillTint="3F"/>
      </w:tcPr>
    </w:tblStylePr>
    <w:tblStylePr w:type="band2Horz">
      <w:tblPr/>
      <w:tcPr>
        <w:tcBorders>
          <w:top w:val="single" w:sz="8" w:space="0" w:color="FFC000" w:themeColor="accent1"/>
          <w:left w:val="single" w:sz="8" w:space="0" w:color="FFC000" w:themeColor="accent1"/>
          <w:bottom w:val="single" w:sz="8" w:space="0" w:color="FFC000" w:themeColor="accent1"/>
          <w:right w:val="single" w:sz="8" w:space="0" w:color="FFC000" w:themeColor="accent1"/>
          <w:insideV w:val="single" w:sz="8" w:space="0" w:color="FFC000"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A5D028" w:themeColor="accent2"/>
        <w:left w:val="single" w:sz="8" w:space="0" w:color="A5D028" w:themeColor="accent2"/>
        <w:bottom w:val="single" w:sz="8" w:space="0" w:color="A5D028" w:themeColor="accent2"/>
        <w:right w:val="single" w:sz="8" w:space="0" w:color="A5D028" w:themeColor="accent2"/>
        <w:insideH w:val="single" w:sz="8" w:space="0" w:color="A5D028" w:themeColor="accent2"/>
        <w:insideV w:val="single" w:sz="8" w:space="0" w:color="A5D028"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D028" w:themeColor="accent2"/>
          <w:left w:val="single" w:sz="8" w:space="0" w:color="A5D028" w:themeColor="accent2"/>
          <w:bottom w:val="single" w:sz="18" w:space="0" w:color="A5D028" w:themeColor="accent2"/>
          <w:right w:val="single" w:sz="8" w:space="0" w:color="A5D028" w:themeColor="accent2"/>
          <w:insideH w:val="nil"/>
          <w:insideV w:val="single" w:sz="8" w:space="0" w:color="A5D02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D028" w:themeColor="accent2"/>
          <w:left w:val="single" w:sz="8" w:space="0" w:color="A5D028" w:themeColor="accent2"/>
          <w:bottom w:val="single" w:sz="8" w:space="0" w:color="A5D028" w:themeColor="accent2"/>
          <w:right w:val="single" w:sz="8" w:space="0" w:color="A5D028" w:themeColor="accent2"/>
          <w:insideH w:val="nil"/>
          <w:insideV w:val="single" w:sz="8" w:space="0" w:color="A5D02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D028" w:themeColor="accent2"/>
          <w:left w:val="single" w:sz="8" w:space="0" w:color="A5D028" w:themeColor="accent2"/>
          <w:bottom w:val="single" w:sz="8" w:space="0" w:color="A5D028" w:themeColor="accent2"/>
          <w:right w:val="single" w:sz="8" w:space="0" w:color="A5D028" w:themeColor="accent2"/>
        </w:tcBorders>
      </w:tcPr>
    </w:tblStylePr>
    <w:tblStylePr w:type="band1Vert">
      <w:tblPr/>
      <w:tcPr>
        <w:tcBorders>
          <w:top w:val="single" w:sz="8" w:space="0" w:color="A5D028" w:themeColor="accent2"/>
          <w:left w:val="single" w:sz="8" w:space="0" w:color="A5D028" w:themeColor="accent2"/>
          <w:bottom w:val="single" w:sz="8" w:space="0" w:color="A5D028" w:themeColor="accent2"/>
          <w:right w:val="single" w:sz="8" w:space="0" w:color="A5D028" w:themeColor="accent2"/>
        </w:tcBorders>
        <w:shd w:val="clear" w:color="auto" w:fill="E9F4C8" w:themeFill="accent2" w:themeFillTint="3F"/>
      </w:tcPr>
    </w:tblStylePr>
    <w:tblStylePr w:type="band1Horz">
      <w:tblPr/>
      <w:tcPr>
        <w:tcBorders>
          <w:top w:val="single" w:sz="8" w:space="0" w:color="A5D028" w:themeColor="accent2"/>
          <w:left w:val="single" w:sz="8" w:space="0" w:color="A5D028" w:themeColor="accent2"/>
          <w:bottom w:val="single" w:sz="8" w:space="0" w:color="A5D028" w:themeColor="accent2"/>
          <w:right w:val="single" w:sz="8" w:space="0" w:color="A5D028" w:themeColor="accent2"/>
          <w:insideV w:val="single" w:sz="8" w:space="0" w:color="A5D028" w:themeColor="accent2"/>
        </w:tcBorders>
        <w:shd w:val="clear" w:color="auto" w:fill="E9F4C8" w:themeFill="accent2" w:themeFillTint="3F"/>
      </w:tcPr>
    </w:tblStylePr>
    <w:tblStylePr w:type="band2Horz">
      <w:tblPr/>
      <w:tcPr>
        <w:tcBorders>
          <w:top w:val="single" w:sz="8" w:space="0" w:color="A5D028" w:themeColor="accent2"/>
          <w:left w:val="single" w:sz="8" w:space="0" w:color="A5D028" w:themeColor="accent2"/>
          <w:bottom w:val="single" w:sz="8" w:space="0" w:color="A5D028" w:themeColor="accent2"/>
          <w:right w:val="single" w:sz="8" w:space="0" w:color="A5D028" w:themeColor="accent2"/>
          <w:insideV w:val="single" w:sz="8" w:space="0" w:color="A5D028"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08CC78" w:themeColor="accent3"/>
        <w:left w:val="single" w:sz="8" w:space="0" w:color="08CC78" w:themeColor="accent3"/>
        <w:bottom w:val="single" w:sz="8" w:space="0" w:color="08CC78" w:themeColor="accent3"/>
        <w:right w:val="single" w:sz="8" w:space="0" w:color="08CC78" w:themeColor="accent3"/>
        <w:insideH w:val="single" w:sz="8" w:space="0" w:color="08CC78" w:themeColor="accent3"/>
        <w:insideV w:val="single" w:sz="8" w:space="0" w:color="08CC78"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8CC78" w:themeColor="accent3"/>
          <w:left w:val="single" w:sz="8" w:space="0" w:color="08CC78" w:themeColor="accent3"/>
          <w:bottom w:val="single" w:sz="18" w:space="0" w:color="08CC78" w:themeColor="accent3"/>
          <w:right w:val="single" w:sz="8" w:space="0" w:color="08CC78" w:themeColor="accent3"/>
          <w:insideH w:val="nil"/>
          <w:insideV w:val="single" w:sz="8" w:space="0" w:color="08CC78"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8CC78" w:themeColor="accent3"/>
          <w:left w:val="single" w:sz="8" w:space="0" w:color="08CC78" w:themeColor="accent3"/>
          <w:bottom w:val="single" w:sz="8" w:space="0" w:color="08CC78" w:themeColor="accent3"/>
          <w:right w:val="single" w:sz="8" w:space="0" w:color="08CC78" w:themeColor="accent3"/>
          <w:insideH w:val="nil"/>
          <w:insideV w:val="single" w:sz="8" w:space="0" w:color="08CC78"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8CC78" w:themeColor="accent3"/>
          <w:left w:val="single" w:sz="8" w:space="0" w:color="08CC78" w:themeColor="accent3"/>
          <w:bottom w:val="single" w:sz="8" w:space="0" w:color="08CC78" w:themeColor="accent3"/>
          <w:right w:val="single" w:sz="8" w:space="0" w:color="08CC78" w:themeColor="accent3"/>
        </w:tcBorders>
      </w:tcPr>
    </w:tblStylePr>
    <w:tblStylePr w:type="band1Vert">
      <w:tblPr/>
      <w:tcPr>
        <w:tcBorders>
          <w:top w:val="single" w:sz="8" w:space="0" w:color="08CC78" w:themeColor="accent3"/>
          <w:left w:val="single" w:sz="8" w:space="0" w:color="08CC78" w:themeColor="accent3"/>
          <w:bottom w:val="single" w:sz="8" w:space="0" w:color="08CC78" w:themeColor="accent3"/>
          <w:right w:val="single" w:sz="8" w:space="0" w:color="08CC78" w:themeColor="accent3"/>
        </w:tcBorders>
        <w:shd w:val="clear" w:color="auto" w:fill="B8FCDE" w:themeFill="accent3" w:themeFillTint="3F"/>
      </w:tcPr>
    </w:tblStylePr>
    <w:tblStylePr w:type="band1Horz">
      <w:tblPr/>
      <w:tcPr>
        <w:tcBorders>
          <w:top w:val="single" w:sz="8" w:space="0" w:color="08CC78" w:themeColor="accent3"/>
          <w:left w:val="single" w:sz="8" w:space="0" w:color="08CC78" w:themeColor="accent3"/>
          <w:bottom w:val="single" w:sz="8" w:space="0" w:color="08CC78" w:themeColor="accent3"/>
          <w:right w:val="single" w:sz="8" w:space="0" w:color="08CC78" w:themeColor="accent3"/>
          <w:insideV w:val="single" w:sz="8" w:space="0" w:color="08CC78" w:themeColor="accent3"/>
        </w:tcBorders>
        <w:shd w:val="clear" w:color="auto" w:fill="B8FCDE" w:themeFill="accent3" w:themeFillTint="3F"/>
      </w:tcPr>
    </w:tblStylePr>
    <w:tblStylePr w:type="band2Horz">
      <w:tblPr/>
      <w:tcPr>
        <w:tcBorders>
          <w:top w:val="single" w:sz="8" w:space="0" w:color="08CC78" w:themeColor="accent3"/>
          <w:left w:val="single" w:sz="8" w:space="0" w:color="08CC78" w:themeColor="accent3"/>
          <w:bottom w:val="single" w:sz="8" w:space="0" w:color="08CC78" w:themeColor="accent3"/>
          <w:right w:val="single" w:sz="8" w:space="0" w:color="08CC78" w:themeColor="accent3"/>
          <w:insideV w:val="single" w:sz="8" w:space="0" w:color="08CC78"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F24099" w:themeColor="accent4"/>
        <w:left w:val="single" w:sz="8" w:space="0" w:color="F24099" w:themeColor="accent4"/>
        <w:bottom w:val="single" w:sz="8" w:space="0" w:color="F24099" w:themeColor="accent4"/>
        <w:right w:val="single" w:sz="8" w:space="0" w:color="F24099" w:themeColor="accent4"/>
        <w:insideH w:val="single" w:sz="8" w:space="0" w:color="F24099" w:themeColor="accent4"/>
        <w:insideV w:val="single" w:sz="8" w:space="0" w:color="F24099"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24099" w:themeColor="accent4"/>
          <w:left w:val="single" w:sz="8" w:space="0" w:color="F24099" w:themeColor="accent4"/>
          <w:bottom w:val="single" w:sz="18" w:space="0" w:color="F24099" w:themeColor="accent4"/>
          <w:right w:val="single" w:sz="8" w:space="0" w:color="F24099" w:themeColor="accent4"/>
          <w:insideH w:val="nil"/>
          <w:insideV w:val="single" w:sz="8" w:space="0" w:color="F24099"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24099" w:themeColor="accent4"/>
          <w:left w:val="single" w:sz="8" w:space="0" w:color="F24099" w:themeColor="accent4"/>
          <w:bottom w:val="single" w:sz="8" w:space="0" w:color="F24099" w:themeColor="accent4"/>
          <w:right w:val="single" w:sz="8" w:space="0" w:color="F24099" w:themeColor="accent4"/>
          <w:insideH w:val="nil"/>
          <w:insideV w:val="single" w:sz="8" w:space="0" w:color="F24099"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24099" w:themeColor="accent4"/>
          <w:left w:val="single" w:sz="8" w:space="0" w:color="F24099" w:themeColor="accent4"/>
          <w:bottom w:val="single" w:sz="8" w:space="0" w:color="F24099" w:themeColor="accent4"/>
          <w:right w:val="single" w:sz="8" w:space="0" w:color="F24099" w:themeColor="accent4"/>
        </w:tcBorders>
      </w:tcPr>
    </w:tblStylePr>
    <w:tblStylePr w:type="band1Vert">
      <w:tblPr/>
      <w:tcPr>
        <w:tcBorders>
          <w:top w:val="single" w:sz="8" w:space="0" w:color="F24099" w:themeColor="accent4"/>
          <w:left w:val="single" w:sz="8" w:space="0" w:color="F24099" w:themeColor="accent4"/>
          <w:bottom w:val="single" w:sz="8" w:space="0" w:color="F24099" w:themeColor="accent4"/>
          <w:right w:val="single" w:sz="8" w:space="0" w:color="F24099" w:themeColor="accent4"/>
        </w:tcBorders>
        <w:shd w:val="clear" w:color="auto" w:fill="FBCFE5" w:themeFill="accent4" w:themeFillTint="3F"/>
      </w:tcPr>
    </w:tblStylePr>
    <w:tblStylePr w:type="band1Horz">
      <w:tblPr/>
      <w:tcPr>
        <w:tcBorders>
          <w:top w:val="single" w:sz="8" w:space="0" w:color="F24099" w:themeColor="accent4"/>
          <w:left w:val="single" w:sz="8" w:space="0" w:color="F24099" w:themeColor="accent4"/>
          <w:bottom w:val="single" w:sz="8" w:space="0" w:color="F24099" w:themeColor="accent4"/>
          <w:right w:val="single" w:sz="8" w:space="0" w:color="F24099" w:themeColor="accent4"/>
          <w:insideV w:val="single" w:sz="8" w:space="0" w:color="F24099" w:themeColor="accent4"/>
        </w:tcBorders>
        <w:shd w:val="clear" w:color="auto" w:fill="FBCFE5" w:themeFill="accent4" w:themeFillTint="3F"/>
      </w:tcPr>
    </w:tblStylePr>
    <w:tblStylePr w:type="band2Horz">
      <w:tblPr/>
      <w:tcPr>
        <w:tcBorders>
          <w:top w:val="single" w:sz="8" w:space="0" w:color="F24099" w:themeColor="accent4"/>
          <w:left w:val="single" w:sz="8" w:space="0" w:color="F24099" w:themeColor="accent4"/>
          <w:bottom w:val="single" w:sz="8" w:space="0" w:color="F24099" w:themeColor="accent4"/>
          <w:right w:val="single" w:sz="8" w:space="0" w:color="F24099" w:themeColor="accent4"/>
          <w:insideV w:val="single" w:sz="8" w:space="0" w:color="F24099"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828288" w:themeColor="accent5"/>
        <w:left w:val="single" w:sz="8" w:space="0" w:color="828288" w:themeColor="accent5"/>
        <w:bottom w:val="single" w:sz="8" w:space="0" w:color="828288" w:themeColor="accent5"/>
        <w:right w:val="single" w:sz="8" w:space="0" w:color="828288" w:themeColor="accent5"/>
        <w:insideH w:val="single" w:sz="8" w:space="0" w:color="828288" w:themeColor="accent5"/>
        <w:insideV w:val="single" w:sz="8" w:space="0" w:color="828288"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28288" w:themeColor="accent5"/>
          <w:left w:val="single" w:sz="8" w:space="0" w:color="828288" w:themeColor="accent5"/>
          <w:bottom w:val="single" w:sz="18" w:space="0" w:color="828288" w:themeColor="accent5"/>
          <w:right w:val="single" w:sz="8" w:space="0" w:color="828288" w:themeColor="accent5"/>
          <w:insideH w:val="nil"/>
          <w:insideV w:val="single" w:sz="8" w:space="0" w:color="828288"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28288" w:themeColor="accent5"/>
          <w:left w:val="single" w:sz="8" w:space="0" w:color="828288" w:themeColor="accent5"/>
          <w:bottom w:val="single" w:sz="8" w:space="0" w:color="828288" w:themeColor="accent5"/>
          <w:right w:val="single" w:sz="8" w:space="0" w:color="828288" w:themeColor="accent5"/>
          <w:insideH w:val="nil"/>
          <w:insideV w:val="single" w:sz="8" w:space="0" w:color="828288"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28288" w:themeColor="accent5"/>
          <w:left w:val="single" w:sz="8" w:space="0" w:color="828288" w:themeColor="accent5"/>
          <w:bottom w:val="single" w:sz="8" w:space="0" w:color="828288" w:themeColor="accent5"/>
          <w:right w:val="single" w:sz="8" w:space="0" w:color="828288" w:themeColor="accent5"/>
        </w:tcBorders>
      </w:tcPr>
    </w:tblStylePr>
    <w:tblStylePr w:type="band1Vert">
      <w:tblPr/>
      <w:tcPr>
        <w:tcBorders>
          <w:top w:val="single" w:sz="8" w:space="0" w:color="828288" w:themeColor="accent5"/>
          <w:left w:val="single" w:sz="8" w:space="0" w:color="828288" w:themeColor="accent5"/>
          <w:bottom w:val="single" w:sz="8" w:space="0" w:color="828288" w:themeColor="accent5"/>
          <w:right w:val="single" w:sz="8" w:space="0" w:color="828288" w:themeColor="accent5"/>
        </w:tcBorders>
        <w:shd w:val="clear" w:color="auto" w:fill="E0E0E1" w:themeFill="accent5" w:themeFillTint="3F"/>
      </w:tcPr>
    </w:tblStylePr>
    <w:tblStylePr w:type="band1Horz">
      <w:tblPr/>
      <w:tcPr>
        <w:tcBorders>
          <w:top w:val="single" w:sz="8" w:space="0" w:color="828288" w:themeColor="accent5"/>
          <w:left w:val="single" w:sz="8" w:space="0" w:color="828288" w:themeColor="accent5"/>
          <w:bottom w:val="single" w:sz="8" w:space="0" w:color="828288" w:themeColor="accent5"/>
          <w:right w:val="single" w:sz="8" w:space="0" w:color="828288" w:themeColor="accent5"/>
          <w:insideV w:val="single" w:sz="8" w:space="0" w:color="828288" w:themeColor="accent5"/>
        </w:tcBorders>
        <w:shd w:val="clear" w:color="auto" w:fill="E0E0E1" w:themeFill="accent5" w:themeFillTint="3F"/>
      </w:tcPr>
    </w:tblStylePr>
    <w:tblStylePr w:type="band2Horz">
      <w:tblPr/>
      <w:tcPr>
        <w:tcBorders>
          <w:top w:val="single" w:sz="8" w:space="0" w:color="828288" w:themeColor="accent5"/>
          <w:left w:val="single" w:sz="8" w:space="0" w:color="828288" w:themeColor="accent5"/>
          <w:bottom w:val="single" w:sz="8" w:space="0" w:color="828288" w:themeColor="accent5"/>
          <w:right w:val="single" w:sz="8" w:space="0" w:color="828288" w:themeColor="accent5"/>
          <w:insideV w:val="single" w:sz="8" w:space="0" w:color="828288"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56617" w:themeColor="accent6"/>
        <w:left w:val="single" w:sz="8" w:space="0" w:color="F56617" w:themeColor="accent6"/>
        <w:bottom w:val="single" w:sz="8" w:space="0" w:color="F56617" w:themeColor="accent6"/>
        <w:right w:val="single" w:sz="8" w:space="0" w:color="F56617" w:themeColor="accent6"/>
        <w:insideH w:val="single" w:sz="8" w:space="0" w:color="F56617" w:themeColor="accent6"/>
        <w:insideV w:val="single" w:sz="8" w:space="0" w:color="F5661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56617" w:themeColor="accent6"/>
          <w:left w:val="single" w:sz="8" w:space="0" w:color="F56617" w:themeColor="accent6"/>
          <w:bottom w:val="single" w:sz="18" w:space="0" w:color="F56617" w:themeColor="accent6"/>
          <w:right w:val="single" w:sz="8" w:space="0" w:color="F56617" w:themeColor="accent6"/>
          <w:insideH w:val="nil"/>
          <w:insideV w:val="single" w:sz="8" w:space="0" w:color="F5661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56617" w:themeColor="accent6"/>
          <w:left w:val="single" w:sz="8" w:space="0" w:color="F56617" w:themeColor="accent6"/>
          <w:bottom w:val="single" w:sz="8" w:space="0" w:color="F56617" w:themeColor="accent6"/>
          <w:right w:val="single" w:sz="8" w:space="0" w:color="F56617" w:themeColor="accent6"/>
          <w:insideH w:val="nil"/>
          <w:insideV w:val="single" w:sz="8" w:space="0" w:color="F5661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56617" w:themeColor="accent6"/>
          <w:left w:val="single" w:sz="8" w:space="0" w:color="F56617" w:themeColor="accent6"/>
          <w:bottom w:val="single" w:sz="8" w:space="0" w:color="F56617" w:themeColor="accent6"/>
          <w:right w:val="single" w:sz="8" w:space="0" w:color="F56617" w:themeColor="accent6"/>
        </w:tcBorders>
      </w:tcPr>
    </w:tblStylePr>
    <w:tblStylePr w:type="band1Vert">
      <w:tblPr/>
      <w:tcPr>
        <w:tcBorders>
          <w:top w:val="single" w:sz="8" w:space="0" w:color="F56617" w:themeColor="accent6"/>
          <w:left w:val="single" w:sz="8" w:space="0" w:color="F56617" w:themeColor="accent6"/>
          <w:bottom w:val="single" w:sz="8" w:space="0" w:color="F56617" w:themeColor="accent6"/>
          <w:right w:val="single" w:sz="8" w:space="0" w:color="F56617" w:themeColor="accent6"/>
        </w:tcBorders>
        <w:shd w:val="clear" w:color="auto" w:fill="FCD8C5" w:themeFill="accent6" w:themeFillTint="3F"/>
      </w:tcPr>
    </w:tblStylePr>
    <w:tblStylePr w:type="band1Horz">
      <w:tblPr/>
      <w:tcPr>
        <w:tcBorders>
          <w:top w:val="single" w:sz="8" w:space="0" w:color="F56617" w:themeColor="accent6"/>
          <w:left w:val="single" w:sz="8" w:space="0" w:color="F56617" w:themeColor="accent6"/>
          <w:bottom w:val="single" w:sz="8" w:space="0" w:color="F56617" w:themeColor="accent6"/>
          <w:right w:val="single" w:sz="8" w:space="0" w:color="F56617" w:themeColor="accent6"/>
          <w:insideV w:val="single" w:sz="8" w:space="0" w:color="F56617" w:themeColor="accent6"/>
        </w:tcBorders>
        <w:shd w:val="clear" w:color="auto" w:fill="FCD8C5" w:themeFill="accent6" w:themeFillTint="3F"/>
      </w:tcPr>
    </w:tblStylePr>
    <w:tblStylePr w:type="band2Horz">
      <w:tblPr/>
      <w:tcPr>
        <w:tcBorders>
          <w:top w:val="single" w:sz="8" w:space="0" w:color="F56617" w:themeColor="accent6"/>
          <w:left w:val="single" w:sz="8" w:space="0" w:color="F56617" w:themeColor="accent6"/>
          <w:bottom w:val="single" w:sz="8" w:space="0" w:color="F56617" w:themeColor="accent6"/>
          <w:right w:val="single" w:sz="8" w:space="0" w:color="F56617" w:themeColor="accent6"/>
          <w:insideV w:val="single" w:sz="8" w:space="0" w:color="F56617"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606060" w:themeColor="text1" w:themeTint="BF"/>
        <w:left w:val="single" w:sz="8" w:space="0" w:color="606060" w:themeColor="text1" w:themeTint="BF"/>
        <w:bottom w:val="single" w:sz="8" w:space="0" w:color="606060" w:themeColor="text1" w:themeTint="BF"/>
        <w:right w:val="single" w:sz="8" w:space="0" w:color="606060" w:themeColor="text1" w:themeTint="BF"/>
        <w:insideH w:val="single" w:sz="8" w:space="0" w:color="606060" w:themeColor="text1" w:themeTint="BF"/>
      </w:tblBorders>
    </w:tblPr>
    <w:tblStylePr w:type="firstRow">
      <w:pPr>
        <w:spacing w:before="0" w:after="0" w:line="240" w:lineRule="auto"/>
      </w:pPr>
      <w:rPr>
        <w:b/>
        <w:bCs/>
        <w:color w:val="FFFFFF" w:themeColor="background1"/>
      </w:rPr>
      <w:tblPr/>
      <w:tcPr>
        <w:tcBorders>
          <w:top w:val="single" w:sz="8" w:space="0" w:color="606060" w:themeColor="text1" w:themeTint="BF"/>
          <w:left w:val="single" w:sz="8" w:space="0" w:color="606060" w:themeColor="text1" w:themeTint="BF"/>
          <w:bottom w:val="single" w:sz="8" w:space="0" w:color="606060" w:themeColor="text1" w:themeTint="BF"/>
          <w:right w:val="single" w:sz="8" w:space="0" w:color="606060" w:themeColor="text1" w:themeTint="BF"/>
          <w:insideH w:val="nil"/>
          <w:insideV w:val="nil"/>
        </w:tcBorders>
        <w:shd w:val="clear" w:color="auto" w:fill="2C2C2C" w:themeFill="text1"/>
      </w:tcPr>
    </w:tblStylePr>
    <w:tblStylePr w:type="lastRow">
      <w:pPr>
        <w:spacing w:before="0" w:after="0" w:line="240" w:lineRule="auto"/>
      </w:pPr>
      <w:rPr>
        <w:b/>
        <w:bCs/>
      </w:rPr>
      <w:tblPr/>
      <w:tcPr>
        <w:tcBorders>
          <w:top w:val="double" w:sz="6" w:space="0" w:color="606060" w:themeColor="text1" w:themeTint="BF"/>
          <w:left w:val="single" w:sz="8" w:space="0" w:color="606060" w:themeColor="text1" w:themeTint="BF"/>
          <w:bottom w:val="single" w:sz="8" w:space="0" w:color="606060" w:themeColor="text1" w:themeTint="BF"/>
          <w:right w:val="single" w:sz="8" w:space="0" w:color="606060" w:themeColor="text1" w:themeTint="BF"/>
          <w:insideH w:val="nil"/>
          <w:insideV w:val="nil"/>
        </w:tcBorders>
      </w:tcPr>
    </w:tblStylePr>
    <w:tblStylePr w:type="firstCol">
      <w:rPr>
        <w:b/>
        <w:bCs/>
      </w:rPr>
    </w:tblStylePr>
    <w:tblStylePr w:type="lastCol">
      <w:rPr>
        <w:b/>
        <w:bCs/>
      </w:rPr>
    </w:tblStylePr>
    <w:tblStylePr w:type="band1Vert">
      <w:tblPr/>
      <w:tcPr>
        <w:shd w:val="clear" w:color="auto" w:fill="CACACA" w:themeFill="text1" w:themeFillTint="3F"/>
      </w:tcPr>
    </w:tblStylePr>
    <w:tblStylePr w:type="band1Horz">
      <w:tblPr/>
      <w:tcPr>
        <w:tcBorders>
          <w:insideH w:val="nil"/>
          <w:insideV w:val="nil"/>
        </w:tcBorders>
        <w:shd w:val="clear" w:color="auto" w:fill="CACACA"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FFCF40" w:themeColor="accent1" w:themeTint="BF"/>
        <w:left w:val="single" w:sz="8" w:space="0" w:color="FFCF40" w:themeColor="accent1" w:themeTint="BF"/>
        <w:bottom w:val="single" w:sz="8" w:space="0" w:color="FFCF40" w:themeColor="accent1" w:themeTint="BF"/>
        <w:right w:val="single" w:sz="8" w:space="0" w:color="FFCF40" w:themeColor="accent1" w:themeTint="BF"/>
        <w:insideH w:val="single" w:sz="8" w:space="0" w:color="FFCF40" w:themeColor="accent1" w:themeTint="BF"/>
      </w:tblBorders>
    </w:tblPr>
    <w:tblStylePr w:type="firstRow">
      <w:pPr>
        <w:spacing w:before="0" w:after="0" w:line="240" w:lineRule="auto"/>
      </w:pPr>
      <w:rPr>
        <w:b/>
        <w:bCs/>
        <w:color w:val="FFFFFF" w:themeColor="background1"/>
      </w:rPr>
      <w:tblPr/>
      <w:tcPr>
        <w:tcBorders>
          <w:top w:val="single" w:sz="8" w:space="0" w:color="FFCF40" w:themeColor="accent1" w:themeTint="BF"/>
          <w:left w:val="single" w:sz="8" w:space="0" w:color="FFCF40" w:themeColor="accent1" w:themeTint="BF"/>
          <w:bottom w:val="single" w:sz="8" w:space="0" w:color="FFCF40" w:themeColor="accent1" w:themeTint="BF"/>
          <w:right w:val="single" w:sz="8" w:space="0" w:color="FFCF40" w:themeColor="accent1" w:themeTint="BF"/>
          <w:insideH w:val="nil"/>
          <w:insideV w:val="nil"/>
        </w:tcBorders>
        <w:shd w:val="clear" w:color="auto" w:fill="FFC000" w:themeFill="accent1"/>
      </w:tcPr>
    </w:tblStylePr>
    <w:tblStylePr w:type="lastRow">
      <w:pPr>
        <w:spacing w:before="0" w:after="0" w:line="240" w:lineRule="auto"/>
      </w:pPr>
      <w:rPr>
        <w:b/>
        <w:bCs/>
      </w:rPr>
      <w:tblPr/>
      <w:tcPr>
        <w:tcBorders>
          <w:top w:val="double" w:sz="6" w:space="0" w:color="FFCF40" w:themeColor="accent1" w:themeTint="BF"/>
          <w:left w:val="single" w:sz="8" w:space="0" w:color="FFCF40" w:themeColor="accent1" w:themeTint="BF"/>
          <w:bottom w:val="single" w:sz="8" w:space="0" w:color="FFCF40" w:themeColor="accent1" w:themeTint="BF"/>
          <w:right w:val="single" w:sz="8" w:space="0" w:color="FFCF40" w:themeColor="accent1"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1" w:themeFillTint="3F"/>
      </w:tcPr>
    </w:tblStylePr>
    <w:tblStylePr w:type="band1Horz">
      <w:tblPr/>
      <w:tcPr>
        <w:tcBorders>
          <w:insideH w:val="nil"/>
          <w:insideV w:val="nil"/>
        </w:tcBorders>
        <w:shd w:val="clear" w:color="auto" w:fill="FFEFC0"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BCDF5A" w:themeColor="accent2" w:themeTint="BF"/>
        <w:left w:val="single" w:sz="8" w:space="0" w:color="BCDF5A" w:themeColor="accent2" w:themeTint="BF"/>
        <w:bottom w:val="single" w:sz="8" w:space="0" w:color="BCDF5A" w:themeColor="accent2" w:themeTint="BF"/>
        <w:right w:val="single" w:sz="8" w:space="0" w:color="BCDF5A" w:themeColor="accent2" w:themeTint="BF"/>
        <w:insideH w:val="single" w:sz="8" w:space="0" w:color="BCDF5A" w:themeColor="accent2" w:themeTint="BF"/>
      </w:tblBorders>
    </w:tblPr>
    <w:tblStylePr w:type="firstRow">
      <w:pPr>
        <w:spacing w:before="0" w:after="0" w:line="240" w:lineRule="auto"/>
      </w:pPr>
      <w:rPr>
        <w:b/>
        <w:bCs/>
        <w:color w:val="FFFFFF" w:themeColor="background1"/>
      </w:rPr>
      <w:tblPr/>
      <w:tcPr>
        <w:tcBorders>
          <w:top w:val="single" w:sz="8" w:space="0" w:color="BCDF5A" w:themeColor="accent2" w:themeTint="BF"/>
          <w:left w:val="single" w:sz="8" w:space="0" w:color="BCDF5A" w:themeColor="accent2" w:themeTint="BF"/>
          <w:bottom w:val="single" w:sz="8" w:space="0" w:color="BCDF5A" w:themeColor="accent2" w:themeTint="BF"/>
          <w:right w:val="single" w:sz="8" w:space="0" w:color="BCDF5A" w:themeColor="accent2" w:themeTint="BF"/>
          <w:insideH w:val="nil"/>
          <w:insideV w:val="nil"/>
        </w:tcBorders>
        <w:shd w:val="clear" w:color="auto" w:fill="A5D028" w:themeFill="accent2"/>
      </w:tcPr>
    </w:tblStylePr>
    <w:tblStylePr w:type="lastRow">
      <w:pPr>
        <w:spacing w:before="0" w:after="0" w:line="240" w:lineRule="auto"/>
      </w:pPr>
      <w:rPr>
        <w:b/>
        <w:bCs/>
      </w:rPr>
      <w:tblPr/>
      <w:tcPr>
        <w:tcBorders>
          <w:top w:val="double" w:sz="6" w:space="0" w:color="BCDF5A" w:themeColor="accent2" w:themeTint="BF"/>
          <w:left w:val="single" w:sz="8" w:space="0" w:color="BCDF5A" w:themeColor="accent2" w:themeTint="BF"/>
          <w:bottom w:val="single" w:sz="8" w:space="0" w:color="BCDF5A" w:themeColor="accent2" w:themeTint="BF"/>
          <w:right w:val="single" w:sz="8" w:space="0" w:color="BCDF5A" w:themeColor="accent2" w:themeTint="BF"/>
          <w:insideH w:val="nil"/>
          <w:insideV w:val="nil"/>
        </w:tcBorders>
      </w:tcPr>
    </w:tblStylePr>
    <w:tblStylePr w:type="firstCol">
      <w:rPr>
        <w:b/>
        <w:bCs/>
      </w:rPr>
    </w:tblStylePr>
    <w:tblStylePr w:type="lastCol">
      <w:rPr>
        <w:b/>
        <w:bCs/>
      </w:rPr>
    </w:tblStylePr>
    <w:tblStylePr w:type="band1Vert">
      <w:tblPr/>
      <w:tcPr>
        <w:shd w:val="clear" w:color="auto" w:fill="E9F4C8" w:themeFill="accent2" w:themeFillTint="3F"/>
      </w:tcPr>
    </w:tblStylePr>
    <w:tblStylePr w:type="band1Horz">
      <w:tblPr/>
      <w:tcPr>
        <w:tcBorders>
          <w:insideH w:val="nil"/>
          <w:insideV w:val="nil"/>
        </w:tcBorders>
        <w:shd w:val="clear" w:color="auto" w:fill="E9F4C8"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28F69D" w:themeColor="accent3" w:themeTint="BF"/>
        <w:left w:val="single" w:sz="8" w:space="0" w:color="28F69D" w:themeColor="accent3" w:themeTint="BF"/>
        <w:bottom w:val="single" w:sz="8" w:space="0" w:color="28F69D" w:themeColor="accent3" w:themeTint="BF"/>
        <w:right w:val="single" w:sz="8" w:space="0" w:color="28F69D" w:themeColor="accent3" w:themeTint="BF"/>
        <w:insideH w:val="single" w:sz="8" w:space="0" w:color="28F69D" w:themeColor="accent3" w:themeTint="BF"/>
      </w:tblBorders>
    </w:tblPr>
    <w:tblStylePr w:type="firstRow">
      <w:pPr>
        <w:spacing w:before="0" w:after="0" w:line="240" w:lineRule="auto"/>
      </w:pPr>
      <w:rPr>
        <w:b/>
        <w:bCs/>
        <w:color w:val="FFFFFF" w:themeColor="background1"/>
      </w:rPr>
      <w:tblPr/>
      <w:tcPr>
        <w:tcBorders>
          <w:top w:val="single" w:sz="8" w:space="0" w:color="28F69D" w:themeColor="accent3" w:themeTint="BF"/>
          <w:left w:val="single" w:sz="8" w:space="0" w:color="28F69D" w:themeColor="accent3" w:themeTint="BF"/>
          <w:bottom w:val="single" w:sz="8" w:space="0" w:color="28F69D" w:themeColor="accent3" w:themeTint="BF"/>
          <w:right w:val="single" w:sz="8" w:space="0" w:color="28F69D" w:themeColor="accent3" w:themeTint="BF"/>
          <w:insideH w:val="nil"/>
          <w:insideV w:val="nil"/>
        </w:tcBorders>
        <w:shd w:val="clear" w:color="auto" w:fill="08CC78" w:themeFill="accent3"/>
      </w:tcPr>
    </w:tblStylePr>
    <w:tblStylePr w:type="lastRow">
      <w:pPr>
        <w:spacing w:before="0" w:after="0" w:line="240" w:lineRule="auto"/>
      </w:pPr>
      <w:rPr>
        <w:b/>
        <w:bCs/>
      </w:rPr>
      <w:tblPr/>
      <w:tcPr>
        <w:tcBorders>
          <w:top w:val="double" w:sz="6" w:space="0" w:color="28F69D" w:themeColor="accent3" w:themeTint="BF"/>
          <w:left w:val="single" w:sz="8" w:space="0" w:color="28F69D" w:themeColor="accent3" w:themeTint="BF"/>
          <w:bottom w:val="single" w:sz="8" w:space="0" w:color="28F69D" w:themeColor="accent3" w:themeTint="BF"/>
          <w:right w:val="single" w:sz="8" w:space="0" w:color="28F69D" w:themeColor="accent3" w:themeTint="BF"/>
          <w:insideH w:val="nil"/>
          <w:insideV w:val="nil"/>
        </w:tcBorders>
      </w:tcPr>
    </w:tblStylePr>
    <w:tblStylePr w:type="firstCol">
      <w:rPr>
        <w:b/>
        <w:bCs/>
      </w:rPr>
    </w:tblStylePr>
    <w:tblStylePr w:type="lastCol">
      <w:rPr>
        <w:b/>
        <w:bCs/>
      </w:rPr>
    </w:tblStylePr>
    <w:tblStylePr w:type="band1Vert">
      <w:tblPr/>
      <w:tcPr>
        <w:shd w:val="clear" w:color="auto" w:fill="B8FCDE" w:themeFill="accent3" w:themeFillTint="3F"/>
      </w:tcPr>
    </w:tblStylePr>
    <w:tblStylePr w:type="band1Horz">
      <w:tblPr/>
      <w:tcPr>
        <w:tcBorders>
          <w:insideH w:val="nil"/>
          <w:insideV w:val="nil"/>
        </w:tcBorders>
        <w:shd w:val="clear" w:color="auto" w:fill="B8FCDE"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F56FB2" w:themeColor="accent4" w:themeTint="BF"/>
        <w:left w:val="single" w:sz="8" w:space="0" w:color="F56FB2" w:themeColor="accent4" w:themeTint="BF"/>
        <w:bottom w:val="single" w:sz="8" w:space="0" w:color="F56FB2" w:themeColor="accent4" w:themeTint="BF"/>
        <w:right w:val="single" w:sz="8" w:space="0" w:color="F56FB2" w:themeColor="accent4" w:themeTint="BF"/>
        <w:insideH w:val="single" w:sz="8" w:space="0" w:color="F56FB2" w:themeColor="accent4" w:themeTint="BF"/>
      </w:tblBorders>
    </w:tblPr>
    <w:tblStylePr w:type="firstRow">
      <w:pPr>
        <w:spacing w:before="0" w:after="0" w:line="240" w:lineRule="auto"/>
      </w:pPr>
      <w:rPr>
        <w:b/>
        <w:bCs/>
        <w:color w:val="FFFFFF" w:themeColor="background1"/>
      </w:rPr>
      <w:tblPr/>
      <w:tcPr>
        <w:tcBorders>
          <w:top w:val="single" w:sz="8" w:space="0" w:color="F56FB2" w:themeColor="accent4" w:themeTint="BF"/>
          <w:left w:val="single" w:sz="8" w:space="0" w:color="F56FB2" w:themeColor="accent4" w:themeTint="BF"/>
          <w:bottom w:val="single" w:sz="8" w:space="0" w:color="F56FB2" w:themeColor="accent4" w:themeTint="BF"/>
          <w:right w:val="single" w:sz="8" w:space="0" w:color="F56FB2" w:themeColor="accent4" w:themeTint="BF"/>
          <w:insideH w:val="nil"/>
          <w:insideV w:val="nil"/>
        </w:tcBorders>
        <w:shd w:val="clear" w:color="auto" w:fill="F24099" w:themeFill="accent4"/>
      </w:tcPr>
    </w:tblStylePr>
    <w:tblStylePr w:type="lastRow">
      <w:pPr>
        <w:spacing w:before="0" w:after="0" w:line="240" w:lineRule="auto"/>
      </w:pPr>
      <w:rPr>
        <w:b/>
        <w:bCs/>
      </w:rPr>
      <w:tblPr/>
      <w:tcPr>
        <w:tcBorders>
          <w:top w:val="double" w:sz="6" w:space="0" w:color="F56FB2" w:themeColor="accent4" w:themeTint="BF"/>
          <w:left w:val="single" w:sz="8" w:space="0" w:color="F56FB2" w:themeColor="accent4" w:themeTint="BF"/>
          <w:bottom w:val="single" w:sz="8" w:space="0" w:color="F56FB2" w:themeColor="accent4" w:themeTint="BF"/>
          <w:right w:val="single" w:sz="8" w:space="0" w:color="F56FB2" w:themeColor="accent4" w:themeTint="BF"/>
          <w:insideH w:val="nil"/>
          <w:insideV w:val="nil"/>
        </w:tcBorders>
      </w:tcPr>
    </w:tblStylePr>
    <w:tblStylePr w:type="firstCol">
      <w:rPr>
        <w:b/>
        <w:bCs/>
      </w:rPr>
    </w:tblStylePr>
    <w:tblStylePr w:type="lastCol">
      <w:rPr>
        <w:b/>
        <w:bCs/>
      </w:rPr>
    </w:tblStylePr>
    <w:tblStylePr w:type="band1Vert">
      <w:tblPr/>
      <w:tcPr>
        <w:shd w:val="clear" w:color="auto" w:fill="FBCFE5" w:themeFill="accent4" w:themeFillTint="3F"/>
      </w:tcPr>
    </w:tblStylePr>
    <w:tblStylePr w:type="band1Horz">
      <w:tblPr/>
      <w:tcPr>
        <w:tcBorders>
          <w:insideH w:val="nil"/>
          <w:insideV w:val="nil"/>
        </w:tcBorders>
        <w:shd w:val="clear" w:color="auto" w:fill="FBCFE5"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A1A1A5" w:themeColor="accent5" w:themeTint="BF"/>
        <w:left w:val="single" w:sz="8" w:space="0" w:color="A1A1A5" w:themeColor="accent5" w:themeTint="BF"/>
        <w:bottom w:val="single" w:sz="8" w:space="0" w:color="A1A1A5" w:themeColor="accent5" w:themeTint="BF"/>
        <w:right w:val="single" w:sz="8" w:space="0" w:color="A1A1A5" w:themeColor="accent5" w:themeTint="BF"/>
        <w:insideH w:val="single" w:sz="8" w:space="0" w:color="A1A1A5" w:themeColor="accent5" w:themeTint="BF"/>
      </w:tblBorders>
    </w:tblPr>
    <w:tblStylePr w:type="firstRow">
      <w:pPr>
        <w:spacing w:before="0" w:after="0" w:line="240" w:lineRule="auto"/>
      </w:pPr>
      <w:rPr>
        <w:b/>
        <w:bCs/>
        <w:color w:val="FFFFFF" w:themeColor="background1"/>
      </w:rPr>
      <w:tblPr/>
      <w:tcPr>
        <w:tcBorders>
          <w:top w:val="single" w:sz="8" w:space="0" w:color="A1A1A5" w:themeColor="accent5" w:themeTint="BF"/>
          <w:left w:val="single" w:sz="8" w:space="0" w:color="A1A1A5" w:themeColor="accent5" w:themeTint="BF"/>
          <w:bottom w:val="single" w:sz="8" w:space="0" w:color="A1A1A5" w:themeColor="accent5" w:themeTint="BF"/>
          <w:right w:val="single" w:sz="8" w:space="0" w:color="A1A1A5" w:themeColor="accent5" w:themeTint="BF"/>
          <w:insideH w:val="nil"/>
          <w:insideV w:val="nil"/>
        </w:tcBorders>
        <w:shd w:val="clear" w:color="auto" w:fill="828288" w:themeFill="accent5"/>
      </w:tcPr>
    </w:tblStylePr>
    <w:tblStylePr w:type="lastRow">
      <w:pPr>
        <w:spacing w:before="0" w:after="0" w:line="240" w:lineRule="auto"/>
      </w:pPr>
      <w:rPr>
        <w:b/>
        <w:bCs/>
      </w:rPr>
      <w:tblPr/>
      <w:tcPr>
        <w:tcBorders>
          <w:top w:val="double" w:sz="6" w:space="0" w:color="A1A1A5" w:themeColor="accent5" w:themeTint="BF"/>
          <w:left w:val="single" w:sz="8" w:space="0" w:color="A1A1A5" w:themeColor="accent5" w:themeTint="BF"/>
          <w:bottom w:val="single" w:sz="8" w:space="0" w:color="A1A1A5" w:themeColor="accent5" w:themeTint="BF"/>
          <w:right w:val="single" w:sz="8" w:space="0" w:color="A1A1A5" w:themeColor="accent5" w:themeTint="BF"/>
          <w:insideH w:val="nil"/>
          <w:insideV w:val="nil"/>
        </w:tcBorders>
      </w:tcPr>
    </w:tblStylePr>
    <w:tblStylePr w:type="firstCol">
      <w:rPr>
        <w:b/>
        <w:bCs/>
      </w:rPr>
    </w:tblStylePr>
    <w:tblStylePr w:type="lastCol">
      <w:rPr>
        <w:b/>
        <w:bCs/>
      </w:rPr>
    </w:tblStylePr>
    <w:tblStylePr w:type="band1Vert">
      <w:tblPr/>
      <w:tcPr>
        <w:shd w:val="clear" w:color="auto" w:fill="E0E0E1" w:themeFill="accent5" w:themeFillTint="3F"/>
      </w:tcPr>
    </w:tblStylePr>
    <w:tblStylePr w:type="band1Horz">
      <w:tblPr/>
      <w:tcPr>
        <w:tcBorders>
          <w:insideH w:val="nil"/>
          <w:insideV w:val="nil"/>
        </w:tcBorders>
        <w:shd w:val="clear" w:color="auto" w:fill="E0E0E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78B51" w:themeColor="accent6" w:themeTint="BF"/>
        <w:left w:val="single" w:sz="8" w:space="0" w:color="F78B51" w:themeColor="accent6" w:themeTint="BF"/>
        <w:bottom w:val="single" w:sz="8" w:space="0" w:color="F78B51" w:themeColor="accent6" w:themeTint="BF"/>
        <w:right w:val="single" w:sz="8" w:space="0" w:color="F78B51" w:themeColor="accent6" w:themeTint="BF"/>
        <w:insideH w:val="single" w:sz="8" w:space="0" w:color="F78B51" w:themeColor="accent6" w:themeTint="BF"/>
      </w:tblBorders>
    </w:tblPr>
    <w:tblStylePr w:type="firstRow">
      <w:pPr>
        <w:spacing w:before="0" w:after="0" w:line="240" w:lineRule="auto"/>
      </w:pPr>
      <w:rPr>
        <w:b/>
        <w:bCs/>
        <w:color w:val="FFFFFF" w:themeColor="background1"/>
      </w:rPr>
      <w:tblPr/>
      <w:tcPr>
        <w:tcBorders>
          <w:top w:val="single" w:sz="8" w:space="0" w:color="F78B51" w:themeColor="accent6" w:themeTint="BF"/>
          <w:left w:val="single" w:sz="8" w:space="0" w:color="F78B51" w:themeColor="accent6" w:themeTint="BF"/>
          <w:bottom w:val="single" w:sz="8" w:space="0" w:color="F78B51" w:themeColor="accent6" w:themeTint="BF"/>
          <w:right w:val="single" w:sz="8" w:space="0" w:color="F78B51" w:themeColor="accent6" w:themeTint="BF"/>
          <w:insideH w:val="nil"/>
          <w:insideV w:val="nil"/>
        </w:tcBorders>
        <w:shd w:val="clear" w:color="auto" w:fill="F56617" w:themeFill="accent6"/>
      </w:tcPr>
    </w:tblStylePr>
    <w:tblStylePr w:type="lastRow">
      <w:pPr>
        <w:spacing w:before="0" w:after="0" w:line="240" w:lineRule="auto"/>
      </w:pPr>
      <w:rPr>
        <w:b/>
        <w:bCs/>
      </w:rPr>
      <w:tblPr/>
      <w:tcPr>
        <w:tcBorders>
          <w:top w:val="double" w:sz="6" w:space="0" w:color="F78B51" w:themeColor="accent6" w:themeTint="BF"/>
          <w:left w:val="single" w:sz="8" w:space="0" w:color="F78B51" w:themeColor="accent6" w:themeTint="BF"/>
          <w:bottom w:val="single" w:sz="8" w:space="0" w:color="F78B51" w:themeColor="accent6" w:themeTint="BF"/>
          <w:right w:val="single" w:sz="8" w:space="0" w:color="F78B51" w:themeColor="accent6" w:themeTint="BF"/>
          <w:insideH w:val="nil"/>
          <w:insideV w:val="nil"/>
        </w:tcBorders>
      </w:tcPr>
    </w:tblStylePr>
    <w:tblStylePr w:type="firstCol">
      <w:rPr>
        <w:b/>
        <w:bCs/>
      </w:rPr>
    </w:tblStylePr>
    <w:tblStylePr w:type="lastCol">
      <w:rPr>
        <w:b/>
        <w:bCs/>
      </w:rPr>
    </w:tblStylePr>
    <w:tblStylePr w:type="band1Vert">
      <w:tblPr/>
      <w:tcPr>
        <w:shd w:val="clear" w:color="auto" w:fill="FCD8C5" w:themeFill="accent6" w:themeFillTint="3F"/>
      </w:tcPr>
    </w:tblStylePr>
    <w:tblStylePr w:type="band1Horz">
      <w:tblPr/>
      <w:tcPr>
        <w:tcBorders>
          <w:insideH w:val="nil"/>
          <w:insideV w:val="nil"/>
        </w:tcBorders>
        <w:shd w:val="clear" w:color="auto" w:fill="FCD8C5"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C2C2C"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2C2C2C" w:themeFill="text1"/>
      </w:tcPr>
    </w:tblStylePr>
    <w:tblStylePr w:type="lastCol">
      <w:rPr>
        <w:b/>
        <w:bCs/>
        <w:color w:val="FFFFFF" w:themeColor="background1"/>
      </w:rPr>
      <w:tblPr/>
      <w:tcPr>
        <w:tcBorders>
          <w:left w:val="nil"/>
          <w:right w:val="nil"/>
          <w:insideH w:val="nil"/>
          <w:insideV w:val="nil"/>
        </w:tcBorders>
        <w:shd w:val="clear" w:color="auto" w:fill="2C2C2C"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1"/>
      </w:tcPr>
    </w:tblStylePr>
    <w:tblStylePr w:type="lastCol">
      <w:rPr>
        <w:b/>
        <w:bCs/>
        <w:color w:val="FFFFFF" w:themeColor="background1"/>
      </w:rPr>
      <w:tblPr/>
      <w:tcPr>
        <w:tcBorders>
          <w:left w:val="nil"/>
          <w:right w:val="nil"/>
          <w:insideH w:val="nil"/>
          <w:insideV w:val="nil"/>
        </w:tcBorders>
        <w:shd w:val="clear" w:color="auto" w:fill="FFC000"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D02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D028" w:themeFill="accent2"/>
      </w:tcPr>
    </w:tblStylePr>
    <w:tblStylePr w:type="lastCol">
      <w:rPr>
        <w:b/>
        <w:bCs/>
        <w:color w:val="FFFFFF" w:themeColor="background1"/>
      </w:rPr>
      <w:tblPr/>
      <w:tcPr>
        <w:tcBorders>
          <w:left w:val="nil"/>
          <w:right w:val="nil"/>
          <w:insideH w:val="nil"/>
          <w:insideV w:val="nil"/>
        </w:tcBorders>
        <w:shd w:val="clear" w:color="auto" w:fill="A5D02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8CC78"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8CC78" w:themeFill="accent3"/>
      </w:tcPr>
    </w:tblStylePr>
    <w:tblStylePr w:type="lastCol">
      <w:rPr>
        <w:b/>
        <w:bCs/>
        <w:color w:val="FFFFFF" w:themeColor="background1"/>
      </w:rPr>
      <w:tblPr/>
      <w:tcPr>
        <w:tcBorders>
          <w:left w:val="nil"/>
          <w:right w:val="nil"/>
          <w:insideH w:val="nil"/>
          <w:insideV w:val="nil"/>
        </w:tcBorders>
        <w:shd w:val="clear" w:color="auto" w:fill="08CC78"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24099"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24099" w:themeFill="accent4"/>
      </w:tcPr>
    </w:tblStylePr>
    <w:tblStylePr w:type="lastCol">
      <w:rPr>
        <w:b/>
        <w:bCs/>
        <w:color w:val="FFFFFF" w:themeColor="background1"/>
      </w:rPr>
      <w:tblPr/>
      <w:tcPr>
        <w:tcBorders>
          <w:left w:val="nil"/>
          <w:right w:val="nil"/>
          <w:insideH w:val="nil"/>
          <w:insideV w:val="nil"/>
        </w:tcBorders>
        <w:shd w:val="clear" w:color="auto" w:fill="F24099"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28288"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28288" w:themeFill="accent5"/>
      </w:tcPr>
    </w:tblStylePr>
    <w:tblStylePr w:type="lastCol">
      <w:rPr>
        <w:b/>
        <w:bCs/>
        <w:color w:val="FFFFFF" w:themeColor="background1"/>
      </w:rPr>
      <w:tblPr/>
      <w:tcPr>
        <w:tcBorders>
          <w:left w:val="nil"/>
          <w:right w:val="nil"/>
          <w:insideH w:val="nil"/>
          <w:insideV w:val="nil"/>
        </w:tcBorders>
        <w:shd w:val="clear" w:color="auto" w:fill="828288"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5661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56617" w:themeFill="accent6"/>
      </w:tcPr>
    </w:tblStylePr>
    <w:tblStylePr w:type="lastCol">
      <w:rPr>
        <w:b/>
        <w:bCs/>
        <w:color w:val="FFFFFF" w:themeColor="background1"/>
      </w:rPr>
      <w:tblPr/>
      <w:tcPr>
        <w:tcBorders>
          <w:left w:val="nil"/>
          <w:right w:val="nil"/>
          <w:insideH w:val="nil"/>
          <w:insideV w:val="nil"/>
        </w:tcBorders>
        <w:shd w:val="clear" w:color="auto" w:fill="F5661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2C2C2C" w:themeColor="text1"/>
    </w:rPr>
    <w:tblPr>
      <w:tblStyleRowBandSize w:val="1"/>
      <w:tblStyleColBandSize w:val="1"/>
      <w:tblBorders>
        <w:top w:val="single" w:sz="8" w:space="0" w:color="2C2C2C" w:themeColor="text1"/>
        <w:bottom w:val="single" w:sz="8" w:space="0" w:color="2C2C2C" w:themeColor="text1"/>
      </w:tblBorders>
    </w:tblPr>
    <w:tblStylePr w:type="firstRow">
      <w:rPr>
        <w:rFonts w:asciiTheme="majorHAnsi" w:eastAsiaTheme="majorEastAsia" w:hAnsiTheme="majorHAnsi" w:cstheme="majorBidi"/>
      </w:rPr>
      <w:tblPr/>
      <w:tcPr>
        <w:tcBorders>
          <w:top w:val="nil"/>
          <w:bottom w:val="single" w:sz="8" w:space="0" w:color="2C2C2C" w:themeColor="text1"/>
        </w:tcBorders>
      </w:tcPr>
    </w:tblStylePr>
    <w:tblStylePr w:type="lastRow">
      <w:rPr>
        <w:b/>
        <w:bCs/>
        <w:color w:val="099BDD" w:themeColor="text2"/>
      </w:rPr>
      <w:tblPr/>
      <w:tcPr>
        <w:tcBorders>
          <w:top w:val="single" w:sz="8" w:space="0" w:color="2C2C2C" w:themeColor="text1"/>
          <w:bottom w:val="single" w:sz="8" w:space="0" w:color="2C2C2C" w:themeColor="text1"/>
        </w:tcBorders>
      </w:tcPr>
    </w:tblStylePr>
    <w:tblStylePr w:type="firstCol">
      <w:rPr>
        <w:b/>
        <w:bCs/>
      </w:rPr>
    </w:tblStylePr>
    <w:tblStylePr w:type="lastCol">
      <w:rPr>
        <w:b/>
        <w:bCs/>
      </w:rPr>
      <w:tblPr/>
      <w:tcPr>
        <w:tcBorders>
          <w:top w:val="single" w:sz="8" w:space="0" w:color="2C2C2C" w:themeColor="text1"/>
          <w:bottom w:val="single" w:sz="8" w:space="0" w:color="2C2C2C" w:themeColor="text1"/>
        </w:tcBorders>
      </w:tcPr>
    </w:tblStylePr>
    <w:tblStylePr w:type="band1Vert">
      <w:tblPr/>
      <w:tcPr>
        <w:shd w:val="clear" w:color="auto" w:fill="CACACA" w:themeFill="text1" w:themeFillTint="3F"/>
      </w:tcPr>
    </w:tblStylePr>
    <w:tblStylePr w:type="band1Horz">
      <w:tblPr/>
      <w:tcPr>
        <w:shd w:val="clear" w:color="auto" w:fill="CACACA" w:themeFill="text1" w:themeFillTint="3F"/>
      </w:tcPr>
    </w:tblStylePr>
  </w:style>
  <w:style w:type="table" w:styleId="MediumList1-Accent1">
    <w:name w:val="Medium List 1 Accent 1"/>
    <w:basedOn w:val="TableNormal"/>
    <w:uiPriority w:val="65"/>
    <w:rsid w:val="00CB0664"/>
    <w:pPr>
      <w:spacing w:after="0" w:line="240" w:lineRule="auto"/>
    </w:pPr>
    <w:rPr>
      <w:color w:val="2C2C2C" w:themeColor="text1"/>
    </w:rPr>
    <w:tblPr>
      <w:tblStyleRowBandSize w:val="1"/>
      <w:tblStyleColBandSize w:val="1"/>
      <w:tblBorders>
        <w:top w:val="single" w:sz="8" w:space="0" w:color="FFC000" w:themeColor="accent1"/>
        <w:bottom w:val="single" w:sz="8" w:space="0" w:color="FFC000" w:themeColor="accent1"/>
      </w:tblBorders>
    </w:tblPr>
    <w:tblStylePr w:type="firstRow">
      <w:rPr>
        <w:rFonts w:asciiTheme="majorHAnsi" w:eastAsiaTheme="majorEastAsia" w:hAnsiTheme="majorHAnsi" w:cstheme="majorBidi"/>
      </w:rPr>
      <w:tblPr/>
      <w:tcPr>
        <w:tcBorders>
          <w:top w:val="nil"/>
          <w:bottom w:val="single" w:sz="8" w:space="0" w:color="FFC000" w:themeColor="accent1"/>
        </w:tcBorders>
      </w:tcPr>
    </w:tblStylePr>
    <w:tblStylePr w:type="lastRow">
      <w:rPr>
        <w:b/>
        <w:bCs/>
        <w:color w:val="099BDD" w:themeColor="text2"/>
      </w:rPr>
      <w:tblPr/>
      <w:tcPr>
        <w:tcBorders>
          <w:top w:val="single" w:sz="8" w:space="0" w:color="FFC000" w:themeColor="accent1"/>
          <w:bottom w:val="single" w:sz="8" w:space="0" w:color="FFC000" w:themeColor="accent1"/>
        </w:tcBorders>
      </w:tcPr>
    </w:tblStylePr>
    <w:tblStylePr w:type="firstCol">
      <w:rPr>
        <w:b/>
        <w:bCs/>
      </w:rPr>
    </w:tblStylePr>
    <w:tblStylePr w:type="lastCol">
      <w:rPr>
        <w:b/>
        <w:bCs/>
      </w:rPr>
      <w:tblPr/>
      <w:tcPr>
        <w:tcBorders>
          <w:top w:val="single" w:sz="8" w:space="0" w:color="FFC000" w:themeColor="accent1"/>
          <w:bottom w:val="single" w:sz="8" w:space="0" w:color="FFC000" w:themeColor="accent1"/>
        </w:tcBorders>
      </w:tcPr>
    </w:tblStylePr>
    <w:tblStylePr w:type="band1Vert">
      <w:tblPr/>
      <w:tcPr>
        <w:shd w:val="clear" w:color="auto" w:fill="FFEFC0" w:themeFill="accent1" w:themeFillTint="3F"/>
      </w:tcPr>
    </w:tblStylePr>
    <w:tblStylePr w:type="band1Horz">
      <w:tblPr/>
      <w:tcPr>
        <w:shd w:val="clear" w:color="auto" w:fill="FFEFC0" w:themeFill="accent1" w:themeFillTint="3F"/>
      </w:tcPr>
    </w:tblStylePr>
  </w:style>
  <w:style w:type="table" w:styleId="MediumList1-Accent2">
    <w:name w:val="Medium List 1 Accent 2"/>
    <w:basedOn w:val="TableNormal"/>
    <w:uiPriority w:val="65"/>
    <w:rsid w:val="00CB0664"/>
    <w:pPr>
      <w:spacing w:after="0" w:line="240" w:lineRule="auto"/>
    </w:pPr>
    <w:rPr>
      <w:color w:val="2C2C2C" w:themeColor="text1"/>
    </w:rPr>
    <w:tblPr>
      <w:tblStyleRowBandSize w:val="1"/>
      <w:tblStyleColBandSize w:val="1"/>
      <w:tblBorders>
        <w:top w:val="single" w:sz="8" w:space="0" w:color="A5D028" w:themeColor="accent2"/>
        <w:bottom w:val="single" w:sz="8" w:space="0" w:color="A5D028" w:themeColor="accent2"/>
      </w:tblBorders>
    </w:tblPr>
    <w:tblStylePr w:type="firstRow">
      <w:rPr>
        <w:rFonts w:asciiTheme="majorHAnsi" w:eastAsiaTheme="majorEastAsia" w:hAnsiTheme="majorHAnsi" w:cstheme="majorBidi"/>
      </w:rPr>
      <w:tblPr/>
      <w:tcPr>
        <w:tcBorders>
          <w:top w:val="nil"/>
          <w:bottom w:val="single" w:sz="8" w:space="0" w:color="A5D028" w:themeColor="accent2"/>
        </w:tcBorders>
      </w:tcPr>
    </w:tblStylePr>
    <w:tblStylePr w:type="lastRow">
      <w:rPr>
        <w:b/>
        <w:bCs/>
        <w:color w:val="099BDD" w:themeColor="text2"/>
      </w:rPr>
      <w:tblPr/>
      <w:tcPr>
        <w:tcBorders>
          <w:top w:val="single" w:sz="8" w:space="0" w:color="A5D028" w:themeColor="accent2"/>
          <w:bottom w:val="single" w:sz="8" w:space="0" w:color="A5D028" w:themeColor="accent2"/>
        </w:tcBorders>
      </w:tcPr>
    </w:tblStylePr>
    <w:tblStylePr w:type="firstCol">
      <w:rPr>
        <w:b/>
        <w:bCs/>
      </w:rPr>
    </w:tblStylePr>
    <w:tblStylePr w:type="lastCol">
      <w:rPr>
        <w:b/>
        <w:bCs/>
      </w:rPr>
      <w:tblPr/>
      <w:tcPr>
        <w:tcBorders>
          <w:top w:val="single" w:sz="8" w:space="0" w:color="A5D028" w:themeColor="accent2"/>
          <w:bottom w:val="single" w:sz="8" w:space="0" w:color="A5D028" w:themeColor="accent2"/>
        </w:tcBorders>
      </w:tcPr>
    </w:tblStylePr>
    <w:tblStylePr w:type="band1Vert">
      <w:tblPr/>
      <w:tcPr>
        <w:shd w:val="clear" w:color="auto" w:fill="E9F4C8" w:themeFill="accent2" w:themeFillTint="3F"/>
      </w:tcPr>
    </w:tblStylePr>
    <w:tblStylePr w:type="band1Horz">
      <w:tblPr/>
      <w:tcPr>
        <w:shd w:val="clear" w:color="auto" w:fill="E9F4C8" w:themeFill="accent2" w:themeFillTint="3F"/>
      </w:tcPr>
    </w:tblStylePr>
  </w:style>
  <w:style w:type="table" w:styleId="MediumList1-Accent3">
    <w:name w:val="Medium List 1 Accent 3"/>
    <w:basedOn w:val="TableNormal"/>
    <w:uiPriority w:val="65"/>
    <w:rsid w:val="00CB0664"/>
    <w:pPr>
      <w:spacing w:after="0" w:line="240" w:lineRule="auto"/>
    </w:pPr>
    <w:rPr>
      <w:color w:val="2C2C2C" w:themeColor="text1"/>
    </w:rPr>
    <w:tblPr>
      <w:tblStyleRowBandSize w:val="1"/>
      <w:tblStyleColBandSize w:val="1"/>
      <w:tblBorders>
        <w:top w:val="single" w:sz="8" w:space="0" w:color="08CC78" w:themeColor="accent3"/>
        <w:bottom w:val="single" w:sz="8" w:space="0" w:color="08CC78" w:themeColor="accent3"/>
      </w:tblBorders>
    </w:tblPr>
    <w:tblStylePr w:type="firstRow">
      <w:rPr>
        <w:rFonts w:asciiTheme="majorHAnsi" w:eastAsiaTheme="majorEastAsia" w:hAnsiTheme="majorHAnsi" w:cstheme="majorBidi"/>
      </w:rPr>
      <w:tblPr/>
      <w:tcPr>
        <w:tcBorders>
          <w:top w:val="nil"/>
          <w:bottom w:val="single" w:sz="8" w:space="0" w:color="08CC78" w:themeColor="accent3"/>
        </w:tcBorders>
      </w:tcPr>
    </w:tblStylePr>
    <w:tblStylePr w:type="lastRow">
      <w:rPr>
        <w:b/>
        <w:bCs/>
        <w:color w:val="099BDD" w:themeColor="text2"/>
      </w:rPr>
      <w:tblPr/>
      <w:tcPr>
        <w:tcBorders>
          <w:top w:val="single" w:sz="8" w:space="0" w:color="08CC78" w:themeColor="accent3"/>
          <w:bottom w:val="single" w:sz="8" w:space="0" w:color="08CC78" w:themeColor="accent3"/>
        </w:tcBorders>
      </w:tcPr>
    </w:tblStylePr>
    <w:tblStylePr w:type="firstCol">
      <w:rPr>
        <w:b/>
        <w:bCs/>
      </w:rPr>
    </w:tblStylePr>
    <w:tblStylePr w:type="lastCol">
      <w:rPr>
        <w:b/>
        <w:bCs/>
      </w:rPr>
      <w:tblPr/>
      <w:tcPr>
        <w:tcBorders>
          <w:top w:val="single" w:sz="8" w:space="0" w:color="08CC78" w:themeColor="accent3"/>
          <w:bottom w:val="single" w:sz="8" w:space="0" w:color="08CC78" w:themeColor="accent3"/>
        </w:tcBorders>
      </w:tcPr>
    </w:tblStylePr>
    <w:tblStylePr w:type="band1Vert">
      <w:tblPr/>
      <w:tcPr>
        <w:shd w:val="clear" w:color="auto" w:fill="B8FCDE" w:themeFill="accent3" w:themeFillTint="3F"/>
      </w:tcPr>
    </w:tblStylePr>
    <w:tblStylePr w:type="band1Horz">
      <w:tblPr/>
      <w:tcPr>
        <w:shd w:val="clear" w:color="auto" w:fill="B8FCDE" w:themeFill="accent3" w:themeFillTint="3F"/>
      </w:tcPr>
    </w:tblStylePr>
  </w:style>
  <w:style w:type="table" w:styleId="MediumList1-Accent4">
    <w:name w:val="Medium List 1 Accent 4"/>
    <w:basedOn w:val="TableNormal"/>
    <w:uiPriority w:val="65"/>
    <w:rsid w:val="00CB0664"/>
    <w:pPr>
      <w:spacing w:after="0" w:line="240" w:lineRule="auto"/>
    </w:pPr>
    <w:rPr>
      <w:color w:val="2C2C2C" w:themeColor="text1"/>
    </w:rPr>
    <w:tblPr>
      <w:tblStyleRowBandSize w:val="1"/>
      <w:tblStyleColBandSize w:val="1"/>
      <w:tblBorders>
        <w:top w:val="single" w:sz="8" w:space="0" w:color="F24099" w:themeColor="accent4"/>
        <w:bottom w:val="single" w:sz="8" w:space="0" w:color="F24099" w:themeColor="accent4"/>
      </w:tblBorders>
    </w:tblPr>
    <w:tblStylePr w:type="firstRow">
      <w:rPr>
        <w:rFonts w:asciiTheme="majorHAnsi" w:eastAsiaTheme="majorEastAsia" w:hAnsiTheme="majorHAnsi" w:cstheme="majorBidi"/>
      </w:rPr>
      <w:tblPr/>
      <w:tcPr>
        <w:tcBorders>
          <w:top w:val="nil"/>
          <w:bottom w:val="single" w:sz="8" w:space="0" w:color="F24099" w:themeColor="accent4"/>
        </w:tcBorders>
      </w:tcPr>
    </w:tblStylePr>
    <w:tblStylePr w:type="lastRow">
      <w:rPr>
        <w:b/>
        <w:bCs/>
        <w:color w:val="099BDD" w:themeColor="text2"/>
      </w:rPr>
      <w:tblPr/>
      <w:tcPr>
        <w:tcBorders>
          <w:top w:val="single" w:sz="8" w:space="0" w:color="F24099" w:themeColor="accent4"/>
          <w:bottom w:val="single" w:sz="8" w:space="0" w:color="F24099" w:themeColor="accent4"/>
        </w:tcBorders>
      </w:tcPr>
    </w:tblStylePr>
    <w:tblStylePr w:type="firstCol">
      <w:rPr>
        <w:b/>
        <w:bCs/>
      </w:rPr>
    </w:tblStylePr>
    <w:tblStylePr w:type="lastCol">
      <w:rPr>
        <w:b/>
        <w:bCs/>
      </w:rPr>
      <w:tblPr/>
      <w:tcPr>
        <w:tcBorders>
          <w:top w:val="single" w:sz="8" w:space="0" w:color="F24099" w:themeColor="accent4"/>
          <w:bottom w:val="single" w:sz="8" w:space="0" w:color="F24099" w:themeColor="accent4"/>
        </w:tcBorders>
      </w:tcPr>
    </w:tblStylePr>
    <w:tblStylePr w:type="band1Vert">
      <w:tblPr/>
      <w:tcPr>
        <w:shd w:val="clear" w:color="auto" w:fill="FBCFE5" w:themeFill="accent4" w:themeFillTint="3F"/>
      </w:tcPr>
    </w:tblStylePr>
    <w:tblStylePr w:type="band1Horz">
      <w:tblPr/>
      <w:tcPr>
        <w:shd w:val="clear" w:color="auto" w:fill="FBCFE5" w:themeFill="accent4" w:themeFillTint="3F"/>
      </w:tcPr>
    </w:tblStylePr>
  </w:style>
  <w:style w:type="table" w:styleId="MediumList1-Accent5">
    <w:name w:val="Medium List 1 Accent 5"/>
    <w:basedOn w:val="TableNormal"/>
    <w:uiPriority w:val="65"/>
    <w:rsid w:val="00CB0664"/>
    <w:pPr>
      <w:spacing w:after="0" w:line="240" w:lineRule="auto"/>
    </w:pPr>
    <w:rPr>
      <w:color w:val="2C2C2C" w:themeColor="text1"/>
    </w:rPr>
    <w:tblPr>
      <w:tblStyleRowBandSize w:val="1"/>
      <w:tblStyleColBandSize w:val="1"/>
      <w:tblBorders>
        <w:top w:val="single" w:sz="8" w:space="0" w:color="828288" w:themeColor="accent5"/>
        <w:bottom w:val="single" w:sz="8" w:space="0" w:color="828288" w:themeColor="accent5"/>
      </w:tblBorders>
    </w:tblPr>
    <w:tblStylePr w:type="firstRow">
      <w:rPr>
        <w:rFonts w:asciiTheme="majorHAnsi" w:eastAsiaTheme="majorEastAsia" w:hAnsiTheme="majorHAnsi" w:cstheme="majorBidi"/>
      </w:rPr>
      <w:tblPr/>
      <w:tcPr>
        <w:tcBorders>
          <w:top w:val="nil"/>
          <w:bottom w:val="single" w:sz="8" w:space="0" w:color="828288" w:themeColor="accent5"/>
        </w:tcBorders>
      </w:tcPr>
    </w:tblStylePr>
    <w:tblStylePr w:type="lastRow">
      <w:rPr>
        <w:b/>
        <w:bCs/>
        <w:color w:val="099BDD" w:themeColor="text2"/>
      </w:rPr>
      <w:tblPr/>
      <w:tcPr>
        <w:tcBorders>
          <w:top w:val="single" w:sz="8" w:space="0" w:color="828288" w:themeColor="accent5"/>
          <w:bottom w:val="single" w:sz="8" w:space="0" w:color="828288" w:themeColor="accent5"/>
        </w:tcBorders>
      </w:tcPr>
    </w:tblStylePr>
    <w:tblStylePr w:type="firstCol">
      <w:rPr>
        <w:b/>
        <w:bCs/>
      </w:rPr>
    </w:tblStylePr>
    <w:tblStylePr w:type="lastCol">
      <w:rPr>
        <w:b/>
        <w:bCs/>
      </w:rPr>
      <w:tblPr/>
      <w:tcPr>
        <w:tcBorders>
          <w:top w:val="single" w:sz="8" w:space="0" w:color="828288" w:themeColor="accent5"/>
          <w:bottom w:val="single" w:sz="8" w:space="0" w:color="828288" w:themeColor="accent5"/>
        </w:tcBorders>
      </w:tcPr>
    </w:tblStylePr>
    <w:tblStylePr w:type="band1Vert">
      <w:tblPr/>
      <w:tcPr>
        <w:shd w:val="clear" w:color="auto" w:fill="E0E0E1" w:themeFill="accent5" w:themeFillTint="3F"/>
      </w:tcPr>
    </w:tblStylePr>
    <w:tblStylePr w:type="band1Horz">
      <w:tblPr/>
      <w:tcPr>
        <w:shd w:val="clear" w:color="auto" w:fill="E0E0E1" w:themeFill="accent5" w:themeFillTint="3F"/>
      </w:tcPr>
    </w:tblStylePr>
  </w:style>
  <w:style w:type="table" w:styleId="MediumList1-Accent6">
    <w:name w:val="Medium List 1 Accent 6"/>
    <w:basedOn w:val="TableNormal"/>
    <w:uiPriority w:val="65"/>
    <w:rsid w:val="00CB0664"/>
    <w:pPr>
      <w:spacing w:after="0" w:line="240" w:lineRule="auto"/>
    </w:pPr>
    <w:rPr>
      <w:color w:val="2C2C2C" w:themeColor="text1"/>
    </w:rPr>
    <w:tblPr>
      <w:tblStyleRowBandSize w:val="1"/>
      <w:tblStyleColBandSize w:val="1"/>
      <w:tblBorders>
        <w:top w:val="single" w:sz="8" w:space="0" w:color="F56617" w:themeColor="accent6"/>
        <w:bottom w:val="single" w:sz="8" w:space="0" w:color="F56617" w:themeColor="accent6"/>
      </w:tblBorders>
    </w:tblPr>
    <w:tblStylePr w:type="firstRow">
      <w:rPr>
        <w:rFonts w:asciiTheme="majorHAnsi" w:eastAsiaTheme="majorEastAsia" w:hAnsiTheme="majorHAnsi" w:cstheme="majorBidi"/>
      </w:rPr>
      <w:tblPr/>
      <w:tcPr>
        <w:tcBorders>
          <w:top w:val="nil"/>
          <w:bottom w:val="single" w:sz="8" w:space="0" w:color="F56617" w:themeColor="accent6"/>
        </w:tcBorders>
      </w:tcPr>
    </w:tblStylePr>
    <w:tblStylePr w:type="lastRow">
      <w:rPr>
        <w:b/>
        <w:bCs/>
        <w:color w:val="099BDD" w:themeColor="text2"/>
      </w:rPr>
      <w:tblPr/>
      <w:tcPr>
        <w:tcBorders>
          <w:top w:val="single" w:sz="8" w:space="0" w:color="F56617" w:themeColor="accent6"/>
          <w:bottom w:val="single" w:sz="8" w:space="0" w:color="F56617" w:themeColor="accent6"/>
        </w:tcBorders>
      </w:tcPr>
    </w:tblStylePr>
    <w:tblStylePr w:type="firstCol">
      <w:rPr>
        <w:b/>
        <w:bCs/>
      </w:rPr>
    </w:tblStylePr>
    <w:tblStylePr w:type="lastCol">
      <w:rPr>
        <w:b/>
        <w:bCs/>
      </w:rPr>
      <w:tblPr/>
      <w:tcPr>
        <w:tcBorders>
          <w:top w:val="single" w:sz="8" w:space="0" w:color="F56617" w:themeColor="accent6"/>
          <w:bottom w:val="single" w:sz="8" w:space="0" w:color="F56617" w:themeColor="accent6"/>
        </w:tcBorders>
      </w:tcPr>
    </w:tblStylePr>
    <w:tblStylePr w:type="band1Vert">
      <w:tblPr/>
      <w:tcPr>
        <w:shd w:val="clear" w:color="auto" w:fill="FCD8C5" w:themeFill="accent6" w:themeFillTint="3F"/>
      </w:tcPr>
    </w:tblStylePr>
    <w:tblStylePr w:type="band1Horz">
      <w:tblPr/>
      <w:tcPr>
        <w:shd w:val="clear" w:color="auto" w:fill="FCD8C5"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2C2C2C" w:themeColor="text1"/>
        <w:left w:val="single" w:sz="8" w:space="0" w:color="2C2C2C" w:themeColor="text1"/>
        <w:bottom w:val="single" w:sz="8" w:space="0" w:color="2C2C2C" w:themeColor="text1"/>
        <w:right w:val="single" w:sz="8" w:space="0" w:color="2C2C2C" w:themeColor="text1"/>
      </w:tblBorders>
    </w:tblPr>
    <w:tblStylePr w:type="firstRow">
      <w:rPr>
        <w:sz w:val="24"/>
        <w:szCs w:val="24"/>
      </w:rPr>
      <w:tblPr/>
      <w:tcPr>
        <w:tcBorders>
          <w:top w:val="nil"/>
          <w:left w:val="nil"/>
          <w:bottom w:val="single" w:sz="24" w:space="0" w:color="2C2C2C" w:themeColor="text1"/>
          <w:right w:val="nil"/>
          <w:insideH w:val="nil"/>
          <w:insideV w:val="nil"/>
        </w:tcBorders>
        <w:shd w:val="clear" w:color="auto" w:fill="FFFFFF" w:themeFill="background1"/>
      </w:tcPr>
    </w:tblStylePr>
    <w:tblStylePr w:type="lastRow">
      <w:tblPr/>
      <w:tcPr>
        <w:tcBorders>
          <w:top w:val="single" w:sz="8" w:space="0" w:color="2C2C2C"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C2C2C" w:themeColor="text1"/>
          <w:insideH w:val="nil"/>
          <w:insideV w:val="nil"/>
        </w:tcBorders>
        <w:shd w:val="clear" w:color="auto" w:fill="FFFFFF" w:themeFill="background1"/>
      </w:tcPr>
    </w:tblStylePr>
    <w:tblStylePr w:type="lastCol">
      <w:tblPr/>
      <w:tcPr>
        <w:tcBorders>
          <w:top w:val="nil"/>
          <w:left w:val="single" w:sz="8" w:space="0" w:color="2C2C2C"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ACACA" w:themeFill="text1" w:themeFillTint="3F"/>
      </w:tcPr>
    </w:tblStylePr>
    <w:tblStylePr w:type="band1Horz">
      <w:tblPr/>
      <w:tcPr>
        <w:tcBorders>
          <w:top w:val="nil"/>
          <w:bottom w:val="nil"/>
          <w:insideH w:val="nil"/>
          <w:insideV w:val="nil"/>
        </w:tcBorders>
        <w:shd w:val="clear" w:color="auto" w:fill="CACACA"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FFC000" w:themeColor="accent1"/>
        <w:left w:val="single" w:sz="8" w:space="0" w:color="FFC000" w:themeColor="accent1"/>
        <w:bottom w:val="single" w:sz="8" w:space="0" w:color="FFC000" w:themeColor="accent1"/>
        <w:right w:val="single" w:sz="8" w:space="0" w:color="FFC000" w:themeColor="accent1"/>
      </w:tblBorders>
    </w:tblPr>
    <w:tblStylePr w:type="firstRow">
      <w:rPr>
        <w:sz w:val="24"/>
        <w:szCs w:val="24"/>
      </w:rPr>
      <w:tblPr/>
      <w:tcPr>
        <w:tcBorders>
          <w:top w:val="nil"/>
          <w:left w:val="nil"/>
          <w:bottom w:val="single" w:sz="24" w:space="0" w:color="FFC000" w:themeColor="accent1"/>
          <w:right w:val="nil"/>
          <w:insideH w:val="nil"/>
          <w:insideV w:val="nil"/>
        </w:tcBorders>
        <w:shd w:val="clear" w:color="auto" w:fill="FFFFFF" w:themeFill="background1"/>
      </w:tcPr>
    </w:tblStylePr>
    <w:tblStylePr w:type="lastRow">
      <w:tblPr/>
      <w:tcPr>
        <w:tcBorders>
          <w:top w:val="single" w:sz="8" w:space="0" w:color="FFC000"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1"/>
          <w:insideH w:val="nil"/>
          <w:insideV w:val="nil"/>
        </w:tcBorders>
        <w:shd w:val="clear" w:color="auto" w:fill="FFFFFF" w:themeFill="background1"/>
      </w:tcPr>
    </w:tblStylePr>
    <w:tblStylePr w:type="lastCol">
      <w:tblPr/>
      <w:tcPr>
        <w:tcBorders>
          <w:top w:val="nil"/>
          <w:left w:val="single" w:sz="8" w:space="0" w:color="FFC000"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1" w:themeFillTint="3F"/>
      </w:tcPr>
    </w:tblStylePr>
    <w:tblStylePr w:type="band1Horz">
      <w:tblPr/>
      <w:tcPr>
        <w:tcBorders>
          <w:top w:val="nil"/>
          <w:bottom w:val="nil"/>
          <w:insideH w:val="nil"/>
          <w:insideV w:val="nil"/>
        </w:tcBorders>
        <w:shd w:val="clear" w:color="auto" w:fill="FFEFC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A5D028" w:themeColor="accent2"/>
        <w:left w:val="single" w:sz="8" w:space="0" w:color="A5D028" w:themeColor="accent2"/>
        <w:bottom w:val="single" w:sz="8" w:space="0" w:color="A5D028" w:themeColor="accent2"/>
        <w:right w:val="single" w:sz="8" w:space="0" w:color="A5D028" w:themeColor="accent2"/>
      </w:tblBorders>
    </w:tblPr>
    <w:tblStylePr w:type="firstRow">
      <w:rPr>
        <w:sz w:val="24"/>
        <w:szCs w:val="24"/>
      </w:rPr>
      <w:tblPr/>
      <w:tcPr>
        <w:tcBorders>
          <w:top w:val="nil"/>
          <w:left w:val="nil"/>
          <w:bottom w:val="single" w:sz="24" w:space="0" w:color="A5D028" w:themeColor="accent2"/>
          <w:right w:val="nil"/>
          <w:insideH w:val="nil"/>
          <w:insideV w:val="nil"/>
        </w:tcBorders>
        <w:shd w:val="clear" w:color="auto" w:fill="FFFFFF" w:themeFill="background1"/>
      </w:tcPr>
    </w:tblStylePr>
    <w:tblStylePr w:type="lastRow">
      <w:tblPr/>
      <w:tcPr>
        <w:tcBorders>
          <w:top w:val="single" w:sz="8" w:space="0" w:color="A5D028"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D028" w:themeColor="accent2"/>
          <w:insideH w:val="nil"/>
          <w:insideV w:val="nil"/>
        </w:tcBorders>
        <w:shd w:val="clear" w:color="auto" w:fill="FFFFFF" w:themeFill="background1"/>
      </w:tcPr>
    </w:tblStylePr>
    <w:tblStylePr w:type="lastCol">
      <w:tblPr/>
      <w:tcPr>
        <w:tcBorders>
          <w:top w:val="nil"/>
          <w:left w:val="single" w:sz="8" w:space="0" w:color="A5D02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9F4C8" w:themeFill="accent2" w:themeFillTint="3F"/>
      </w:tcPr>
    </w:tblStylePr>
    <w:tblStylePr w:type="band1Horz">
      <w:tblPr/>
      <w:tcPr>
        <w:tcBorders>
          <w:top w:val="nil"/>
          <w:bottom w:val="nil"/>
          <w:insideH w:val="nil"/>
          <w:insideV w:val="nil"/>
        </w:tcBorders>
        <w:shd w:val="clear" w:color="auto" w:fill="E9F4C8"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08CC78" w:themeColor="accent3"/>
        <w:left w:val="single" w:sz="8" w:space="0" w:color="08CC78" w:themeColor="accent3"/>
        <w:bottom w:val="single" w:sz="8" w:space="0" w:color="08CC78" w:themeColor="accent3"/>
        <w:right w:val="single" w:sz="8" w:space="0" w:color="08CC78" w:themeColor="accent3"/>
      </w:tblBorders>
    </w:tblPr>
    <w:tblStylePr w:type="firstRow">
      <w:rPr>
        <w:sz w:val="24"/>
        <w:szCs w:val="24"/>
      </w:rPr>
      <w:tblPr/>
      <w:tcPr>
        <w:tcBorders>
          <w:top w:val="nil"/>
          <w:left w:val="nil"/>
          <w:bottom w:val="single" w:sz="24" w:space="0" w:color="08CC78" w:themeColor="accent3"/>
          <w:right w:val="nil"/>
          <w:insideH w:val="nil"/>
          <w:insideV w:val="nil"/>
        </w:tcBorders>
        <w:shd w:val="clear" w:color="auto" w:fill="FFFFFF" w:themeFill="background1"/>
      </w:tcPr>
    </w:tblStylePr>
    <w:tblStylePr w:type="lastRow">
      <w:tblPr/>
      <w:tcPr>
        <w:tcBorders>
          <w:top w:val="single" w:sz="8" w:space="0" w:color="08CC78"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8CC78" w:themeColor="accent3"/>
          <w:insideH w:val="nil"/>
          <w:insideV w:val="nil"/>
        </w:tcBorders>
        <w:shd w:val="clear" w:color="auto" w:fill="FFFFFF" w:themeFill="background1"/>
      </w:tcPr>
    </w:tblStylePr>
    <w:tblStylePr w:type="lastCol">
      <w:tblPr/>
      <w:tcPr>
        <w:tcBorders>
          <w:top w:val="nil"/>
          <w:left w:val="single" w:sz="8" w:space="0" w:color="08CC78"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FCDE" w:themeFill="accent3" w:themeFillTint="3F"/>
      </w:tcPr>
    </w:tblStylePr>
    <w:tblStylePr w:type="band1Horz">
      <w:tblPr/>
      <w:tcPr>
        <w:tcBorders>
          <w:top w:val="nil"/>
          <w:bottom w:val="nil"/>
          <w:insideH w:val="nil"/>
          <w:insideV w:val="nil"/>
        </w:tcBorders>
        <w:shd w:val="clear" w:color="auto" w:fill="B8FCDE"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F24099" w:themeColor="accent4"/>
        <w:left w:val="single" w:sz="8" w:space="0" w:color="F24099" w:themeColor="accent4"/>
        <w:bottom w:val="single" w:sz="8" w:space="0" w:color="F24099" w:themeColor="accent4"/>
        <w:right w:val="single" w:sz="8" w:space="0" w:color="F24099" w:themeColor="accent4"/>
      </w:tblBorders>
    </w:tblPr>
    <w:tblStylePr w:type="firstRow">
      <w:rPr>
        <w:sz w:val="24"/>
        <w:szCs w:val="24"/>
      </w:rPr>
      <w:tblPr/>
      <w:tcPr>
        <w:tcBorders>
          <w:top w:val="nil"/>
          <w:left w:val="nil"/>
          <w:bottom w:val="single" w:sz="24" w:space="0" w:color="F24099" w:themeColor="accent4"/>
          <w:right w:val="nil"/>
          <w:insideH w:val="nil"/>
          <w:insideV w:val="nil"/>
        </w:tcBorders>
        <w:shd w:val="clear" w:color="auto" w:fill="FFFFFF" w:themeFill="background1"/>
      </w:tcPr>
    </w:tblStylePr>
    <w:tblStylePr w:type="lastRow">
      <w:tblPr/>
      <w:tcPr>
        <w:tcBorders>
          <w:top w:val="single" w:sz="8" w:space="0" w:color="F24099"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24099" w:themeColor="accent4"/>
          <w:insideH w:val="nil"/>
          <w:insideV w:val="nil"/>
        </w:tcBorders>
        <w:shd w:val="clear" w:color="auto" w:fill="FFFFFF" w:themeFill="background1"/>
      </w:tcPr>
    </w:tblStylePr>
    <w:tblStylePr w:type="lastCol">
      <w:tblPr/>
      <w:tcPr>
        <w:tcBorders>
          <w:top w:val="nil"/>
          <w:left w:val="single" w:sz="8" w:space="0" w:color="F24099"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BCFE5" w:themeFill="accent4" w:themeFillTint="3F"/>
      </w:tcPr>
    </w:tblStylePr>
    <w:tblStylePr w:type="band1Horz">
      <w:tblPr/>
      <w:tcPr>
        <w:tcBorders>
          <w:top w:val="nil"/>
          <w:bottom w:val="nil"/>
          <w:insideH w:val="nil"/>
          <w:insideV w:val="nil"/>
        </w:tcBorders>
        <w:shd w:val="clear" w:color="auto" w:fill="FBCFE5"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828288" w:themeColor="accent5"/>
        <w:left w:val="single" w:sz="8" w:space="0" w:color="828288" w:themeColor="accent5"/>
        <w:bottom w:val="single" w:sz="8" w:space="0" w:color="828288" w:themeColor="accent5"/>
        <w:right w:val="single" w:sz="8" w:space="0" w:color="828288" w:themeColor="accent5"/>
      </w:tblBorders>
    </w:tblPr>
    <w:tblStylePr w:type="firstRow">
      <w:rPr>
        <w:sz w:val="24"/>
        <w:szCs w:val="24"/>
      </w:rPr>
      <w:tblPr/>
      <w:tcPr>
        <w:tcBorders>
          <w:top w:val="nil"/>
          <w:left w:val="nil"/>
          <w:bottom w:val="single" w:sz="24" w:space="0" w:color="828288" w:themeColor="accent5"/>
          <w:right w:val="nil"/>
          <w:insideH w:val="nil"/>
          <w:insideV w:val="nil"/>
        </w:tcBorders>
        <w:shd w:val="clear" w:color="auto" w:fill="FFFFFF" w:themeFill="background1"/>
      </w:tcPr>
    </w:tblStylePr>
    <w:tblStylePr w:type="lastRow">
      <w:tblPr/>
      <w:tcPr>
        <w:tcBorders>
          <w:top w:val="single" w:sz="8" w:space="0" w:color="828288"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28288" w:themeColor="accent5"/>
          <w:insideH w:val="nil"/>
          <w:insideV w:val="nil"/>
        </w:tcBorders>
        <w:shd w:val="clear" w:color="auto" w:fill="FFFFFF" w:themeFill="background1"/>
      </w:tcPr>
    </w:tblStylePr>
    <w:tblStylePr w:type="lastCol">
      <w:tblPr/>
      <w:tcPr>
        <w:tcBorders>
          <w:top w:val="nil"/>
          <w:left w:val="single" w:sz="8" w:space="0" w:color="828288"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0E0E1" w:themeFill="accent5" w:themeFillTint="3F"/>
      </w:tcPr>
    </w:tblStylePr>
    <w:tblStylePr w:type="band1Horz">
      <w:tblPr/>
      <w:tcPr>
        <w:tcBorders>
          <w:top w:val="nil"/>
          <w:bottom w:val="nil"/>
          <w:insideH w:val="nil"/>
          <w:insideV w:val="nil"/>
        </w:tcBorders>
        <w:shd w:val="clear" w:color="auto" w:fill="E0E0E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F56617" w:themeColor="accent6"/>
        <w:left w:val="single" w:sz="8" w:space="0" w:color="F56617" w:themeColor="accent6"/>
        <w:bottom w:val="single" w:sz="8" w:space="0" w:color="F56617" w:themeColor="accent6"/>
        <w:right w:val="single" w:sz="8" w:space="0" w:color="F56617" w:themeColor="accent6"/>
      </w:tblBorders>
    </w:tblPr>
    <w:tblStylePr w:type="firstRow">
      <w:rPr>
        <w:sz w:val="24"/>
        <w:szCs w:val="24"/>
      </w:rPr>
      <w:tblPr/>
      <w:tcPr>
        <w:tcBorders>
          <w:top w:val="nil"/>
          <w:left w:val="nil"/>
          <w:bottom w:val="single" w:sz="24" w:space="0" w:color="F56617" w:themeColor="accent6"/>
          <w:right w:val="nil"/>
          <w:insideH w:val="nil"/>
          <w:insideV w:val="nil"/>
        </w:tcBorders>
        <w:shd w:val="clear" w:color="auto" w:fill="FFFFFF" w:themeFill="background1"/>
      </w:tcPr>
    </w:tblStylePr>
    <w:tblStylePr w:type="lastRow">
      <w:tblPr/>
      <w:tcPr>
        <w:tcBorders>
          <w:top w:val="single" w:sz="8" w:space="0" w:color="F56617"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56617" w:themeColor="accent6"/>
          <w:insideH w:val="nil"/>
          <w:insideV w:val="nil"/>
        </w:tcBorders>
        <w:shd w:val="clear" w:color="auto" w:fill="FFFFFF" w:themeFill="background1"/>
      </w:tcPr>
    </w:tblStylePr>
    <w:tblStylePr w:type="lastCol">
      <w:tblPr/>
      <w:tcPr>
        <w:tcBorders>
          <w:top w:val="nil"/>
          <w:left w:val="single" w:sz="8" w:space="0" w:color="F5661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CD8C5" w:themeFill="accent6" w:themeFillTint="3F"/>
      </w:tcPr>
    </w:tblStylePr>
    <w:tblStylePr w:type="band1Horz">
      <w:tblPr/>
      <w:tcPr>
        <w:tcBorders>
          <w:top w:val="nil"/>
          <w:bottom w:val="nil"/>
          <w:insideH w:val="nil"/>
          <w:insideV w:val="nil"/>
        </w:tcBorders>
        <w:shd w:val="clear" w:color="auto" w:fill="FCD8C5"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606060" w:themeColor="text1" w:themeTint="BF"/>
        <w:left w:val="single" w:sz="8" w:space="0" w:color="606060" w:themeColor="text1" w:themeTint="BF"/>
        <w:bottom w:val="single" w:sz="8" w:space="0" w:color="606060" w:themeColor="text1" w:themeTint="BF"/>
        <w:right w:val="single" w:sz="8" w:space="0" w:color="606060" w:themeColor="text1" w:themeTint="BF"/>
        <w:insideH w:val="single" w:sz="8" w:space="0" w:color="606060" w:themeColor="text1" w:themeTint="BF"/>
        <w:insideV w:val="single" w:sz="8" w:space="0" w:color="606060" w:themeColor="text1" w:themeTint="BF"/>
      </w:tblBorders>
    </w:tblPr>
    <w:tcPr>
      <w:shd w:val="clear" w:color="auto" w:fill="CACACA" w:themeFill="text1" w:themeFillTint="3F"/>
    </w:tcPr>
    <w:tblStylePr w:type="firstRow">
      <w:rPr>
        <w:b/>
        <w:bCs/>
      </w:rPr>
    </w:tblStylePr>
    <w:tblStylePr w:type="lastRow">
      <w:rPr>
        <w:b/>
        <w:bCs/>
      </w:rPr>
      <w:tblPr/>
      <w:tcPr>
        <w:tcBorders>
          <w:top w:val="single" w:sz="18" w:space="0" w:color="606060" w:themeColor="text1" w:themeTint="BF"/>
        </w:tcBorders>
      </w:tcPr>
    </w:tblStylePr>
    <w:tblStylePr w:type="firstCol">
      <w:rPr>
        <w:b/>
        <w:bCs/>
      </w:rPr>
    </w:tblStylePr>
    <w:tblStylePr w:type="lastCol">
      <w:rPr>
        <w:b/>
        <w:bCs/>
      </w:rPr>
    </w:tblStylePr>
    <w:tblStylePr w:type="band1Vert">
      <w:tblPr/>
      <w:tcPr>
        <w:shd w:val="clear" w:color="auto" w:fill="959595" w:themeFill="text1" w:themeFillTint="7F"/>
      </w:tcPr>
    </w:tblStylePr>
    <w:tblStylePr w:type="band1Horz">
      <w:tblPr/>
      <w:tcPr>
        <w:shd w:val="clear" w:color="auto" w:fill="959595"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FFCF40" w:themeColor="accent1" w:themeTint="BF"/>
        <w:left w:val="single" w:sz="8" w:space="0" w:color="FFCF40" w:themeColor="accent1" w:themeTint="BF"/>
        <w:bottom w:val="single" w:sz="8" w:space="0" w:color="FFCF40" w:themeColor="accent1" w:themeTint="BF"/>
        <w:right w:val="single" w:sz="8" w:space="0" w:color="FFCF40" w:themeColor="accent1" w:themeTint="BF"/>
        <w:insideH w:val="single" w:sz="8" w:space="0" w:color="FFCF40" w:themeColor="accent1" w:themeTint="BF"/>
        <w:insideV w:val="single" w:sz="8" w:space="0" w:color="FFCF40" w:themeColor="accent1" w:themeTint="BF"/>
      </w:tblBorders>
    </w:tblPr>
    <w:tcPr>
      <w:shd w:val="clear" w:color="auto" w:fill="FFEFC0" w:themeFill="accent1" w:themeFillTint="3F"/>
    </w:tcPr>
    <w:tblStylePr w:type="firstRow">
      <w:rPr>
        <w:b/>
        <w:bCs/>
      </w:rPr>
    </w:tblStylePr>
    <w:tblStylePr w:type="lastRow">
      <w:rPr>
        <w:b/>
        <w:bCs/>
      </w:rPr>
      <w:tblPr/>
      <w:tcPr>
        <w:tcBorders>
          <w:top w:val="single" w:sz="18" w:space="0" w:color="FFCF40" w:themeColor="accent1" w:themeTint="BF"/>
        </w:tcBorders>
      </w:tcPr>
    </w:tblStylePr>
    <w:tblStylePr w:type="firstCol">
      <w:rPr>
        <w:b/>
        <w:bCs/>
      </w:rPr>
    </w:tblStylePr>
    <w:tblStylePr w:type="lastCol">
      <w:rPr>
        <w:b/>
        <w:bCs/>
      </w:rPr>
    </w:tblStylePr>
    <w:tblStylePr w:type="band1Vert">
      <w:tblPr/>
      <w:tcPr>
        <w:shd w:val="clear" w:color="auto" w:fill="FFDF80" w:themeFill="accent1" w:themeFillTint="7F"/>
      </w:tcPr>
    </w:tblStylePr>
    <w:tblStylePr w:type="band1Horz">
      <w:tblPr/>
      <w:tcPr>
        <w:shd w:val="clear" w:color="auto" w:fill="FFDF80"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BCDF5A" w:themeColor="accent2" w:themeTint="BF"/>
        <w:left w:val="single" w:sz="8" w:space="0" w:color="BCDF5A" w:themeColor="accent2" w:themeTint="BF"/>
        <w:bottom w:val="single" w:sz="8" w:space="0" w:color="BCDF5A" w:themeColor="accent2" w:themeTint="BF"/>
        <w:right w:val="single" w:sz="8" w:space="0" w:color="BCDF5A" w:themeColor="accent2" w:themeTint="BF"/>
        <w:insideH w:val="single" w:sz="8" w:space="0" w:color="BCDF5A" w:themeColor="accent2" w:themeTint="BF"/>
        <w:insideV w:val="single" w:sz="8" w:space="0" w:color="BCDF5A" w:themeColor="accent2" w:themeTint="BF"/>
      </w:tblBorders>
    </w:tblPr>
    <w:tcPr>
      <w:shd w:val="clear" w:color="auto" w:fill="E9F4C8" w:themeFill="accent2" w:themeFillTint="3F"/>
    </w:tcPr>
    <w:tblStylePr w:type="firstRow">
      <w:rPr>
        <w:b/>
        <w:bCs/>
      </w:rPr>
    </w:tblStylePr>
    <w:tblStylePr w:type="lastRow">
      <w:rPr>
        <w:b/>
        <w:bCs/>
      </w:rPr>
      <w:tblPr/>
      <w:tcPr>
        <w:tcBorders>
          <w:top w:val="single" w:sz="18" w:space="0" w:color="BCDF5A" w:themeColor="accent2" w:themeTint="BF"/>
        </w:tcBorders>
      </w:tcPr>
    </w:tblStylePr>
    <w:tblStylePr w:type="firstCol">
      <w:rPr>
        <w:b/>
        <w:bCs/>
      </w:rPr>
    </w:tblStylePr>
    <w:tblStylePr w:type="lastCol">
      <w:rPr>
        <w:b/>
        <w:bCs/>
      </w:rPr>
    </w:tblStylePr>
    <w:tblStylePr w:type="band1Vert">
      <w:tblPr/>
      <w:tcPr>
        <w:shd w:val="clear" w:color="auto" w:fill="D3EA91" w:themeFill="accent2" w:themeFillTint="7F"/>
      </w:tcPr>
    </w:tblStylePr>
    <w:tblStylePr w:type="band1Horz">
      <w:tblPr/>
      <w:tcPr>
        <w:shd w:val="clear" w:color="auto" w:fill="D3EA91"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28F69D" w:themeColor="accent3" w:themeTint="BF"/>
        <w:left w:val="single" w:sz="8" w:space="0" w:color="28F69D" w:themeColor="accent3" w:themeTint="BF"/>
        <w:bottom w:val="single" w:sz="8" w:space="0" w:color="28F69D" w:themeColor="accent3" w:themeTint="BF"/>
        <w:right w:val="single" w:sz="8" w:space="0" w:color="28F69D" w:themeColor="accent3" w:themeTint="BF"/>
        <w:insideH w:val="single" w:sz="8" w:space="0" w:color="28F69D" w:themeColor="accent3" w:themeTint="BF"/>
        <w:insideV w:val="single" w:sz="8" w:space="0" w:color="28F69D" w:themeColor="accent3" w:themeTint="BF"/>
      </w:tblBorders>
    </w:tblPr>
    <w:tcPr>
      <w:shd w:val="clear" w:color="auto" w:fill="B8FCDE" w:themeFill="accent3" w:themeFillTint="3F"/>
    </w:tcPr>
    <w:tblStylePr w:type="firstRow">
      <w:rPr>
        <w:b/>
        <w:bCs/>
      </w:rPr>
    </w:tblStylePr>
    <w:tblStylePr w:type="lastRow">
      <w:rPr>
        <w:b/>
        <w:bCs/>
      </w:rPr>
      <w:tblPr/>
      <w:tcPr>
        <w:tcBorders>
          <w:top w:val="single" w:sz="18" w:space="0" w:color="28F69D" w:themeColor="accent3" w:themeTint="BF"/>
        </w:tcBorders>
      </w:tcPr>
    </w:tblStylePr>
    <w:tblStylePr w:type="firstCol">
      <w:rPr>
        <w:b/>
        <w:bCs/>
      </w:rPr>
    </w:tblStylePr>
    <w:tblStylePr w:type="lastCol">
      <w:rPr>
        <w:b/>
        <w:bCs/>
      </w:rPr>
    </w:tblStylePr>
    <w:tblStylePr w:type="band1Vert">
      <w:tblPr/>
      <w:tcPr>
        <w:shd w:val="clear" w:color="auto" w:fill="6FF9BE" w:themeFill="accent3" w:themeFillTint="7F"/>
      </w:tcPr>
    </w:tblStylePr>
    <w:tblStylePr w:type="band1Horz">
      <w:tblPr/>
      <w:tcPr>
        <w:shd w:val="clear" w:color="auto" w:fill="6FF9BE"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F56FB2" w:themeColor="accent4" w:themeTint="BF"/>
        <w:left w:val="single" w:sz="8" w:space="0" w:color="F56FB2" w:themeColor="accent4" w:themeTint="BF"/>
        <w:bottom w:val="single" w:sz="8" w:space="0" w:color="F56FB2" w:themeColor="accent4" w:themeTint="BF"/>
        <w:right w:val="single" w:sz="8" w:space="0" w:color="F56FB2" w:themeColor="accent4" w:themeTint="BF"/>
        <w:insideH w:val="single" w:sz="8" w:space="0" w:color="F56FB2" w:themeColor="accent4" w:themeTint="BF"/>
        <w:insideV w:val="single" w:sz="8" w:space="0" w:color="F56FB2" w:themeColor="accent4" w:themeTint="BF"/>
      </w:tblBorders>
    </w:tblPr>
    <w:tcPr>
      <w:shd w:val="clear" w:color="auto" w:fill="FBCFE5" w:themeFill="accent4" w:themeFillTint="3F"/>
    </w:tcPr>
    <w:tblStylePr w:type="firstRow">
      <w:rPr>
        <w:b/>
        <w:bCs/>
      </w:rPr>
    </w:tblStylePr>
    <w:tblStylePr w:type="lastRow">
      <w:rPr>
        <w:b/>
        <w:bCs/>
      </w:rPr>
      <w:tblPr/>
      <w:tcPr>
        <w:tcBorders>
          <w:top w:val="single" w:sz="18" w:space="0" w:color="F56FB2" w:themeColor="accent4" w:themeTint="BF"/>
        </w:tcBorders>
      </w:tcPr>
    </w:tblStylePr>
    <w:tblStylePr w:type="firstCol">
      <w:rPr>
        <w:b/>
        <w:bCs/>
      </w:rPr>
    </w:tblStylePr>
    <w:tblStylePr w:type="lastCol">
      <w:rPr>
        <w:b/>
        <w:bCs/>
      </w:rPr>
    </w:tblStylePr>
    <w:tblStylePr w:type="band1Vert">
      <w:tblPr/>
      <w:tcPr>
        <w:shd w:val="clear" w:color="auto" w:fill="F89FCB" w:themeFill="accent4" w:themeFillTint="7F"/>
      </w:tcPr>
    </w:tblStylePr>
    <w:tblStylePr w:type="band1Horz">
      <w:tblPr/>
      <w:tcPr>
        <w:shd w:val="clear" w:color="auto" w:fill="F89FCB"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A1A1A5" w:themeColor="accent5" w:themeTint="BF"/>
        <w:left w:val="single" w:sz="8" w:space="0" w:color="A1A1A5" w:themeColor="accent5" w:themeTint="BF"/>
        <w:bottom w:val="single" w:sz="8" w:space="0" w:color="A1A1A5" w:themeColor="accent5" w:themeTint="BF"/>
        <w:right w:val="single" w:sz="8" w:space="0" w:color="A1A1A5" w:themeColor="accent5" w:themeTint="BF"/>
        <w:insideH w:val="single" w:sz="8" w:space="0" w:color="A1A1A5" w:themeColor="accent5" w:themeTint="BF"/>
        <w:insideV w:val="single" w:sz="8" w:space="0" w:color="A1A1A5" w:themeColor="accent5" w:themeTint="BF"/>
      </w:tblBorders>
    </w:tblPr>
    <w:tcPr>
      <w:shd w:val="clear" w:color="auto" w:fill="E0E0E1" w:themeFill="accent5" w:themeFillTint="3F"/>
    </w:tcPr>
    <w:tblStylePr w:type="firstRow">
      <w:rPr>
        <w:b/>
        <w:bCs/>
      </w:rPr>
    </w:tblStylePr>
    <w:tblStylePr w:type="lastRow">
      <w:rPr>
        <w:b/>
        <w:bCs/>
      </w:rPr>
      <w:tblPr/>
      <w:tcPr>
        <w:tcBorders>
          <w:top w:val="single" w:sz="18" w:space="0" w:color="A1A1A5" w:themeColor="accent5" w:themeTint="BF"/>
        </w:tcBorders>
      </w:tcPr>
    </w:tblStylePr>
    <w:tblStylePr w:type="firstCol">
      <w:rPr>
        <w:b/>
        <w:bCs/>
      </w:rPr>
    </w:tblStylePr>
    <w:tblStylePr w:type="lastCol">
      <w:rPr>
        <w:b/>
        <w:bCs/>
      </w:rPr>
    </w:tblStylePr>
    <w:tblStylePr w:type="band1Vert">
      <w:tblPr/>
      <w:tcPr>
        <w:shd w:val="clear" w:color="auto" w:fill="C0C0C3" w:themeFill="accent5" w:themeFillTint="7F"/>
      </w:tcPr>
    </w:tblStylePr>
    <w:tblStylePr w:type="band1Horz">
      <w:tblPr/>
      <w:tcPr>
        <w:shd w:val="clear" w:color="auto" w:fill="C0C0C3"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78B51" w:themeColor="accent6" w:themeTint="BF"/>
        <w:left w:val="single" w:sz="8" w:space="0" w:color="F78B51" w:themeColor="accent6" w:themeTint="BF"/>
        <w:bottom w:val="single" w:sz="8" w:space="0" w:color="F78B51" w:themeColor="accent6" w:themeTint="BF"/>
        <w:right w:val="single" w:sz="8" w:space="0" w:color="F78B51" w:themeColor="accent6" w:themeTint="BF"/>
        <w:insideH w:val="single" w:sz="8" w:space="0" w:color="F78B51" w:themeColor="accent6" w:themeTint="BF"/>
        <w:insideV w:val="single" w:sz="8" w:space="0" w:color="F78B51" w:themeColor="accent6" w:themeTint="BF"/>
      </w:tblBorders>
    </w:tblPr>
    <w:tcPr>
      <w:shd w:val="clear" w:color="auto" w:fill="FCD8C5" w:themeFill="accent6" w:themeFillTint="3F"/>
    </w:tcPr>
    <w:tblStylePr w:type="firstRow">
      <w:rPr>
        <w:b/>
        <w:bCs/>
      </w:rPr>
    </w:tblStylePr>
    <w:tblStylePr w:type="lastRow">
      <w:rPr>
        <w:b/>
        <w:bCs/>
      </w:rPr>
      <w:tblPr/>
      <w:tcPr>
        <w:tcBorders>
          <w:top w:val="single" w:sz="18" w:space="0" w:color="F78B51" w:themeColor="accent6" w:themeTint="BF"/>
        </w:tcBorders>
      </w:tcPr>
    </w:tblStylePr>
    <w:tblStylePr w:type="firstCol">
      <w:rPr>
        <w:b/>
        <w:bCs/>
      </w:rPr>
    </w:tblStylePr>
    <w:tblStylePr w:type="lastCol">
      <w:rPr>
        <w:b/>
        <w:bCs/>
      </w:rPr>
    </w:tblStylePr>
    <w:tblStylePr w:type="band1Vert">
      <w:tblPr/>
      <w:tcPr>
        <w:shd w:val="clear" w:color="auto" w:fill="FAB28B" w:themeFill="accent6" w:themeFillTint="7F"/>
      </w:tcPr>
    </w:tblStylePr>
    <w:tblStylePr w:type="band1Horz">
      <w:tblPr/>
      <w:tcPr>
        <w:shd w:val="clear" w:color="auto" w:fill="FAB28B"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2C2C2C" w:themeColor="text1"/>
        <w:left w:val="single" w:sz="8" w:space="0" w:color="2C2C2C" w:themeColor="text1"/>
        <w:bottom w:val="single" w:sz="8" w:space="0" w:color="2C2C2C" w:themeColor="text1"/>
        <w:right w:val="single" w:sz="8" w:space="0" w:color="2C2C2C" w:themeColor="text1"/>
        <w:insideH w:val="single" w:sz="8" w:space="0" w:color="2C2C2C" w:themeColor="text1"/>
        <w:insideV w:val="single" w:sz="8" w:space="0" w:color="2C2C2C" w:themeColor="text1"/>
      </w:tblBorders>
    </w:tblPr>
    <w:tcPr>
      <w:shd w:val="clear" w:color="auto" w:fill="CACACA" w:themeFill="text1" w:themeFillTint="3F"/>
    </w:tcPr>
    <w:tblStylePr w:type="firstRow">
      <w:rPr>
        <w:b/>
        <w:bCs/>
        <w:color w:val="2C2C2C" w:themeColor="text1"/>
      </w:rPr>
      <w:tblPr/>
      <w:tcPr>
        <w:shd w:val="clear" w:color="auto" w:fill="EAEAEA" w:themeFill="text1" w:themeFillTint="19"/>
      </w:tcPr>
    </w:tblStylePr>
    <w:tblStylePr w:type="lastRow">
      <w:rPr>
        <w:b/>
        <w:bCs/>
        <w:color w:val="2C2C2C" w:themeColor="text1"/>
      </w:rPr>
      <w:tblPr/>
      <w:tcPr>
        <w:tcBorders>
          <w:top w:val="single" w:sz="12" w:space="0" w:color="2C2C2C" w:themeColor="text1"/>
          <w:left w:val="nil"/>
          <w:bottom w:val="nil"/>
          <w:right w:val="nil"/>
          <w:insideH w:val="nil"/>
          <w:insideV w:val="nil"/>
        </w:tcBorders>
        <w:shd w:val="clear" w:color="auto" w:fill="FFFFFF" w:themeFill="background1"/>
      </w:tcPr>
    </w:tblStylePr>
    <w:tblStylePr w:type="firstCol">
      <w:rPr>
        <w:b/>
        <w:bCs/>
        <w:color w:val="2C2C2C"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C2C2C" w:themeColor="text1"/>
      </w:rPr>
      <w:tblPr/>
      <w:tcPr>
        <w:tcBorders>
          <w:top w:val="nil"/>
          <w:left w:val="nil"/>
          <w:bottom w:val="nil"/>
          <w:right w:val="nil"/>
          <w:insideH w:val="nil"/>
          <w:insideV w:val="nil"/>
        </w:tcBorders>
        <w:shd w:val="clear" w:color="auto" w:fill="D4D4D4" w:themeFill="text1" w:themeFillTint="33"/>
      </w:tcPr>
    </w:tblStylePr>
    <w:tblStylePr w:type="band1Vert">
      <w:tblPr/>
      <w:tcPr>
        <w:shd w:val="clear" w:color="auto" w:fill="959595" w:themeFill="text1" w:themeFillTint="7F"/>
      </w:tcPr>
    </w:tblStylePr>
    <w:tblStylePr w:type="band1Horz">
      <w:tblPr/>
      <w:tcPr>
        <w:tcBorders>
          <w:insideH w:val="single" w:sz="6" w:space="0" w:color="2C2C2C" w:themeColor="text1"/>
          <w:insideV w:val="single" w:sz="6" w:space="0" w:color="2C2C2C" w:themeColor="text1"/>
        </w:tcBorders>
        <w:shd w:val="clear" w:color="auto" w:fill="959595"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FFC000" w:themeColor="accent1"/>
        <w:left w:val="single" w:sz="8" w:space="0" w:color="FFC000" w:themeColor="accent1"/>
        <w:bottom w:val="single" w:sz="8" w:space="0" w:color="FFC000" w:themeColor="accent1"/>
        <w:right w:val="single" w:sz="8" w:space="0" w:color="FFC000" w:themeColor="accent1"/>
        <w:insideH w:val="single" w:sz="8" w:space="0" w:color="FFC000" w:themeColor="accent1"/>
        <w:insideV w:val="single" w:sz="8" w:space="0" w:color="FFC000" w:themeColor="accent1"/>
      </w:tblBorders>
    </w:tblPr>
    <w:tcPr>
      <w:shd w:val="clear" w:color="auto" w:fill="FFEFC0" w:themeFill="accent1" w:themeFillTint="3F"/>
    </w:tcPr>
    <w:tblStylePr w:type="firstRow">
      <w:rPr>
        <w:b/>
        <w:bCs/>
        <w:color w:val="2C2C2C" w:themeColor="text1"/>
      </w:rPr>
      <w:tblPr/>
      <w:tcPr>
        <w:shd w:val="clear" w:color="auto" w:fill="FFF8E6" w:themeFill="accent1" w:themeFillTint="19"/>
      </w:tcPr>
    </w:tblStylePr>
    <w:tblStylePr w:type="lastRow">
      <w:rPr>
        <w:b/>
        <w:bCs/>
        <w:color w:val="2C2C2C" w:themeColor="text1"/>
      </w:rPr>
      <w:tblPr/>
      <w:tcPr>
        <w:tcBorders>
          <w:top w:val="single" w:sz="12" w:space="0" w:color="2C2C2C" w:themeColor="text1"/>
          <w:left w:val="nil"/>
          <w:bottom w:val="nil"/>
          <w:right w:val="nil"/>
          <w:insideH w:val="nil"/>
          <w:insideV w:val="nil"/>
        </w:tcBorders>
        <w:shd w:val="clear" w:color="auto" w:fill="FFFFFF" w:themeFill="background1"/>
      </w:tcPr>
    </w:tblStylePr>
    <w:tblStylePr w:type="firstCol">
      <w:rPr>
        <w:b/>
        <w:bCs/>
        <w:color w:val="2C2C2C"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C2C2C" w:themeColor="text1"/>
      </w:rPr>
      <w:tblPr/>
      <w:tcPr>
        <w:tcBorders>
          <w:top w:val="nil"/>
          <w:left w:val="nil"/>
          <w:bottom w:val="nil"/>
          <w:right w:val="nil"/>
          <w:insideH w:val="nil"/>
          <w:insideV w:val="nil"/>
        </w:tcBorders>
        <w:shd w:val="clear" w:color="auto" w:fill="FFF2CC" w:themeFill="accent1" w:themeFillTint="33"/>
      </w:tcPr>
    </w:tblStylePr>
    <w:tblStylePr w:type="band1Vert">
      <w:tblPr/>
      <w:tcPr>
        <w:shd w:val="clear" w:color="auto" w:fill="FFDF80" w:themeFill="accent1" w:themeFillTint="7F"/>
      </w:tcPr>
    </w:tblStylePr>
    <w:tblStylePr w:type="band1Horz">
      <w:tblPr/>
      <w:tcPr>
        <w:tcBorders>
          <w:insideH w:val="single" w:sz="6" w:space="0" w:color="FFC000" w:themeColor="accent1"/>
          <w:insideV w:val="single" w:sz="6" w:space="0" w:color="FFC000" w:themeColor="accent1"/>
        </w:tcBorders>
        <w:shd w:val="clear" w:color="auto" w:fill="FFDF80"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A5D028" w:themeColor="accent2"/>
        <w:left w:val="single" w:sz="8" w:space="0" w:color="A5D028" w:themeColor="accent2"/>
        <w:bottom w:val="single" w:sz="8" w:space="0" w:color="A5D028" w:themeColor="accent2"/>
        <w:right w:val="single" w:sz="8" w:space="0" w:color="A5D028" w:themeColor="accent2"/>
        <w:insideH w:val="single" w:sz="8" w:space="0" w:color="A5D028" w:themeColor="accent2"/>
        <w:insideV w:val="single" w:sz="8" w:space="0" w:color="A5D028" w:themeColor="accent2"/>
      </w:tblBorders>
    </w:tblPr>
    <w:tcPr>
      <w:shd w:val="clear" w:color="auto" w:fill="E9F4C8" w:themeFill="accent2" w:themeFillTint="3F"/>
    </w:tcPr>
    <w:tblStylePr w:type="firstRow">
      <w:rPr>
        <w:b/>
        <w:bCs/>
        <w:color w:val="2C2C2C" w:themeColor="text1"/>
      </w:rPr>
      <w:tblPr/>
      <w:tcPr>
        <w:shd w:val="clear" w:color="auto" w:fill="F6FAE9" w:themeFill="accent2" w:themeFillTint="19"/>
      </w:tcPr>
    </w:tblStylePr>
    <w:tblStylePr w:type="lastRow">
      <w:rPr>
        <w:b/>
        <w:bCs/>
        <w:color w:val="2C2C2C" w:themeColor="text1"/>
      </w:rPr>
      <w:tblPr/>
      <w:tcPr>
        <w:tcBorders>
          <w:top w:val="single" w:sz="12" w:space="0" w:color="2C2C2C" w:themeColor="text1"/>
          <w:left w:val="nil"/>
          <w:bottom w:val="nil"/>
          <w:right w:val="nil"/>
          <w:insideH w:val="nil"/>
          <w:insideV w:val="nil"/>
        </w:tcBorders>
        <w:shd w:val="clear" w:color="auto" w:fill="FFFFFF" w:themeFill="background1"/>
      </w:tcPr>
    </w:tblStylePr>
    <w:tblStylePr w:type="firstCol">
      <w:rPr>
        <w:b/>
        <w:bCs/>
        <w:color w:val="2C2C2C"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C2C2C" w:themeColor="text1"/>
      </w:rPr>
      <w:tblPr/>
      <w:tcPr>
        <w:tcBorders>
          <w:top w:val="nil"/>
          <w:left w:val="nil"/>
          <w:bottom w:val="nil"/>
          <w:right w:val="nil"/>
          <w:insideH w:val="nil"/>
          <w:insideV w:val="nil"/>
        </w:tcBorders>
        <w:shd w:val="clear" w:color="auto" w:fill="EDF6D2" w:themeFill="accent2" w:themeFillTint="33"/>
      </w:tcPr>
    </w:tblStylePr>
    <w:tblStylePr w:type="band1Vert">
      <w:tblPr/>
      <w:tcPr>
        <w:shd w:val="clear" w:color="auto" w:fill="D3EA91" w:themeFill="accent2" w:themeFillTint="7F"/>
      </w:tcPr>
    </w:tblStylePr>
    <w:tblStylePr w:type="band1Horz">
      <w:tblPr/>
      <w:tcPr>
        <w:tcBorders>
          <w:insideH w:val="single" w:sz="6" w:space="0" w:color="A5D028" w:themeColor="accent2"/>
          <w:insideV w:val="single" w:sz="6" w:space="0" w:color="A5D028" w:themeColor="accent2"/>
        </w:tcBorders>
        <w:shd w:val="clear" w:color="auto" w:fill="D3EA91"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08CC78" w:themeColor="accent3"/>
        <w:left w:val="single" w:sz="8" w:space="0" w:color="08CC78" w:themeColor="accent3"/>
        <w:bottom w:val="single" w:sz="8" w:space="0" w:color="08CC78" w:themeColor="accent3"/>
        <w:right w:val="single" w:sz="8" w:space="0" w:color="08CC78" w:themeColor="accent3"/>
        <w:insideH w:val="single" w:sz="8" w:space="0" w:color="08CC78" w:themeColor="accent3"/>
        <w:insideV w:val="single" w:sz="8" w:space="0" w:color="08CC78" w:themeColor="accent3"/>
      </w:tblBorders>
    </w:tblPr>
    <w:tcPr>
      <w:shd w:val="clear" w:color="auto" w:fill="B8FCDE" w:themeFill="accent3" w:themeFillTint="3F"/>
    </w:tcPr>
    <w:tblStylePr w:type="firstRow">
      <w:rPr>
        <w:b/>
        <w:bCs/>
        <w:color w:val="2C2C2C" w:themeColor="text1"/>
      </w:rPr>
      <w:tblPr/>
      <w:tcPr>
        <w:shd w:val="clear" w:color="auto" w:fill="E2FEF2" w:themeFill="accent3" w:themeFillTint="19"/>
      </w:tcPr>
    </w:tblStylePr>
    <w:tblStylePr w:type="lastRow">
      <w:rPr>
        <w:b/>
        <w:bCs/>
        <w:color w:val="2C2C2C" w:themeColor="text1"/>
      </w:rPr>
      <w:tblPr/>
      <w:tcPr>
        <w:tcBorders>
          <w:top w:val="single" w:sz="12" w:space="0" w:color="2C2C2C" w:themeColor="text1"/>
          <w:left w:val="nil"/>
          <w:bottom w:val="nil"/>
          <w:right w:val="nil"/>
          <w:insideH w:val="nil"/>
          <w:insideV w:val="nil"/>
        </w:tcBorders>
        <w:shd w:val="clear" w:color="auto" w:fill="FFFFFF" w:themeFill="background1"/>
      </w:tcPr>
    </w:tblStylePr>
    <w:tblStylePr w:type="firstCol">
      <w:rPr>
        <w:b/>
        <w:bCs/>
        <w:color w:val="2C2C2C"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C2C2C" w:themeColor="text1"/>
      </w:rPr>
      <w:tblPr/>
      <w:tcPr>
        <w:tcBorders>
          <w:top w:val="nil"/>
          <w:left w:val="nil"/>
          <w:bottom w:val="nil"/>
          <w:right w:val="nil"/>
          <w:insideH w:val="nil"/>
          <w:insideV w:val="nil"/>
        </w:tcBorders>
        <w:shd w:val="clear" w:color="auto" w:fill="C5FCE4" w:themeFill="accent3" w:themeFillTint="33"/>
      </w:tcPr>
    </w:tblStylePr>
    <w:tblStylePr w:type="band1Vert">
      <w:tblPr/>
      <w:tcPr>
        <w:shd w:val="clear" w:color="auto" w:fill="6FF9BE" w:themeFill="accent3" w:themeFillTint="7F"/>
      </w:tcPr>
    </w:tblStylePr>
    <w:tblStylePr w:type="band1Horz">
      <w:tblPr/>
      <w:tcPr>
        <w:tcBorders>
          <w:insideH w:val="single" w:sz="6" w:space="0" w:color="08CC78" w:themeColor="accent3"/>
          <w:insideV w:val="single" w:sz="6" w:space="0" w:color="08CC78" w:themeColor="accent3"/>
        </w:tcBorders>
        <w:shd w:val="clear" w:color="auto" w:fill="6FF9BE"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F24099" w:themeColor="accent4"/>
        <w:left w:val="single" w:sz="8" w:space="0" w:color="F24099" w:themeColor="accent4"/>
        <w:bottom w:val="single" w:sz="8" w:space="0" w:color="F24099" w:themeColor="accent4"/>
        <w:right w:val="single" w:sz="8" w:space="0" w:color="F24099" w:themeColor="accent4"/>
        <w:insideH w:val="single" w:sz="8" w:space="0" w:color="F24099" w:themeColor="accent4"/>
        <w:insideV w:val="single" w:sz="8" w:space="0" w:color="F24099" w:themeColor="accent4"/>
      </w:tblBorders>
    </w:tblPr>
    <w:tcPr>
      <w:shd w:val="clear" w:color="auto" w:fill="FBCFE5" w:themeFill="accent4" w:themeFillTint="3F"/>
    </w:tcPr>
    <w:tblStylePr w:type="firstRow">
      <w:rPr>
        <w:b/>
        <w:bCs/>
        <w:color w:val="2C2C2C" w:themeColor="text1"/>
      </w:rPr>
      <w:tblPr/>
      <w:tcPr>
        <w:shd w:val="clear" w:color="auto" w:fill="FDECF4" w:themeFill="accent4" w:themeFillTint="19"/>
      </w:tcPr>
    </w:tblStylePr>
    <w:tblStylePr w:type="lastRow">
      <w:rPr>
        <w:b/>
        <w:bCs/>
        <w:color w:val="2C2C2C" w:themeColor="text1"/>
      </w:rPr>
      <w:tblPr/>
      <w:tcPr>
        <w:tcBorders>
          <w:top w:val="single" w:sz="12" w:space="0" w:color="2C2C2C" w:themeColor="text1"/>
          <w:left w:val="nil"/>
          <w:bottom w:val="nil"/>
          <w:right w:val="nil"/>
          <w:insideH w:val="nil"/>
          <w:insideV w:val="nil"/>
        </w:tcBorders>
        <w:shd w:val="clear" w:color="auto" w:fill="FFFFFF" w:themeFill="background1"/>
      </w:tcPr>
    </w:tblStylePr>
    <w:tblStylePr w:type="firstCol">
      <w:rPr>
        <w:b/>
        <w:bCs/>
        <w:color w:val="2C2C2C"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C2C2C" w:themeColor="text1"/>
      </w:rPr>
      <w:tblPr/>
      <w:tcPr>
        <w:tcBorders>
          <w:top w:val="nil"/>
          <w:left w:val="nil"/>
          <w:bottom w:val="nil"/>
          <w:right w:val="nil"/>
          <w:insideH w:val="nil"/>
          <w:insideV w:val="nil"/>
        </w:tcBorders>
        <w:shd w:val="clear" w:color="auto" w:fill="FCD8EA" w:themeFill="accent4" w:themeFillTint="33"/>
      </w:tcPr>
    </w:tblStylePr>
    <w:tblStylePr w:type="band1Vert">
      <w:tblPr/>
      <w:tcPr>
        <w:shd w:val="clear" w:color="auto" w:fill="F89FCB" w:themeFill="accent4" w:themeFillTint="7F"/>
      </w:tcPr>
    </w:tblStylePr>
    <w:tblStylePr w:type="band1Horz">
      <w:tblPr/>
      <w:tcPr>
        <w:tcBorders>
          <w:insideH w:val="single" w:sz="6" w:space="0" w:color="F24099" w:themeColor="accent4"/>
          <w:insideV w:val="single" w:sz="6" w:space="0" w:color="F24099" w:themeColor="accent4"/>
        </w:tcBorders>
        <w:shd w:val="clear" w:color="auto" w:fill="F89FCB"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828288" w:themeColor="accent5"/>
        <w:left w:val="single" w:sz="8" w:space="0" w:color="828288" w:themeColor="accent5"/>
        <w:bottom w:val="single" w:sz="8" w:space="0" w:color="828288" w:themeColor="accent5"/>
        <w:right w:val="single" w:sz="8" w:space="0" w:color="828288" w:themeColor="accent5"/>
        <w:insideH w:val="single" w:sz="8" w:space="0" w:color="828288" w:themeColor="accent5"/>
        <w:insideV w:val="single" w:sz="8" w:space="0" w:color="828288" w:themeColor="accent5"/>
      </w:tblBorders>
    </w:tblPr>
    <w:tcPr>
      <w:shd w:val="clear" w:color="auto" w:fill="E0E0E1" w:themeFill="accent5" w:themeFillTint="3F"/>
    </w:tcPr>
    <w:tblStylePr w:type="firstRow">
      <w:rPr>
        <w:b/>
        <w:bCs/>
        <w:color w:val="2C2C2C" w:themeColor="text1"/>
      </w:rPr>
      <w:tblPr/>
      <w:tcPr>
        <w:shd w:val="clear" w:color="auto" w:fill="F2F2F3" w:themeFill="accent5" w:themeFillTint="19"/>
      </w:tcPr>
    </w:tblStylePr>
    <w:tblStylePr w:type="lastRow">
      <w:rPr>
        <w:b/>
        <w:bCs/>
        <w:color w:val="2C2C2C" w:themeColor="text1"/>
      </w:rPr>
      <w:tblPr/>
      <w:tcPr>
        <w:tcBorders>
          <w:top w:val="single" w:sz="12" w:space="0" w:color="2C2C2C" w:themeColor="text1"/>
          <w:left w:val="nil"/>
          <w:bottom w:val="nil"/>
          <w:right w:val="nil"/>
          <w:insideH w:val="nil"/>
          <w:insideV w:val="nil"/>
        </w:tcBorders>
        <w:shd w:val="clear" w:color="auto" w:fill="FFFFFF" w:themeFill="background1"/>
      </w:tcPr>
    </w:tblStylePr>
    <w:tblStylePr w:type="firstCol">
      <w:rPr>
        <w:b/>
        <w:bCs/>
        <w:color w:val="2C2C2C"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C2C2C" w:themeColor="text1"/>
      </w:rPr>
      <w:tblPr/>
      <w:tcPr>
        <w:tcBorders>
          <w:top w:val="nil"/>
          <w:left w:val="nil"/>
          <w:bottom w:val="nil"/>
          <w:right w:val="nil"/>
          <w:insideH w:val="nil"/>
          <w:insideV w:val="nil"/>
        </w:tcBorders>
        <w:shd w:val="clear" w:color="auto" w:fill="E5E5E7" w:themeFill="accent5" w:themeFillTint="33"/>
      </w:tcPr>
    </w:tblStylePr>
    <w:tblStylePr w:type="band1Vert">
      <w:tblPr/>
      <w:tcPr>
        <w:shd w:val="clear" w:color="auto" w:fill="C0C0C3" w:themeFill="accent5" w:themeFillTint="7F"/>
      </w:tcPr>
    </w:tblStylePr>
    <w:tblStylePr w:type="band1Horz">
      <w:tblPr/>
      <w:tcPr>
        <w:tcBorders>
          <w:insideH w:val="single" w:sz="6" w:space="0" w:color="828288" w:themeColor="accent5"/>
          <w:insideV w:val="single" w:sz="6" w:space="0" w:color="828288" w:themeColor="accent5"/>
        </w:tcBorders>
        <w:shd w:val="clear" w:color="auto" w:fill="C0C0C3"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2C2C2C" w:themeColor="text1"/>
    </w:rPr>
    <w:tblPr>
      <w:tblStyleRowBandSize w:val="1"/>
      <w:tblStyleColBandSize w:val="1"/>
      <w:tblBorders>
        <w:top w:val="single" w:sz="8" w:space="0" w:color="F56617" w:themeColor="accent6"/>
        <w:left w:val="single" w:sz="8" w:space="0" w:color="F56617" w:themeColor="accent6"/>
        <w:bottom w:val="single" w:sz="8" w:space="0" w:color="F56617" w:themeColor="accent6"/>
        <w:right w:val="single" w:sz="8" w:space="0" w:color="F56617" w:themeColor="accent6"/>
        <w:insideH w:val="single" w:sz="8" w:space="0" w:color="F56617" w:themeColor="accent6"/>
        <w:insideV w:val="single" w:sz="8" w:space="0" w:color="F56617" w:themeColor="accent6"/>
      </w:tblBorders>
    </w:tblPr>
    <w:tcPr>
      <w:shd w:val="clear" w:color="auto" w:fill="FCD8C5" w:themeFill="accent6" w:themeFillTint="3F"/>
    </w:tcPr>
    <w:tblStylePr w:type="firstRow">
      <w:rPr>
        <w:b/>
        <w:bCs/>
        <w:color w:val="2C2C2C" w:themeColor="text1"/>
      </w:rPr>
      <w:tblPr/>
      <w:tcPr>
        <w:shd w:val="clear" w:color="auto" w:fill="FEEFE7" w:themeFill="accent6" w:themeFillTint="19"/>
      </w:tcPr>
    </w:tblStylePr>
    <w:tblStylePr w:type="lastRow">
      <w:rPr>
        <w:b/>
        <w:bCs/>
        <w:color w:val="2C2C2C" w:themeColor="text1"/>
      </w:rPr>
      <w:tblPr/>
      <w:tcPr>
        <w:tcBorders>
          <w:top w:val="single" w:sz="12" w:space="0" w:color="2C2C2C" w:themeColor="text1"/>
          <w:left w:val="nil"/>
          <w:bottom w:val="nil"/>
          <w:right w:val="nil"/>
          <w:insideH w:val="nil"/>
          <w:insideV w:val="nil"/>
        </w:tcBorders>
        <w:shd w:val="clear" w:color="auto" w:fill="FFFFFF" w:themeFill="background1"/>
      </w:tcPr>
    </w:tblStylePr>
    <w:tblStylePr w:type="firstCol">
      <w:rPr>
        <w:b/>
        <w:bCs/>
        <w:color w:val="2C2C2C"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2C2C2C" w:themeColor="text1"/>
      </w:rPr>
      <w:tblPr/>
      <w:tcPr>
        <w:tcBorders>
          <w:top w:val="nil"/>
          <w:left w:val="nil"/>
          <w:bottom w:val="nil"/>
          <w:right w:val="nil"/>
          <w:insideH w:val="nil"/>
          <w:insideV w:val="nil"/>
        </w:tcBorders>
        <w:shd w:val="clear" w:color="auto" w:fill="FDE0D0" w:themeFill="accent6" w:themeFillTint="33"/>
      </w:tcPr>
    </w:tblStylePr>
    <w:tblStylePr w:type="band1Vert">
      <w:tblPr/>
      <w:tcPr>
        <w:shd w:val="clear" w:color="auto" w:fill="FAB28B" w:themeFill="accent6" w:themeFillTint="7F"/>
      </w:tcPr>
    </w:tblStylePr>
    <w:tblStylePr w:type="band1Horz">
      <w:tblPr/>
      <w:tcPr>
        <w:tcBorders>
          <w:insideH w:val="single" w:sz="6" w:space="0" w:color="F56617" w:themeColor="accent6"/>
          <w:insideV w:val="single" w:sz="6" w:space="0" w:color="F56617" w:themeColor="accent6"/>
        </w:tcBorders>
        <w:shd w:val="clear" w:color="auto" w:fill="FAB28B"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ACACA"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C2C2C"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C2C2C"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C2C2C"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C2C2C"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59595"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59595"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FC0"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C000"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C000"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C000"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C000"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DF80"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DF80"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9F4C8"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D02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D02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D02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D02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3EA91"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3EA91"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8FCDE"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8CC78"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8CC78"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8CC78"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8CC78"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FF9BE"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FF9BE"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BCFE5"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24099"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24099"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24099"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24099"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89FCB"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89FCB"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0E0E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28288"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28288"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28288"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28288"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0C0C3"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0C0C3"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CD8C5"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5661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5661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5661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5661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AB28B"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AB28B"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2C2C2C" w:themeFill="text1"/>
    </w:tcPr>
    <w:tblStylePr w:type="firstRow">
      <w:rPr>
        <w:b/>
        <w:bCs/>
      </w:rPr>
      <w:tblPr/>
      <w:tcPr>
        <w:tcBorders>
          <w:top w:val="nil"/>
          <w:left w:val="nil"/>
          <w:bottom w:val="single" w:sz="18" w:space="0" w:color="FFFFFF" w:themeColor="background1"/>
          <w:right w:val="nil"/>
          <w:insideH w:val="nil"/>
          <w:insideV w:val="nil"/>
        </w:tcBorders>
        <w:shd w:val="clear" w:color="auto" w:fill="2C2C2C" w:themeFill="text1"/>
      </w:tcPr>
    </w:tblStylePr>
    <w:tblStylePr w:type="lastRow">
      <w:tblPr/>
      <w:tcPr>
        <w:tcBorders>
          <w:top w:val="single" w:sz="18" w:space="0" w:color="FFFFFF" w:themeColor="background1"/>
          <w:left w:val="nil"/>
          <w:bottom w:val="nil"/>
          <w:right w:val="nil"/>
          <w:insideH w:val="nil"/>
          <w:insideV w:val="nil"/>
        </w:tcBorders>
        <w:shd w:val="clear" w:color="auto" w:fill="151515"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20202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202020" w:themeFill="text1" w:themeFillShade="BF"/>
      </w:tcPr>
    </w:tblStylePr>
    <w:tblStylePr w:type="band1Vert">
      <w:tblPr/>
      <w:tcPr>
        <w:tcBorders>
          <w:top w:val="nil"/>
          <w:left w:val="nil"/>
          <w:bottom w:val="nil"/>
          <w:right w:val="nil"/>
          <w:insideH w:val="nil"/>
          <w:insideV w:val="nil"/>
        </w:tcBorders>
        <w:shd w:val="clear" w:color="auto" w:fill="202020" w:themeFill="text1" w:themeFillShade="BF"/>
      </w:tcPr>
    </w:tblStylePr>
    <w:tblStylePr w:type="band1Horz">
      <w:tblPr/>
      <w:tcPr>
        <w:tcBorders>
          <w:top w:val="nil"/>
          <w:left w:val="nil"/>
          <w:bottom w:val="nil"/>
          <w:right w:val="nil"/>
          <w:insideH w:val="nil"/>
          <w:insideV w:val="nil"/>
        </w:tcBorders>
        <w:shd w:val="clear" w:color="auto" w:fill="20202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FFC000"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2C2C2C"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1" w:themeFillShade="BF"/>
      </w:tcPr>
    </w:tblStylePr>
    <w:tblStylePr w:type="band1Vert">
      <w:tblPr/>
      <w:tcPr>
        <w:tcBorders>
          <w:top w:val="nil"/>
          <w:left w:val="nil"/>
          <w:bottom w:val="nil"/>
          <w:right w:val="nil"/>
          <w:insideH w:val="nil"/>
          <w:insideV w:val="nil"/>
        </w:tcBorders>
        <w:shd w:val="clear" w:color="auto" w:fill="BF8F00" w:themeFill="accent1" w:themeFillShade="BF"/>
      </w:tcPr>
    </w:tblStylePr>
    <w:tblStylePr w:type="band1Horz">
      <w:tblPr/>
      <w:tcPr>
        <w:tcBorders>
          <w:top w:val="nil"/>
          <w:left w:val="nil"/>
          <w:bottom w:val="nil"/>
          <w:right w:val="nil"/>
          <w:insideH w:val="nil"/>
          <w:insideV w:val="nil"/>
        </w:tcBorders>
        <w:shd w:val="clear" w:color="auto" w:fill="BF8F00"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A5D02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2C2C2C" w:themeFill="text1"/>
      </w:tcPr>
    </w:tblStylePr>
    <w:tblStylePr w:type="lastRow">
      <w:tblPr/>
      <w:tcPr>
        <w:tcBorders>
          <w:top w:val="single" w:sz="18" w:space="0" w:color="FFFFFF" w:themeColor="background1"/>
          <w:left w:val="nil"/>
          <w:bottom w:val="nil"/>
          <w:right w:val="nil"/>
          <w:insideH w:val="nil"/>
          <w:insideV w:val="nil"/>
        </w:tcBorders>
        <w:shd w:val="clear" w:color="auto" w:fill="516714"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7B9B1E"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7B9B1E" w:themeFill="accent2" w:themeFillShade="BF"/>
      </w:tcPr>
    </w:tblStylePr>
    <w:tblStylePr w:type="band1Vert">
      <w:tblPr/>
      <w:tcPr>
        <w:tcBorders>
          <w:top w:val="nil"/>
          <w:left w:val="nil"/>
          <w:bottom w:val="nil"/>
          <w:right w:val="nil"/>
          <w:insideH w:val="nil"/>
          <w:insideV w:val="nil"/>
        </w:tcBorders>
        <w:shd w:val="clear" w:color="auto" w:fill="7B9B1E" w:themeFill="accent2" w:themeFillShade="BF"/>
      </w:tcPr>
    </w:tblStylePr>
    <w:tblStylePr w:type="band1Horz">
      <w:tblPr/>
      <w:tcPr>
        <w:tcBorders>
          <w:top w:val="nil"/>
          <w:left w:val="nil"/>
          <w:bottom w:val="nil"/>
          <w:right w:val="nil"/>
          <w:insideH w:val="nil"/>
          <w:insideV w:val="nil"/>
        </w:tcBorders>
        <w:shd w:val="clear" w:color="auto" w:fill="7B9B1E"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08CC78"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2C2C2C" w:themeFill="text1"/>
      </w:tcPr>
    </w:tblStylePr>
    <w:tblStylePr w:type="lastRow">
      <w:tblPr/>
      <w:tcPr>
        <w:tcBorders>
          <w:top w:val="single" w:sz="18" w:space="0" w:color="FFFFFF" w:themeColor="background1"/>
          <w:left w:val="nil"/>
          <w:bottom w:val="nil"/>
          <w:right w:val="nil"/>
          <w:insideH w:val="nil"/>
          <w:insideV w:val="nil"/>
        </w:tcBorders>
        <w:shd w:val="clear" w:color="auto" w:fill="04653B"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069859"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069859" w:themeFill="accent3" w:themeFillShade="BF"/>
      </w:tcPr>
    </w:tblStylePr>
    <w:tblStylePr w:type="band1Vert">
      <w:tblPr/>
      <w:tcPr>
        <w:tcBorders>
          <w:top w:val="nil"/>
          <w:left w:val="nil"/>
          <w:bottom w:val="nil"/>
          <w:right w:val="nil"/>
          <w:insideH w:val="nil"/>
          <w:insideV w:val="nil"/>
        </w:tcBorders>
        <w:shd w:val="clear" w:color="auto" w:fill="069859" w:themeFill="accent3" w:themeFillShade="BF"/>
      </w:tcPr>
    </w:tblStylePr>
    <w:tblStylePr w:type="band1Horz">
      <w:tblPr/>
      <w:tcPr>
        <w:tcBorders>
          <w:top w:val="nil"/>
          <w:left w:val="nil"/>
          <w:bottom w:val="nil"/>
          <w:right w:val="nil"/>
          <w:insideH w:val="nil"/>
          <w:insideV w:val="nil"/>
        </w:tcBorders>
        <w:shd w:val="clear" w:color="auto" w:fill="069859"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F24099"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2C2C2C" w:themeFill="text1"/>
      </w:tcPr>
    </w:tblStylePr>
    <w:tblStylePr w:type="lastRow">
      <w:tblPr/>
      <w:tcPr>
        <w:tcBorders>
          <w:top w:val="single" w:sz="18" w:space="0" w:color="FFFFFF" w:themeColor="background1"/>
          <w:left w:val="nil"/>
          <w:bottom w:val="nil"/>
          <w:right w:val="nil"/>
          <w:insideH w:val="nil"/>
          <w:insideV w:val="nil"/>
        </w:tcBorders>
        <w:shd w:val="clear" w:color="auto" w:fill="8E094B"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D60E72"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D60E72" w:themeFill="accent4" w:themeFillShade="BF"/>
      </w:tcPr>
    </w:tblStylePr>
    <w:tblStylePr w:type="band1Vert">
      <w:tblPr/>
      <w:tcPr>
        <w:tcBorders>
          <w:top w:val="nil"/>
          <w:left w:val="nil"/>
          <w:bottom w:val="nil"/>
          <w:right w:val="nil"/>
          <w:insideH w:val="nil"/>
          <w:insideV w:val="nil"/>
        </w:tcBorders>
        <w:shd w:val="clear" w:color="auto" w:fill="D60E72" w:themeFill="accent4" w:themeFillShade="BF"/>
      </w:tcPr>
    </w:tblStylePr>
    <w:tblStylePr w:type="band1Horz">
      <w:tblPr/>
      <w:tcPr>
        <w:tcBorders>
          <w:top w:val="nil"/>
          <w:left w:val="nil"/>
          <w:bottom w:val="nil"/>
          <w:right w:val="nil"/>
          <w:insideH w:val="nil"/>
          <w:insideV w:val="nil"/>
        </w:tcBorders>
        <w:shd w:val="clear" w:color="auto" w:fill="D60E72"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828288"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2C2C2C" w:themeFill="text1"/>
      </w:tcPr>
    </w:tblStylePr>
    <w:tblStylePr w:type="lastRow">
      <w:tblPr/>
      <w:tcPr>
        <w:tcBorders>
          <w:top w:val="single" w:sz="18" w:space="0" w:color="FFFFFF" w:themeColor="background1"/>
          <w:left w:val="nil"/>
          <w:bottom w:val="nil"/>
          <w:right w:val="nil"/>
          <w:insideH w:val="nil"/>
          <w:insideV w:val="nil"/>
        </w:tcBorders>
        <w:shd w:val="clear" w:color="auto" w:fill="404043"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616165"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616165" w:themeFill="accent5" w:themeFillShade="BF"/>
      </w:tcPr>
    </w:tblStylePr>
    <w:tblStylePr w:type="band1Vert">
      <w:tblPr/>
      <w:tcPr>
        <w:tcBorders>
          <w:top w:val="nil"/>
          <w:left w:val="nil"/>
          <w:bottom w:val="nil"/>
          <w:right w:val="nil"/>
          <w:insideH w:val="nil"/>
          <w:insideV w:val="nil"/>
        </w:tcBorders>
        <w:shd w:val="clear" w:color="auto" w:fill="616165" w:themeFill="accent5" w:themeFillShade="BF"/>
      </w:tcPr>
    </w:tblStylePr>
    <w:tblStylePr w:type="band1Horz">
      <w:tblPr/>
      <w:tcPr>
        <w:tcBorders>
          <w:top w:val="nil"/>
          <w:left w:val="nil"/>
          <w:bottom w:val="nil"/>
          <w:right w:val="nil"/>
          <w:insideH w:val="nil"/>
          <w:insideV w:val="nil"/>
        </w:tcBorders>
        <w:shd w:val="clear" w:color="auto" w:fill="616165"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5661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2C2C2C" w:themeFill="text1"/>
      </w:tcPr>
    </w:tblStylePr>
    <w:tblStylePr w:type="lastRow">
      <w:tblPr/>
      <w:tcPr>
        <w:tcBorders>
          <w:top w:val="single" w:sz="18" w:space="0" w:color="FFFFFF" w:themeColor="background1"/>
          <w:left w:val="nil"/>
          <w:bottom w:val="nil"/>
          <w:right w:val="nil"/>
          <w:insideH w:val="nil"/>
          <w:insideV w:val="nil"/>
        </w:tcBorders>
        <w:shd w:val="clear" w:color="auto" w:fill="7F3005"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C04908"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C04908" w:themeFill="accent6" w:themeFillShade="BF"/>
      </w:tcPr>
    </w:tblStylePr>
    <w:tblStylePr w:type="band1Vert">
      <w:tblPr/>
      <w:tcPr>
        <w:tcBorders>
          <w:top w:val="nil"/>
          <w:left w:val="nil"/>
          <w:bottom w:val="nil"/>
          <w:right w:val="nil"/>
          <w:insideH w:val="nil"/>
          <w:insideV w:val="nil"/>
        </w:tcBorders>
        <w:shd w:val="clear" w:color="auto" w:fill="C04908" w:themeFill="accent6" w:themeFillShade="BF"/>
      </w:tcPr>
    </w:tblStylePr>
    <w:tblStylePr w:type="band1Horz">
      <w:tblPr/>
      <w:tcPr>
        <w:tcBorders>
          <w:top w:val="nil"/>
          <w:left w:val="nil"/>
          <w:bottom w:val="nil"/>
          <w:right w:val="nil"/>
          <w:insideH w:val="nil"/>
          <w:insideV w:val="nil"/>
        </w:tcBorders>
        <w:shd w:val="clear" w:color="auto" w:fill="C04908" w:themeFill="accent6" w:themeFillShade="BF"/>
      </w:tcPr>
    </w:tblStylePr>
  </w:style>
  <w:style w:type="table" w:styleId="ColorfulShading">
    <w:name w:val="Colorful Shading"/>
    <w:basedOn w:val="TableNormal"/>
    <w:uiPriority w:val="71"/>
    <w:rsid w:val="00CB0664"/>
    <w:pPr>
      <w:spacing w:after="0" w:line="240" w:lineRule="auto"/>
    </w:pPr>
    <w:rPr>
      <w:color w:val="2C2C2C" w:themeColor="text1"/>
    </w:rPr>
    <w:tblPr>
      <w:tblStyleRowBandSize w:val="1"/>
      <w:tblStyleColBandSize w:val="1"/>
      <w:tblBorders>
        <w:top w:val="single" w:sz="24" w:space="0" w:color="A5D028" w:themeColor="accent2"/>
        <w:left w:val="single" w:sz="4" w:space="0" w:color="2C2C2C" w:themeColor="text1"/>
        <w:bottom w:val="single" w:sz="4" w:space="0" w:color="2C2C2C" w:themeColor="text1"/>
        <w:right w:val="single" w:sz="4" w:space="0" w:color="2C2C2C" w:themeColor="text1"/>
        <w:insideH w:val="single" w:sz="4" w:space="0" w:color="FFFFFF" w:themeColor="background1"/>
        <w:insideV w:val="single" w:sz="4" w:space="0" w:color="FFFFFF" w:themeColor="background1"/>
      </w:tblBorders>
    </w:tblPr>
    <w:tcPr>
      <w:shd w:val="clear" w:color="auto" w:fill="EAEAEA" w:themeFill="text1" w:themeFillTint="19"/>
    </w:tcPr>
    <w:tblStylePr w:type="firstRow">
      <w:rPr>
        <w:b/>
        <w:bCs/>
      </w:rPr>
      <w:tblPr/>
      <w:tcPr>
        <w:tcBorders>
          <w:top w:val="nil"/>
          <w:left w:val="nil"/>
          <w:bottom w:val="single" w:sz="24" w:space="0" w:color="A5D02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A1A1A" w:themeFill="text1" w:themeFillShade="99"/>
      </w:tcPr>
    </w:tblStylePr>
    <w:tblStylePr w:type="firstCol">
      <w:rPr>
        <w:color w:val="FFFFFF" w:themeColor="background1"/>
      </w:rPr>
      <w:tblPr/>
      <w:tcPr>
        <w:tcBorders>
          <w:top w:val="nil"/>
          <w:left w:val="nil"/>
          <w:bottom w:val="nil"/>
          <w:right w:val="nil"/>
          <w:insideH w:val="single" w:sz="4" w:space="0" w:color="1A1A1A" w:themeColor="text1" w:themeShade="99"/>
          <w:insideV w:val="nil"/>
        </w:tcBorders>
        <w:shd w:val="clear" w:color="auto" w:fill="1A1A1A"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202020" w:themeFill="text1" w:themeFillShade="BF"/>
      </w:tcPr>
    </w:tblStylePr>
    <w:tblStylePr w:type="band1Vert">
      <w:tblPr/>
      <w:tcPr>
        <w:shd w:val="clear" w:color="auto" w:fill="AAAAAA" w:themeFill="text1" w:themeFillTint="66"/>
      </w:tcPr>
    </w:tblStylePr>
    <w:tblStylePr w:type="band1Horz">
      <w:tblPr/>
      <w:tcPr>
        <w:shd w:val="clear" w:color="auto" w:fill="959595" w:themeFill="text1" w:themeFillTint="7F"/>
      </w:tcPr>
    </w:tblStylePr>
    <w:tblStylePr w:type="neCell">
      <w:rPr>
        <w:color w:val="2C2C2C" w:themeColor="text1"/>
      </w:rPr>
    </w:tblStylePr>
    <w:tblStylePr w:type="nwCell">
      <w:rPr>
        <w:color w:val="2C2C2C" w:themeColor="text1"/>
      </w:rPr>
    </w:tblStylePr>
  </w:style>
  <w:style w:type="table" w:styleId="ColorfulShading-Accent1">
    <w:name w:val="Colorful Shading Accent 1"/>
    <w:basedOn w:val="TableNormal"/>
    <w:uiPriority w:val="71"/>
    <w:rsid w:val="00CB0664"/>
    <w:pPr>
      <w:spacing w:after="0" w:line="240" w:lineRule="auto"/>
    </w:pPr>
    <w:rPr>
      <w:color w:val="2C2C2C" w:themeColor="text1"/>
    </w:rPr>
    <w:tblPr>
      <w:tblStyleRowBandSize w:val="1"/>
      <w:tblStyleColBandSize w:val="1"/>
      <w:tblBorders>
        <w:top w:val="single" w:sz="24" w:space="0" w:color="A5D028" w:themeColor="accent2"/>
        <w:left w:val="single" w:sz="4" w:space="0" w:color="FFC000" w:themeColor="accent1"/>
        <w:bottom w:val="single" w:sz="4" w:space="0" w:color="FFC000" w:themeColor="accent1"/>
        <w:right w:val="single" w:sz="4" w:space="0" w:color="FFC000" w:themeColor="accent1"/>
        <w:insideH w:val="single" w:sz="4" w:space="0" w:color="FFFFFF" w:themeColor="background1"/>
        <w:insideV w:val="single" w:sz="4" w:space="0" w:color="FFFFFF" w:themeColor="background1"/>
      </w:tblBorders>
    </w:tblPr>
    <w:tcPr>
      <w:shd w:val="clear" w:color="auto" w:fill="FFF8E6" w:themeFill="accent1" w:themeFillTint="19"/>
    </w:tcPr>
    <w:tblStylePr w:type="firstRow">
      <w:rPr>
        <w:b/>
        <w:bCs/>
      </w:rPr>
      <w:tblPr/>
      <w:tcPr>
        <w:tcBorders>
          <w:top w:val="nil"/>
          <w:left w:val="nil"/>
          <w:bottom w:val="single" w:sz="24" w:space="0" w:color="A5D02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300" w:themeFill="accent1" w:themeFillShade="99"/>
      </w:tcPr>
    </w:tblStylePr>
    <w:tblStylePr w:type="firstCol">
      <w:rPr>
        <w:color w:val="FFFFFF" w:themeColor="background1"/>
      </w:rPr>
      <w:tblPr/>
      <w:tcPr>
        <w:tcBorders>
          <w:top w:val="nil"/>
          <w:left w:val="nil"/>
          <w:bottom w:val="nil"/>
          <w:right w:val="nil"/>
          <w:insideH w:val="single" w:sz="4" w:space="0" w:color="997300" w:themeColor="accent1" w:themeShade="99"/>
          <w:insideV w:val="nil"/>
        </w:tcBorders>
        <w:shd w:val="clear" w:color="auto" w:fill="997300"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1" w:themeFillShade="99"/>
      </w:tcPr>
    </w:tblStylePr>
    <w:tblStylePr w:type="band1Vert">
      <w:tblPr/>
      <w:tcPr>
        <w:shd w:val="clear" w:color="auto" w:fill="FFE599" w:themeFill="accent1" w:themeFillTint="66"/>
      </w:tcPr>
    </w:tblStylePr>
    <w:tblStylePr w:type="band1Horz">
      <w:tblPr/>
      <w:tcPr>
        <w:shd w:val="clear" w:color="auto" w:fill="FFDF80" w:themeFill="accent1" w:themeFillTint="7F"/>
      </w:tcPr>
    </w:tblStylePr>
    <w:tblStylePr w:type="neCell">
      <w:rPr>
        <w:color w:val="2C2C2C" w:themeColor="text1"/>
      </w:rPr>
    </w:tblStylePr>
    <w:tblStylePr w:type="nwCell">
      <w:rPr>
        <w:color w:val="2C2C2C" w:themeColor="text1"/>
      </w:rPr>
    </w:tblStylePr>
  </w:style>
  <w:style w:type="table" w:styleId="ColorfulShading-Accent2">
    <w:name w:val="Colorful Shading Accent 2"/>
    <w:basedOn w:val="TableNormal"/>
    <w:uiPriority w:val="71"/>
    <w:rsid w:val="00CB0664"/>
    <w:pPr>
      <w:spacing w:after="0" w:line="240" w:lineRule="auto"/>
    </w:pPr>
    <w:rPr>
      <w:color w:val="2C2C2C" w:themeColor="text1"/>
    </w:rPr>
    <w:tblPr>
      <w:tblStyleRowBandSize w:val="1"/>
      <w:tblStyleColBandSize w:val="1"/>
      <w:tblBorders>
        <w:top w:val="single" w:sz="24" w:space="0" w:color="A5D028" w:themeColor="accent2"/>
        <w:left w:val="single" w:sz="4" w:space="0" w:color="A5D028" w:themeColor="accent2"/>
        <w:bottom w:val="single" w:sz="4" w:space="0" w:color="A5D028" w:themeColor="accent2"/>
        <w:right w:val="single" w:sz="4" w:space="0" w:color="A5D028" w:themeColor="accent2"/>
        <w:insideH w:val="single" w:sz="4" w:space="0" w:color="FFFFFF" w:themeColor="background1"/>
        <w:insideV w:val="single" w:sz="4" w:space="0" w:color="FFFFFF" w:themeColor="background1"/>
      </w:tblBorders>
    </w:tblPr>
    <w:tcPr>
      <w:shd w:val="clear" w:color="auto" w:fill="F6FAE9" w:themeFill="accent2" w:themeFillTint="19"/>
    </w:tcPr>
    <w:tblStylePr w:type="firstRow">
      <w:rPr>
        <w:b/>
        <w:bCs/>
      </w:rPr>
      <w:tblPr/>
      <w:tcPr>
        <w:tcBorders>
          <w:top w:val="nil"/>
          <w:left w:val="nil"/>
          <w:bottom w:val="single" w:sz="24" w:space="0" w:color="A5D02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27C18" w:themeFill="accent2" w:themeFillShade="99"/>
      </w:tcPr>
    </w:tblStylePr>
    <w:tblStylePr w:type="firstCol">
      <w:rPr>
        <w:color w:val="FFFFFF" w:themeColor="background1"/>
      </w:rPr>
      <w:tblPr/>
      <w:tcPr>
        <w:tcBorders>
          <w:top w:val="nil"/>
          <w:left w:val="nil"/>
          <w:bottom w:val="nil"/>
          <w:right w:val="nil"/>
          <w:insideH w:val="single" w:sz="4" w:space="0" w:color="627C18" w:themeColor="accent2" w:themeShade="99"/>
          <w:insideV w:val="nil"/>
        </w:tcBorders>
        <w:shd w:val="clear" w:color="auto" w:fill="627C18"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627C18" w:themeFill="accent2" w:themeFillShade="99"/>
      </w:tcPr>
    </w:tblStylePr>
    <w:tblStylePr w:type="band1Vert">
      <w:tblPr/>
      <w:tcPr>
        <w:shd w:val="clear" w:color="auto" w:fill="DBEEA6" w:themeFill="accent2" w:themeFillTint="66"/>
      </w:tcPr>
    </w:tblStylePr>
    <w:tblStylePr w:type="band1Horz">
      <w:tblPr/>
      <w:tcPr>
        <w:shd w:val="clear" w:color="auto" w:fill="D3EA91" w:themeFill="accent2" w:themeFillTint="7F"/>
      </w:tcPr>
    </w:tblStylePr>
    <w:tblStylePr w:type="neCell">
      <w:rPr>
        <w:color w:val="2C2C2C" w:themeColor="text1"/>
      </w:rPr>
    </w:tblStylePr>
    <w:tblStylePr w:type="nwCell">
      <w:rPr>
        <w:color w:val="2C2C2C" w:themeColor="text1"/>
      </w:rPr>
    </w:tblStylePr>
  </w:style>
  <w:style w:type="table" w:styleId="ColorfulShading-Accent3">
    <w:name w:val="Colorful Shading Accent 3"/>
    <w:basedOn w:val="TableNormal"/>
    <w:uiPriority w:val="71"/>
    <w:rsid w:val="00CB0664"/>
    <w:pPr>
      <w:spacing w:after="0" w:line="240" w:lineRule="auto"/>
    </w:pPr>
    <w:rPr>
      <w:color w:val="2C2C2C" w:themeColor="text1"/>
    </w:rPr>
    <w:tblPr>
      <w:tblStyleRowBandSize w:val="1"/>
      <w:tblStyleColBandSize w:val="1"/>
      <w:tblBorders>
        <w:top w:val="single" w:sz="24" w:space="0" w:color="F24099" w:themeColor="accent4"/>
        <w:left w:val="single" w:sz="4" w:space="0" w:color="08CC78" w:themeColor="accent3"/>
        <w:bottom w:val="single" w:sz="4" w:space="0" w:color="08CC78" w:themeColor="accent3"/>
        <w:right w:val="single" w:sz="4" w:space="0" w:color="08CC78" w:themeColor="accent3"/>
        <w:insideH w:val="single" w:sz="4" w:space="0" w:color="FFFFFF" w:themeColor="background1"/>
        <w:insideV w:val="single" w:sz="4" w:space="0" w:color="FFFFFF" w:themeColor="background1"/>
      </w:tblBorders>
    </w:tblPr>
    <w:tcPr>
      <w:shd w:val="clear" w:color="auto" w:fill="E2FEF2" w:themeFill="accent3" w:themeFillTint="19"/>
    </w:tcPr>
    <w:tblStylePr w:type="firstRow">
      <w:rPr>
        <w:b/>
        <w:bCs/>
      </w:rPr>
      <w:tblPr/>
      <w:tcPr>
        <w:tcBorders>
          <w:top w:val="nil"/>
          <w:left w:val="nil"/>
          <w:bottom w:val="single" w:sz="24" w:space="0" w:color="F24099"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47A47" w:themeFill="accent3" w:themeFillShade="99"/>
      </w:tcPr>
    </w:tblStylePr>
    <w:tblStylePr w:type="firstCol">
      <w:rPr>
        <w:color w:val="FFFFFF" w:themeColor="background1"/>
      </w:rPr>
      <w:tblPr/>
      <w:tcPr>
        <w:tcBorders>
          <w:top w:val="nil"/>
          <w:left w:val="nil"/>
          <w:bottom w:val="nil"/>
          <w:right w:val="nil"/>
          <w:insideH w:val="single" w:sz="4" w:space="0" w:color="047A47" w:themeColor="accent3" w:themeShade="99"/>
          <w:insideV w:val="nil"/>
        </w:tcBorders>
        <w:shd w:val="clear" w:color="auto" w:fill="047A47"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47A47" w:themeFill="accent3" w:themeFillShade="99"/>
      </w:tcPr>
    </w:tblStylePr>
    <w:tblStylePr w:type="band1Vert">
      <w:tblPr/>
      <w:tcPr>
        <w:shd w:val="clear" w:color="auto" w:fill="8CFACA" w:themeFill="accent3" w:themeFillTint="66"/>
      </w:tcPr>
    </w:tblStylePr>
    <w:tblStylePr w:type="band1Horz">
      <w:tblPr/>
      <w:tcPr>
        <w:shd w:val="clear" w:color="auto" w:fill="6FF9BE" w:themeFill="accent3" w:themeFillTint="7F"/>
      </w:tcPr>
    </w:tblStylePr>
  </w:style>
  <w:style w:type="table" w:styleId="ColorfulShading-Accent4">
    <w:name w:val="Colorful Shading Accent 4"/>
    <w:basedOn w:val="TableNormal"/>
    <w:uiPriority w:val="71"/>
    <w:rsid w:val="00CB0664"/>
    <w:pPr>
      <w:spacing w:after="0" w:line="240" w:lineRule="auto"/>
    </w:pPr>
    <w:rPr>
      <w:color w:val="2C2C2C" w:themeColor="text1"/>
    </w:rPr>
    <w:tblPr>
      <w:tblStyleRowBandSize w:val="1"/>
      <w:tblStyleColBandSize w:val="1"/>
      <w:tblBorders>
        <w:top w:val="single" w:sz="24" w:space="0" w:color="08CC78" w:themeColor="accent3"/>
        <w:left w:val="single" w:sz="4" w:space="0" w:color="F24099" w:themeColor="accent4"/>
        <w:bottom w:val="single" w:sz="4" w:space="0" w:color="F24099" w:themeColor="accent4"/>
        <w:right w:val="single" w:sz="4" w:space="0" w:color="F24099" w:themeColor="accent4"/>
        <w:insideH w:val="single" w:sz="4" w:space="0" w:color="FFFFFF" w:themeColor="background1"/>
        <w:insideV w:val="single" w:sz="4" w:space="0" w:color="FFFFFF" w:themeColor="background1"/>
      </w:tblBorders>
    </w:tblPr>
    <w:tcPr>
      <w:shd w:val="clear" w:color="auto" w:fill="FDECF4" w:themeFill="accent4" w:themeFillTint="19"/>
    </w:tcPr>
    <w:tblStylePr w:type="firstRow">
      <w:rPr>
        <w:b/>
        <w:bCs/>
      </w:rPr>
      <w:tblPr/>
      <w:tcPr>
        <w:tcBorders>
          <w:top w:val="nil"/>
          <w:left w:val="nil"/>
          <w:bottom w:val="single" w:sz="24" w:space="0" w:color="08CC78"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AB0B5B" w:themeFill="accent4" w:themeFillShade="99"/>
      </w:tcPr>
    </w:tblStylePr>
    <w:tblStylePr w:type="firstCol">
      <w:rPr>
        <w:color w:val="FFFFFF" w:themeColor="background1"/>
      </w:rPr>
      <w:tblPr/>
      <w:tcPr>
        <w:tcBorders>
          <w:top w:val="nil"/>
          <w:left w:val="nil"/>
          <w:bottom w:val="nil"/>
          <w:right w:val="nil"/>
          <w:insideH w:val="single" w:sz="4" w:space="0" w:color="AB0B5B" w:themeColor="accent4" w:themeShade="99"/>
          <w:insideV w:val="nil"/>
        </w:tcBorders>
        <w:shd w:val="clear" w:color="auto" w:fill="AB0B5B"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AB0B5B" w:themeFill="accent4" w:themeFillShade="99"/>
      </w:tcPr>
    </w:tblStylePr>
    <w:tblStylePr w:type="band1Vert">
      <w:tblPr/>
      <w:tcPr>
        <w:shd w:val="clear" w:color="auto" w:fill="F9B2D6" w:themeFill="accent4" w:themeFillTint="66"/>
      </w:tcPr>
    </w:tblStylePr>
    <w:tblStylePr w:type="band1Horz">
      <w:tblPr/>
      <w:tcPr>
        <w:shd w:val="clear" w:color="auto" w:fill="F89FCB" w:themeFill="accent4" w:themeFillTint="7F"/>
      </w:tcPr>
    </w:tblStylePr>
    <w:tblStylePr w:type="neCell">
      <w:rPr>
        <w:color w:val="2C2C2C" w:themeColor="text1"/>
      </w:rPr>
    </w:tblStylePr>
    <w:tblStylePr w:type="nwCell">
      <w:rPr>
        <w:color w:val="2C2C2C" w:themeColor="text1"/>
      </w:rPr>
    </w:tblStylePr>
  </w:style>
  <w:style w:type="table" w:styleId="ColorfulShading-Accent5">
    <w:name w:val="Colorful Shading Accent 5"/>
    <w:basedOn w:val="TableNormal"/>
    <w:uiPriority w:val="71"/>
    <w:rsid w:val="00CB0664"/>
    <w:pPr>
      <w:spacing w:after="0" w:line="240" w:lineRule="auto"/>
    </w:pPr>
    <w:rPr>
      <w:color w:val="2C2C2C" w:themeColor="text1"/>
    </w:rPr>
    <w:tblPr>
      <w:tblStyleRowBandSize w:val="1"/>
      <w:tblStyleColBandSize w:val="1"/>
      <w:tblBorders>
        <w:top w:val="single" w:sz="24" w:space="0" w:color="F56617" w:themeColor="accent6"/>
        <w:left w:val="single" w:sz="4" w:space="0" w:color="828288" w:themeColor="accent5"/>
        <w:bottom w:val="single" w:sz="4" w:space="0" w:color="828288" w:themeColor="accent5"/>
        <w:right w:val="single" w:sz="4" w:space="0" w:color="828288" w:themeColor="accent5"/>
        <w:insideH w:val="single" w:sz="4" w:space="0" w:color="FFFFFF" w:themeColor="background1"/>
        <w:insideV w:val="single" w:sz="4" w:space="0" w:color="FFFFFF" w:themeColor="background1"/>
      </w:tblBorders>
    </w:tblPr>
    <w:tcPr>
      <w:shd w:val="clear" w:color="auto" w:fill="F2F2F3" w:themeFill="accent5" w:themeFillTint="19"/>
    </w:tcPr>
    <w:tblStylePr w:type="firstRow">
      <w:rPr>
        <w:b/>
        <w:bCs/>
      </w:rPr>
      <w:tblPr/>
      <w:tcPr>
        <w:tcBorders>
          <w:top w:val="nil"/>
          <w:left w:val="nil"/>
          <w:bottom w:val="single" w:sz="24" w:space="0" w:color="F5661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D4D51" w:themeFill="accent5" w:themeFillShade="99"/>
      </w:tcPr>
    </w:tblStylePr>
    <w:tblStylePr w:type="firstCol">
      <w:rPr>
        <w:color w:val="FFFFFF" w:themeColor="background1"/>
      </w:rPr>
      <w:tblPr/>
      <w:tcPr>
        <w:tcBorders>
          <w:top w:val="nil"/>
          <w:left w:val="nil"/>
          <w:bottom w:val="nil"/>
          <w:right w:val="nil"/>
          <w:insideH w:val="single" w:sz="4" w:space="0" w:color="4D4D51" w:themeColor="accent5" w:themeShade="99"/>
          <w:insideV w:val="nil"/>
        </w:tcBorders>
        <w:shd w:val="clear" w:color="auto" w:fill="4D4D51"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4D4D51" w:themeFill="accent5" w:themeFillShade="99"/>
      </w:tcPr>
    </w:tblStylePr>
    <w:tblStylePr w:type="band1Vert">
      <w:tblPr/>
      <w:tcPr>
        <w:shd w:val="clear" w:color="auto" w:fill="CCCCCF" w:themeFill="accent5" w:themeFillTint="66"/>
      </w:tcPr>
    </w:tblStylePr>
    <w:tblStylePr w:type="band1Horz">
      <w:tblPr/>
      <w:tcPr>
        <w:shd w:val="clear" w:color="auto" w:fill="C0C0C3" w:themeFill="accent5" w:themeFillTint="7F"/>
      </w:tcPr>
    </w:tblStylePr>
    <w:tblStylePr w:type="neCell">
      <w:rPr>
        <w:color w:val="2C2C2C" w:themeColor="text1"/>
      </w:rPr>
    </w:tblStylePr>
    <w:tblStylePr w:type="nwCell">
      <w:rPr>
        <w:color w:val="2C2C2C" w:themeColor="text1"/>
      </w:rPr>
    </w:tblStylePr>
  </w:style>
  <w:style w:type="table" w:styleId="ColorfulShading-Accent6">
    <w:name w:val="Colorful Shading Accent 6"/>
    <w:basedOn w:val="TableNormal"/>
    <w:uiPriority w:val="71"/>
    <w:rsid w:val="00CB0664"/>
    <w:pPr>
      <w:spacing w:after="0" w:line="240" w:lineRule="auto"/>
    </w:pPr>
    <w:rPr>
      <w:color w:val="2C2C2C" w:themeColor="text1"/>
    </w:rPr>
    <w:tblPr>
      <w:tblStyleRowBandSize w:val="1"/>
      <w:tblStyleColBandSize w:val="1"/>
      <w:tblBorders>
        <w:top w:val="single" w:sz="24" w:space="0" w:color="828288" w:themeColor="accent5"/>
        <w:left w:val="single" w:sz="4" w:space="0" w:color="F56617" w:themeColor="accent6"/>
        <w:bottom w:val="single" w:sz="4" w:space="0" w:color="F56617" w:themeColor="accent6"/>
        <w:right w:val="single" w:sz="4" w:space="0" w:color="F56617" w:themeColor="accent6"/>
        <w:insideH w:val="single" w:sz="4" w:space="0" w:color="FFFFFF" w:themeColor="background1"/>
        <w:insideV w:val="single" w:sz="4" w:space="0" w:color="FFFFFF" w:themeColor="background1"/>
      </w:tblBorders>
    </w:tblPr>
    <w:tcPr>
      <w:shd w:val="clear" w:color="auto" w:fill="FEEFE7" w:themeFill="accent6" w:themeFillTint="19"/>
    </w:tcPr>
    <w:tblStylePr w:type="firstRow">
      <w:rPr>
        <w:b/>
        <w:bCs/>
      </w:rPr>
      <w:tblPr/>
      <w:tcPr>
        <w:tcBorders>
          <w:top w:val="nil"/>
          <w:left w:val="nil"/>
          <w:bottom w:val="single" w:sz="24" w:space="0" w:color="828288"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3A06" w:themeFill="accent6" w:themeFillShade="99"/>
      </w:tcPr>
    </w:tblStylePr>
    <w:tblStylePr w:type="firstCol">
      <w:rPr>
        <w:color w:val="FFFFFF" w:themeColor="background1"/>
      </w:rPr>
      <w:tblPr/>
      <w:tcPr>
        <w:tcBorders>
          <w:top w:val="nil"/>
          <w:left w:val="nil"/>
          <w:bottom w:val="nil"/>
          <w:right w:val="nil"/>
          <w:insideH w:val="single" w:sz="4" w:space="0" w:color="993A06" w:themeColor="accent6" w:themeShade="99"/>
          <w:insideV w:val="nil"/>
        </w:tcBorders>
        <w:shd w:val="clear" w:color="auto" w:fill="993A06"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3A06" w:themeFill="accent6" w:themeFillShade="99"/>
      </w:tcPr>
    </w:tblStylePr>
    <w:tblStylePr w:type="band1Vert">
      <w:tblPr/>
      <w:tcPr>
        <w:shd w:val="clear" w:color="auto" w:fill="FBC1A2" w:themeFill="accent6" w:themeFillTint="66"/>
      </w:tcPr>
    </w:tblStylePr>
    <w:tblStylePr w:type="band1Horz">
      <w:tblPr/>
      <w:tcPr>
        <w:shd w:val="clear" w:color="auto" w:fill="FAB28B" w:themeFill="accent6" w:themeFillTint="7F"/>
      </w:tcPr>
    </w:tblStylePr>
    <w:tblStylePr w:type="neCell">
      <w:rPr>
        <w:color w:val="2C2C2C" w:themeColor="text1"/>
      </w:rPr>
    </w:tblStylePr>
    <w:tblStylePr w:type="nwCell">
      <w:rPr>
        <w:color w:val="2C2C2C" w:themeColor="text1"/>
      </w:rPr>
    </w:tblStylePr>
  </w:style>
  <w:style w:type="table" w:styleId="ColorfulList">
    <w:name w:val="Colorful List"/>
    <w:basedOn w:val="TableNormal"/>
    <w:uiPriority w:val="72"/>
    <w:rsid w:val="00CB0664"/>
    <w:pPr>
      <w:spacing w:after="0" w:line="240" w:lineRule="auto"/>
    </w:pPr>
    <w:rPr>
      <w:color w:val="2C2C2C" w:themeColor="text1"/>
    </w:rPr>
    <w:tblPr>
      <w:tblStyleRowBandSize w:val="1"/>
      <w:tblStyleColBandSize w:val="1"/>
    </w:tblPr>
    <w:tcPr>
      <w:shd w:val="clear" w:color="auto" w:fill="EAEAEA" w:themeFill="text1" w:themeFillTint="19"/>
    </w:tcPr>
    <w:tblStylePr w:type="firstRow">
      <w:rPr>
        <w:b/>
        <w:bCs/>
        <w:color w:val="FFFFFF" w:themeColor="background1"/>
      </w:rPr>
      <w:tblPr/>
      <w:tcPr>
        <w:tcBorders>
          <w:bottom w:val="single" w:sz="12" w:space="0" w:color="FFFFFF" w:themeColor="background1"/>
        </w:tcBorders>
        <w:shd w:val="clear" w:color="auto" w:fill="83A620" w:themeFill="accent2" w:themeFillShade="CC"/>
      </w:tcPr>
    </w:tblStylePr>
    <w:tblStylePr w:type="lastRow">
      <w:rPr>
        <w:b/>
        <w:bCs/>
        <w:color w:val="83A620" w:themeColor="accent2" w:themeShade="CC"/>
      </w:rPr>
      <w:tblPr/>
      <w:tcPr>
        <w:tcBorders>
          <w:top w:val="single" w:sz="12" w:space="0" w:color="2C2C2C"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ACACA" w:themeFill="text1" w:themeFillTint="3F"/>
      </w:tcPr>
    </w:tblStylePr>
    <w:tblStylePr w:type="band1Horz">
      <w:tblPr/>
      <w:tcPr>
        <w:shd w:val="clear" w:color="auto" w:fill="D4D4D4" w:themeFill="text1" w:themeFillTint="33"/>
      </w:tcPr>
    </w:tblStylePr>
  </w:style>
  <w:style w:type="table" w:styleId="ColorfulList-Accent1">
    <w:name w:val="Colorful List Accent 1"/>
    <w:basedOn w:val="TableNormal"/>
    <w:uiPriority w:val="72"/>
    <w:rsid w:val="00CB0664"/>
    <w:pPr>
      <w:spacing w:after="0" w:line="240" w:lineRule="auto"/>
    </w:pPr>
    <w:rPr>
      <w:color w:val="2C2C2C" w:themeColor="text1"/>
    </w:rPr>
    <w:tblPr>
      <w:tblStyleRowBandSize w:val="1"/>
      <w:tblStyleColBandSize w:val="1"/>
    </w:tblPr>
    <w:tcPr>
      <w:shd w:val="clear" w:color="auto" w:fill="FFF8E6" w:themeFill="accent1" w:themeFillTint="19"/>
    </w:tcPr>
    <w:tblStylePr w:type="firstRow">
      <w:rPr>
        <w:b/>
        <w:bCs/>
        <w:color w:val="FFFFFF" w:themeColor="background1"/>
      </w:rPr>
      <w:tblPr/>
      <w:tcPr>
        <w:tcBorders>
          <w:bottom w:val="single" w:sz="12" w:space="0" w:color="FFFFFF" w:themeColor="background1"/>
        </w:tcBorders>
        <w:shd w:val="clear" w:color="auto" w:fill="83A620" w:themeFill="accent2" w:themeFillShade="CC"/>
      </w:tcPr>
    </w:tblStylePr>
    <w:tblStylePr w:type="lastRow">
      <w:rPr>
        <w:b/>
        <w:bCs/>
        <w:color w:val="83A620" w:themeColor="accent2" w:themeShade="CC"/>
      </w:rPr>
      <w:tblPr/>
      <w:tcPr>
        <w:tcBorders>
          <w:top w:val="single" w:sz="12" w:space="0" w:color="2C2C2C"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1" w:themeFillTint="3F"/>
      </w:tcPr>
    </w:tblStylePr>
    <w:tblStylePr w:type="band1Horz">
      <w:tblPr/>
      <w:tcPr>
        <w:shd w:val="clear" w:color="auto" w:fill="FFF2CC" w:themeFill="accent1" w:themeFillTint="33"/>
      </w:tcPr>
    </w:tblStylePr>
  </w:style>
  <w:style w:type="table" w:styleId="ColorfulList-Accent2">
    <w:name w:val="Colorful List Accent 2"/>
    <w:basedOn w:val="TableNormal"/>
    <w:uiPriority w:val="72"/>
    <w:rsid w:val="00CB0664"/>
    <w:pPr>
      <w:spacing w:after="0" w:line="240" w:lineRule="auto"/>
    </w:pPr>
    <w:rPr>
      <w:color w:val="2C2C2C" w:themeColor="text1"/>
    </w:rPr>
    <w:tblPr>
      <w:tblStyleRowBandSize w:val="1"/>
      <w:tblStyleColBandSize w:val="1"/>
    </w:tblPr>
    <w:tcPr>
      <w:shd w:val="clear" w:color="auto" w:fill="F6FAE9" w:themeFill="accent2" w:themeFillTint="19"/>
    </w:tcPr>
    <w:tblStylePr w:type="firstRow">
      <w:rPr>
        <w:b/>
        <w:bCs/>
        <w:color w:val="FFFFFF" w:themeColor="background1"/>
      </w:rPr>
      <w:tblPr/>
      <w:tcPr>
        <w:tcBorders>
          <w:bottom w:val="single" w:sz="12" w:space="0" w:color="FFFFFF" w:themeColor="background1"/>
        </w:tcBorders>
        <w:shd w:val="clear" w:color="auto" w:fill="83A620" w:themeFill="accent2" w:themeFillShade="CC"/>
      </w:tcPr>
    </w:tblStylePr>
    <w:tblStylePr w:type="lastRow">
      <w:rPr>
        <w:b/>
        <w:bCs/>
        <w:color w:val="83A620" w:themeColor="accent2" w:themeShade="CC"/>
      </w:rPr>
      <w:tblPr/>
      <w:tcPr>
        <w:tcBorders>
          <w:top w:val="single" w:sz="12" w:space="0" w:color="2C2C2C"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9F4C8" w:themeFill="accent2" w:themeFillTint="3F"/>
      </w:tcPr>
    </w:tblStylePr>
    <w:tblStylePr w:type="band1Horz">
      <w:tblPr/>
      <w:tcPr>
        <w:shd w:val="clear" w:color="auto" w:fill="EDF6D2" w:themeFill="accent2" w:themeFillTint="33"/>
      </w:tcPr>
    </w:tblStylePr>
  </w:style>
  <w:style w:type="table" w:styleId="ColorfulList-Accent3">
    <w:name w:val="Colorful List Accent 3"/>
    <w:basedOn w:val="TableNormal"/>
    <w:uiPriority w:val="72"/>
    <w:rsid w:val="00CB0664"/>
    <w:pPr>
      <w:spacing w:after="0" w:line="240" w:lineRule="auto"/>
    </w:pPr>
    <w:rPr>
      <w:color w:val="2C2C2C" w:themeColor="text1"/>
    </w:rPr>
    <w:tblPr>
      <w:tblStyleRowBandSize w:val="1"/>
      <w:tblStyleColBandSize w:val="1"/>
    </w:tblPr>
    <w:tcPr>
      <w:shd w:val="clear" w:color="auto" w:fill="E2FEF2" w:themeFill="accent3" w:themeFillTint="19"/>
    </w:tcPr>
    <w:tblStylePr w:type="firstRow">
      <w:rPr>
        <w:b/>
        <w:bCs/>
        <w:color w:val="FFFFFF" w:themeColor="background1"/>
      </w:rPr>
      <w:tblPr/>
      <w:tcPr>
        <w:tcBorders>
          <w:bottom w:val="single" w:sz="12" w:space="0" w:color="FFFFFF" w:themeColor="background1"/>
        </w:tcBorders>
        <w:shd w:val="clear" w:color="auto" w:fill="E50F79" w:themeFill="accent4" w:themeFillShade="CC"/>
      </w:tcPr>
    </w:tblStylePr>
    <w:tblStylePr w:type="lastRow">
      <w:rPr>
        <w:b/>
        <w:bCs/>
        <w:color w:val="E50F79" w:themeColor="accent4" w:themeShade="CC"/>
      </w:rPr>
      <w:tblPr/>
      <w:tcPr>
        <w:tcBorders>
          <w:top w:val="single" w:sz="12" w:space="0" w:color="2C2C2C"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FCDE" w:themeFill="accent3" w:themeFillTint="3F"/>
      </w:tcPr>
    </w:tblStylePr>
    <w:tblStylePr w:type="band1Horz">
      <w:tblPr/>
      <w:tcPr>
        <w:shd w:val="clear" w:color="auto" w:fill="C5FCE4" w:themeFill="accent3" w:themeFillTint="33"/>
      </w:tcPr>
    </w:tblStylePr>
  </w:style>
  <w:style w:type="table" w:styleId="ColorfulList-Accent4">
    <w:name w:val="Colorful List Accent 4"/>
    <w:basedOn w:val="TableNormal"/>
    <w:uiPriority w:val="72"/>
    <w:rsid w:val="00CB0664"/>
    <w:pPr>
      <w:spacing w:after="0" w:line="240" w:lineRule="auto"/>
    </w:pPr>
    <w:rPr>
      <w:color w:val="2C2C2C" w:themeColor="text1"/>
    </w:rPr>
    <w:tblPr>
      <w:tblStyleRowBandSize w:val="1"/>
      <w:tblStyleColBandSize w:val="1"/>
    </w:tblPr>
    <w:tcPr>
      <w:shd w:val="clear" w:color="auto" w:fill="FDECF4" w:themeFill="accent4" w:themeFillTint="19"/>
    </w:tcPr>
    <w:tblStylePr w:type="firstRow">
      <w:rPr>
        <w:b/>
        <w:bCs/>
        <w:color w:val="FFFFFF" w:themeColor="background1"/>
      </w:rPr>
      <w:tblPr/>
      <w:tcPr>
        <w:tcBorders>
          <w:bottom w:val="single" w:sz="12" w:space="0" w:color="FFFFFF" w:themeColor="background1"/>
        </w:tcBorders>
        <w:shd w:val="clear" w:color="auto" w:fill="06A25F" w:themeFill="accent3" w:themeFillShade="CC"/>
      </w:tcPr>
    </w:tblStylePr>
    <w:tblStylePr w:type="lastRow">
      <w:rPr>
        <w:b/>
        <w:bCs/>
        <w:color w:val="06A25F" w:themeColor="accent3" w:themeShade="CC"/>
      </w:rPr>
      <w:tblPr/>
      <w:tcPr>
        <w:tcBorders>
          <w:top w:val="single" w:sz="12" w:space="0" w:color="2C2C2C"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BCFE5" w:themeFill="accent4" w:themeFillTint="3F"/>
      </w:tcPr>
    </w:tblStylePr>
    <w:tblStylePr w:type="band1Horz">
      <w:tblPr/>
      <w:tcPr>
        <w:shd w:val="clear" w:color="auto" w:fill="FCD8EA" w:themeFill="accent4" w:themeFillTint="33"/>
      </w:tcPr>
    </w:tblStylePr>
  </w:style>
  <w:style w:type="table" w:styleId="ColorfulList-Accent5">
    <w:name w:val="Colorful List Accent 5"/>
    <w:basedOn w:val="TableNormal"/>
    <w:uiPriority w:val="72"/>
    <w:rsid w:val="00CB0664"/>
    <w:pPr>
      <w:spacing w:after="0" w:line="240" w:lineRule="auto"/>
    </w:pPr>
    <w:rPr>
      <w:color w:val="2C2C2C" w:themeColor="text1"/>
    </w:rPr>
    <w:tblPr>
      <w:tblStyleRowBandSize w:val="1"/>
      <w:tblStyleColBandSize w:val="1"/>
    </w:tblPr>
    <w:tcPr>
      <w:shd w:val="clear" w:color="auto" w:fill="F2F2F3" w:themeFill="accent5" w:themeFillTint="19"/>
    </w:tcPr>
    <w:tblStylePr w:type="firstRow">
      <w:rPr>
        <w:b/>
        <w:bCs/>
        <w:color w:val="FFFFFF" w:themeColor="background1"/>
      </w:rPr>
      <w:tblPr/>
      <w:tcPr>
        <w:tcBorders>
          <w:bottom w:val="single" w:sz="12" w:space="0" w:color="FFFFFF" w:themeColor="background1"/>
        </w:tcBorders>
        <w:shd w:val="clear" w:color="auto" w:fill="CD4E09" w:themeFill="accent6" w:themeFillShade="CC"/>
      </w:tcPr>
    </w:tblStylePr>
    <w:tblStylePr w:type="lastRow">
      <w:rPr>
        <w:b/>
        <w:bCs/>
        <w:color w:val="CD4E09" w:themeColor="accent6" w:themeShade="CC"/>
      </w:rPr>
      <w:tblPr/>
      <w:tcPr>
        <w:tcBorders>
          <w:top w:val="single" w:sz="12" w:space="0" w:color="2C2C2C"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0E0E1" w:themeFill="accent5" w:themeFillTint="3F"/>
      </w:tcPr>
    </w:tblStylePr>
    <w:tblStylePr w:type="band1Horz">
      <w:tblPr/>
      <w:tcPr>
        <w:shd w:val="clear" w:color="auto" w:fill="E5E5E7" w:themeFill="accent5" w:themeFillTint="33"/>
      </w:tcPr>
    </w:tblStylePr>
  </w:style>
  <w:style w:type="table" w:styleId="ColorfulList-Accent6">
    <w:name w:val="Colorful List Accent 6"/>
    <w:basedOn w:val="TableNormal"/>
    <w:uiPriority w:val="72"/>
    <w:rsid w:val="00CB0664"/>
    <w:pPr>
      <w:spacing w:after="0" w:line="240" w:lineRule="auto"/>
    </w:pPr>
    <w:rPr>
      <w:color w:val="2C2C2C" w:themeColor="text1"/>
    </w:rPr>
    <w:tblPr>
      <w:tblStyleRowBandSize w:val="1"/>
      <w:tblStyleColBandSize w:val="1"/>
    </w:tblPr>
    <w:tcPr>
      <w:shd w:val="clear" w:color="auto" w:fill="FEEFE7" w:themeFill="accent6" w:themeFillTint="19"/>
    </w:tcPr>
    <w:tblStylePr w:type="firstRow">
      <w:rPr>
        <w:b/>
        <w:bCs/>
        <w:color w:val="FFFFFF" w:themeColor="background1"/>
      </w:rPr>
      <w:tblPr/>
      <w:tcPr>
        <w:tcBorders>
          <w:bottom w:val="single" w:sz="12" w:space="0" w:color="FFFFFF" w:themeColor="background1"/>
        </w:tcBorders>
        <w:shd w:val="clear" w:color="auto" w:fill="67676C" w:themeFill="accent5" w:themeFillShade="CC"/>
      </w:tcPr>
    </w:tblStylePr>
    <w:tblStylePr w:type="lastRow">
      <w:rPr>
        <w:b/>
        <w:bCs/>
        <w:color w:val="67676C" w:themeColor="accent5" w:themeShade="CC"/>
      </w:rPr>
      <w:tblPr/>
      <w:tcPr>
        <w:tcBorders>
          <w:top w:val="single" w:sz="12" w:space="0" w:color="2C2C2C"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CD8C5" w:themeFill="accent6" w:themeFillTint="3F"/>
      </w:tcPr>
    </w:tblStylePr>
    <w:tblStylePr w:type="band1Horz">
      <w:tblPr/>
      <w:tcPr>
        <w:shd w:val="clear" w:color="auto" w:fill="FDE0D0" w:themeFill="accent6" w:themeFillTint="33"/>
      </w:tcPr>
    </w:tblStylePr>
  </w:style>
  <w:style w:type="table" w:styleId="ColorfulGrid">
    <w:name w:val="Colorful Grid"/>
    <w:basedOn w:val="TableNormal"/>
    <w:uiPriority w:val="73"/>
    <w:rsid w:val="00CB0664"/>
    <w:pPr>
      <w:spacing w:after="0" w:line="240" w:lineRule="auto"/>
    </w:pPr>
    <w:rPr>
      <w:color w:val="2C2C2C" w:themeColor="text1"/>
    </w:rPr>
    <w:tblPr>
      <w:tblStyleRowBandSize w:val="1"/>
      <w:tblStyleColBandSize w:val="1"/>
      <w:tblBorders>
        <w:insideH w:val="single" w:sz="4" w:space="0" w:color="FFFFFF" w:themeColor="background1"/>
      </w:tblBorders>
    </w:tblPr>
    <w:tcPr>
      <w:shd w:val="clear" w:color="auto" w:fill="D4D4D4" w:themeFill="text1" w:themeFillTint="33"/>
    </w:tcPr>
    <w:tblStylePr w:type="firstRow">
      <w:rPr>
        <w:b/>
        <w:bCs/>
      </w:rPr>
      <w:tblPr/>
      <w:tcPr>
        <w:shd w:val="clear" w:color="auto" w:fill="AAAAAA" w:themeFill="text1" w:themeFillTint="66"/>
      </w:tcPr>
    </w:tblStylePr>
    <w:tblStylePr w:type="lastRow">
      <w:rPr>
        <w:b/>
        <w:bCs/>
        <w:color w:val="2C2C2C" w:themeColor="text1"/>
      </w:rPr>
      <w:tblPr/>
      <w:tcPr>
        <w:shd w:val="clear" w:color="auto" w:fill="AAAAAA" w:themeFill="text1" w:themeFillTint="66"/>
      </w:tcPr>
    </w:tblStylePr>
    <w:tblStylePr w:type="firstCol">
      <w:rPr>
        <w:color w:val="FFFFFF" w:themeColor="background1"/>
      </w:rPr>
      <w:tblPr/>
      <w:tcPr>
        <w:shd w:val="clear" w:color="auto" w:fill="202020" w:themeFill="text1" w:themeFillShade="BF"/>
      </w:tcPr>
    </w:tblStylePr>
    <w:tblStylePr w:type="lastCol">
      <w:rPr>
        <w:color w:val="FFFFFF" w:themeColor="background1"/>
      </w:rPr>
      <w:tblPr/>
      <w:tcPr>
        <w:shd w:val="clear" w:color="auto" w:fill="202020" w:themeFill="text1" w:themeFillShade="BF"/>
      </w:tcPr>
    </w:tblStylePr>
    <w:tblStylePr w:type="band1Vert">
      <w:tblPr/>
      <w:tcPr>
        <w:shd w:val="clear" w:color="auto" w:fill="959595" w:themeFill="text1" w:themeFillTint="7F"/>
      </w:tcPr>
    </w:tblStylePr>
    <w:tblStylePr w:type="band1Horz">
      <w:tblPr/>
      <w:tcPr>
        <w:shd w:val="clear" w:color="auto" w:fill="959595" w:themeFill="text1" w:themeFillTint="7F"/>
      </w:tcPr>
    </w:tblStylePr>
  </w:style>
  <w:style w:type="table" w:styleId="ColorfulGrid-Accent1">
    <w:name w:val="Colorful Grid Accent 1"/>
    <w:basedOn w:val="TableNormal"/>
    <w:uiPriority w:val="73"/>
    <w:rsid w:val="00CB0664"/>
    <w:pPr>
      <w:spacing w:after="0" w:line="240" w:lineRule="auto"/>
    </w:pPr>
    <w:rPr>
      <w:color w:val="2C2C2C" w:themeColor="text1"/>
    </w:rPr>
    <w:tblPr>
      <w:tblStyleRowBandSize w:val="1"/>
      <w:tblStyleColBandSize w:val="1"/>
      <w:tblBorders>
        <w:insideH w:val="single" w:sz="4" w:space="0" w:color="FFFFFF" w:themeColor="background1"/>
      </w:tblBorders>
    </w:tblPr>
    <w:tcPr>
      <w:shd w:val="clear" w:color="auto" w:fill="FFF2CC" w:themeFill="accent1" w:themeFillTint="33"/>
    </w:tcPr>
    <w:tblStylePr w:type="firstRow">
      <w:rPr>
        <w:b/>
        <w:bCs/>
      </w:rPr>
      <w:tblPr/>
      <w:tcPr>
        <w:shd w:val="clear" w:color="auto" w:fill="FFE599" w:themeFill="accent1" w:themeFillTint="66"/>
      </w:tcPr>
    </w:tblStylePr>
    <w:tblStylePr w:type="lastRow">
      <w:rPr>
        <w:b/>
        <w:bCs/>
        <w:color w:val="2C2C2C" w:themeColor="text1"/>
      </w:rPr>
      <w:tblPr/>
      <w:tcPr>
        <w:shd w:val="clear" w:color="auto" w:fill="FFE599" w:themeFill="accent1" w:themeFillTint="66"/>
      </w:tcPr>
    </w:tblStylePr>
    <w:tblStylePr w:type="firstCol">
      <w:rPr>
        <w:color w:val="FFFFFF" w:themeColor="background1"/>
      </w:rPr>
      <w:tblPr/>
      <w:tcPr>
        <w:shd w:val="clear" w:color="auto" w:fill="BF8F00" w:themeFill="accent1" w:themeFillShade="BF"/>
      </w:tcPr>
    </w:tblStylePr>
    <w:tblStylePr w:type="lastCol">
      <w:rPr>
        <w:color w:val="FFFFFF" w:themeColor="background1"/>
      </w:rPr>
      <w:tblPr/>
      <w:tcPr>
        <w:shd w:val="clear" w:color="auto" w:fill="BF8F00" w:themeFill="accent1" w:themeFillShade="BF"/>
      </w:tcPr>
    </w:tblStylePr>
    <w:tblStylePr w:type="band1Vert">
      <w:tblPr/>
      <w:tcPr>
        <w:shd w:val="clear" w:color="auto" w:fill="FFDF80" w:themeFill="accent1" w:themeFillTint="7F"/>
      </w:tcPr>
    </w:tblStylePr>
    <w:tblStylePr w:type="band1Horz">
      <w:tblPr/>
      <w:tcPr>
        <w:shd w:val="clear" w:color="auto" w:fill="FFDF80" w:themeFill="accent1" w:themeFillTint="7F"/>
      </w:tcPr>
    </w:tblStylePr>
  </w:style>
  <w:style w:type="table" w:styleId="ColorfulGrid-Accent2">
    <w:name w:val="Colorful Grid Accent 2"/>
    <w:basedOn w:val="TableNormal"/>
    <w:uiPriority w:val="73"/>
    <w:rsid w:val="00CB0664"/>
    <w:pPr>
      <w:spacing w:after="0" w:line="240" w:lineRule="auto"/>
    </w:pPr>
    <w:rPr>
      <w:color w:val="2C2C2C" w:themeColor="text1"/>
    </w:rPr>
    <w:tblPr>
      <w:tblStyleRowBandSize w:val="1"/>
      <w:tblStyleColBandSize w:val="1"/>
      <w:tblBorders>
        <w:insideH w:val="single" w:sz="4" w:space="0" w:color="FFFFFF" w:themeColor="background1"/>
      </w:tblBorders>
    </w:tblPr>
    <w:tcPr>
      <w:shd w:val="clear" w:color="auto" w:fill="EDF6D2" w:themeFill="accent2" w:themeFillTint="33"/>
    </w:tcPr>
    <w:tblStylePr w:type="firstRow">
      <w:rPr>
        <w:b/>
        <w:bCs/>
      </w:rPr>
      <w:tblPr/>
      <w:tcPr>
        <w:shd w:val="clear" w:color="auto" w:fill="DBEEA6" w:themeFill="accent2" w:themeFillTint="66"/>
      </w:tcPr>
    </w:tblStylePr>
    <w:tblStylePr w:type="lastRow">
      <w:rPr>
        <w:b/>
        <w:bCs/>
        <w:color w:val="2C2C2C" w:themeColor="text1"/>
      </w:rPr>
      <w:tblPr/>
      <w:tcPr>
        <w:shd w:val="clear" w:color="auto" w:fill="DBEEA6" w:themeFill="accent2" w:themeFillTint="66"/>
      </w:tcPr>
    </w:tblStylePr>
    <w:tblStylePr w:type="firstCol">
      <w:rPr>
        <w:color w:val="FFFFFF" w:themeColor="background1"/>
      </w:rPr>
      <w:tblPr/>
      <w:tcPr>
        <w:shd w:val="clear" w:color="auto" w:fill="7B9B1E" w:themeFill="accent2" w:themeFillShade="BF"/>
      </w:tcPr>
    </w:tblStylePr>
    <w:tblStylePr w:type="lastCol">
      <w:rPr>
        <w:color w:val="FFFFFF" w:themeColor="background1"/>
      </w:rPr>
      <w:tblPr/>
      <w:tcPr>
        <w:shd w:val="clear" w:color="auto" w:fill="7B9B1E" w:themeFill="accent2" w:themeFillShade="BF"/>
      </w:tcPr>
    </w:tblStylePr>
    <w:tblStylePr w:type="band1Vert">
      <w:tblPr/>
      <w:tcPr>
        <w:shd w:val="clear" w:color="auto" w:fill="D3EA91" w:themeFill="accent2" w:themeFillTint="7F"/>
      </w:tcPr>
    </w:tblStylePr>
    <w:tblStylePr w:type="band1Horz">
      <w:tblPr/>
      <w:tcPr>
        <w:shd w:val="clear" w:color="auto" w:fill="D3EA91" w:themeFill="accent2" w:themeFillTint="7F"/>
      </w:tcPr>
    </w:tblStylePr>
  </w:style>
  <w:style w:type="table" w:styleId="ColorfulGrid-Accent3">
    <w:name w:val="Colorful Grid Accent 3"/>
    <w:basedOn w:val="TableNormal"/>
    <w:uiPriority w:val="73"/>
    <w:rsid w:val="00CB0664"/>
    <w:pPr>
      <w:spacing w:after="0" w:line="240" w:lineRule="auto"/>
    </w:pPr>
    <w:rPr>
      <w:color w:val="2C2C2C" w:themeColor="text1"/>
    </w:rPr>
    <w:tblPr>
      <w:tblStyleRowBandSize w:val="1"/>
      <w:tblStyleColBandSize w:val="1"/>
      <w:tblBorders>
        <w:insideH w:val="single" w:sz="4" w:space="0" w:color="FFFFFF" w:themeColor="background1"/>
      </w:tblBorders>
    </w:tblPr>
    <w:tcPr>
      <w:shd w:val="clear" w:color="auto" w:fill="C5FCE4" w:themeFill="accent3" w:themeFillTint="33"/>
    </w:tcPr>
    <w:tblStylePr w:type="firstRow">
      <w:rPr>
        <w:b/>
        <w:bCs/>
      </w:rPr>
      <w:tblPr/>
      <w:tcPr>
        <w:shd w:val="clear" w:color="auto" w:fill="8CFACA" w:themeFill="accent3" w:themeFillTint="66"/>
      </w:tcPr>
    </w:tblStylePr>
    <w:tblStylePr w:type="lastRow">
      <w:rPr>
        <w:b/>
        <w:bCs/>
        <w:color w:val="2C2C2C" w:themeColor="text1"/>
      </w:rPr>
      <w:tblPr/>
      <w:tcPr>
        <w:shd w:val="clear" w:color="auto" w:fill="8CFACA" w:themeFill="accent3" w:themeFillTint="66"/>
      </w:tcPr>
    </w:tblStylePr>
    <w:tblStylePr w:type="firstCol">
      <w:rPr>
        <w:color w:val="FFFFFF" w:themeColor="background1"/>
      </w:rPr>
      <w:tblPr/>
      <w:tcPr>
        <w:shd w:val="clear" w:color="auto" w:fill="069859" w:themeFill="accent3" w:themeFillShade="BF"/>
      </w:tcPr>
    </w:tblStylePr>
    <w:tblStylePr w:type="lastCol">
      <w:rPr>
        <w:color w:val="FFFFFF" w:themeColor="background1"/>
      </w:rPr>
      <w:tblPr/>
      <w:tcPr>
        <w:shd w:val="clear" w:color="auto" w:fill="069859" w:themeFill="accent3" w:themeFillShade="BF"/>
      </w:tcPr>
    </w:tblStylePr>
    <w:tblStylePr w:type="band1Vert">
      <w:tblPr/>
      <w:tcPr>
        <w:shd w:val="clear" w:color="auto" w:fill="6FF9BE" w:themeFill="accent3" w:themeFillTint="7F"/>
      </w:tcPr>
    </w:tblStylePr>
    <w:tblStylePr w:type="band1Horz">
      <w:tblPr/>
      <w:tcPr>
        <w:shd w:val="clear" w:color="auto" w:fill="6FF9BE" w:themeFill="accent3" w:themeFillTint="7F"/>
      </w:tcPr>
    </w:tblStylePr>
  </w:style>
  <w:style w:type="table" w:styleId="ColorfulGrid-Accent4">
    <w:name w:val="Colorful Grid Accent 4"/>
    <w:basedOn w:val="TableNormal"/>
    <w:uiPriority w:val="73"/>
    <w:rsid w:val="00CB0664"/>
    <w:pPr>
      <w:spacing w:after="0" w:line="240" w:lineRule="auto"/>
    </w:pPr>
    <w:rPr>
      <w:color w:val="2C2C2C" w:themeColor="text1"/>
    </w:rPr>
    <w:tblPr>
      <w:tblStyleRowBandSize w:val="1"/>
      <w:tblStyleColBandSize w:val="1"/>
      <w:tblBorders>
        <w:insideH w:val="single" w:sz="4" w:space="0" w:color="FFFFFF" w:themeColor="background1"/>
      </w:tblBorders>
    </w:tblPr>
    <w:tcPr>
      <w:shd w:val="clear" w:color="auto" w:fill="FCD8EA" w:themeFill="accent4" w:themeFillTint="33"/>
    </w:tcPr>
    <w:tblStylePr w:type="firstRow">
      <w:rPr>
        <w:b/>
        <w:bCs/>
      </w:rPr>
      <w:tblPr/>
      <w:tcPr>
        <w:shd w:val="clear" w:color="auto" w:fill="F9B2D6" w:themeFill="accent4" w:themeFillTint="66"/>
      </w:tcPr>
    </w:tblStylePr>
    <w:tblStylePr w:type="lastRow">
      <w:rPr>
        <w:b/>
        <w:bCs/>
        <w:color w:val="2C2C2C" w:themeColor="text1"/>
      </w:rPr>
      <w:tblPr/>
      <w:tcPr>
        <w:shd w:val="clear" w:color="auto" w:fill="F9B2D6" w:themeFill="accent4" w:themeFillTint="66"/>
      </w:tcPr>
    </w:tblStylePr>
    <w:tblStylePr w:type="firstCol">
      <w:rPr>
        <w:color w:val="FFFFFF" w:themeColor="background1"/>
      </w:rPr>
      <w:tblPr/>
      <w:tcPr>
        <w:shd w:val="clear" w:color="auto" w:fill="D60E72" w:themeFill="accent4" w:themeFillShade="BF"/>
      </w:tcPr>
    </w:tblStylePr>
    <w:tblStylePr w:type="lastCol">
      <w:rPr>
        <w:color w:val="FFFFFF" w:themeColor="background1"/>
      </w:rPr>
      <w:tblPr/>
      <w:tcPr>
        <w:shd w:val="clear" w:color="auto" w:fill="D60E72" w:themeFill="accent4" w:themeFillShade="BF"/>
      </w:tcPr>
    </w:tblStylePr>
    <w:tblStylePr w:type="band1Vert">
      <w:tblPr/>
      <w:tcPr>
        <w:shd w:val="clear" w:color="auto" w:fill="F89FCB" w:themeFill="accent4" w:themeFillTint="7F"/>
      </w:tcPr>
    </w:tblStylePr>
    <w:tblStylePr w:type="band1Horz">
      <w:tblPr/>
      <w:tcPr>
        <w:shd w:val="clear" w:color="auto" w:fill="F89FCB" w:themeFill="accent4" w:themeFillTint="7F"/>
      </w:tcPr>
    </w:tblStylePr>
  </w:style>
  <w:style w:type="table" w:styleId="ColorfulGrid-Accent5">
    <w:name w:val="Colorful Grid Accent 5"/>
    <w:basedOn w:val="TableNormal"/>
    <w:uiPriority w:val="73"/>
    <w:rsid w:val="00CB0664"/>
    <w:pPr>
      <w:spacing w:after="0" w:line="240" w:lineRule="auto"/>
    </w:pPr>
    <w:rPr>
      <w:color w:val="2C2C2C" w:themeColor="text1"/>
    </w:rPr>
    <w:tblPr>
      <w:tblStyleRowBandSize w:val="1"/>
      <w:tblStyleColBandSize w:val="1"/>
      <w:tblBorders>
        <w:insideH w:val="single" w:sz="4" w:space="0" w:color="FFFFFF" w:themeColor="background1"/>
      </w:tblBorders>
    </w:tblPr>
    <w:tcPr>
      <w:shd w:val="clear" w:color="auto" w:fill="E5E5E7" w:themeFill="accent5" w:themeFillTint="33"/>
    </w:tcPr>
    <w:tblStylePr w:type="firstRow">
      <w:rPr>
        <w:b/>
        <w:bCs/>
      </w:rPr>
      <w:tblPr/>
      <w:tcPr>
        <w:shd w:val="clear" w:color="auto" w:fill="CCCCCF" w:themeFill="accent5" w:themeFillTint="66"/>
      </w:tcPr>
    </w:tblStylePr>
    <w:tblStylePr w:type="lastRow">
      <w:rPr>
        <w:b/>
        <w:bCs/>
        <w:color w:val="2C2C2C" w:themeColor="text1"/>
      </w:rPr>
      <w:tblPr/>
      <w:tcPr>
        <w:shd w:val="clear" w:color="auto" w:fill="CCCCCF" w:themeFill="accent5" w:themeFillTint="66"/>
      </w:tcPr>
    </w:tblStylePr>
    <w:tblStylePr w:type="firstCol">
      <w:rPr>
        <w:color w:val="FFFFFF" w:themeColor="background1"/>
      </w:rPr>
      <w:tblPr/>
      <w:tcPr>
        <w:shd w:val="clear" w:color="auto" w:fill="616165" w:themeFill="accent5" w:themeFillShade="BF"/>
      </w:tcPr>
    </w:tblStylePr>
    <w:tblStylePr w:type="lastCol">
      <w:rPr>
        <w:color w:val="FFFFFF" w:themeColor="background1"/>
      </w:rPr>
      <w:tblPr/>
      <w:tcPr>
        <w:shd w:val="clear" w:color="auto" w:fill="616165" w:themeFill="accent5" w:themeFillShade="BF"/>
      </w:tcPr>
    </w:tblStylePr>
    <w:tblStylePr w:type="band1Vert">
      <w:tblPr/>
      <w:tcPr>
        <w:shd w:val="clear" w:color="auto" w:fill="C0C0C3" w:themeFill="accent5" w:themeFillTint="7F"/>
      </w:tcPr>
    </w:tblStylePr>
    <w:tblStylePr w:type="band1Horz">
      <w:tblPr/>
      <w:tcPr>
        <w:shd w:val="clear" w:color="auto" w:fill="C0C0C3" w:themeFill="accent5" w:themeFillTint="7F"/>
      </w:tcPr>
    </w:tblStylePr>
  </w:style>
  <w:style w:type="table" w:styleId="ColorfulGrid-Accent6">
    <w:name w:val="Colorful Grid Accent 6"/>
    <w:basedOn w:val="TableNormal"/>
    <w:uiPriority w:val="73"/>
    <w:rsid w:val="00CB0664"/>
    <w:pPr>
      <w:spacing w:after="0" w:line="240" w:lineRule="auto"/>
    </w:pPr>
    <w:rPr>
      <w:color w:val="2C2C2C" w:themeColor="text1"/>
    </w:rPr>
    <w:tblPr>
      <w:tblStyleRowBandSize w:val="1"/>
      <w:tblStyleColBandSize w:val="1"/>
      <w:tblBorders>
        <w:insideH w:val="single" w:sz="4" w:space="0" w:color="FFFFFF" w:themeColor="background1"/>
      </w:tblBorders>
    </w:tblPr>
    <w:tcPr>
      <w:shd w:val="clear" w:color="auto" w:fill="FDE0D0" w:themeFill="accent6" w:themeFillTint="33"/>
    </w:tcPr>
    <w:tblStylePr w:type="firstRow">
      <w:rPr>
        <w:b/>
        <w:bCs/>
      </w:rPr>
      <w:tblPr/>
      <w:tcPr>
        <w:shd w:val="clear" w:color="auto" w:fill="FBC1A2" w:themeFill="accent6" w:themeFillTint="66"/>
      </w:tcPr>
    </w:tblStylePr>
    <w:tblStylePr w:type="lastRow">
      <w:rPr>
        <w:b/>
        <w:bCs/>
        <w:color w:val="2C2C2C" w:themeColor="text1"/>
      </w:rPr>
      <w:tblPr/>
      <w:tcPr>
        <w:shd w:val="clear" w:color="auto" w:fill="FBC1A2" w:themeFill="accent6" w:themeFillTint="66"/>
      </w:tcPr>
    </w:tblStylePr>
    <w:tblStylePr w:type="firstCol">
      <w:rPr>
        <w:color w:val="FFFFFF" w:themeColor="background1"/>
      </w:rPr>
      <w:tblPr/>
      <w:tcPr>
        <w:shd w:val="clear" w:color="auto" w:fill="C04908" w:themeFill="accent6" w:themeFillShade="BF"/>
      </w:tcPr>
    </w:tblStylePr>
    <w:tblStylePr w:type="lastCol">
      <w:rPr>
        <w:color w:val="FFFFFF" w:themeColor="background1"/>
      </w:rPr>
      <w:tblPr/>
      <w:tcPr>
        <w:shd w:val="clear" w:color="auto" w:fill="C04908" w:themeFill="accent6" w:themeFillShade="BF"/>
      </w:tcPr>
    </w:tblStylePr>
    <w:tblStylePr w:type="band1Vert">
      <w:tblPr/>
      <w:tcPr>
        <w:shd w:val="clear" w:color="auto" w:fill="FAB28B" w:themeFill="accent6" w:themeFillTint="7F"/>
      </w:tcPr>
    </w:tblStylePr>
    <w:tblStylePr w:type="band1Horz">
      <w:tblPr/>
      <w:tcPr>
        <w:shd w:val="clear" w:color="auto" w:fill="FAB28B" w:themeFill="accent6" w:themeFillTint="7F"/>
      </w:tcPr>
    </w:tblStylePr>
  </w:style>
  <w:style w:type="paragraph" w:styleId="TOC1">
    <w:name w:val="toc 1"/>
    <w:basedOn w:val="Normal"/>
    <w:next w:val="Normal"/>
    <w:autoRedefine/>
    <w:uiPriority w:val="39"/>
    <w:unhideWhenUsed/>
    <w:rsid w:val="005D00FE"/>
    <w:pPr>
      <w:spacing w:after="100"/>
    </w:pPr>
  </w:style>
  <w:style w:type="paragraph" w:styleId="TOC2">
    <w:name w:val="toc 2"/>
    <w:basedOn w:val="Normal"/>
    <w:next w:val="Normal"/>
    <w:autoRedefine/>
    <w:uiPriority w:val="39"/>
    <w:unhideWhenUsed/>
    <w:rsid w:val="005D00FE"/>
    <w:pPr>
      <w:spacing w:after="100"/>
      <w:ind w:left="240"/>
    </w:pPr>
  </w:style>
  <w:style w:type="character" w:styleId="Hyperlink">
    <w:name w:val="Hyperlink"/>
    <w:basedOn w:val="DefaultParagraphFont"/>
    <w:uiPriority w:val="99"/>
    <w:unhideWhenUsed/>
    <w:rsid w:val="005D00FE"/>
    <w:rPr>
      <w:color w:val="005DBA" w:themeColor="hyperlink"/>
      <w:u w:val="single"/>
    </w:rPr>
  </w:style>
  <w:style w:type="paragraph" w:styleId="NormalWeb">
    <w:name w:val="Normal (Web)"/>
    <w:basedOn w:val="Normal"/>
    <w:uiPriority w:val="99"/>
    <w:semiHidden/>
    <w:unhideWhenUsed/>
    <w:rsid w:val="005B51C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so.org/standard/75652.html" TargetMode="External"/><Relationship Id="rId18" Type="http://schemas.openxmlformats.org/officeDocument/2006/relationships/hyperlink" Target="https://csrc.nist.gov/pubs/sp/800/82/r3/final" TargetMode="External"/><Relationship Id="rId26" Type="http://schemas.openxmlformats.org/officeDocument/2006/relationships/hyperlink" Target="https://www.cisa.gov/known-exploited-vulnerabilities-catalog" TargetMode="External"/><Relationship Id="rId39" Type="http://schemas.openxmlformats.org/officeDocument/2006/relationships/image" Target="media/image6.png"/><Relationship Id="rId21" Type="http://schemas.openxmlformats.org/officeDocument/2006/relationships/hyperlink" Target="https://csrc.nist.gov/pubs/sp/800/61/r3/final" TargetMode="External"/><Relationship Id="rId34" Type="http://schemas.openxmlformats.org/officeDocument/2006/relationships/hyperlink" Target="https://www.sec.gov/Archives/edgar/data/1049502/000119312523034334/d464518dex991.htm" TargetMode="External"/><Relationship Id="rId42" Type="http://schemas.openxmlformats.org/officeDocument/2006/relationships/image" Target="media/image9.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security.org/controls/v8-1" TargetMode="External"/><Relationship Id="rId29" Type="http://schemas.openxmlformats.org/officeDocument/2006/relationships/hyperlink" Target="https://www.ncsc.gov.uk/collection/ransomware-resistant-backups/principles-for-ransomware-resistant-on-premises-backup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vlpubs.nist.gov/nistpubs/SpecialPublications/NIST.SP.1300.pdf" TargetMode="External"/><Relationship Id="rId24" Type="http://schemas.openxmlformats.org/officeDocument/2006/relationships/hyperlink" Target="https://www.ncsc.gov.uk/collection/cloud/understanding-cloud-services/cloud-security-shared-responsibility-model" TargetMode="External"/><Relationship Id="rId32" Type="http://schemas.openxmlformats.org/officeDocument/2006/relationships/hyperlink" Target="https://www.hydro.com/en/global/media/on-the-agenda/cyber-attack/" TargetMode="External"/><Relationship Id="rId37" Type="http://schemas.openxmlformats.org/officeDocument/2006/relationships/image" Target="media/image4.png"/><Relationship Id="rId40" Type="http://schemas.openxmlformats.org/officeDocument/2006/relationships/image" Target="media/image7.png"/><Relationship Id="rId45"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iec.ch/blog/understanding-iec-62443" TargetMode="External"/><Relationship Id="rId23" Type="http://schemas.openxmlformats.org/officeDocument/2006/relationships/hyperlink" Target="https://nvlpubs.nist.gov/nistpubs/ir/2020/NIST.IR.8259a.pdf" TargetMode="External"/><Relationship Id="rId28" Type="http://schemas.openxmlformats.org/officeDocument/2006/relationships/hyperlink" Target="https://www.cisa.gov/stopransomware/ransomware-guide" TargetMode="External"/><Relationship Id="rId36" Type="http://schemas.openxmlformats.org/officeDocument/2006/relationships/image" Target="media/image3.png"/><Relationship Id="rId10" Type="http://schemas.openxmlformats.org/officeDocument/2006/relationships/hyperlink" Target="https://nvlpubs.nist.gov/nistpubs/CSWP/NIST.CSWP.29.pdf" TargetMode="External"/><Relationship Id="rId19" Type="http://schemas.openxmlformats.org/officeDocument/2006/relationships/hyperlink" Target="https://nvlpubs.nist.gov/nistpubs/CSWP/NIST.CSWP.28.pdf" TargetMode="External"/><Relationship Id="rId31" Type="http://schemas.openxmlformats.org/officeDocument/2006/relationships/hyperlink" Target="https://doi.org/10.1016/j.cose.2023.103695"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so.org/standard/80585.html" TargetMode="External"/><Relationship Id="rId22" Type="http://schemas.openxmlformats.org/officeDocument/2006/relationships/hyperlink" Target="https://pages.nist.gov/800-63-4/sp800-63b.html" TargetMode="External"/><Relationship Id="rId27" Type="http://schemas.openxmlformats.org/officeDocument/2006/relationships/hyperlink" Target="https://csrc.nist.gov/pubs/sp/800/161/r1/upd1/final" TargetMode="External"/><Relationship Id="rId30" Type="http://schemas.openxmlformats.org/officeDocument/2006/relationships/hyperlink" Target="https://www.cisa.gov/resources-tools/resources/best-practices-event-logging-and-threat-detection" TargetMode="External"/><Relationship Id="rId35" Type="http://schemas.openxmlformats.org/officeDocument/2006/relationships/hyperlink" Target="https://www.legislation.gov.uk/ukpga/2018/12/contents" TargetMode="External"/><Relationship Id="rId43"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iso.org/standard/27001" TargetMode="External"/><Relationship Id="rId17" Type="http://schemas.openxmlformats.org/officeDocument/2006/relationships/hyperlink" Target="https://www.cisa.gov/resources-tools/resources/cpg-20-report" TargetMode="External"/><Relationship Id="rId25" Type="http://schemas.openxmlformats.org/officeDocument/2006/relationships/hyperlink" Target="https://csrc.nist.gov/pubs/sp/800/40/r4/final" TargetMode="External"/><Relationship Id="rId33" Type="http://schemas.openxmlformats.org/officeDocument/2006/relationships/hyperlink" Target="https://toyotatimes.jp/en/newscast/008.html" TargetMode="External"/><Relationship Id="rId38" Type="http://schemas.openxmlformats.org/officeDocument/2006/relationships/image" Target="media/image5.png"/><Relationship Id="rId46" Type="http://schemas.openxmlformats.org/officeDocument/2006/relationships/fontTable" Target="fontTable.xml"/><Relationship Id="rId20" Type="http://schemas.openxmlformats.org/officeDocument/2006/relationships/hyperlink" Target="https://csrc.nist.gov/pubs/ir/8219/final" TargetMode="External"/><Relationship Id="rId41" Type="http://schemas.openxmlformats.org/officeDocument/2006/relationships/image" Target="media/image8.png"/></Relationships>
</file>

<file path=word/_rels/header2.xml.rels><?xml version="1.0" encoding="UTF-8" standalone="yes"?>
<Relationships xmlns="http://schemas.openxmlformats.org/package/2006/relationships"><Relationship Id="rId1" Type="http://schemas.openxmlformats.org/officeDocument/2006/relationships/image" Target="media/image10.png"/></Relationships>
</file>

<file path=word/theme/_rels/theme1.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Banded">
  <a:themeElements>
    <a:clrScheme name="Banded">
      <a:dk1>
        <a:srgbClr val="2C2C2C"/>
      </a:dk1>
      <a:lt1>
        <a:srgbClr val="FFFFFF"/>
      </a:lt1>
      <a:dk2>
        <a:srgbClr val="099BDD"/>
      </a:dk2>
      <a:lt2>
        <a:srgbClr val="F2F2F2"/>
      </a:lt2>
      <a:accent1>
        <a:srgbClr val="FFC000"/>
      </a:accent1>
      <a:accent2>
        <a:srgbClr val="A5D028"/>
      </a:accent2>
      <a:accent3>
        <a:srgbClr val="08CC78"/>
      </a:accent3>
      <a:accent4>
        <a:srgbClr val="F24099"/>
      </a:accent4>
      <a:accent5>
        <a:srgbClr val="828288"/>
      </a:accent5>
      <a:accent6>
        <a:srgbClr val="F56617"/>
      </a:accent6>
      <a:hlink>
        <a:srgbClr val="005DBA"/>
      </a:hlink>
      <a:folHlink>
        <a:srgbClr val="6C606A"/>
      </a:folHlink>
    </a:clrScheme>
    <a:fontScheme name="Banded">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nded">
      <a:fillStyleLst>
        <a:solidFill>
          <a:schemeClr val="phClr"/>
        </a:solidFill>
        <a:gradFill rotWithShape="1">
          <a:gsLst>
            <a:gs pos="0">
              <a:schemeClr val="phClr">
                <a:tint val="65000"/>
                <a:satMod val="120000"/>
                <a:lumMod val="107000"/>
              </a:schemeClr>
            </a:gs>
            <a:gs pos="50000">
              <a:schemeClr val="phClr">
                <a:tint val="70000"/>
                <a:satMod val="124000"/>
                <a:lumMod val="103000"/>
              </a:schemeClr>
            </a:gs>
            <a:gs pos="100000">
              <a:schemeClr val="phClr">
                <a:tint val="85000"/>
                <a:satMod val="120000"/>
                <a:lumMod val="100000"/>
              </a:schemeClr>
            </a:gs>
          </a:gsLst>
          <a:lin ang="5400000" scaled="0"/>
        </a:gradFill>
        <a:gradFill rotWithShape="1">
          <a:gsLst>
            <a:gs pos="0">
              <a:schemeClr val="phClr">
                <a:tint val="85000"/>
                <a:shade val="98000"/>
                <a:satMod val="110000"/>
                <a:lumMod val="103000"/>
              </a:schemeClr>
            </a:gs>
            <a:gs pos="50000">
              <a:schemeClr val="phClr">
                <a:shade val="85000"/>
                <a:satMod val="105000"/>
                <a:lumMod val="100000"/>
              </a:schemeClr>
            </a:gs>
            <a:gs pos="100000">
              <a:schemeClr val="phClr">
                <a:shade val="60000"/>
                <a:satMod val="12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15875" dir="5400000" algn="ctr" rotWithShape="0">
              <a:srgbClr val="000000">
                <a:alpha val="68000"/>
              </a:srgbClr>
            </a:outerShdw>
          </a:effectLst>
        </a:effectStyle>
        <a:effectStyle>
          <a:effectLst>
            <a:outerShdw blurRad="88900" dist="27940" dir="5400000" algn="ctr" rotWithShape="0">
              <a:srgbClr val="000000">
                <a:alpha val="63000"/>
              </a:srgbClr>
            </a:outerShdw>
          </a:effectLst>
        </a:effectStyle>
      </a:effectStyleLst>
      <a:bgFillStyleLst>
        <a:solidFill>
          <a:schemeClr val="phClr"/>
        </a:solidFill>
        <a:blipFill rotWithShape="1">
          <a:blip xmlns:r="http://schemas.openxmlformats.org/officeDocument/2006/relationships" r:embed="rId1">
            <a:duotone>
              <a:schemeClr val="phClr"/>
              <a:schemeClr val="phClr">
                <a:shade val="91000"/>
                <a:satMod val="105000"/>
              </a:schemeClr>
            </a:duotone>
          </a:blip>
          <a:tile tx="0" ty="0" sx="100000" sy="100000" flip="none" algn="tl"/>
        </a:blipFill>
        <a:gradFill rotWithShape="1">
          <a:gsLst>
            <a:gs pos="0">
              <a:schemeClr val="phClr">
                <a:tint val="100000"/>
                <a:shade val="0"/>
                <a:satMod val="100000"/>
              </a:schemeClr>
            </a:gs>
            <a:gs pos="100000">
              <a:schemeClr val="phClr">
                <a:shade val="10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Banded" id="{98DFF888-2449-4D28-977C-6306C017633E}" vid="{9792607F-9579-4224-82FF-9C88C3E1E53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17</Pages>
  <Words>4381</Words>
  <Characters>24974</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29297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Vithursha Parameswaran (2442072)</cp:lastModifiedBy>
  <cp:revision>6</cp:revision>
  <dcterms:created xsi:type="dcterms:W3CDTF">2026-08-11T04:29:00Z</dcterms:created>
  <dcterms:modified xsi:type="dcterms:W3CDTF">2026-08-12T11:58:00Z</dcterms:modified>
  <cp:category/>
</cp:coreProperties>
</file>