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A critical analysis and evaluation of the observation research tool, ‘Leuven Scale’.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t xml:space="preserve">Overall word count: </w:t>
      </w:r>
      <w:r w:rsidDel="00000000" w:rsidR="00000000" w:rsidRPr="00000000">
        <w:rPr>
          <w:b w:val="1"/>
          <w:rtl w:val="0"/>
        </w:rPr>
        <w:t xml:space="preserve">2,196</w:t>
      </w:r>
    </w:p>
    <w:p w:rsidR="00000000" w:rsidDel="00000000" w:rsidP="00000000" w:rsidRDefault="00000000" w:rsidRPr="00000000" w14:paraId="00000004">
      <w:pPr>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7178"/>
        <w:tblGridChange w:id="0">
          <w:tblGrid>
            <w:gridCol w:w="1838"/>
            <w:gridCol w:w="7178"/>
          </w:tblGrid>
        </w:tblGridChange>
      </w:tblGrid>
      <w:tr>
        <w:trPr>
          <w:cantSplit w:val="0"/>
          <w:tblHeader w:val="1"/>
        </w:trPr>
        <w:tc>
          <w:tcPr/>
          <w:p w:rsidR="00000000" w:rsidDel="00000000" w:rsidP="00000000" w:rsidRDefault="00000000" w:rsidRPr="00000000" w14:paraId="00000005">
            <w:pPr>
              <w:spacing w:line="360" w:lineRule="auto"/>
              <w:rPr>
                <w:rFonts w:ascii="Arial" w:cs="Arial" w:eastAsia="Arial" w:hAnsi="Arial"/>
              </w:rPr>
            </w:pPr>
            <w:r w:rsidDel="00000000" w:rsidR="00000000" w:rsidRPr="00000000">
              <w:rPr>
                <w:rFonts w:ascii="Arial" w:cs="Arial" w:eastAsia="Arial" w:hAnsi="Arial"/>
                <w:rtl w:val="0"/>
              </w:rPr>
              <w:t xml:space="preserve">Targed/Target 1</w:t>
            </w:r>
          </w:p>
        </w:tc>
        <w:tc>
          <w:tcPr/>
          <w:p w:rsidR="00000000" w:rsidDel="00000000" w:rsidP="00000000" w:rsidRDefault="00000000" w:rsidRPr="00000000" w14:paraId="00000006">
            <w:pPr>
              <w:spacing w:line="360" w:lineRule="auto"/>
              <w:rPr>
                <w:rFonts w:ascii="Arial" w:cs="Arial" w:eastAsia="Arial" w:hAnsi="Arial"/>
              </w:rPr>
            </w:pPr>
            <w:r w:rsidDel="00000000" w:rsidR="00000000" w:rsidRPr="00000000">
              <w:rPr>
                <w:rFonts w:ascii="Arial" w:cs="Arial" w:eastAsia="Arial" w:hAnsi="Arial"/>
                <w:rtl w:val="0"/>
              </w:rPr>
              <w:t xml:space="preserve">Add more references</w:t>
            </w:r>
          </w:p>
        </w:tc>
      </w:tr>
      <w:tr>
        <w:trPr>
          <w:cantSplit w:val="0"/>
          <w:tblHeader w:val="0"/>
        </w:trPr>
        <w:tc>
          <w:tcPr/>
          <w:p w:rsidR="00000000" w:rsidDel="00000000" w:rsidP="00000000" w:rsidRDefault="00000000" w:rsidRPr="00000000" w14:paraId="00000007">
            <w:pPr>
              <w:spacing w:line="360" w:lineRule="auto"/>
              <w:rPr>
                <w:rFonts w:ascii="Arial" w:cs="Arial" w:eastAsia="Arial" w:hAnsi="Arial"/>
              </w:rPr>
            </w:pPr>
            <w:r w:rsidDel="00000000" w:rsidR="00000000" w:rsidRPr="00000000">
              <w:rPr>
                <w:rFonts w:ascii="Arial" w:cs="Arial" w:eastAsia="Arial" w:hAnsi="Arial"/>
                <w:rtl w:val="0"/>
              </w:rPr>
              <w:t xml:space="preserve">Targed/Target 2</w:t>
            </w:r>
          </w:p>
        </w:tc>
        <w:tc>
          <w:tcPr/>
          <w:p w:rsidR="00000000" w:rsidDel="00000000" w:rsidP="00000000" w:rsidRDefault="00000000" w:rsidRPr="00000000" w14:paraId="00000008">
            <w:pPr>
              <w:spacing w:line="360" w:lineRule="auto"/>
              <w:rPr>
                <w:rFonts w:ascii="Arial" w:cs="Arial" w:eastAsia="Arial" w:hAnsi="Arial"/>
              </w:rPr>
            </w:pPr>
            <w:r w:rsidDel="00000000" w:rsidR="00000000" w:rsidRPr="00000000">
              <w:rPr>
                <w:rFonts w:ascii="Arial" w:cs="Arial" w:eastAsia="Arial" w:hAnsi="Arial"/>
                <w:rtl w:val="0"/>
              </w:rPr>
              <w:t xml:space="preserve">Stay on topic with clear sentences</w:t>
            </w:r>
          </w:p>
        </w:tc>
      </w:tr>
      <w:tr>
        <w:trPr>
          <w:cantSplit w:val="0"/>
          <w:tblHeader w:val="0"/>
        </w:trPr>
        <w:tc>
          <w:tcPr/>
          <w:p w:rsidR="00000000" w:rsidDel="00000000" w:rsidP="00000000" w:rsidRDefault="00000000" w:rsidRPr="00000000" w14:paraId="00000009">
            <w:pPr>
              <w:spacing w:line="360" w:lineRule="auto"/>
              <w:rPr>
                <w:rFonts w:ascii="Arial" w:cs="Arial" w:eastAsia="Arial" w:hAnsi="Arial"/>
              </w:rPr>
            </w:pPr>
            <w:r w:rsidDel="00000000" w:rsidR="00000000" w:rsidRPr="00000000">
              <w:rPr>
                <w:rFonts w:ascii="Arial" w:cs="Arial" w:eastAsia="Arial" w:hAnsi="Arial"/>
                <w:rtl w:val="0"/>
              </w:rPr>
              <w:t xml:space="preserve">Targed/Target 3</w:t>
            </w:r>
          </w:p>
        </w:tc>
        <w:tc>
          <w:tcPr/>
          <w:p w:rsidR="00000000" w:rsidDel="00000000" w:rsidP="00000000" w:rsidRDefault="00000000" w:rsidRPr="00000000" w14:paraId="0000000A">
            <w:pPr>
              <w:spacing w:line="360" w:lineRule="auto"/>
              <w:rPr>
                <w:rFonts w:ascii="Arial" w:cs="Arial" w:eastAsia="Arial" w:hAnsi="Arial"/>
              </w:rPr>
            </w:pPr>
            <w:r w:rsidDel="00000000" w:rsidR="00000000" w:rsidRPr="00000000">
              <w:rPr>
                <w:rFonts w:ascii="Arial" w:cs="Arial" w:eastAsia="Arial" w:hAnsi="Arial"/>
                <w:rtl w:val="0"/>
              </w:rPr>
              <w:t xml:space="preserve">Check correct spelling by rereading</w:t>
            </w:r>
          </w:p>
        </w:tc>
      </w:tr>
      <w:tr>
        <w:trPr>
          <w:cantSplit w:val="0"/>
          <w:tblHeader w:val="0"/>
        </w:trPr>
        <w:tc>
          <w:tcPr/>
          <w:p w:rsidR="00000000" w:rsidDel="00000000" w:rsidP="00000000" w:rsidRDefault="00000000" w:rsidRPr="00000000" w14:paraId="0000000B">
            <w:pPr>
              <w:spacing w:line="360" w:lineRule="auto"/>
              <w:rPr>
                <w:rFonts w:ascii="Arial" w:cs="Arial" w:eastAsia="Arial" w:hAnsi="Arial"/>
              </w:rPr>
            </w:pPr>
            <w:r w:rsidDel="00000000" w:rsidR="00000000" w:rsidRPr="00000000">
              <w:rPr>
                <w:rFonts w:ascii="Arial" w:cs="Arial" w:eastAsia="Arial" w:hAnsi="Arial"/>
                <w:rtl w:val="0"/>
              </w:rPr>
              <w:t xml:space="preserve">Targed/Target 4</w:t>
            </w:r>
          </w:p>
        </w:tc>
        <w:tc>
          <w:tcPr/>
          <w:p w:rsidR="00000000" w:rsidDel="00000000" w:rsidP="00000000" w:rsidRDefault="00000000" w:rsidRPr="00000000" w14:paraId="0000000C">
            <w:pPr>
              <w:spacing w:line="360" w:lineRule="auto"/>
              <w:rPr>
                <w:rFonts w:ascii="Arial" w:cs="Arial" w:eastAsia="Arial" w:hAnsi="Arial"/>
              </w:rPr>
            </w:pPr>
            <w:r w:rsidDel="00000000" w:rsidR="00000000" w:rsidRPr="00000000">
              <w:rPr>
                <w:rtl w:val="0"/>
              </w:rPr>
            </w:r>
          </w:p>
        </w:tc>
      </w:tr>
      <w:tr>
        <w:trPr>
          <w:cantSplit w:val="0"/>
          <w:trHeight w:val="334.4677734375" w:hRule="atLeast"/>
          <w:tblHeader w:val="0"/>
        </w:trPr>
        <w:tc>
          <w:tcPr/>
          <w:p w:rsidR="00000000" w:rsidDel="00000000" w:rsidP="00000000" w:rsidRDefault="00000000" w:rsidRPr="00000000" w14:paraId="0000000D">
            <w:pPr>
              <w:spacing w:line="360" w:lineRule="auto"/>
              <w:rPr>
                <w:rFonts w:ascii="Arial" w:cs="Arial" w:eastAsia="Arial" w:hAnsi="Arial"/>
              </w:rPr>
            </w:pPr>
            <w:r w:rsidDel="00000000" w:rsidR="00000000" w:rsidRPr="00000000">
              <w:rPr>
                <w:rFonts w:ascii="Arial" w:cs="Arial" w:eastAsia="Arial" w:hAnsi="Arial"/>
                <w:rtl w:val="0"/>
              </w:rPr>
              <w:t xml:space="preserve">Targed/Target 5</w:t>
            </w:r>
          </w:p>
        </w:tc>
        <w:tc>
          <w:tcPr/>
          <w:p w:rsidR="00000000" w:rsidDel="00000000" w:rsidP="00000000" w:rsidRDefault="00000000" w:rsidRPr="00000000" w14:paraId="0000000E">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highlight w:val="yellow"/>
        </w:rPr>
      </w:pPr>
      <w:r w:rsidDel="00000000" w:rsidR="00000000" w:rsidRPr="00000000">
        <w:rPr>
          <w:b w:val="1"/>
          <w:rtl w:val="0"/>
        </w:rPr>
        <w:t xml:space="preserve">Question: How may teachers asking open-ended questions improve pupil engagement in the classroom?</w:t>
      </w:r>
      <w:r w:rsidDel="00000000" w:rsidR="00000000" w:rsidRPr="00000000">
        <w:rPr>
          <w:rtl w:val="0"/>
        </w:rPr>
      </w:r>
    </w:p>
    <w:p w:rsidR="00000000" w:rsidDel="00000000" w:rsidP="00000000" w:rsidRDefault="00000000" w:rsidRPr="00000000" w14:paraId="00000012">
      <w:pPr>
        <w:rPr>
          <w:b w:val="1"/>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u w:val="single"/>
        </w:rPr>
      </w:pPr>
      <w:r w:rsidDel="00000000" w:rsidR="00000000" w:rsidRPr="00000000">
        <w:rPr>
          <w:rtl w:val="0"/>
        </w:rPr>
        <w:t xml:space="preserve">In the classroom, asking open-ended questions can be an effective way to encourage students to participate in discussions, share their perspectives, and develop their critical thinking skills. Teachers can foster an inclusive and collaborative learning environment that values student input and adheres to the new Welsh curriculum guide to create ambitious, capable learners who "question and enjoy solving problems" by asking open-ended questions (Welsh government, 2020). By incorporating this into my own teaching practice, I hope to create an effective learning environment that incorporates not only elements of the four purposes, but also my own teaching pedagogy. An effective learning environment in the Welsh foundation phase, on the other hand, necessitates a number of key factors that have been identified by various research studies. A Welsh Government study (2019) emphasised the importance of positive relationships between teachers, students, and parents in creating a supportive and inclusive environment. A curriculum that is engaging and challenging for the abilities of students has also been shown to be important in promoting learning (Estyn, 2017). Finally, it has been demonstrated that a safe and supportive environment free of bullying, discrimination, and harassment is required for optimal learning (Ofsted, 2019). Welsh primary schools can create a positive and effective learning environment that supports their students' development and success by incorporating these key factors into the learning environment.</w:t>
      </w:r>
      <w:r w:rsidDel="00000000" w:rsidR="00000000" w:rsidRPr="00000000">
        <w:rPr>
          <w:rtl w:val="0"/>
        </w:rPr>
      </w:r>
    </w:p>
    <w:p w:rsidR="00000000" w:rsidDel="00000000" w:rsidP="00000000" w:rsidRDefault="00000000" w:rsidRPr="00000000" w14:paraId="00000015">
      <w:pPr>
        <w:spacing w:line="360" w:lineRule="auto"/>
        <w:ind w:firstLine="720"/>
        <w:rPr>
          <w:u w:val="singl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u w:val="single"/>
        </w:rPr>
      </w:pPr>
      <w:r w:rsidDel="00000000" w:rsidR="00000000" w:rsidRPr="00000000">
        <w:rPr>
          <w:rtl w:val="0"/>
        </w:rPr>
        <w:t xml:space="preserve">The term 'pedagogy' in foundation phase refers to the teaching and learning approaches used in Welsh schools to provide children aged three to seven with a broad and balanced education that promotes their holistic development, as well as a child-centred curriculum that encourages active learning through play, exploration, and discovery (Welsh Government, 2015). Promoting collaboration and social learning in the classroom are two key pedagogical ideas in the foundation phase. These are critical components of foundation phase pedagogy in which teachers encourage students to collaborate, share ideas, and learn from one another (Vygotsky, 1978). This could include the teacher asking open-ended questions to encourage discussions and increase classroom engagement.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To begin, open-ended questions are questions that require more than a one-word response and are a teaching method used in the classroom to promote active participation, engagement, and deeper learning for students. Open-ended questions, according to Brooks (2017), can encourage students to explore and articulate their ideas while also creating a safe and supportive teaching environment. This already demonstrates that asking open-ended questions in the primary school classroom could be an excellent way to increase student engagement and contribute to the creation of a positive learning environment.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They also allow students to express their thoughts and ideas, which can lead to a better understanding of the material and a more meaningful classroom experience. Students are more likely to feel involved in the learning process when they are given the opportunity to express their opinions and share their ideas, which can help build student confidence and encourage more active participation. According to Boyd (2012), the use of open-ended questions in the classroom encouraged engagement and increased student communication with the teacher's use of open-ended questions allowing students to respond with more meaningful and thought-provoking responses. This again allowed the teacher to expand on topics, resulting in increased student communication and deeper discussions. Furthermore, the use of open-ended questions in the classroom promoted student autonomy by allowing them to take ownership of their learning and express their ideas. Moreover, Armstrong (2015) emphasises in her book the importance of developing effective open-ended questions in order to facilitate critical thinking, promote discussion and reflection, and encourage curiosity and inquiry. The author emphasises the importance of open-ended questions in developing students' higher-order thinking skills because they encourage students to go beyond recalling memories and engage in difficult and complicated analysis and evaluation.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Despite this, Vandenberg (2020) believes that a mix of open and closed questions is better for keeping foundation phase students engaged, arguing that open-ended questions can often lead to drawn-out conversations that do not keep students engaged. Tofade (2013) agrees and adds that asking too many questions can lead to students disengaging from their work. Surprisingly, I observed this to be true during my school observation days. I discovered that if students found questions to be too difficult, too long, or irrelevant to the topic, they became easily bored and confused, resulting in lower engagement. As a result, I intend to use a mix of open and closed ended questions in my own teaching practises in the future as Vandenberg suggests, which will, in theory, maintain my students' engagement.</w:t>
      </w:r>
      <w:r w:rsidDel="00000000" w:rsidR="00000000" w:rsidRPr="00000000">
        <w:rPr>
          <w:rtl w:val="0"/>
        </w:rPr>
      </w:r>
    </w:p>
    <w:p w:rsidR="00000000" w:rsidDel="00000000" w:rsidP="00000000" w:rsidRDefault="00000000" w:rsidRPr="00000000" w14:paraId="00000017">
      <w:pPr>
        <w:spacing w:line="360" w:lineRule="auto"/>
        <w:ind w:firstLine="720"/>
        <w:rPr>
          <w:u w:val="singl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u w:val="single"/>
        </w:rPr>
      </w:pPr>
      <w:r w:rsidDel="00000000" w:rsidR="00000000" w:rsidRPr="00000000">
        <w:rPr>
          <w:rtl w:val="0"/>
        </w:rPr>
        <w:t xml:space="preserve">It took time and effort to plan my research, which used the Leuven scale approach to collect quantitative data. In response to feedback, I decided to develop an observation schedule to supplement the Leuven scale method of research, employing a hybrid approach to make my classroom observations simple and quick. Creating an observation schedule can be a useful research tool because it helps to structure data collection and ensures that relevant information is recorded (Schutt, 2015). Furthermore, an observation schedule can aid in reducing observer bias and increasing the reliability and validity of data collected (Babbie, 2016). It should be noted, however, that observation schedules are not always required or appropriate for all research designs, and researchers should consider the specific research question and context before deciding to use an observation schedule (Creswell, 2014). On the other hand, using the Leuven scale method could be sufficient because it provides a reliable and valid way of measuring classroom engagement in young children (Verschueren. Et al. 2012). Christina MacRae (2023), oppositely discusses the implications of the Leuven Scale. She claims that the scale is incapable of accurately assessing a child's level of involvement because it ignores the complexities of a child's inner life and the fact that a child's expression of engagement can be influenced by external factors. She also discusses how understanding the individual child is important when it comes to measuring involvement, and how this can lead to more meaningful assessments of a child's engagement with their environment. Furthermore, MacRae suggests using the Leuven Scale in conjunction with other methods of assessment to gain a more comprehensive understanding of a child's engagement would be more beneficial than to use it as the stand-alone approach. If I were to use the Leuven scale method of research again in the future, I would consider MacRae's suggestion to look at the child as a whole and in collaboration with other quantitative and qualitative research methods. However, personally, I would not use this method of quantitative data research to measure pupil engagement levels in my teaching practise again because it is dependent on a plethora of factors, including the time of day, the environment, and unknown factors at home; and considering a child as a whole, as MacRae suggests, would take too much time.</w:t>
      </w:r>
      <w:r w:rsidDel="00000000" w:rsidR="00000000" w:rsidRPr="00000000">
        <w:rPr>
          <w:rtl w:val="0"/>
        </w:rPr>
      </w:r>
    </w:p>
    <w:p w:rsidR="00000000" w:rsidDel="00000000" w:rsidP="00000000" w:rsidRDefault="00000000" w:rsidRPr="00000000" w14:paraId="00000019">
      <w:pPr>
        <w:spacing w:line="360" w:lineRule="auto"/>
        <w:ind w:firstLine="720"/>
        <w:rPr>
          <w:u w:val="singl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pPr>
      <w:r w:rsidDel="00000000" w:rsidR="00000000" w:rsidRPr="00000000">
        <w:rPr>
          <w:rtl w:val="0"/>
        </w:rPr>
        <w:t xml:space="preserve">Finally, to ensure that my research was held accountable to ethical codes, I conducted research on how to be an ethical researcher prior to my observation visits. To begin, I followed the BERA (2018) ethical guidelines, which are a set of guidelines developed by the British Educational Research Association to ensure ethical practices in educational research. These guidelines provide a framework for researchers to follow in order to conduct ethical and integrity-driven research. It is critical for me as a teacher to be aware of these guidelines and to incorporate them into my own teaching practice.</w:t>
      </w:r>
      <w:r w:rsidDel="00000000" w:rsidR="00000000" w:rsidRPr="00000000">
        <w:rPr>
          <w:rtl w:val="0"/>
        </w:rPr>
        <w:t xml:space="preserve"> When conducting research in the classroom, for example, it is crucial to obtain informed consent from participants, maintain confidentiality and anonymity, and minimise any potential risks to participants. Furthermore, it is critical to be aware of potential power dynamics between the teacher and the student, and to ensure that the student's autonomy and dignity are always respected. By incorporating the BERA ethical guidelines into my teaching practice, I hope to contribute to the ethical and responsible conduct of my research. Additionally, the American Educational Research Association (AERA) published a revised Code of Ethics in 2017 that includes guidelines for ethical conduct in educational research.</w:t>
      </w:r>
      <w:r w:rsidDel="00000000" w:rsidR="00000000" w:rsidRPr="00000000">
        <w:rPr>
          <w:rFonts w:ascii="Calibri" w:cs="Calibri" w:eastAsia="Calibri" w:hAnsi="Calibri"/>
          <w:b w:val="0"/>
          <w:i w:val="0"/>
          <w:smallCaps w:val="0"/>
          <w:strike w:val="0"/>
          <w:color w:val="000000"/>
          <w:sz w:val="22"/>
          <w:szCs w:val="22"/>
          <w:u w:val="none"/>
          <w:vertAlign w:val="baseline"/>
          <w:rtl w:val="0"/>
        </w:rPr>
        <w:t xml:space="preserve"> </w:t>
      </w:r>
      <w:r w:rsidDel="00000000" w:rsidR="00000000" w:rsidRPr="00000000">
        <w:rPr>
          <w:rtl w:val="0"/>
        </w:rPr>
        <w:t xml:space="preserve">This code also emphasises the significance of obtaining informed consent, maintaining confidentiality and anonymity, and minimising participant harm. Moreover, the code emphasises researchers' responsibility to maintain high standards of research conduct, such as honesty, accuracy, and transparency. To ensure that these ethical principles are applied in my teaching practice, I must obtain informed consent from students, teachers or parents/guardians before conducting any research, maintain confidentiality and anonymity, and avoid causing any harm or discomfort to my students. By incorporating these ethical principles into my teaching practice, I can ensure that any future research is carried out in an ethical and responsible manner, contributing to the overall quality and credibility of my educational research.</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Finally, as a result of my research and adhering to my observation schedule, I ensured that my candidates remained anonymous, thereby increasing the reliability of my results and amounting to a less generalised result.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u w:val="single"/>
        </w:rPr>
      </w:pPr>
      <w:r w:rsidDel="00000000" w:rsidR="00000000" w:rsidRPr="00000000">
        <w:rPr>
          <w:rtl w:val="0"/>
        </w:rPr>
        <w:t xml:space="preserve">Interestingly, my findings on classroom engagement levels, focusing on a small group of three children, revealed that engagement levels were generally high, with most children actively participating in class discussions and activities when asked an open-ended question. I also discovered that the general consensus of my findings pointed to an increase in classroom engagement when the teacher asked open-ended questions when paired with directly saying the students' names, as expected, as well as when the students could link it to prior knowledge, such as cutting apples to talk about fractions. However, I must consider that observing only three children is not a broad range of research and does not take into account the entire class. It is also worth noting that my findings revealed that engagement levels varied depending on the subject being taught and the time of day.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Therefore, it is critical to assess classroom engagement levels holistically rather than relying solely on the Leuven scale research method or observation schedule. As a result of my findings, I've concluded that a teacher asking open-ended questions increases the engagement levels in the classroom and, as a student-teacher, I strongly believe in the power of open-ended questions to promote student engagement and active learning. I could further encourage my students to think critically and creatively, express their thoughts and opinions, and engage in meaningful discussions with their peers by asking open-ended questions. This method not only improves their understanding of the subject matter, but it also fosters a stronger sense of curiosity and motivation to learn, adhering again to the four purposes.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Additionally, open-ended questions promote inclusivity and respect for diverse perspectives by allowing students to share their unique experiences and perspectives without fear of being judged. Therefore, as a key strategy for cultivating a dynamic and interactive learning environment, I will incorporate open-ended questions into my teaching pedagogy.</w:t>
      </w:r>
      <w:r w:rsidDel="00000000" w:rsidR="00000000" w:rsidRPr="00000000">
        <w:rPr>
          <w:rtl w:val="0"/>
        </w:rPr>
      </w:r>
    </w:p>
    <w:p w:rsidR="00000000" w:rsidDel="00000000" w:rsidP="00000000" w:rsidRDefault="00000000" w:rsidRPr="00000000" w14:paraId="0000001D">
      <w:pPr>
        <w:spacing w:line="360" w:lineRule="auto"/>
        <w:ind w:firstLine="720"/>
        <w:rPr>
          <w:u w:val="singl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pPr>
      <w:r w:rsidDel="00000000" w:rsidR="00000000" w:rsidRPr="00000000">
        <w:rPr>
          <w:rtl w:val="0"/>
        </w:rPr>
        <w:t xml:space="preserve">To summarise, I believe my research question produced some intriguing results. I was able to conduct research on the topic of open-ended questions and the link between student engagement, collect data on it, analyse it to identify patterns and correlations, and draw conclusions based on the findings. Alongside this, I additionally reviewed existing literature regularly, conducted informal interviews with teachers, and used an observation schedule in relation to my Leuven scale in classroom settings. Despite its flaws, the Leuven scale's strength lies in its ability to provide a comprehensive assessment of a person's well-being, taking into account various aspects of their life such as health, social relationships, and living conditions.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The method can also be used to identify areas where a person may require assistance or intervention to improve their well-being. Alternatively, the Leuven scale has some limitations. One of its drawbacks is that it heavily relies on self-reporting, which can be subjective and may not always accurately reflect a person's true well-being. Furthermore, the method may not be appropriate for everyone, such as those with cognitive or communication impairments, or those who may struggle to complete the assessment.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u w:val="single"/>
        </w:rPr>
      </w:pPr>
      <w:r w:rsidDel="00000000" w:rsidR="00000000" w:rsidRPr="00000000">
        <w:rPr>
          <w:rtl w:val="0"/>
        </w:rPr>
        <w:t xml:space="preserve">However, to conclude, incorporating open-ended questions into my teaching practice can have a significant impact on my professional development as a teacher.</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I could effectively create a more engaging and challenging learning environment by encouraging students to think critically and creatively. As students investigate their own ideas and points of view, I hope to gain a better understanding of their thought processes, allowing me to tailor my teaching methods to better meet their needs. Incorporating open-ended questions may also assist me in becoming a more reflective teacher by providing valuable feedback on my own pedagogical approaches. By fostering an inquiry and exploration culture in my classroom, I will be empowering my students to become independent thinkers and lifelong learners, thereby achieving one of the four purposes whilst also enhancing my own professional growth and development.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Finally, by responding to my original question and incorporating open-ended questions into my own teaching method, I can demonstrate my commitment to encouraging active learning and critical thinking in my students, both of which are essential components of effective teaching. I can create a more inclusive and collaborative learning environment that fosters my students' intellectual and social development by encouraging them to participate in discussions and express their thoughts. This can help my overall effectiveness as a teacher and my ability to meet the standards required for my QTS.</w:t>
      </w: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u w:val="single"/>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u w:val="single"/>
          <w:rtl w:val="0"/>
        </w:rPr>
        <w:t xml:space="preserve">Reference list</w:t>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American Educational Research Association [AERA]. (2017). </w:t>
      </w:r>
      <w:r w:rsidDel="00000000" w:rsidR="00000000" w:rsidRPr="00000000">
        <w:rPr>
          <w:i w:val="1"/>
          <w:rtl w:val="0"/>
        </w:rPr>
        <w:t xml:space="preserve">AERA Code of Ethics</w:t>
      </w:r>
      <w:r w:rsidDel="00000000" w:rsidR="00000000" w:rsidRPr="00000000">
        <w:rPr>
          <w:rtl w:val="0"/>
        </w:rPr>
        <w:t xml:space="preserv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Armstrong, S. (2015). </w:t>
      </w:r>
      <w:r w:rsidDel="00000000" w:rsidR="00000000" w:rsidRPr="00000000">
        <w:rPr>
          <w:i w:val="1"/>
          <w:rtl w:val="0"/>
        </w:rPr>
        <w:t xml:space="preserve">Engaging Students through Open Ended Questions: A Practical Guide for Primary School Teachers</w:t>
      </w:r>
      <w:r w:rsidDel="00000000" w:rsidR="00000000" w:rsidRPr="00000000">
        <w:rPr>
          <w:rtl w:val="0"/>
        </w:rPr>
        <w:t xml:space="preserve">. Routledge.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Babbie, E. R. (2016). </w:t>
      </w:r>
      <w:r w:rsidDel="00000000" w:rsidR="00000000" w:rsidRPr="00000000">
        <w:rPr>
          <w:i w:val="1"/>
          <w:rtl w:val="0"/>
        </w:rPr>
        <w:t xml:space="preserve">The Practice of Social Research</w:t>
      </w:r>
      <w:r w:rsidDel="00000000" w:rsidR="00000000" w:rsidRPr="00000000">
        <w:rPr>
          <w:rtl w:val="0"/>
        </w:rPr>
        <w:t xml:space="preserve">. Cengage Learning.</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Boyd, M. P. (2012). </w:t>
      </w:r>
      <w:r w:rsidDel="00000000" w:rsidR="00000000" w:rsidRPr="00000000">
        <w:rPr>
          <w:i w:val="1"/>
          <w:rtl w:val="0"/>
        </w:rPr>
        <w:t xml:space="preserve">Relations between teacher questioning and student talk in one elementary ell classroom</w:t>
      </w:r>
      <w:r w:rsidDel="00000000" w:rsidR="00000000" w:rsidRPr="00000000">
        <w:rPr>
          <w:rtl w:val="0"/>
        </w:rPr>
        <w:t xml:space="preserve">. Sage Journals.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British Educational Research Association. (2018). </w:t>
      </w:r>
      <w:r w:rsidDel="00000000" w:rsidR="00000000" w:rsidRPr="00000000">
        <w:rPr>
          <w:i w:val="1"/>
          <w:rtl w:val="0"/>
        </w:rPr>
        <w:t xml:space="preserve">Ethical guidelines for educational research</w:t>
      </w:r>
      <w:r w:rsidDel="00000000" w:rsidR="00000000" w:rsidRPr="00000000">
        <w:rPr>
          <w:rtl w:val="0"/>
        </w:rPr>
        <w:t xml:space="preserv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Brooks, J. G. et al. (2017). </w:t>
      </w:r>
      <w:r w:rsidDel="00000000" w:rsidR="00000000" w:rsidRPr="00000000">
        <w:rPr>
          <w:i w:val="1"/>
          <w:rtl w:val="0"/>
        </w:rPr>
        <w:t xml:space="preserve">Classroom instruction that works: research based strategies for increasing student achievement</w:t>
      </w:r>
      <w:r w:rsidDel="00000000" w:rsidR="00000000" w:rsidRPr="00000000">
        <w:rPr>
          <w:rtl w:val="0"/>
        </w:rPr>
        <w:t xml:space="preserve">. Colorado: ASCD.</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Creswell, J. W. (2014). </w:t>
      </w:r>
      <w:r w:rsidDel="00000000" w:rsidR="00000000" w:rsidRPr="00000000">
        <w:rPr>
          <w:i w:val="1"/>
          <w:rtl w:val="0"/>
        </w:rPr>
        <w:t xml:space="preserve">Research Design: Qualitative, Quantitative, and Mixed Methods Approaches</w:t>
      </w:r>
      <w:r w:rsidDel="00000000" w:rsidR="00000000" w:rsidRPr="00000000">
        <w:rPr>
          <w:rtl w:val="0"/>
        </w:rPr>
        <w:t xml:space="preserve">. Sage publications.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Estyn. (2017). </w:t>
      </w:r>
      <w:r w:rsidDel="00000000" w:rsidR="00000000" w:rsidRPr="00000000">
        <w:rPr>
          <w:i w:val="1"/>
          <w:rtl w:val="0"/>
        </w:rPr>
        <w:t xml:space="preserve">Active and experiential learning</w:t>
      </w:r>
      <w:r w:rsidDel="00000000" w:rsidR="00000000" w:rsidRPr="00000000">
        <w:rPr>
          <w:rtl w:val="0"/>
        </w:rPr>
        <w:t xml:space="preserve">. Cardiff: Estyn.</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MacRae, C. (2023). </w:t>
      </w:r>
      <w:r w:rsidDel="00000000" w:rsidR="00000000" w:rsidRPr="00000000">
        <w:rPr>
          <w:i w:val="1"/>
          <w:rtl w:val="0"/>
        </w:rPr>
        <w:t xml:space="preserve">A philosophical reflection on the “Leuven Scale” and young children’s expressions of involvement.</w:t>
      </w:r>
      <w:r w:rsidDel="00000000" w:rsidR="00000000" w:rsidRPr="00000000">
        <w:rPr>
          <w:rtl w:val="0"/>
        </w:rPr>
        <w:t xml:space="preserve"> International Journal of Qualitative Studies in Education.</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Ofsted. (2019). </w:t>
      </w:r>
      <w:r w:rsidDel="00000000" w:rsidR="00000000" w:rsidRPr="00000000">
        <w:rPr>
          <w:i w:val="1"/>
          <w:rtl w:val="0"/>
        </w:rPr>
        <w:t xml:space="preserve">Ofsted annual report 2019: education, children services and skills</w:t>
      </w:r>
      <w:r w:rsidDel="00000000" w:rsidR="00000000" w:rsidRPr="00000000">
        <w:rPr>
          <w:rtl w:val="0"/>
        </w:rPr>
        <w:t xml:space="preserve">. London: Ofsted</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Schutt, R. K. (2015). </w:t>
      </w:r>
      <w:r w:rsidDel="00000000" w:rsidR="00000000" w:rsidRPr="00000000">
        <w:rPr>
          <w:i w:val="1"/>
          <w:rtl w:val="0"/>
        </w:rPr>
        <w:t xml:space="preserve">Investigating the Social World: The Process and Practice of Research.</w:t>
      </w:r>
      <w:r w:rsidDel="00000000" w:rsidR="00000000" w:rsidRPr="00000000">
        <w:rPr>
          <w:rtl w:val="0"/>
        </w:rPr>
        <w:t xml:space="preserve"> Sage publications.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Tofade, T. Et al. (2013). </w:t>
      </w:r>
      <w:r w:rsidDel="00000000" w:rsidR="00000000" w:rsidRPr="00000000">
        <w:rPr>
          <w:i w:val="1"/>
          <w:rtl w:val="0"/>
        </w:rPr>
        <w:t xml:space="preserve">Best Practice Strategies for Effective Use of Questions as a Teaching Tool</w:t>
      </w:r>
      <w:r w:rsidDel="00000000" w:rsidR="00000000" w:rsidRPr="00000000">
        <w:rPr>
          <w:rtl w:val="0"/>
        </w:rPr>
        <w:t xml:space="preserve">. Am J Pharm Education.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Vandenberg, R, T. Et al. (2020). </w:t>
      </w:r>
      <w:r w:rsidDel="00000000" w:rsidR="00000000" w:rsidRPr="00000000">
        <w:rPr>
          <w:i w:val="1"/>
          <w:rtl w:val="0"/>
        </w:rPr>
        <w:t xml:space="preserve">Better training through technology. Children's mental health network</w:t>
      </w:r>
      <w:r w:rsidDel="00000000" w:rsidR="00000000" w:rsidRPr="00000000">
        <w:rPr>
          <w:rtl w:val="0"/>
        </w:rPr>
        <w:t xml:space="preserv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Verschueren. Et al. (2012). </w:t>
      </w:r>
      <w:r w:rsidDel="00000000" w:rsidR="00000000" w:rsidRPr="00000000">
        <w:rPr>
          <w:i w:val="1"/>
          <w:rtl w:val="0"/>
        </w:rPr>
        <w:t xml:space="preserve">Classroom problem behavior and teacher-child relationships in kindergarten: The moderating role of classroom climate</w:t>
      </w:r>
      <w:r w:rsidDel="00000000" w:rsidR="00000000" w:rsidRPr="00000000">
        <w:rPr>
          <w:rtl w:val="0"/>
        </w:rPr>
        <w:t xml:space="preserve">. Journal of School Psychology.</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Vygotsky, L. S. (1978).</w:t>
      </w:r>
      <w:r w:rsidDel="00000000" w:rsidR="00000000" w:rsidRPr="00000000">
        <w:rPr>
          <w:i w:val="1"/>
          <w:rtl w:val="0"/>
        </w:rPr>
        <w:t xml:space="preserve"> Mind in society: The development of higher psychological processes</w:t>
      </w:r>
      <w:r w:rsidDel="00000000" w:rsidR="00000000" w:rsidRPr="00000000">
        <w:rPr>
          <w:rtl w:val="0"/>
        </w:rPr>
        <w:t xml:space="preserve">. Harvard University Press.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Welsh Government. (2015). </w:t>
      </w:r>
      <w:r w:rsidDel="00000000" w:rsidR="00000000" w:rsidRPr="00000000">
        <w:rPr>
          <w:i w:val="1"/>
          <w:rtl w:val="0"/>
        </w:rPr>
        <w:t xml:space="preserve">Curriculum for Wales: Foundation phase framework</w:t>
      </w:r>
      <w:r w:rsidDel="00000000" w:rsidR="00000000" w:rsidRPr="00000000">
        <w:rPr>
          <w:rtl w:val="0"/>
        </w:rPr>
        <w:t xml:space="preserve">. Cardiff: Welsh government.</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Welsh government. (2020). </w:t>
      </w:r>
      <w:r w:rsidDel="00000000" w:rsidR="00000000" w:rsidRPr="00000000">
        <w:rPr>
          <w:i w:val="1"/>
          <w:rtl w:val="0"/>
        </w:rPr>
        <w:t xml:space="preserve">Effective communication with parents</w:t>
      </w:r>
      <w:r w:rsidDel="00000000" w:rsidR="00000000" w:rsidRPr="00000000">
        <w:rPr>
          <w:rtl w:val="0"/>
        </w:rPr>
        <w:t xml:space="preserve">. Cardiff: Welsh government.</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Welsh Government. (2021). </w:t>
      </w:r>
      <w:r w:rsidDel="00000000" w:rsidR="00000000" w:rsidRPr="00000000">
        <w:rPr>
          <w:i w:val="1"/>
          <w:rtl w:val="0"/>
        </w:rPr>
        <w:t xml:space="preserve">Progression Steps for Primary Schools</w:t>
      </w:r>
      <w:r w:rsidDel="00000000" w:rsidR="00000000" w:rsidRPr="00000000">
        <w:rPr>
          <w:rtl w:val="0"/>
        </w:rPr>
        <w:t xml:space="preserve">. Cardiff: Welsh government.</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Welsh Government. (2021). </w:t>
      </w:r>
      <w:r w:rsidDel="00000000" w:rsidR="00000000" w:rsidRPr="00000000">
        <w:rPr>
          <w:i w:val="1"/>
          <w:rtl w:val="0"/>
        </w:rPr>
        <w:t xml:space="preserve">Progression Steps for Primary Schools</w:t>
      </w:r>
      <w:r w:rsidDel="00000000" w:rsidR="00000000" w:rsidRPr="00000000">
        <w:rPr>
          <w:rtl w:val="0"/>
        </w:rPr>
        <w:t xml:space="preserve">. Cardiff: Welsh government.</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color w:val="000000"/>
        </w:rPr>
      </w:pPr>
      <w:r w:rsidDel="00000000" w:rsidR="00000000" w:rsidRPr="00000000">
        <w:rPr>
          <w:rtl w:val="0"/>
        </w:rPr>
      </w:r>
    </w:p>
    <w:p w:rsidR="00000000" w:rsidDel="00000000" w:rsidP="00000000" w:rsidRDefault="00000000" w:rsidRPr="00000000" w14:paraId="0000004C">
      <w:pPr>
        <w:rPr>
          <w:color w:val="000000"/>
        </w:rPr>
      </w:pPr>
      <w:r w:rsidDel="00000000" w:rsidR="00000000" w:rsidRPr="00000000">
        <w:rPr>
          <w:rtl w:val="0"/>
        </w:rPr>
      </w:r>
    </w:p>
    <w:p w:rsidR="00000000" w:rsidDel="00000000" w:rsidP="00000000" w:rsidRDefault="00000000" w:rsidRPr="00000000" w14:paraId="0000004D">
      <w:pPr>
        <w:rPr>
          <w:u w:val="single"/>
        </w:rPr>
      </w:pPr>
      <w:r w:rsidDel="00000000" w:rsidR="00000000" w:rsidRPr="00000000">
        <w:rPr>
          <w:u w:val="single"/>
          <w:rtl w:val="0"/>
        </w:rPr>
        <w:t xml:space="preserve">Appendix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-205756</wp:posOffset>
            </wp:positionH>
            <wp:positionV relativeFrom="paragraph">
              <wp:posOffset>191878</wp:posOffset>
            </wp:positionV>
            <wp:extent cx="5731510" cy="7642225"/>
            <wp:effectExtent b="0" l="0" r="0" t="0"/>
            <wp:wrapTopAndBottom distB="0" distT="0"/>
            <wp:docPr id="8"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731510" cy="7642225"/>
                    </a:xfrm>
                    <a:prstGeom prst="rect"/>
                    <a:ln/>
                  </pic:spPr>
                </pic:pic>
              </a:graphicData>
            </a:graphic>
          </wp:anchor>
        </w:drawing>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-206060</wp:posOffset>
            </wp:positionH>
            <wp:positionV relativeFrom="paragraph">
              <wp:posOffset>257175</wp:posOffset>
            </wp:positionV>
            <wp:extent cx="5870808" cy="7234893"/>
            <wp:effectExtent b="0" l="0" r="0" t="0"/>
            <wp:wrapTopAndBottom distB="0" distT="0"/>
            <wp:docPr id="10"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870808" cy="7234893"/>
                    </a:xfrm>
                    <a:prstGeom prst="rect"/>
                    <a:ln/>
                  </pic:spPr>
                </pic:pic>
              </a:graphicData>
            </a:graphic>
          </wp:anchor>
        </w:drawing>
      </w:r>
    </w:p>
    <w:p w:rsidR="00000000" w:rsidDel="00000000" w:rsidP="00000000" w:rsidRDefault="00000000" w:rsidRPr="00000000" w14:paraId="0000005D">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1024255</wp:posOffset>
            </wp:positionV>
            <wp:extent cx="6074410" cy="7835900"/>
            <wp:effectExtent b="0" l="0" r="0" t="0"/>
            <wp:wrapTopAndBottom distB="0" distT="0"/>
            <wp:docPr id="9"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6074410" cy="7835900"/>
                    </a:xfrm>
                    <a:prstGeom prst="rect"/>
                    <a:ln/>
                  </pic:spPr>
                </pic:pic>
              </a:graphicData>
            </a:graphic>
          </wp:anchor>
        </w:drawing>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br w:type="page"/>
      </w: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br w:type="page"/>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167640</wp:posOffset>
            </wp:positionV>
            <wp:extent cx="5613400" cy="8229600"/>
            <wp:effectExtent b="0" l="0" r="0" t="0"/>
            <wp:wrapTopAndBottom distB="0" distT="0"/>
            <wp:docPr id="7"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613400" cy="8229600"/>
                    </a:xfrm>
                    <a:prstGeom prst="rect"/>
                    <a:ln/>
                  </pic:spPr>
                </pic:pic>
              </a:graphicData>
            </a:graphic>
          </wp:anchor>
        </w:drawing>
      </w:r>
    </w:p>
    <w:p w:rsidR="00000000" w:rsidDel="00000000" w:rsidP="00000000" w:rsidRDefault="00000000" w:rsidRPr="00000000" w14:paraId="00000064">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168275</wp:posOffset>
            </wp:positionV>
            <wp:extent cx="5549900" cy="7962900"/>
            <wp:effectExtent b="0" l="0" r="0" t="0"/>
            <wp:wrapTopAndBottom distB="0" distT="0"/>
            <wp:docPr id="6"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549900" cy="7962900"/>
                    </a:xfrm>
                    <a:prstGeom prst="rect"/>
                    <a:ln/>
                  </pic:spPr>
                </pic:pic>
              </a:graphicData>
            </a:graphic>
          </wp:anchor>
        </w:drawing>
      </w:r>
    </w:p>
    <w:sectPr>
      <w:headerReference r:id="rId12" w:type="default"/>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5.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nU1MzoiQU2yI6nAcYoZuDSAbKQ==">AMUW2mWID3T80ZlRakGDVbV5mXDztTn2qMQG7gZ/+TcRzejdPsGWNqO4Dz7/0q8iO6RwmheHLAR8D/WEtNFRymajrTVFVIwvvfDzKYWQu+ZmFk2J9TO+zrs=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