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F0C5D" w14:textId="77777777" w:rsidR="00EB295E" w:rsidRPr="00F47F2A" w:rsidRDefault="0073407E" w:rsidP="00F47F2A">
      <w:pPr>
        <w:pStyle w:val="Normal1"/>
        <w:spacing w:line="360" w:lineRule="auto"/>
        <w:jc w:val="center"/>
        <w:rPr>
          <w:rFonts w:ascii="Times New Roman" w:eastAsia="Times New Roman" w:hAnsi="Times New Roman" w:cs="Times New Roman"/>
          <w:b/>
          <w:sz w:val="32"/>
          <w:szCs w:val="32"/>
        </w:rPr>
      </w:pPr>
      <w:r w:rsidRPr="00F47F2A">
        <w:rPr>
          <w:rFonts w:ascii="Times New Roman" w:eastAsia="Times New Roman" w:hAnsi="Times New Roman" w:cs="Times New Roman"/>
          <w:b/>
          <w:sz w:val="32"/>
          <w:szCs w:val="32"/>
        </w:rPr>
        <w:t>Community Engagement</w:t>
      </w:r>
    </w:p>
    <w:p w14:paraId="0CCA0C4D" w14:textId="40416977" w:rsidR="0057541D" w:rsidRDefault="0073407E" w:rsidP="00F47F2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F32725">
        <w:rPr>
          <w:rFonts w:ascii="Times New Roman" w:eastAsia="Times New Roman" w:hAnsi="Times New Roman" w:cs="Times New Roman"/>
          <w:sz w:val="24"/>
          <w:szCs w:val="24"/>
        </w:rPr>
        <w:t>Sergiu Ciorici</w:t>
      </w:r>
    </w:p>
    <w:p w14:paraId="3E46A882" w14:textId="60C73AFE" w:rsidR="0057541D" w:rsidRDefault="0073407E" w:rsidP="00F47F2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F32725">
        <w:rPr>
          <w:rFonts w:ascii="Times New Roman" w:eastAsia="Times New Roman" w:hAnsi="Times New Roman" w:cs="Times New Roman"/>
          <w:sz w:val="24"/>
          <w:szCs w:val="24"/>
        </w:rPr>
        <w:t>2</w:t>
      </w:r>
      <w:r w:rsidR="00584784">
        <w:rPr>
          <w:rFonts w:ascii="Times New Roman" w:eastAsia="Times New Roman" w:hAnsi="Times New Roman" w:cs="Times New Roman"/>
          <w:sz w:val="24"/>
          <w:szCs w:val="24"/>
        </w:rPr>
        <w:t>112322</w:t>
      </w:r>
    </w:p>
    <w:p w14:paraId="37BB6875" w14:textId="08796FF1" w:rsidR="0057541D" w:rsidRDefault="0073407E" w:rsidP="00F47F2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Title:</w:t>
      </w:r>
      <w:r w:rsidR="00584784">
        <w:rPr>
          <w:rFonts w:ascii="Times New Roman" w:eastAsia="Times New Roman" w:hAnsi="Times New Roman" w:cs="Times New Roman"/>
          <w:sz w:val="24"/>
          <w:szCs w:val="24"/>
        </w:rPr>
        <w:t xml:space="preserve">Community Engagement </w:t>
      </w:r>
    </w:p>
    <w:p w14:paraId="2D5D35E1" w14:textId="44402240" w:rsidR="00F47F2A" w:rsidRPr="0057541D" w:rsidRDefault="0073407E" w:rsidP="00F47F2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Submission date: </w:t>
      </w:r>
      <w:r w:rsidR="00584784">
        <w:rPr>
          <w:rFonts w:ascii="Times New Roman" w:eastAsia="Times New Roman" w:hAnsi="Times New Roman" w:cs="Times New Roman"/>
          <w:sz w:val="24"/>
          <w:szCs w:val="24"/>
        </w:rPr>
        <w:t>09.</w:t>
      </w:r>
      <w:r w:rsidR="00897EA6">
        <w:rPr>
          <w:rFonts w:ascii="Times New Roman" w:eastAsia="Times New Roman" w:hAnsi="Times New Roman" w:cs="Times New Roman"/>
          <w:sz w:val="24"/>
          <w:szCs w:val="24"/>
        </w:rPr>
        <w:t>05.2022</w:t>
      </w:r>
    </w:p>
    <w:p w14:paraId="43DDF3C1" w14:textId="1CE9416F" w:rsidR="0057541D" w:rsidRDefault="0073407E" w:rsidP="00F47F2A">
      <w:pPr>
        <w:pStyle w:val="Normal1"/>
        <w:rPr>
          <w:rFonts w:ascii="Times New Roman" w:eastAsia="Times New Roman" w:hAnsi="Times New Roman" w:cs="Times New Roman"/>
          <w:b/>
          <w:sz w:val="24"/>
          <w:szCs w:val="24"/>
        </w:rPr>
      </w:pPr>
      <w:r>
        <w:br w:type="page"/>
      </w:r>
    </w:p>
    <w:p w14:paraId="34DD00AA" w14:textId="77777777" w:rsidR="0057541D" w:rsidRDefault="0057541D" w:rsidP="0057541D">
      <w:pPr>
        <w:jc w:val="both"/>
        <w:rPr>
          <w:rFonts w:ascii="Times New Roman" w:eastAsia="Times New Roman" w:hAnsi="Times New Roman" w:cs="Times New Roman"/>
          <w:b/>
          <w:sz w:val="24"/>
          <w:szCs w:val="24"/>
        </w:rPr>
      </w:pPr>
    </w:p>
    <w:sdt>
      <w:sdtPr>
        <w:rPr>
          <w:rFonts w:ascii="Arial" w:eastAsia="Arial" w:hAnsi="Arial" w:cs="Arial"/>
          <w:b w:val="0"/>
          <w:bCs w:val="0"/>
          <w:color w:val="auto"/>
          <w:sz w:val="22"/>
          <w:szCs w:val="22"/>
        </w:rPr>
        <w:id w:val="2004091251"/>
        <w:docPartObj>
          <w:docPartGallery w:val="Table of Contents"/>
          <w:docPartUnique/>
        </w:docPartObj>
      </w:sdtPr>
      <w:sdtEndPr>
        <w:rPr>
          <w:noProof/>
        </w:rPr>
      </w:sdtEndPr>
      <w:sdtContent>
        <w:p w14:paraId="4B685051" w14:textId="7D6310C8" w:rsidR="00F47F2A" w:rsidRPr="00F47F2A" w:rsidRDefault="0073407E" w:rsidP="00F47F2A">
          <w:pPr>
            <w:pStyle w:val="a9"/>
            <w:spacing w:line="360" w:lineRule="auto"/>
            <w:jc w:val="center"/>
            <w:rPr>
              <w:rFonts w:ascii="Times New Roman" w:hAnsi="Times New Roman" w:cs="Times New Roman"/>
              <w:color w:val="000000" w:themeColor="text1"/>
            </w:rPr>
          </w:pPr>
          <w:r w:rsidRPr="00F47F2A">
            <w:rPr>
              <w:rFonts w:ascii="Times New Roman" w:hAnsi="Times New Roman" w:cs="Times New Roman"/>
              <w:color w:val="000000" w:themeColor="text1"/>
            </w:rPr>
            <w:t>Table of Contents</w:t>
          </w:r>
        </w:p>
        <w:p w14:paraId="55CC12EA" w14:textId="13B196EA" w:rsidR="00F47F2A" w:rsidRPr="00F47F2A" w:rsidRDefault="0073407E" w:rsidP="00F47F2A">
          <w:pPr>
            <w:pStyle w:val="10"/>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F47F2A">
            <w:rPr>
              <w:rFonts w:ascii="Times New Roman" w:hAnsi="Times New Roman" w:cs="Times New Roman"/>
              <w:sz w:val="24"/>
              <w:szCs w:val="24"/>
            </w:rPr>
            <w:fldChar w:fldCharType="begin"/>
          </w:r>
          <w:r w:rsidRPr="00F47F2A">
            <w:rPr>
              <w:rFonts w:ascii="Times New Roman" w:hAnsi="Times New Roman" w:cs="Times New Roman"/>
              <w:sz w:val="24"/>
              <w:szCs w:val="24"/>
            </w:rPr>
            <w:instrText xml:space="preserve"> TOC \o "1-3" \h \z \u </w:instrText>
          </w:r>
          <w:r w:rsidRPr="00F47F2A">
            <w:rPr>
              <w:rFonts w:ascii="Times New Roman" w:hAnsi="Times New Roman" w:cs="Times New Roman"/>
              <w:sz w:val="24"/>
              <w:szCs w:val="24"/>
            </w:rPr>
            <w:fldChar w:fldCharType="separate"/>
          </w:r>
          <w:hyperlink w:anchor="_Toc100213424" w:history="1">
            <w:r w:rsidRPr="00F47F2A">
              <w:rPr>
                <w:rStyle w:val="aa"/>
                <w:rFonts w:ascii="Times New Roman" w:hAnsi="Times New Roman" w:cs="Times New Roman"/>
                <w:noProof/>
                <w:sz w:val="24"/>
                <w:szCs w:val="24"/>
              </w:rPr>
              <w:t>Introduction</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_Toc100213424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3</w:t>
            </w:r>
            <w:r w:rsidRPr="00F47F2A">
              <w:rPr>
                <w:rFonts w:ascii="Times New Roman" w:hAnsi="Times New Roman" w:cs="Times New Roman"/>
                <w:noProof/>
                <w:webHidden/>
                <w:sz w:val="24"/>
                <w:szCs w:val="24"/>
              </w:rPr>
              <w:fldChar w:fldCharType="end"/>
            </w:r>
          </w:hyperlink>
        </w:p>
        <w:p w14:paraId="10FE802A" w14:textId="3F19BBBB" w:rsidR="00F47F2A" w:rsidRPr="00F47F2A" w:rsidRDefault="0073407E" w:rsidP="00F47F2A">
          <w:pPr>
            <w:pStyle w:val="1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25" w:history="1">
            <w:r w:rsidRPr="00F47F2A">
              <w:rPr>
                <w:rStyle w:val="aa"/>
                <w:rFonts w:ascii="Times New Roman" w:hAnsi="Times New Roman" w:cs="Times New Roman"/>
                <w:noProof/>
                <w:sz w:val="24"/>
                <w:szCs w:val="24"/>
              </w:rPr>
              <w:t>Discussion</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_Toc100213425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3</w:t>
            </w:r>
            <w:r w:rsidRPr="00F47F2A">
              <w:rPr>
                <w:rFonts w:ascii="Times New Roman" w:hAnsi="Times New Roman" w:cs="Times New Roman"/>
                <w:noProof/>
                <w:webHidden/>
                <w:sz w:val="24"/>
                <w:szCs w:val="24"/>
              </w:rPr>
              <w:fldChar w:fldCharType="end"/>
            </w:r>
          </w:hyperlink>
        </w:p>
        <w:p w14:paraId="0E8786FB" w14:textId="745F2A60"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26" w:history="1">
            <w:r w:rsidRPr="00F47F2A">
              <w:rPr>
                <w:rStyle w:val="aa"/>
                <w:rFonts w:ascii="Times New Roman" w:hAnsi="Times New Roman" w:cs="Times New Roman"/>
                <w:noProof/>
                <w:sz w:val="24"/>
                <w:szCs w:val="24"/>
              </w:rPr>
              <w:t>Difference between two projects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_Toc100213426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3</w:t>
            </w:r>
            <w:r w:rsidRPr="00F47F2A">
              <w:rPr>
                <w:rFonts w:ascii="Times New Roman" w:hAnsi="Times New Roman" w:cs="Times New Roman"/>
                <w:noProof/>
                <w:webHidden/>
                <w:sz w:val="24"/>
                <w:szCs w:val="24"/>
              </w:rPr>
              <w:fldChar w:fldCharType="end"/>
            </w:r>
          </w:hyperlink>
        </w:p>
        <w:p w14:paraId="0051F5BF" w14:textId="72C3BF9A"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27" w:history="1">
            <w:r w:rsidRPr="00F47F2A">
              <w:rPr>
                <w:rStyle w:val="aa"/>
                <w:rFonts w:ascii="Times New Roman" w:hAnsi="Times New Roman" w:cs="Times New Roman"/>
                <w:noProof/>
                <w:sz w:val="24"/>
                <w:szCs w:val="24"/>
              </w:rPr>
              <w:t>Consultation of the projects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_Toc100213427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4</w:t>
            </w:r>
            <w:r w:rsidRPr="00F47F2A">
              <w:rPr>
                <w:rFonts w:ascii="Times New Roman" w:hAnsi="Times New Roman" w:cs="Times New Roman"/>
                <w:noProof/>
                <w:webHidden/>
                <w:sz w:val="24"/>
                <w:szCs w:val="24"/>
              </w:rPr>
              <w:fldChar w:fldCharType="end"/>
            </w:r>
          </w:hyperlink>
        </w:p>
        <w:p w14:paraId="634D5A74" w14:textId="68861F98"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28" w:history="1">
            <w:r w:rsidRPr="00F47F2A">
              <w:rPr>
                <w:rStyle w:val="aa"/>
                <w:rFonts w:ascii="Times New Roman" w:hAnsi="Times New Roman" w:cs="Times New Roman"/>
                <w:noProof/>
                <w:sz w:val="24"/>
                <w:szCs w:val="24"/>
              </w:rPr>
              <w:t>Constructive communication</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_Toc100213428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4</w:t>
            </w:r>
            <w:r w:rsidRPr="00F47F2A">
              <w:rPr>
                <w:rFonts w:ascii="Times New Roman" w:hAnsi="Times New Roman" w:cs="Times New Roman"/>
                <w:noProof/>
                <w:webHidden/>
                <w:sz w:val="24"/>
                <w:szCs w:val="24"/>
              </w:rPr>
              <w:fldChar w:fldCharType="end"/>
            </w:r>
          </w:hyperlink>
        </w:p>
        <w:p w14:paraId="29940B94" w14:textId="3B79F4C6"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29" w:history="1">
            <w:r w:rsidRPr="00F47F2A">
              <w:rPr>
                <w:rStyle w:val="aa"/>
                <w:rFonts w:ascii="Times New Roman" w:hAnsi="Times New Roman" w:cs="Times New Roman"/>
                <w:noProof/>
                <w:sz w:val="24"/>
                <w:szCs w:val="24"/>
              </w:rPr>
              <w:t>Cooperation of stakeholders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_Toc100213429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4</w:t>
            </w:r>
            <w:r w:rsidRPr="00F47F2A">
              <w:rPr>
                <w:rFonts w:ascii="Times New Roman" w:hAnsi="Times New Roman" w:cs="Times New Roman"/>
                <w:noProof/>
                <w:webHidden/>
                <w:sz w:val="24"/>
                <w:szCs w:val="24"/>
              </w:rPr>
              <w:fldChar w:fldCharType="end"/>
            </w:r>
          </w:hyperlink>
        </w:p>
        <w:p w14:paraId="2F8D0329" w14:textId="1BD9B7BF"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0" w:history="1">
            <w:r w:rsidRPr="00F47F2A">
              <w:rPr>
                <w:rStyle w:val="aa"/>
                <w:rFonts w:ascii="Times New Roman" w:hAnsi="Times New Roman" w:cs="Times New Roman"/>
                <w:noProof/>
                <w:sz w:val="24"/>
                <w:szCs w:val="24"/>
              </w:rPr>
              <w:t>Inclusion of upcoming approa</w:t>
            </w:r>
            <w:r w:rsidRPr="00F47F2A">
              <w:rPr>
                <w:rStyle w:val="aa"/>
                <w:rFonts w:ascii="Times New Roman" w:hAnsi="Times New Roman" w:cs="Times New Roman"/>
                <w:noProof/>
                <w:sz w:val="24"/>
                <w:szCs w:val="24"/>
              </w:rPr>
              <w:t>ches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_Toc100213430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5</w:t>
            </w:r>
            <w:r w:rsidRPr="00F47F2A">
              <w:rPr>
                <w:rFonts w:ascii="Times New Roman" w:hAnsi="Times New Roman" w:cs="Times New Roman"/>
                <w:noProof/>
                <w:webHidden/>
                <w:sz w:val="24"/>
                <w:szCs w:val="24"/>
              </w:rPr>
              <w:fldChar w:fldCharType="end"/>
            </w:r>
          </w:hyperlink>
        </w:p>
        <w:p w14:paraId="4FBEFFEE" w14:textId="004D7CB9" w:rsidR="00F47F2A" w:rsidRPr="00F47F2A" w:rsidRDefault="0073407E" w:rsidP="00F47F2A">
          <w:pPr>
            <w:pStyle w:val="1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1" w:history="1">
            <w:r w:rsidRPr="00F47F2A">
              <w:rPr>
                <w:rStyle w:val="aa"/>
                <w:rFonts w:ascii="Times New Roman" w:hAnsi="Times New Roman" w:cs="Times New Roman"/>
                <w:noProof/>
                <w:sz w:val="24"/>
                <w:szCs w:val="24"/>
              </w:rPr>
              <w:t>Analysis of the projects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_Toc100213431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5</w:t>
            </w:r>
            <w:r w:rsidRPr="00F47F2A">
              <w:rPr>
                <w:rFonts w:ascii="Times New Roman" w:hAnsi="Times New Roman" w:cs="Times New Roman"/>
                <w:noProof/>
                <w:webHidden/>
                <w:sz w:val="24"/>
                <w:szCs w:val="24"/>
              </w:rPr>
              <w:fldChar w:fldCharType="end"/>
            </w:r>
          </w:hyperlink>
        </w:p>
        <w:p w14:paraId="6D6D249A" w14:textId="2C727DCE"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2" w:history="1">
            <w:r w:rsidRPr="00F47F2A">
              <w:rPr>
                <w:rStyle w:val="aa"/>
                <w:rFonts w:ascii="Times New Roman" w:hAnsi="Times New Roman" w:cs="Times New Roman"/>
                <w:noProof/>
                <w:sz w:val="24"/>
                <w:szCs w:val="24"/>
              </w:rPr>
              <w:t>Community mapping</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_Toc100213432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5</w:t>
            </w:r>
            <w:r w:rsidRPr="00F47F2A">
              <w:rPr>
                <w:rFonts w:ascii="Times New Roman" w:hAnsi="Times New Roman" w:cs="Times New Roman"/>
                <w:noProof/>
                <w:webHidden/>
                <w:sz w:val="24"/>
                <w:szCs w:val="24"/>
              </w:rPr>
              <w:fldChar w:fldCharType="end"/>
            </w:r>
          </w:hyperlink>
        </w:p>
        <w:p w14:paraId="0F220B4E" w14:textId="41E8B779"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3" w:history="1">
            <w:r w:rsidRPr="00F47F2A">
              <w:rPr>
                <w:rStyle w:val="aa"/>
                <w:rFonts w:ascii="Times New Roman" w:hAnsi="Times New Roman" w:cs="Times New Roman"/>
                <w:noProof/>
                <w:sz w:val="24"/>
                <w:szCs w:val="24"/>
              </w:rPr>
              <w:t>Engagement of social media platforms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_Toc100213433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6</w:t>
            </w:r>
            <w:r w:rsidRPr="00F47F2A">
              <w:rPr>
                <w:rFonts w:ascii="Times New Roman" w:hAnsi="Times New Roman" w:cs="Times New Roman"/>
                <w:noProof/>
                <w:webHidden/>
                <w:sz w:val="24"/>
                <w:szCs w:val="24"/>
              </w:rPr>
              <w:fldChar w:fldCharType="end"/>
            </w:r>
          </w:hyperlink>
        </w:p>
        <w:p w14:paraId="28185D6B" w14:textId="708EA78A"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4" w:history="1">
            <w:r w:rsidRPr="00F47F2A">
              <w:rPr>
                <w:rStyle w:val="aa"/>
                <w:rFonts w:ascii="Times New Roman" w:hAnsi="Times New Roman" w:cs="Times New Roman"/>
                <w:noProof/>
                <w:sz w:val="24"/>
                <w:szCs w:val="24"/>
              </w:rPr>
              <w:t>Critical analysis of the two projects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_Toc100213434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6</w:t>
            </w:r>
            <w:r w:rsidRPr="00F47F2A">
              <w:rPr>
                <w:rFonts w:ascii="Times New Roman" w:hAnsi="Times New Roman" w:cs="Times New Roman"/>
                <w:noProof/>
                <w:webHidden/>
                <w:sz w:val="24"/>
                <w:szCs w:val="24"/>
              </w:rPr>
              <w:fldChar w:fldCharType="end"/>
            </w:r>
          </w:hyperlink>
        </w:p>
        <w:p w14:paraId="49C4A08C" w14:textId="43D09001"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5" w:history="1">
            <w:r w:rsidRPr="00F47F2A">
              <w:rPr>
                <w:rStyle w:val="aa"/>
                <w:rFonts w:ascii="Times New Roman" w:hAnsi="Times New Roman" w:cs="Times New Roman"/>
                <w:noProof/>
                <w:sz w:val="24"/>
                <w:szCs w:val="24"/>
              </w:rPr>
              <w:t>Evaluation of the two projects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_Toc100213435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6</w:t>
            </w:r>
            <w:r w:rsidRPr="00F47F2A">
              <w:rPr>
                <w:rFonts w:ascii="Times New Roman" w:hAnsi="Times New Roman" w:cs="Times New Roman"/>
                <w:noProof/>
                <w:webHidden/>
                <w:sz w:val="24"/>
                <w:szCs w:val="24"/>
              </w:rPr>
              <w:fldChar w:fldCharType="end"/>
            </w:r>
          </w:hyperlink>
        </w:p>
        <w:p w14:paraId="174FEA10" w14:textId="720E861E" w:rsidR="00F47F2A" w:rsidRPr="00F47F2A" w:rsidRDefault="0073407E" w:rsidP="00F47F2A">
          <w:pPr>
            <w:pStyle w:val="2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6" w:history="1">
            <w:r w:rsidRPr="00F47F2A">
              <w:rPr>
                <w:rStyle w:val="aa"/>
                <w:rFonts w:ascii="Times New Roman" w:hAnsi="Times New Roman" w:cs="Times New Roman"/>
                <w:noProof/>
                <w:sz w:val="24"/>
                <w:szCs w:val="24"/>
              </w:rPr>
              <w:t>Good practices</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_Toc100213436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7</w:t>
            </w:r>
            <w:r w:rsidRPr="00F47F2A">
              <w:rPr>
                <w:rFonts w:ascii="Times New Roman" w:hAnsi="Times New Roman" w:cs="Times New Roman"/>
                <w:noProof/>
                <w:webHidden/>
                <w:sz w:val="24"/>
                <w:szCs w:val="24"/>
              </w:rPr>
              <w:fldChar w:fldCharType="end"/>
            </w:r>
          </w:hyperlink>
        </w:p>
        <w:p w14:paraId="6FD31B10" w14:textId="4A7D068C" w:rsidR="00F47F2A" w:rsidRPr="00F47F2A" w:rsidRDefault="0073407E" w:rsidP="00F47F2A">
          <w:pPr>
            <w:pStyle w:val="1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7" w:history="1">
            <w:r w:rsidRPr="00F47F2A">
              <w:rPr>
                <w:rStyle w:val="aa"/>
                <w:rFonts w:ascii="Times New Roman" w:hAnsi="Times New Roman" w:cs="Times New Roman"/>
                <w:noProof/>
                <w:sz w:val="24"/>
                <w:szCs w:val="24"/>
              </w:rPr>
              <w:t>Conclusion</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_Toc100213437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7</w:t>
            </w:r>
            <w:r w:rsidRPr="00F47F2A">
              <w:rPr>
                <w:rFonts w:ascii="Times New Roman" w:hAnsi="Times New Roman" w:cs="Times New Roman"/>
                <w:noProof/>
                <w:webHidden/>
                <w:sz w:val="24"/>
                <w:szCs w:val="24"/>
              </w:rPr>
              <w:fldChar w:fldCharType="end"/>
            </w:r>
          </w:hyperlink>
        </w:p>
        <w:p w14:paraId="10C217F2" w14:textId="2592A402" w:rsidR="00F47F2A" w:rsidRPr="00F47F2A" w:rsidRDefault="0073407E" w:rsidP="00F47F2A">
          <w:pPr>
            <w:pStyle w:val="10"/>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13438" w:history="1">
            <w:r w:rsidRPr="00F47F2A">
              <w:rPr>
                <w:rStyle w:val="aa"/>
                <w:rFonts w:ascii="Times New Roman" w:hAnsi="Times New Roman" w:cs="Times New Roman"/>
                <w:noProof/>
                <w:sz w:val="24"/>
                <w:szCs w:val="24"/>
              </w:rPr>
              <w:t>Reference list</w:t>
            </w:r>
            <w:r w:rsidRPr="00F47F2A">
              <w:rPr>
                <w:rFonts w:ascii="Times New Roman" w:hAnsi="Times New Roman" w:cs="Times New Roman"/>
                <w:noProof/>
                <w:webHidden/>
                <w:sz w:val="24"/>
                <w:szCs w:val="24"/>
              </w:rPr>
              <w:tab/>
            </w:r>
            <w:r w:rsidRPr="00F47F2A">
              <w:rPr>
                <w:rFonts w:ascii="Times New Roman" w:hAnsi="Times New Roman" w:cs="Times New Roman"/>
                <w:noProof/>
                <w:webHidden/>
                <w:sz w:val="24"/>
                <w:szCs w:val="24"/>
              </w:rPr>
              <w:fldChar w:fldCharType="begin"/>
            </w:r>
            <w:r w:rsidRPr="00F47F2A">
              <w:rPr>
                <w:rFonts w:ascii="Times New Roman" w:hAnsi="Times New Roman" w:cs="Times New Roman"/>
                <w:noProof/>
                <w:webHidden/>
                <w:sz w:val="24"/>
                <w:szCs w:val="24"/>
              </w:rPr>
              <w:instrText xml:space="preserve"> PAGEREF _Toc100213438 \h </w:instrText>
            </w:r>
            <w:r w:rsidRPr="00F47F2A">
              <w:rPr>
                <w:rFonts w:ascii="Times New Roman" w:hAnsi="Times New Roman" w:cs="Times New Roman"/>
                <w:noProof/>
                <w:webHidden/>
                <w:sz w:val="24"/>
                <w:szCs w:val="24"/>
              </w:rPr>
            </w:r>
            <w:r w:rsidRPr="00F47F2A">
              <w:rPr>
                <w:rFonts w:ascii="Times New Roman" w:hAnsi="Times New Roman" w:cs="Times New Roman"/>
                <w:noProof/>
                <w:webHidden/>
                <w:sz w:val="24"/>
                <w:szCs w:val="24"/>
              </w:rPr>
              <w:fldChar w:fldCharType="separate"/>
            </w:r>
            <w:r w:rsidRPr="00F47F2A">
              <w:rPr>
                <w:rFonts w:ascii="Times New Roman" w:hAnsi="Times New Roman" w:cs="Times New Roman"/>
                <w:noProof/>
                <w:webHidden/>
                <w:sz w:val="24"/>
                <w:szCs w:val="24"/>
              </w:rPr>
              <w:t>9</w:t>
            </w:r>
            <w:r w:rsidRPr="00F47F2A">
              <w:rPr>
                <w:rFonts w:ascii="Times New Roman" w:hAnsi="Times New Roman" w:cs="Times New Roman"/>
                <w:noProof/>
                <w:webHidden/>
                <w:sz w:val="24"/>
                <w:szCs w:val="24"/>
              </w:rPr>
              <w:fldChar w:fldCharType="end"/>
            </w:r>
          </w:hyperlink>
        </w:p>
        <w:p w14:paraId="7BDE1EDF" w14:textId="05AA9D59" w:rsidR="00F47F2A" w:rsidRDefault="0073407E" w:rsidP="00F47F2A">
          <w:pPr>
            <w:spacing w:line="360" w:lineRule="auto"/>
            <w:jc w:val="both"/>
          </w:pPr>
          <w:r w:rsidRPr="00F47F2A">
            <w:rPr>
              <w:rFonts w:ascii="Times New Roman" w:hAnsi="Times New Roman" w:cs="Times New Roman"/>
              <w:b/>
              <w:bCs/>
              <w:noProof/>
              <w:sz w:val="24"/>
              <w:szCs w:val="24"/>
            </w:rPr>
            <w:fldChar w:fldCharType="end"/>
          </w:r>
        </w:p>
      </w:sdtContent>
    </w:sdt>
    <w:p w14:paraId="6D561347" w14:textId="77777777" w:rsidR="0057541D" w:rsidRPr="0057541D" w:rsidRDefault="0073407E" w:rsidP="0057541D">
      <w:pPr>
        <w:jc w:val="both"/>
        <w:rPr>
          <w:rFonts w:ascii="Times New Roman" w:eastAsia="Times New Roman" w:hAnsi="Times New Roman" w:cs="Times New Roman"/>
          <w:b/>
          <w:sz w:val="28"/>
          <w:szCs w:val="28"/>
        </w:rPr>
      </w:pPr>
      <w:r>
        <w:rPr>
          <w:rFonts w:ascii="Times New Roman" w:eastAsia="Times New Roman" w:hAnsi="Times New Roman" w:cs="Times New Roman"/>
          <w:b/>
          <w:sz w:val="24"/>
          <w:szCs w:val="24"/>
        </w:rPr>
        <w:br w:type="page"/>
      </w:r>
    </w:p>
    <w:p w14:paraId="1A2E69CE" w14:textId="77777777" w:rsidR="00EB295E" w:rsidRDefault="0073407E">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Part B</w:t>
      </w:r>
    </w:p>
    <w:p w14:paraId="019DC39B" w14:textId="77777777" w:rsidR="00EB295E" w:rsidRDefault="00EB295E">
      <w:pPr>
        <w:pStyle w:val="Normal1"/>
        <w:rPr>
          <w:rFonts w:ascii="Times New Roman" w:eastAsia="Times New Roman" w:hAnsi="Times New Roman" w:cs="Times New Roman"/>
          <w:b/>
          <w:sz w:val="24"/>
          <w:szCs w:val="24"/>
        </w:rPr>
      </w:pPr>
    </w:p>
    <w:p w14:paraId="1C65B487" w14:textId="77777777" w:rsidR="00EB295E" w:rsidRPr="0057541D" w:rsidRDefault="0073407E" w:rsidP="0057541D">
      <w:pPr>
        <w:pStyle w:val="1"/>
      </w:pPr>
      <w:bookmarkStart w:id="0" w:name="_Toc100213424"/>
      <w:r w:rsidRPr="0057541D">
        <w:t>Introduction</w:t>
      </w:r>
      <w:bookmarkEnd w:id="0"/>
      <w:r w:rsidRPr="0057541D">
        <w:t xml:space="preserve"> </w:t>
      </w:r>
    </w:p>
    <w:p w14:paraId="04CB60C3"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Community engagement is a process where the public governing bodies engage with the communities to create opportunities for empowerment and community empowerment gives shape and power to the community and influences the function of public governing bodies.</w:t>
      </w:r>
      <w:r>
        <w:rPr>
          <w:rFonts w:ascii="Times New Roman" w:eastAsia="Times New Roman" w:hAnsi="Times New Roman" w:cs="Times New Roman"/>
          <w:color w:val="0E101A"/>
          <w:sz w:val="24"/>
          <w:szCs w:val="24"/>
        </w:rPr>
        <w:t xml:space="preserve"> In the process of community engagement, the public bodies associated with the community with the help of individuals and some specific groups. The people have to be interested in the development of economic and social culture and the contribution of socia</w:t>
      </w:r>
      <w:r>
        <w:rPr>
          <w:rFonts w:ascii="Times New Roman" w:eastAsia="Times New Roman" w:hAnsi="Times New Roman" w:cs="Times New Roman"/>
          <w:color w:val="0E101A"/>
          <w:sz w:val="24"/>
          <w:szCs w:val="24"/>
        </w:rPr>
        <w:t>l culture to the community. The main purpose of this event is to form a special connection in community engagement. This event of community engagement appeared as a power-packed event and circulate the changes in the behavioural and moral changes of indivi</w:t>
      </w:r>
      <w:r>
        <w:rPr>
          <w:rFonts w:ascii="Times New Roman" w:eastAsia="Times New Roman" w:hAnsi="Times New Roman" w:cs="Times New Roman"/>
          <w:color w:val="0E101A"/>
          <w:sz w:val="24"/>
          <w:szCs w:val="24"/>
        </w:rPr>
        <w:t>duals and also in the economic and social culture of the individuals (Moodley and Beyer, 2019). The improvement and development of the physical health of the members of the team energise them to accept the positive changes in the community. The organisatio</w:t>
      </w:r>
      <w:r>
        <w:rPr>
          <w:rFonts w:ascii="Times New Roman" w:eastAsia="Times New Roman" w:hAnsi="Times New Roman" w:cs="Times New Roman"/>
          <w:color w:val="0E101A"/>
          <w:sz w:val="24"/>
          <w:szCs w:val="24"/>
        </w:rPr>
        <w:t xml:space="preserve">n has launched a measurable policy to eliminate the problems of cancer. This project is implemented in different areas in the United Kingdom, while the new event is centralised to children having malnutrition. The mentality of the people has to be changed </w:t>
      </w:r>
      <w:r>
        <w:rPr>
          <w:rFonts w:ascii="Times New Roman" w:eastAsia="Times New Roman" w:hAnsi="Times New Roman" w:cs="Times New Roman"/>
          <w:color w:val="0E101A"/>
          <w:sz w:val="24"/>
          <w:szCs w:val="24"/>
        </w:rPr>
        <w:t xml:space="preserve">so the organisation tries to organise an awareness program regarding child malnutrition. </w:t>
      </w:r>
    </w:p>
    <w:p w14:paraId="094BBCEC" w14:textId="77777777" w:rsidR="00EB295E" w:rsidRPr="0057541D" w:rsidRDefault="0073407E" w:rsidP="0057541D">
      <w:pPr>
        <w:pStyle w:val="1"/>
      </w:pPr>
      <w:bookmarkStart w:id="1" w:name="_Toc100213425"/>
      <w:r w:rsidRPr="0057541D">
        <w:t>Discussion</w:t>
      </w:r>
      <w:bookmarkEnd w:id="1"/>
      <w:r w:rsidRPr="0057541D">
        <w:t xml:space="preserve"> </w:t>
      </w:r>
    </w:p>
    <w:p w14:paraId="399B5BAD" w14:textId="77777777" w:rsidR="00EB295E" w:rsidRPr="0057541D" w:rsidRDefault="0073407E" w:rsidP="0057541D">
      <w:pPr>
        <w:pStyle w:val="2"/>
      </w:pPr>
      <w:bookmarkStart w:id="2" w:name="_Toc100213426"/>
      <w:r w:rsidRPr="0057541D">
        <w:t>Diffe</w:t>
      </w:r>
      <w:r w:rsidR="0057541D" w:rsidRPr="0057541D">
        <w:t>rence between two projects</w:t>
      </w:r>
      <w:bookmarkEnd w:id="2"/>
      <w:r w:rsidR="0057541D" w:rsidRPr="0057541D">
        <w:t xml:space="preserve"> </w:t>
      </w:r>
    </w:p>
    <w:p w14:paraId="1818C4F1" w14:textId="304B6A90"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assessment 1, The strategies of the Thames Path Challenge were explained and elaborated. The Thames Path Challenge was</w:t>
      </w:r>
      <w:r>
        <w:rPr>
          <w:rFonts w:ascii="Times New Roman" w:eastAsia="Times New Roman" w:hAnsi="Times New Roman" w:cs="Times New Roman"/>
          <w:color w:val="0E101A"/>
          <w:sz w:val="24"/>
          <w:szCs w:val="24"/>
        </w:rPr>
        <w:t xml:space="preserve"> held on the 10th and 11th of September, 2022. More than 3000 people of Putney Bridge were associated with this project. The drawbacks of the </w:t>
      </w:r>
      <w:r w:rsidR="00F47F2A">
        <w:rPr>
          <w:rFonts w:ascii="Times New Roman" w:eastAsia="Times New Roman" w:hAnsi="Times New Roman" w:cs="Times New Roman"/>
          <w:color w:val="0E101A"/>
          <w:sz w:val="24"/>
          <w:szCs w:val="24"/>
        </w:rPr>
        <w:t>Thames River</w:t>
      </w:r>
      <w:r>
        <w:rPr>
          <w:rFonts w:ascii="Times New Roman" w:eastAsia="Times New Roman" w:hAnsi="Times New Roman" w:cs="Times New Roman"/>
          <w:color w:val="0E101A"/>
          <w:sz w:val="24"/>
          <w:szCs w:val="24"/>
        </w:rPr>
        <w:t xml:space="preserve"> provide an excellent view that encourages the people to take part in different physical activities in</w:t>
      </w:r>
      <w:r>
        <w:rPr>
          <w:rFonts w:ascii="Times New Roman" w:eastAsia="Times New Roman" w:hAnsi="Times New Roman" w:cs="Times New Roman"/>
          <w:color w:val="0E101A"/>
          <w:sz w:val="24"/>
          <w:szCs w:val="24"/>
        </w:rPr>
        <w:t xml:space="preserve"> this project. The Thames project has been operated in different areas of the UK. While the new project has a concentration on the malnutrition of children (Perdomoa et al., 2019). As the community has grown up, the mentality of the people should be change</w:t>
      </w:r>
      <w:r>
        <w:rPr>
          <w:rFonts w:ascii="Times New Roman" w:eastAsia="Times New Roman" w:hAnsi="Times New Roman" w:cs="Times New Roman"/>
          <w:color w:val="0E101A"/>
          <w:sz w:val="24"/>
          <w:szCs w:val="24"/>
        </w:rPr>
        <w:t>d. So that the organisation is working soulfully to create an awareness in the community about the problems and avoidable measures of child Malnutrition. The organisation needs to organise different campaigns for the people in the community to understand t</w:t>
      </w:r>
      <w:r>
        <w:rPr>
          <w:rFonts w:ascii="Times New Roman" w:eastAsia="Times New Roman" w:hAnsi="Times New Roman" w:cs="Times New Roman"/>
          <w:color w:val="0E101A"/>
          <w:sz w:val="24"/>
          <w:szCs w:val="24"/>
        </w:rPr>
        <w:t xml:space="preserve">he </w:t>
      </w:r>
      <w:r w:rsidR="00F47F2A">
        <w:rPr>
          <w:rFonts w:ascii="Times New Roman" w:eastAsia="Times New Roman" w:hAnsi="Times New Roman" w:cs="Times New Roman"/>
          <w:color w:val="0E101A"/>
          <w:sz w:val="24"/>
          <w:szCs w:val="24"/>
        </w:rPr>
        <w:t>Elope</w:t>
      </w:r>
      <w:r>
        <w:rPr>
          <w:rFonts w:ascii="Times New Roman" w:eastAsia="Times New Roman" w:hAnsi="Times New Roman" w:cs="Times New Roman"/>
          <w:color w:val="0E101A"/>
          <w:sz w:val="24"/>
          <w:szCs w:val="24"/>
        </w:rPr>
        <w:t xml:space="preserve"> of Malnutrition. For the expansion of the development of the community the organisation tries to collect funds from people. </w:t>
      </w:r>
    </w:p>
    <w:p w14:paraId="09481F7B" w14:textId="77777777" w:rsidR="00EB295E" w:rsidRPr="0057541D" w:rsidRDefault="0073407E" w:rsidP="0057541D">
      <w:pPr>
        <w:pStyle w:val="2"/>
      </w:pPr>
      <w:bookmarkStart w:id="3" w:name="_Toc100213427"/>
      <w:r w:rsidRPr="0057541D">
        <w:lastRenderedPageBreak/>
        <w:t>Co</w:t>
      </w:r>
      <w:r w:rsidR="0057541D" w:rsidRPr="0057541D">
        <w:t>nsultation of the projects</w:t>
      </w:r>
      <w:bookmarkEnd w:id="3"/>
      <w:r w:rsidR="0057541D" w:rsidRPr="0057541D">
        <w:t xml:space="preserve"> </w:t>
      </w:r>
    </w:p>
    <w:p w14:paraId="2EEC6190" w14:textId="420D5215"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Generally, consultation focuses on the major principles followed by both organisations to handle the project for further development. Therefore, no extra investments occur in these projects. It has been found that the organisers of Thames Path Challenge ar</w:t>
      </w:r>
      <w:r>
        <w:rPr>
          <w:rFonts w:ascii="Times New Roman" w:eastAsia="Times New Roman" w:hAnsi="Times New Roman" w:cs="Times New Roman"/>
          <w:color w:val="0E101A"/>
          <w:sz w:val="24"/>
          <w:szCs w:val="24"/>
        </w:rPr>
        <w:t>range meetings with the authorities of different local organisations at particular intervals. The meetings are organised to identify whether there is any person with a disability who needs psychological dressing and best care. The organisers speak to the d</w:t>
      </w:r>
      <w:r>
        <w:rPr>
          <w:rFonts w:ascii="Times New Roman" w:eastAsia="Times New Roman" w:hAnsi="Times New Roman" w:cs="Times New Roman"/>
          <w:color w:val="0E101A"/>
          <w:sz w:val="24"/>
          <w:szCs w:val="24"/>
        </w:rPr>
        <w:t xml:space="preserve">isabled person immediately if needed, so that they can take care of them with the help of people funding (Kumar, 2019). In the project malnutrition awareness programme, the organisers chose a </w:t>
      </w:r>
      <w:r w:rsidR="00F47F2A">
        <w:rPr>
          <w:rFonts w:ascii="Times New Roman" w:eastAsia="Times New Roman" w:hAnsi="Times New Roman" w:cs="Times New Roman"/>
          <w:color w:val="0E101A"/>
          <w:sz w:val="24"/>
          <w:szCs w:val="24"/>
        </w:rPr>
        <w:t>door-to-door</w:t>
      </w:r>
      <w:r>
        <w:rPr>
          <w:rFonts w:ascii="Times New Roman" w:eastAsia="Times New Roman" w:hAnsi="Times New Roman" w:cs="Times New Roman"/>
          <w:color w:val="0E101A"/>
          <w:sz w:val="24"/>
          <w:szCs w:val="24"/>
        </w:rPr>
        <w:t xml:space="preserve"> campaign to understand people's mentality regarding</w:t>
      </w:r>
      <w:r>
        <w:rPr>
          <w:rFonts w:ascii="Times New Roman" w:eastAsia="Times New Roman" w:hAnsi="Times New Roman" w:cs="Times New Roman"/>
          <w:color w:val="0E101A"/>
          <w:sz w:val="24"/>
          <w:szCs w:val="24"/>
        </w:rPr>
        <w:t xml:space="preserve"> child malnutrition individually. The consultants of this project regarding malnutrition awareness programs are enlisted in reading psychology. The consultant can identify the actual reason behind the occurrence of these problems of malnutrition in childre</w:t>
      </w:r>
      <w:r>
        <w:rPr>
          <w:rFonts w:ascii="Times New Roman" w:eastAsia="Times New Roman" w:hAnsi="Times New Roman" w:cs="Times New Roman"/>
          <w:color w:val="0E101A"/>
          <w:sz w:val="24"/>
          <w:szCs w:val="24"/>
        </w:rPr>
        <w:t xml:space="preserve">n. Consequently, the organisers arrange bigger campaigns to provide the idea of unnecessary and necessary points of malnutrition within the community. </w:t>
      </w:r>
    </w:p>
    <w:p w14:paraId="3D67ADC6" w14:textId="77777777" w:rsidR="00EB295E" w:rsidRPr="0057541D" w:rsidRDefault="0073407E" w:rsidP="0057541D">
      <w:pPr>
        <w:pStyle w:val="2"/>
      </w:pPr>
      <w:bookmarkStart w:id="4" w:name="_Toc100213428"/>
      <w:r w:rsidRPr="0057541D">
        <w:t>Constructive communication</w:t>
      </w:r>
      <w:bookmarkEnd w:id="4"/>
      <w:r w:rsidRPr="0057541D">
        <w:t xml:space="preserve"> </w:t>
      </w:r>
    </w:p>
    <w:p w14:paraId="4D826450" w14:textId="2D273088"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community engagement, Constructive communication plays a very important r</w:t>
      </w:r>
      <w:r>
        <w:rPr>
          <w:rFonts w:ascii="Times New Roman" w:eastAsia="Times New Roman" w:hAnsi="Times New Roman" w:cs="Times New Roman"/>
          <w:color w:val="0E101A"/>
          <w:sz w:val="24"/>
          <w:szCs w:val="24"/>
        </w:rPr>
        <w:t xml:space="preserve">ole. The important strategy of this project is to speak to the people to get involved in this awareness programme and it can be done by impactful communication. The event of Thames Path Challenge has been organised depending on the age groups and with the </w:t>
      </w:r>
      <w:r>
        <w:rPr>
          <w:rFonts w:ascii="Times New Roman" w:eastAsia="Times New Roman" w:hAnsi="Times New Roman" w:cs="Times New Roman"/>
          <w:color w:val="0E101A"/>
          <w:sz w:val="24"/>
          <w:szCs w:val="24"/>
        </w:rPr>
        <w:t>equipment of fitness in a wide range. People will enjoy the outdoor programs of Thames Path Challenge apart from joining this event. The Thames Path Challenge event arranges massage parlours and some emergency medical facilities for the people in the entir</w:t>
      </w:r>
      <w:r>
        <w:rPr>
          <w:rFonts w:ascii="Times New Roman" w:eastAsia="Times New Roman" w:hAnsi="Times New Roman" w:cs="Times New Roman"/>
          <w:color w:val="0E101A"/>
          <w:sz w:val="24"/>
          <w:szCs w:val="24"/>
        </w:rPr>
        <w:t xml:space="preserve">e process (Matsumura et al., 2019). Similarly, the new project regarding the awareness program of child malnutrition is continuously struggling to share its messages through a </w:t>
      </w:r>
      <w:r w:rsidR="00F47F2A">
        <w:rPr>
          <w:rFonts w:ascii="Times New Roman" w:eastAsia="Times New Roman" w:hAnsi="Times New Roman" w:cs="Times New Roman"/>
          <w:color w:val="0E101A"/>
          <w:sz w:val="24"/>
          <w:szCs w:val="24"/>
        </w:rPr>
        <w:t>door-to-door</w:t>
      </w:r>
      <w:r>
        <w:rPr>
          <w:rFonts w:ascii="Times New Roman" w:eastAsia="Times New Roman" w:hAnsi="Times New Roman" w:cs="Times New Roman"/>
          <w:color w:val="0E101A"/>
          <w:sz w:val="24"/>
          <w:szCs w:val="24"/>
        </w:rPr>
        <w:t xml:space="preserve"> campaign. The organisers are using leaflets, brochures, pamphlets a</w:t>
      </w:r>
      <w:r>
        <w:rPr>
          <w:rFonts w:ascii="Times New Roman" w:eastAsia="Times New Roman" w:hAnsi="Times New Roman" w:cs="Times New Roman"/>
          <w:color w:val="0E101A"/>
          <w:sz w:val="24"/>
          <w:szCs w:val="24"/>
        </w:rPr>
        <w:t>nd e-cards to spread awareness among the people of the community. The newly raised organisation is always active on social media platforms and working its level best to increase its page reach which attracts a large number of people to involve in this proj</w:t>
      </w:r>
      <w:r>
        <w:rPr>
          <w:rFonts w:ascii="Times New Roman" w:eastAsia="Times New Roman" w:hAnsi="Times New Roman" w:cs="Times New Roman"/>
          <w:color w:val="0E101A"/>
          <w:sz w:val="24"/>
          <w:szCs w:val="24"/>
        </w:rPr>
        <w:t xml:space="preserve">ect. </w:t>
      </w:r>
    </w:p>
    <w:p w14:paraId="1E4F33AC" w14:textId="77777777" w:rsidR="00EB295E" w:rsidRPr="0057541D" w:rsidRDefault="0073407E" w:rsidP="0057541D">
      <w:pPr>
        <w:pStyle w:val="2"/>
      </w:pPr>
      <w:bookmarkStart w:id="5" w:name="_Toc100213429"/>
      <w:r w:rsidRPr="0057541D">
        <w:t>C</w:t>
      </w:r>
      <w:r w:rsidR="0057541D" w:rsidRPr="0057541D">
        <w:t>ooperation of stakeholders</w:t>
      </w:r>
      <w:bookmarkEnd w:id="5"/>
      <w:r w:rsidR="0057541D" w:rsidRPr="0057541D">
        <w:t xml:space="preserve"> </w:t>
      </w:r>
    </w:p>
    <w:p w14:paraId="5F7E0275"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For any type of project, Stakeholders' cooperation is the primary factor. The organisers of Thames Path Challenge maintain good communication and good bonding with the stakeholders such as the donors of the business, empl</w:t>
      </w:r>
      <w:r>
        <w:rPr>
          <w:rFonts w:ascii="Times New Roman" w:eastAsia="Times New Roman" w:hAnsi="Times New Roman" w:cs="Times New Roman"/>
          <w:color w:val="0E101A"/>
          <w:sz w:val="24"/>
          <w:szCs w:val="24"/>
        </w:rPr>
        <w:t xml:space="preserve">oyees, local communities and members of the organisation. From the </w:t>
      </w:r>
      <w:r>
        <w:rPr>
          <w:rFonts w:ascii="Times New Roman" w:eastAsia="Times New Roman" w:hAnsi="Times New Roman" w:cs="Times New Roman"/>
          <w:color w:val="0E101A"/>
          <w:sz w:val="24"/>
          <w:szCs w:val="24"/>
        </w:rPr>
        <w:lastRenderedPageBreak/>
        <w:t>lower functionaries of the organisation to the board of directors, all are equally important as the stakeholders of the organisation. All the partners of the organisation are invited to tak</w:t>
      </w:r>
      <w:r>
        <w:rPr>
          <w:rFonts w:ascii="Times New Roman" w:eastAsia="Times New Roman" w:hAnsi="Times New Roman" w:cs="Times New Roman"/>
          <w:color w:val="0E101A"/>
          <w:sz w:val="24"/>
          <w:szCs w:val="24"/>
        </w:rPr>
        <w:t>e part in any of the activities of these projects (Busse et al., 2020). The investments in the project never fail because the main donors and the fundraisers are always focused on the project. The local people who take part in different campaigns and meeti</w:t>
      </w:r>
      <w:r>
        <w:rPr>
          <w:rFonts w:ascii="Times New Roman" w:eastAsia="Times New Roman" w:hAnsi="Times New Roman" w:cs="Times New Roman"/>
          <w:color w:val="0E101A"/>
          <w:sz w:val="24"/>
          <w:szCs w:val="24"/>
        </w:rPr>
        <w:t>ngs are given priority as the stakeholders of the organisation. The groups of social media and local communities are considered important stakeholders of the organisation and obtained equal importance from the organisation as fundraisers. The founder of th</w:t>
      </w:r>
      <w:r>
        <w:rPr>
          <w:rFonts w:ascii="Times New Roman" w:eastAsia="Times New Roman" w:hAnsi="Times New Roman" w:cs="Times New Roman"/>
          <w:color w:val="0E101A"/>
          <w:sz w:val="24"/>
          <w:szCs w:val="24"/>
        </w:rPr>
        <w:t xml:space="preserve">e organisation plays an important role as a donor. </w:t>
      </w:r>
    </w:p>
    <w:p w14:paraId="00312C75" w14:textId="77777777" w:rsidR="00EB295E" w:rsidRPr="0057541D" w:rsidRDefault="0073407E" w:rsidP="0057541D">
      <w:pPr>
        <w:pStyle w:val="2"/>
      </w:pPr>
      <w:bookmarkStart w:id="6" w:name="_Toc100213430"/>
      <w:r w:rsidRPr="0057541D">
        <w:t>Inclusion of upc</w:t>
      </w:r>
      <w:r w:rsidR="0057541D" w:rsidRPr="0057541D">
        <w:t>oming approaches</w:t>
      </w:r>
      <w:bookmarkEnd w:id="6"/>
      <w:r w:rsidR="0057541D" w:rsidRPr="0057541D">
        <w:t xml:space="preserve"> </w:t>
      </w:r>
    </w:p>
    <w:p w14:paraId="798331D5"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organisation is effective with its vision of the new projects. The organisations have a plan to hire people having special abilities in different departments of commu</w:t>
      </w:r>
      <w:r>
        <w:rPr>
          <w:rFonts w:ascii="Times New Roman" w:eastAsia="Times New Roman" w:hAnsi="Times New Roman" w:cs="Times New Roman"/>
          <w:color w:val="0E101A"/>
          <w:sz w:val="24"/>
          <w:szCs w:val="24"/>
        </w:rPr>
        <w:t>nity engagement. In that manner, the organisers will never be left the community and the discrimination will be lowered. The main objective of the project the Thames Path Challenge is to return the mainstream of life to the person having a special ability.</w:t>
      </w:r>
      <w:r>
        <w:rPr>
          <w:rFonts w:ascii="Times New Roman" w:eastAsia="Times New Roman" w:hAnsi="Times New Roman" w:cs="Times New Roman"/>
          <w:color w:val="0E101A"/>
          <w:sz w:val="24"/>
          <w:szCs w:val="24"/>
        </w:rPr>
        <w:t xml:space="preserve"> The organisation has also a plan to form more schools for people having different workability so they will never lose the track of their studies (Yackobovitch-Gavan et al., 2018). To overcome the problems of child malnutrition the newly formed organisatio</w:t>
      </w:r>
      <w:r>
        <w:rPr>
          <w:rFonts w:ascii="Times New Roman" w:eastAsia="Times New Roman" w:hAnsi="Times New Roman" w:cs="Times New Roman"/>
          <w:color w:val="0E101A"/>
          <w:sz w:val="24"/>
          <w:szCs w:val="24"/>
        </w:rPr>
        <w:t>n recently started their journey and plans to build up a restroom and a shelter for the patients suffering from malnutrition. For creating social awareness regarding different cases of Malnutrition such as deficiencies of minerals and vitamins, underweight</w:t>
      </w:r>
      <w:r>
        <w:rPr>
          <w:rFonts w:ascii="Times New Roman" w:eastAsia="Times New Roman" w:hAnsi="Times New Roman" w:cs="Times New Roman"/>
          <w:color w:val="0E101A"/>
          <w:sz w:val="24"/>
          <w:szCs w:val="24"/>
        </w:rPr>
        <w:t xml:space="preserve"> problems, Severe acute malnutrition and many other cases. </w:t>
      </w:r>
    </w:p>
    <w:p w14:paraId="391BB476" w14:textId="77777777" w:rsidR="00EB295E" w:rsidRPr="0057541D" w:rsidRDefault="0073407E" w:rsidP="0057541D">
      <w:pPr>
        <w:pStyle w:val="1"/>
      </w:pPr>
      <w:bookmarkStart w:id="7" w:name="_Toc100213431"/>
      <w:r w:rsidRPr="0057541D">
        <w:t>Ana</w:t>
      </w:r>
      <w:r w:rsidR="0057541D" w:rsidRPr="0057541D">
        <w:t>lysis of the projects</w:t>
      </w:r>
      <w:bookmarkEnd w:id="7"/>
      <w:r w:rsidR="0057541D" w:rsidRPr="0057541D">
        <w:t xml:space="preserve"> </w:t>
      </w:r>
    </w:p>
    <w:p w14:paraId="76E6F34C" w14:textId="77777777" w:rsidR="00EB295E" w:rsidRPr="0057541D" w:rsidRDefault="0073407E" w:rsidP="0057541D">
      <w:pPr>
        <w:pStyle w:val="2"/>
      </w:pPr>
      <w:bookmarkStart w:id="8" w:name="_Toc100213432"/>
      <w:r w:rsidRPr="0057541D">
        <w:t>Community mapping</w:t>
      </w:r>
      <w:bookmarkEnd w:id="8"/>
      <w:r w:rsidRPr="0057541D">
        <w:t xml:space="preserve"> </w:t>
      </w:r>
    </w:p>
    <w:p w14:paraId="1510A20C"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Mapping of the community is an important division of the analysis of a project. It has been found that the organisers of Thames Path Challenge have roo</w:t>
      </w:r>
      <w:r>
        <w:rPr>
          <w:rFonts w:ascii="Times New Roman" w:eastAsia="Times New Roman" w:hAnsi="Times New Roman" w:cs="Times New Roman"/>
          <w:color w:val="0E101A"/>
          <w:sz w:val="24"/>
          <w:szCs w:val="24"/>
        </w:rPr>
        <w:t>ted their projects before introducing them to the level of community. The organisers of these projects have understood the ethics and value of the community properly and the entire procedure of the project will have coincided so that nobody in the communit</w:t>
      </w:r>
      <w:r>
        <w:rPr>
          <w:rFonts w:ascii="Times New Roman" w:eastAsia="Times New Roman" w:hAnsi="Times New Roman" w:cs="Times New Roman"/>
          <w:color w:val="0E101A"/>
          <w:sz w:val="24"/>
          <w:szCs w:val="24"/>
        </w:rPr>
        <w:t xml:space="preserve">y will be harassed due to these assignments (Pardeshi et al., 2021). In the newly formed project, the stakeholders of the organisation first made a survey report based on the community before making any investment in the project. The organisers mapped the </w:t>
      </w:r>
      <w:r>
        <w:rPr>
          <w:rFonts w:ascii="Times New Roman" w:eastAsia="Times New Roman" w:hAnsi="Times New Roman" w:cs="Times New Roman"/>
          <w:color w:val="0E101A"/>
          <w:sz w:val="24"/>
          <w:szCs w:val="24"/>
        </w:rPr>
        <w:t xml:space="preserve">community based on its psychological values. The existence of patients having malnutrition has also been </w:t>
      </w:r>
      <w:r>
        <w:rPr>
          <w:rFonts w:ascii="Times New Roman" w:eastAsia="Times New Roman" w:hAnsi="Times New Roman" w:cs="Times New Roman"/>
          <w:color w:val="0E101A"/>
          <w:sz w:val="24"/>
          <w:szCs w:val="24"/>
        </w:rPr>
        <w:lastRenderedPageBreak/>
        <w:t xml:space="preserve">recorded as the data of this project. Then the organisers of this project have started the preface of their project. After getting a clear idea of the </w:t>
      </w:r>
      <w:r>
        <w:rPr>
          <w:rFonts w:ascii="Times New Roman" w:eastAsia="Times New Roman" w:hAnsi="Times New Roman" w:cs="Times New Roman"/>
          <w:color w:val="0E101A"/>
          <w:sz w:val="24"/>
          <w:szCs w:val="24"/>
        </w:rPr>
        <w:t xml:space="preserve">community the investment part came into the project. </w:t>
      </w:r>
    </w:p>
    <w:p w14:paraId="3A256E84" w14:textId="77777777" w:rsidR="00EB295E" w:rsidRPr="0057541D" w:rsidRDefault="0073407E" w:rsidP="0057541D">
      <w:pPr>
        <w:pStyle w:val="2"/>
      </w:pPr>
      <w:bookmarkStart w:id="9" w:name="_Toc100213433"/>
      <w:r w:rsidRPr="0057541D">
        <w:t>Engagement</w:t>
      </w:r>
      <w:r w:rsidR="0057541D" w:rsidRPr="0057541D">
        <w:t xml:space="preserve"> of social media platforms</w:t>
      </w:r>
      <w:bookmarkEnd w:id="9"/>
      <w:r w:rsidR="0057541D" w:rsidRPr="0057541D">
        <w:t xml:space="preserve"> </w:t>
      </w:r>
    </w:p>
    <w:p w14:paraId="490D94B8"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Social media platforms have a perceptible impact in the period of digitalisation. On the other side, communicative engagement is termed social association. In the p</w:t>
      </w:r>
      <w:r>
        <w:rPr>
          <w:rFonts w:ascii="Times New Roman" w:eastAsia="Times New Roman" w:hAnsi="Times New Roman" w:cs="Times New Roman"/>
          <w:color w:val="0E101A"/>
          <w:sz w:val="24"/>
          <w:szCs w:val="24"/>
        </w:rPr>
        <w:t>roject Thames Path Challenge, the organisers used social media platforms to promote the project through advertisement, so a large number of people can be associated with this project of cancer awareness programme. Similarly, social connection with the proj</w:t>
      </w:r>
      <w:r>
        <w:rPr>
          <w:rFonts w:ascii="Times New Roman" w:eastAsia="Times New Roman" w:hAnsi="Times New Roman" w:cs="Times New Roman"/>
          <w:color w:val="0E101A"/>
          <w:sz w:val="24"/>
          <w:szCs w:val="24"/>
        </w:rPr>
        <w:t>ect is important to create a psychological consonance with the community (Vyas et al., 2020). Throughout the entire report, Thames Path Challenge has been found in a backward position in social attachment. On the other side, the newly formed organisation i</w:t>
      </w:r>
      <w:r>
        <w:rPr>
          <w:rFonts w:ascii="Times New Roman" w:eastAsia="Times New Roman" w:hAnsi="Times New Roman" w:cs="Times New Roman"/>
          <w:color w:val="0E101A"/>
          <w:sz w:val="24"/>
          <w:szCs w:val="24"/>
        </w:rPr>
        <w:t>s efficient in creating fast social connections so that the organisers can directly visit the house of the client for data collection. The organisers also arrange different campaigns to achieve a bigger community. Social media pages are added advantages fo</w:t>
      </w:r>
      <w:r>
        <w:rPr>
          <w:rFonts w:ascii="Times New Roman" w:eastAsia="Times New Roman" w:hAnsi="Times New Roman" w:cs="Times New Roman"/>
          <w:color w:val="0E101A"/>
          <w:sz w:val="24"/>
          <w:szCs w:val="24"/>
        </w:rPr>
        <w:t xml:space="preserve">r the organisers to promote the culture of the organisation into a bigger world. </w:t>
      </w:r>
    </w:p>
    <w:p w14:paraId="290F3DB9" w14:textId="77777777" w:rsidR="00EB295E" w:rsidRPr="0057541D" w:rsidRDefault="0073407E" w:rsidP="0057541D">
      <w:pPr>
        <w:pStyle w:val="2"/>
      </w:pPr>
      <w:bookmarkStart w:id="10" w:name="_Toc100213434"/>
      <w:r w:rsidRPr="0057541D">
        <w:t>Critical an</w:t>
      </w:r>
      <w:r w:rsidR="0057541D" w:rsidRPr="0057541D">
        <w:t>alysis of the two projects</w:t>
      </w:r>
      <w:bookmarkEnd w:id="10"/>
      <w:r w:rsidR="0057541D" w:rsidRPr="0057541D">
        <w:t xml:space="preserve"> </w:t>
      </w:r>
    </w:p>
    <w:p w14:paraId="48BFA4BE"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Critical analysis of the activities of the two projects is based upon the results established by the contribution of the organisers of the projects to the community. It is similar to the evaluation done by the local people of the community. The critical an</w:t>
      </w:r>
      <w:r>
        <w:rPr>
          <w:rFonts w:ascii="Times New Roman" w:eastAsia="Times New Roman" w:hAnsi="Times New Roman" w:cs="Times New Roman"/>
          <w:color w:val="0E101A"/>
          <w:sz w:val="24"/>
          <w:szCs w:val="24"/>
        </w:rPr>
        <w:t>alysis of the performances of the Thames Path Challenge has been well accepted by the people. The organisation has identified the special child having malnutrition for giving better care (McCuskee, S., Garchitorena et al., 2018). Therefore, the organisatio</w:t>
      </w:r>
      <w:r>
        <w:rPr>
          <w:rFonts w:ascii="Times New Roman" w:eastAsia="Times New Roman" w:hAnsi="Times New Roman" w:cs="Times New Roman"/>
          <w:color w:val="0E101A"/>
          <w:sz w:val="24"/>
          <w:szCs w:val="24"/>
        </w:rPr>
        <w:t>n has to take responsibility. It is not considered a good manner for the continuous promotion of the project. On the other side, the newly formed project of social awareness programme regarding malnutrition has been identified by the community. Most of the</w:t>
      </w:r>
      <w:r>
        <w:rPr>
          <w:rFonts w:ascii="Times New Roman" w:eastAsia="Times New Roman" w:hAnsi="Times New Roman" w:cs="Times New Roman"/>
          <w:color w:val="0E101A"/>
          <w:sz w:val="24"/>
          <w:szCs w:val="24"/>
        </w:rPr>
        <w:t xml:space="preserve"> people in the community have understood the reasons behind the occurrence of malnutrition in children. Therefore, questions regarding the moral and ethical characteristics of malnutrition patients have been lowered. </w:t>
      </w:r>
    </w:p>
    <w:p w14:paraId="7B1FF240" w14:textId="77777777" w:rsidR="00EB295E" w:rsidRPr="0057541D" w:rsidRDefault="0073407E" w:rsidP="0057541D">
      <w:pPr>
        <w:pStyle w:val="2"/>
      </w:pPr>
      <w:bookmarkStart w:id="11" w:name="_Toc100213435"/>
      <w:r w:rsidRPr="0057541D">
        <w:t>Eval</w:t>
      </w:r>
      <w:r w:rsidR="0057541D" w:rsidRPr="0057541D">
        <w:t>uation of the two projects</w:t>
      </w:r>
      <w:bookmarkEnd w:id="11"/>
      <w:r w:rsidR="0057541D" w:rsidRPr="0057541D">
        <w:t xml:space="preserve"> </w:t>
      </w:r>
    </w:p>
    <w:p w14:paraId="139D6A4D" w14:textId="77777777"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eva</w:t>
      </w:r>
      <w:r>
        <w:rPr>
          <w:rFonts w:ascii="Times New Roman" w:eastAsia="Times New Roman" w:hAnsi="Times New Roman" w:cs="Times New Roman"/>
          <w:color w:val="0E101A"/>
          <w:sz w:val="24"/>
          <w:szCs w:val="24"/>
        </w:rPr>
        <w:t>luate the project some successive steps should be followed. It is important to make an understanding of the demands of the local community. External groups participating in the development of the community can be identified as hurting this project. A surve</w:t>
      </w:r>
      <w:r>
        <w:rPr>
          <w:rFonts w:ascii="Times New Roman" w:eastAsia="Times New Roman" w:hAnsi="Times New Roman" w:cs="Times New Roman"/>
          <w:color w:val="0E101A"/>
          <w:sz w:val="24"/>
          <w:szCs w:val="24"/>
        </w:rPr>
        <w:t xml:space="preserve">y of the community is required before introducing a project. The organisers should continuously monitor the reactions </w:t>
      </w:r>
      <w:r>
        <w:rPr>
          <w:rFonts w:ascii="Times New Roman" w:eastAsia="Times New Roman" w:hAnsi="Times New Roman" w:cs="Times New Roman"/>
          <w:color w:val="0E101A"/>
          <w:sz w:val="24"/>
          <w:szCs w:val="24"/>
        </w:rPr>
        <w:lastRenderedPageBreak/>
        <w:t xml:space="preserve">of the members of the community at the time of implementation of the project. For the satisfaction of people regarding the removal of the </w:t>
      </w:r>
      <w:r>
        <w:rPr>
          <w:rFonts w:ascii="Times New Roman" w:eastAsia="Times New Roman" w:hAnsi="Times New Roman" w:cs="Times New Roman"/>
          <w:color w:val="0E101A"/>
          <w:sz w:val="24"/>
          <w:szCs w:val="24"/>
        </w:rPr>
        <w:t>barriers, the organisers should implement different social strategies (Wang and Osser, 2020). Employee engagement is highly expected within the organisation. To develop trust in the project the members of the community identify the nature of the managers o</w:t>
      </w:r>
      <w:r>
        <w:rPr>
          <w:rFonts w:ascii="Times New Roman" w:eastAsia="Times New Roman" w:hAnsi="Times New Roman" w:cs="Times New Roman"/>
          <w:color w:val="0E101A"/>
          <w:sz w:val="24"/>
          <w:szCs w:val="24"/>
        </w:rPr>
        <w:t xml:space="preserve">f the organisation. Similarly, the participation of the local community is equally demandable to run the project with smoothness. The organisation needs to implement the project without creating any harmful measures for the local community. </w:t>
      </w:r>
    </w:p>
    <w:p w14:paraId="1903D8ED" w14:textId="77777777" w:rsidR="00EB295E" w:rsidRPr="0057541D" w:rsidRDefault="0073407E" w:rsidP="0057541D">
      <w:pPr>
        <w:pStyle w:val="2"/>
      </w:pPr>
      <w:bookmarkStart w:id="12" w:name="_Toc100213436"/>
      <w:r w:rsidRPr="0057541D">
        <w:t>Good practices</w:t>
      </w:r>
      <w:bookmarkEnd w:id="12"/>
      <w:r w:rsidRPr="0057541D">
        <w:t xml:space="preserve"> </w:t>
      </w:r>
    </w:p>
    <w:p w14:paraId="43A5C47A" w14:textId="77777777" w:rsidR="00EB295E" w:rsidRDefault="0073407E">
      <w:pPr>
        <w:pStyle w:val="Normal1"/>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color w:val="0E101A"/>
          <w:sz w:val="24"/>
          <w:szCs w:val="24"/>
        </w:rPr>
        <w:t xml:space="preserve">Nutritional planning- </w:t>
      </w:r>
      <w:r>
        <w:rPr>
          <w:rFonts w:ascii="Times New Roman" w:eastAsia="Times New Roman" w:hAnsi="Times New Roman" w:cs="Times New Roman"/>
          <w:color w:val="0E101A"/>
          <w:sz w:val="24"/>
          <w:szCs w:val="24"/>
        </w:rPr>
        <w:t>Nutritional planning involves the commitment made by the UK government. A well-executed and well-planned project can expedite the benefits and developmental procedure of the project. Nutrition planning involves the regulations of th</w:t>
      </w:r>
      <w:r>
        <w:rPr>
          <w:rFonts w:ascii="Times New Roman" w:eastAsia="Times New Roman" w:hAnsi="Times New Roman" w:cs="Times New Roman"/>
          <w:color w:val="0E101A"/>
          <w:sz w:val="24"/>
          <w:szCs w:val="24"/>
        </w:rPr>
        <w:t xml:space="preserve">e policies regarding nutrition and the overall planning of the project to improve the equitability of distribution programs (Ismail, A., Darling et al., 2020). People in the community must have an education on the advantages and importance of malnutrition </w:t>
      </w:r>
      <w:r>
        <w:rPr>
          <w:rFonts w:ascii="Times New Roman" w:eastAsia="Times New Roman" w:hAnsi="Times New Roman" w:cs="Times New Roman"/>
          <w:color w:val="0E101A"/>
          <w:sz w:val="24"/>
          <w:szCs w:val="24"/>
        </w:rPr>
        <w:t xml:space="preserve">awareness programs. </w:t>
      </w:r>
    </w:p>
    <w:p w14:paraId="496F67FE" w14:textId="77777777" w:rsidR="00EB295E" w:rsidRDefault="0073407E">
      <w:pPr>
        <w:pStyle w:val="Normal1"/>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color w:val="0E101A"/>
          <w:sz w:val="24"/>
          <w:szCs w:val="24"/>
        </w:rPr>
        <w:t xml:space="preserve">Child protection- </w:t>
      </w:r>
      <w:r>
        <w:rPr>
          <w:rFonts w:ascii="Times New Roman" w:eastAsia="Times New Roman" w:hAnsi="Times New Roman" w:cs="Times New Roman"/>
          <w:color w:val="0E101A"/>
          <w:sz w:val="24"/>
          <w:szCs w:val="24"/>
        </w:rPr>
        <w:t>Child protection is an important part of the safeguarding procedure to prevent malnutrition. Child protection mainly focuses on protecting children suffering from malnutrition (Jain et al., 2021). Safeguarding procedu</w:t>
      </w:r>
      <w:r>
        <w:rPr>
          <w:rFonts w:ascii="Times New Roman" w:eastAsia="Times New Roman" w:hAnsi="Times New Roman" w:cs="Times New Roman"/>
          <w:color w:val="0E101A"/>
          <w:sz w:val="24"/>
          <w:szCs w:val="24"/>
        </w:rPr>
        <w:t xml:space="preserve">re includes protection of children from maltreatment and abuse of malnutrition, preventing harmful measures to the health of children. </w:t>
      </w:r>
    </w:p>
    <w:p w14:paraId="416782A9" w14:textId="35A98C13" w:rsidR="00EB295E" w:rsidRPr="00F47F2A" w:rsidRDefault="0073407E" w:rsidP="00F47F2A">
      <w:pPr>
        <w:pStyle w:val="1"/>
        <w:rPr>
          <w:color w:val="0E101A"/>
          <w:sz w:val="24"/>
        </w:rPr>
      </w:pPr>
      <w:bookmarkStart w:id="13" w:name="_Toc100213437"/>
      <w:r w:rsidRPr="0057541D">
        <w:t>Conclusion</w:t>
      </w:r>
      <w:bookmarkEnd w:id="13"/>
      <w:r w:rsidRPr="0057541D">
        <w:t xml:space="preserve"> </w:t>
      </w:r>
    </w:p>
    <w:p w14:paraId="3B0C5EFE" w14:textId="537D89AD" w:rsidR="00EB295E" w:rsidRDefault="0073407E">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From the above report, it can be concluded that community engagement is a vital part of economic and social culture and the development of an organisation. In society engagements of different communities are sustained. All of the communities have particula</w:t>
      </w:r>
      <w:r>
        <w:rPr>
          <w:rFonts w:ascii="Times New Roman" w:eastAsia="Times New Roman" w:hAnsi="Times New Roman" w:cs="Times New Roman"/>
          <w:color w:val="0E101A"/>
          <w:sz w:val="24"/>
          <w:szCs w:val="24"/>
        </w:rPr>
        <w:t>r identified purposes. In this report on community engagement, it has been found that the organisers of Thames Path Challenges are working to develop the social culture in the community and the children having special abilities. The organisation works on t</w:t>
      </w:r>
      <w:r>
        <w:rPr>
          <w:rFonts w:ascii="Times New Roman" w:eastAsia="Times New Roman" w:hAnsi="Times New Roman" w:cs="Times New Roman"/>
          <w:color w:val="0E101A"/>
          <w:sz w:val="24"/>
          <w:szCs w:val="24"/>
        </w:rPr>
        <w:t>his particular division where they empower the record of disabled people. The purpose of the organisation is to involve common people in the growth and development of specially treated children. To run the project, the organisation raises the funds from th</w:t>
      </w:r>
      <w:r>
        <w:rPr>
          <w:rFonts w:ascii="Times New Roman" w:eastAsia="Times New Roman" w:hAnsi="Times New Roman" w:cs="Times New Roman"/>
          <w:color w:val="0E101A"/>
          <w:sz w:val="24"/>
          <w:szCs w:val="24"/>
        </w:rPr>
        <w:t xml:space="preserve">e stakeholders of the organisation. Ethically, the organisation maintains a good relationship </w:t>
      </w:r>
      <w:r>
        <w:rPr>
          <w:rFonts w:ascii="Times New Roman" w:eastAsia="Times New Roman" w:hAnsi="Times New Roman" w:cs="Times New Roman"/>
          <w:color w:val="0E101A"/>
          <w:sz w:val="24"/>
          <w:szCs w:val="24"/>
        </w:rPr>
        <w:lastRenderedPageBreak/>
        <w:t>with the stakeholders to ensure the investment and sustainability of the organisation. The organisation used social media pages for the promotion of the project a</w:t>
      </w:r>
      <w:r>
        <w:rPr>
          <w:rFonts w:ascii="Times New Roman" w:eastAsia="Times New Roman" w:hAnsi="Times New Roman" w:cs="Times New Roman"/>
          <w:color w:val="0E101A"/>
          <w:sz w:val="24"/>
          <w:szCs w:val="24"/>
        </w:rPr>
        <w:t xml:space="preserve">nd its activities. </w:t>
      </w:r>
    </w:p>
    <w:p w14:paraId="64A508B1" w14:textId="77777777" w:rsidR="00EB295E" w:rsidRDefault="00EB295E">
      <w:pPr>
        <w:pStyle w:val="Normal1"/>
        <w:spacing w:line="360" w:lineRule="auto"/>
        <w:jc w:val="both"/>
        <w:rPr>
          <w:rFonts w:ascii="Times New Roman" w:eastAsia="Times New Roman" w:hAnsi="Times New Roman" w:cs="Times New Roman"/>
          <w:color w:val="0E101A"/>
          <w:sz w:val="24"/>
          <w:szCs w:val="24"/>
        </w:rPr>
      </w:pPr>
    </w:p>
    <w:p w14:paraId="2A4B6703" w14:textId="77777777" w:rsidR="00EB295E" w:rsidRDefault="00EB295E">
      <w:pPr>
        <w:pStyle w:val="Normal1"/>
        <w:spacing w:line="360" w:lineRule="auto"/>
        <w:jc w:val="both"/>
        <w:rPr>
          <w:rFonts w:ascii="Times New Roman" w:eastAsia="Times New Roman" w:hAnsi="Times New Roman" w:cs="Times New Roman"/>
          <w:sz w:val="24"/>
          <w:szCs w:val="24"/>
        </w:rPr>
      </w:pPr>
    </w:p>
    <w:p w14:paraId="29BBA978" w14:textId="77777777" w:rsidR="00EB295E" w:rsidRDefault="0073407E">
      <w:pPr>
        <w:pStyle w:val="Normal1"/>
        <w:spacing w:line="360" w:lineRule="auto"/>
        <w:jc w:val="both"/>
        <w:rPr>
          <w:rFonts w:ascii="Times New Roman" w:eastAsia="Times New Roman" w:hAnsi="Times New Roman" w:cs="Times New Roman"/>
          <w:b/>
          <w:sz w:val="24"/>
          <w:szCs w:val="24"/>
        </w:rPr>
      </w:pPr>
      <w:r>
        <w:br w:type="page"/>
      </w:r>
    </w:p>
    <w:p w14:paraId="6E7ED7D7" w14:textId="38FF41CF" w:rsidR="0057541D" w:rsidRPr="00F47F2A" w:rsidRDefault="0073407E" w:rsidP="00F47F2A">
      <w:pPr>
        <w:pStyle w:val="1"/>
      </w:pPr>
      <w:bookmarkStart w:id="14" w:name="_Toc100213438"/>
      <w:r w:rsidRPr="0057541D">
        <w:lastRenderedPageBreak/>
        <w:t>Reference list</w:t>
      </w:r>
      <w:bookmarkEnd w:id="14"/>
    </w:p>
    <w:p w14:paraId="132B4C1E"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Busse, H., Covic, N., Aakesson, A. and Jogo, W., 2020. What is the role of civil society in multisectoral nutrition governance systems? A multicountry review. </w:t>
      </w:r>
      <w:r>
        <w:rPr>
          <w:rFonts w:ascii="Times New Roman" w:eastAsia="Times New Roman" w:hAnsi="Times New Roman" w:cs="Times New Roman"/>
          <w:i/>
          <w:color w:val="222222"/>
          <w:sz w:val="24"/>
          <w:szCs w:val="24"/>
          <w:highlight w:val="white"/>
        </w:rPr>
        <w:t>Food and Nutrition Bulletin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 xml:space="preserve">(2), pp.244-260. Available </w:t>
      </w:r>
      <w:r>
        <w:rPr>
          <w:rFonts w:ascii="Times New Roman" w:eastAsia="Times New Roman" w:hAnsi="Times New Roman" w:cs="Times New Roman"/>
          <w:color w:val="222222"/>
          <w:sz w:val="24"/>
          <w:szCs w:val="24"/>
          <w:highlight w:val="white"/>
        </w:rPr>
        <w:t xml:space="preserve">at: </w:t>
      </w:r>
      <w:hyperlink r:id="rId8" w:history="1">
        <w:r>
          <w:rPr>
            <w:rFonts w:ascii="Times New Roman" w:eastAsia="Times New Roman" w:hAnsi="Times New Roman" w:cs="Times New Roman"/>
            <w:color w:val="1155CC"/>
            <w:sz w:val="24"/>
            <w:szCs w:val="24"/>
            <w:highlight w:val="white"/>
            <w:u w:val="single"/>
          </w:rPr>
          <w:t>https://journals.sagepub.com/doi/pdf/10.1177/0379572119877348</w:t>
        </w:r>
      </w:hyperlink>
    </w:p>
    <w:p w14:paraId="7F13DBDC"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Ismail, A., Darling, A.M., Mosha, D., Fawzi, W., Sudfeld, C., Sando, M.M., Abdallah Noor, R., Charles, J. and Vu</w:t>
      </w:r>
      <w:r>
        <w:rPr>
          <w:rFonts w:ascii="Times New Roman" w:eastAsia="Times New Roman" w:hAnsi="Times New Roman" w:cs="Times New Roman"/>
          <w:color w:val="222222"/>
          <w:sz w:val="24"/>
          <w:szCs w:val="24"/>
          <w:highlight w:val="white"/>
        </w:rPr>
        <w:t xml:space="preserve">ai, S., 2020. Prevalence and risk factors associated with malnutrition among adolescents in rural Tanzania. </w:t>
      </w:r>
      <w:r>
        <w:rPr>
          <w:rFonts w:ascii="Times New Roman" w:eastAsia="Times New Roman" w:hAnsi="Times New Roman" w:cs="Times New Roman"/>
          <w:i/>
          <w:color w:val="222222"/>
          <w:sz w:val="24"/>
          <w:szCs w:val="24"/>
          <w:highlight w:val="white"/>
        </w:rPr>
        <w:t>Tropical Medicine &amp; International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(1), pp.89-100. Available at: </w:t>
      </w:r>
      <w:hyperlink r:id="rId9" w:history="1">
        <w:r>
          <w:rPr>
            <w:rFonts w:ascii="Times New Roman" w:eastAsia="Times New Roman" w:hAnsi="Times New Roman" w:cs="Times New Roman"/>
            <w:color w:val="1155CC"/>
            <w:sz w:val="24"/>
            <w:szCs w:val="24"/>
            <w:highlight w:val="white"/>
            <w:u w:val="single"/>
          </w:rPr>
          <w:t>https://onlinelibrary.wiley.com/doi/pdf/10.1111/tmi.13331</w:t>
        </w:r>
      </w:hyperlink>
    </w:p>
    <w:p w14:paraId="37E67345"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Jain, A., Rodgers, J., Li, Z., Kim, R. and Subramanian, S.V., 2021. Multilevel analysis of geographic variation among correlates of child undernutrition in India. </w:t>
      </w:r>
      <w:r>
        <w:rPr>
          <w:rFonts w:ascii="Times New Roman" w:eastAsia="Times New Roman" w:hAnsi="Times New Roman" w:cs="Times New Roman"/>
          <w:i/>
          <w:color w:val="222222"/>
          <w:sz w:val="24"/>
          <w:szCs w:val="24"/>
          <w:highlight w:val="white"/>
        </w:rPr>
        <w:t>Maternal &amp; child nutrition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(3), </w:t>
      </w:r>
      <w:r>
        <w:rPr>
          <w:rFonts w:ascii="Times New Roman" w:eastAsia="Times New Roman" w:hAnsi="Times New Roman" w:cs="Times New Roman"/>
          <w:color w:val="222222"/>
          <w:sz w:val="24"/>
          <w:szCs w:val="24"/>
          <w:highlight w:val="white"/>
        </w:rPr>
        <w:t xml:space="preserve">p.e13197. Available at: </w:t>
      </w:r>
      <w:hyperlink r:id="rId10" w:history="1">
        <w:r>
          <w:rPr>
            <w:rFonts w:ascii="Times New Roman" w:eastAsia="Times New Roman" w:hAnsi="Times New Roman" w:cs="Times New Roman"/>
            <w:color w:val="1155CC"/>
            <w:sz w:val="24"/>
            <w:szCs w:val="24"/>
            <w:highlight w:val="white"/>
            <w:u w:val="single"/>
          </w:rPr>
          <w:t>https://onlinelibrary.wiley.com/doi/pdf/10.1111/mcn.13197</w:t>
        </w:r>
      </w:hyperlink>
    </w:p>
    <w:p w14:paraId="1EE0EAB8"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Kumar, A., 2019. From Henley to Harvard at Hyderabad?(</w:t>
      </w:r>
      <w:r>
        <w:rPr>
          <w:rFonts w:ascii="Times New Roman" w:eastAsia="Times New Roman" w:hAnsi="Times New Roman" w:cs="Times New Roman"/>
          <w:color w:val="222222"/>
          <w:sz w:val="24"/>
          <w:szCs w:val="24"/>
          <w:highlight w:val="white"/>
        </w:rPr>
        <w:t xml:space="preserve">Post and neo-) colonialism in management education in India. </w:t>
      </w:r>
      <w:r>
        <w:rPr>
          <w:rFonts w:ascii="Times New Roman" w:eastAsia="Times New Roman" w:hAnsi="Times New Roman" w:cs="Times New Roman"/>
          <w:i/>
          <w:color w:val="222222"/>
          <w:sz w:val="24"/>
          <w:szCs w:val="24"/>
          <w:highlight w:val="white"/>
        </w:rPr>
        <w:t>Enterprise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 xml:space="preserve">(2), pp.366-400. Available at: </w:t>
      </w:r>
      <w:hyperlink r:id="rId11" w:history="1">
        <w:r>
          <w:rPr>
            <w:rFonts w:ascii="Times New Roman" w:eastAsia="Times New Roman" w:hAnsi="Times New Roman" w:cs="Times New Roman"/>
            <w:color w:val="1155CC"/>
            <w:sz w:val="24"/>
            <w:szCs w:val="24"/>
            <w:highlight w:val="white"/>
            <w:u w:val="single"/>
          </w:rPr>
          <w:t>https://eprints.whiterose.ac.uk/134302/1/E_S_Paper_AK.pdf</w:t>
        </w:r>
      </w:hyperlink>
    </w:p>
    <w:p w14:paraId="359967B7"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Matsumur</w:t>
      </w:r>
      <w:r>
        <w:rPr>
          <w:rFonts w:ascii="Times New Roman" w:eastAsia="Times New Roman" w:hAnsi="Times New Roman" w:cs="Times New Roman"/>
          <w:color w:val="222222"/>
          <w:sz w:val="24"/>
          <w:szCs w:val="24"/>
          <w:highlight w:val="white"/>
        </w:rPr>
        <w:t xml:space="preserve">a, H., Nishimura, Y., Horiuchi, H., Higashira, T., Kita, Y. and Nishizawa, H., 2019. G20 Okayama Health Ministers’ Meeting: lessons learned and way forward. </w:t>
      </w:r>
      <w:r>
        <w:rPr>
          <w:rFonts w:ascii="Times New Roman" w:eastAsia="Times New Roman" w:hAnsi="Times New Roman" w:cs="Times New Roman"/>
          <w:i/>
          <w:color w:val="222222"/>
          <w:sz w:val="24"/>
          <w:szCs w:val="24"/>
          <w:highlight w:val="white"/>
        </w:rPr>
        <w:t>Global Health &amp;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(2), pp.65-70. Available at: </w:t>
      </w:r>
      <w:hyperlink r:id="rId12" w:history="1">
        <w:r>
          <w:rPr>
            <w:rFonts w:ascii="Times New Roman" w:eastAsia="Times New Roman" w:hAnsi="Times New Roman" w:cs="Times New Roman"/>
            <w:color w:val="1155CC"/>
            <w:sz w:val="24"/>
            <w:szCs w:val="24"/>
            <w:highlight w:val="white"/>
            <w:u w:val="single"/>
          </w:rPr>
          <w:t>https://www.jstage.jst.go.jp/article/ghm/1/2/1_2019.01033/_pdf</w:t>
        </w:r>
      </w:hyperlink>
    </w:p>
    <w:p w14:paraId="592CAD46"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McCuskee, S., Garchitorena, A., Miller, A.C., Hall, L., Ouenzar, M.A., Rabeza, V.R., Ramananjato, R.H., Razanadrakato, H.T.R., Randriamanambintsoa, M., Barry</w:t>
      </w:r>
      <w:r>
        <w:rPr>
          <w:rFonts w:ascii="Times New Roman" w:eastAsia="Times New Roman" w:hAnsi="Times New Roman" w:cs="Times New Roman"/>
          <w:color w:val="222222"/>
          <w:sz w:val="24"/>
          <w:szCs w:val="24"/>
          <w:highlight w:val="white"/>
        </w:rPr>
        <w:t xml:space="preserve">, M. and Bonds, M.H., 2018. Child malnutrition in Ifanadiana district, Madagascar: associated factors and timing of growth faltering ahead of a health system strengthening intervention. </w:t>
      </w:r>
      <w:r>
        <w:rPr>
          <w:rFonts w:ascii="Times New Roman" w:eastAsia="Times New Roman" w:hAnsi="Times New Roman" w:cs="Times New Roman"/>
          <w:i/>
          <w:color w:val="222222"/>
          <w:sz w:val="24"/>
          <w:szCs w:val="24"/>
          <w:highlight w:val="white"/>
        </w:rPr>
        <w:t>Global Health Action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(1), p.1452357. Available at: </w:t>
      </w:r>
      <w:hyperlink r:id="rId13" w:history="1">
        <w:r>
          <w:rPr>
            <w:rFonts w:ascii="Times New Roman" w:eastAsia="Times New Roman" w:hAnsi="Times New Roman" w:cs="Times New Roman"/>
            <w:color w:val="1155CC"/>
            <w:sz w:val="24"/>
            <w:szCs w:val="24"/>
            <w:highlight w:val="white"/>
            <w:u w:val="single"/>
          </w:rPr>
          <w:t>https://www.tandfonline.com/doi/pdf/10.1080/16549716.2018.1452357</w:t>
        </w:r>
      </w:hyperlink>
    </w:p>
    <w:p w14:paraId="22002F72"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Moodley, K. and Beyer, C., 2019. Tygerberg research ubuntu-inspired community engagement model: Integrating community engage</w:t>
      </w:r>
      <w:r>
        <w:rPr>
          <w:rFonts w:ascii="Times New Roman" w:eastAsia="Times New Roman" w:hAnsi="Times New Roman" w:cs="Times New Roman"/>
          <w:color w:val="222222"/>
          <w:sz w:val="24"/>
          <w:szCs w:val="24"/>
          <w:highlight w:val="white"/>
        </w:rPr>
        <w:t xml:space="preserve">ment into genomic biobanking. </w:t>
      </w:r>
      <w:r>
        <w:rPr>
          <w:rFonts w:ascii="Times New Roman" w:eastAsia="Times New Roman" w:hAnsi="Times New Roman" w:cs="Times New Roman"/>
          <w:i/>
          <w:color w:val="222222"/>
          <w:sz w:val="24"/>
          <w:szCs w:val="24"/>
          <w:highlight w:val="white"/>
        </w:rPr>
        <w:t>Biopreservation and Biobanking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(6), pp.613-624. Available at: </w:t>
      </w:r>
      <w:hyperlink r:id="rId14" w:history="1">
        <w:r>
          <w:rPr>
            <w:rFonts w:ascii="Times New Roman" w:eastAsia="Times New Roman" w:hAnsi="Times New Roman" w:cs="Times New Roman"/>
            <w:color w:val="1155CC"/>
            <w:sz w:val="24"/>
            <w:szCs w:val="24"/>
            <w:highlight w:val="white"/>
            <w:u w:val="single"/>
          </w:rPr>
          <w:t>https://www.liebertpub.com/doi/pdfplus/10.1089/bio.2018.0136</w:t>
        </w:r>
      </w:hyperlink>
    </w:p>
    <w:p w14:paraId="7C28FA28"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Pardeshi, G., Wang, W.,</w:t>
      </w:r>
      <w:r>
        <w:rPr>
          <w:rFonts w:ascii="Times New Roman" w:eastAsia="Times New Roman" w:hAnsi="Times New Roman" w:cs="Times New Roman"/>
          <w:color w:val="222222"/>
          <w:sz w:val="24"/>
          <w:szCs w:val="24"/>
          <w:highlight w:val="white"/>
        </w:rPr>
        <w:t xml:space="preserve"> Kim, J., Blossom, J., Kim, R. and Subramanian, S.V., 2021. TB notification rates across parliamentary constituencies in India: a step towards data‐driven political </w:t>
      </w:r>
      <w:r>
        <w:rPr>
          <w:rFonts w:ascii="Times New Roman" w:eastAsia="Times New Roman" w:hAnsi="Times New Roman" w:cs="Times New Roman"/>
          <w:color w:val="222222"/>
          <w:sz w:val="24"/>
          <w:szCs w:val="24"/>
          <w:highlight w:val="white"/>
        </w:rPr>
        <w:lastRenderedPageBreak/>
        <w:t xml:space="preserve">engagement. </w:t>
      </w:r>
      <w:r>
        <w:rPr>
          <w:rFonts w:ascii="Times New Roman" w:eastAsia="Times New Roman" w:hAnsi="Times New Roman" w:cs="Times New Roman"/>
          <w:i/>
          <w:color w:val="222222"/>
          <w:sz w:val="24"/>
          <w:szCs w:val="24"/>
          <w:highlight w:val="white"/>
        </w:rPr>
        <w:t>Tropical Medicine &amp; International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 xml:space="preserve">(7), pp.730-742. Available at: </w:t>
      </w:r>
      <w:hyperlink r:id="rId15" w:history="1">
        <w:r>
          <w:rPr>
            <w:rFonts w:ascii="Times New Roman" w:eastAsia="Times New Roman" w:hAnsi="Times New Roman" w:cs="Times New Roman"/>
            <w:color w:val="1155CC"/>
            <w:sz w:val="24"/>
            <w:szCs w:val="24"/>
            <w:highlight w:val="white"/>
            <w:u w:val="single"/>
          </w:rPr>
          <w:t>https://onlinelibrary.wiley.com/doi/pdfdirect/10.1111/tmi.13574</w:t>
        </w:r>
      </w:hyperlink>
    </w:p>
    <w:p w14:paraId="4B11D741"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Perdomoa, C.D., Rodríguezb, E.R., Magallanesc, H.C., Navarrod, H.E.F., Péreze, S.E.M. and Moyanof, D., 2019. Impact </w:t>
      </w:r>
      <w:r>
        <w:rPr>
          <w:rFonts w:ascii="Times New Roman" w:eastAsia="Times New Roman" w:hAnsi="Times New Roman" w:cs="Times New Roman"/>
          <w:color w:val="222222"/>
          <w:sz w:val="24"/>
          <w:szCs w:val="24"/>
          <w:highlight w:val="white"/>
        </w:rPr>
        <w:t xml:space="preserve">of a community program for child malnutrition. </w:t>
      </w:r>
      <w:r>
        <w:rPr>
          <w:rFonts w:ascii="Times New Roman" w:eastAsia="Times New Roman" w:hAnsi="Times New Roman" w:cs="Times New Roman"/>
          <w:i/>
          <w:color w:val="222222"/>
          <w:sz w:val="24"/>
          <w:szCs w:val="24"/>
          <w:highlight w:val="white"/>
        </w:rPr>
        <w:t>Rev Chil Pediatr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90</w:t>
      </w:r>
      <w:r>
        <w:rPr>
          <w:rFonts w:ascii="Times New Roman" w:eastAsia="Times New Roman" w:hAnsi="Times New Roman" w:cs="Times New Roman"/>
          <w:color w:val="222222"/>
          <w:sz w:val="24"/>
          <w:szCs w:val="24"/>
          <w:highlight w:val="white"/>
        </w:rPr>
        <w:t xml:space="preserve">(4), pp.411-421. Available at: </w:t>
      </w:r>
      <w:hyperlink r:id="rId16" w:history="1">
        <w:r>
          <w:rPr>
            <w:rFonts w:ascii="Times New Roman" w:eastAsia="Times New Roman" w:hAnsi="Times New Roman" w:cs="Times New Roman"/>
            <w:color w:val="1155CC"/>
            <w:sz w:val="24"/>
            <w:szCs w:val="24"/>
            <w:highlight w:val="white"/>
            <w:u w:val="single"/>
          </w:rPr>
          <w:t>https://scielo.conicyt.cl/pdf/rcp/v90n4/en_0370-4106-rcp-rchped_</w:t>
        </w:r>
        <w:r>
          <w:rPr>
            <w:rFonts w:ascii="Times New Roman" w:eastAsia="Times New Roman" w:hAnsi="Times New Roman" w:cs="Times New Roman"/>
            <w:color w:val="1155CC"/>
            <w:sz w:val="24"/>
            <w:szCs w:val="24"/>
            <w:highlight w:val="white"/>
            <w:u w:val="single"/>
          </w:rPr>
          <w:t>v90i4_901.pdf</w:t>
        </w:r>
      </w:hyperlink>
    </w:p>
    <w:p w14:paraId="067BA2DF"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Vyas, A.N., Nagaraj, N., Genovese, J., Malhotra, G., Dubey, N., Hingorani, R. and Manning, L., 2020. The girl rising ‘we dream, we rise’social media campaign in India: Reach, engagement and impact. </w:t>
      </w:r>
      <w:r>
        <w:rPr>
          <w:rFonts w:ascii="Times New Roman" w:eastAsia="Times New Roman" w:hAnsi="Times New Roman" w:cs="Times New Roman"/>
          <w:i/>
          <w:color w:val="222222"/>
          <w:sz w:val="24"/>
          <w:szCs w:val="24"/>
          <w:highlight w:val="white"/>
        </w:rPr>
        <w:t>Journal of Creative Communications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(1), pp.106-124. Available at: </w:t>
      </w:r>
      <w:hyperlink r:id="rId17" w:history="1">
        <w:r>
          <w:rPr>
            <w:rFonts w:ascii="Times New Roman" w:eastAsia="Times New Roman" w:hAnsi="Times New Roman" w:cs="Times New Roman"/>
            <w:color w:val="1155CC"/>
            <w:sz w:val="24"/>
            <w:szCs w:val="24"/>
            <w:highlight w:val="white"/>
            <w:u w:val="single"/>
          </w:rPr>
          <w:t>https://journals.sagepub.com/doi/pdf/10.1177/0973258619878354</w:t>
        </w:r>
      </w:hyperlink>
    </w:p>
    <w:p w14:paraId="5023F8B6"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Wang, D. and Osser, D.N., 2020. The psychopharmacology algorithm project at the Harva</w:t>
      </w:r>
      <w:r>
        <w:rPr>
          <w:rFonts w:ascii="Times New Roman" w:eastAsia="Times New Roman" w:hAnsi="Times New Roman" w:cs="Times New Roman"/>
          <w:color w:val="222222"/>
          <w:sz w:val="24"/>
          <w:szCs w:val="24"/>
          <w:highlight w:val="white"/>
        </w:rPr>
        <w:t xml:space="preserve">rd South Shore Program: an update on bipolar depression. </w:t>
      </w:r>
      <w:r>
        <w:rPr>
          <w:rFonts w:ascii="Times New Roman" w:eastAsia="Times New Roman" w:hAnsi="Times New Roman" w:cs="Times New Roman"/>
          <w:i/>
          <w:color w:val="222222"/>
          <w:sz w:val="24"/>
          <w:szCs w:val="24"/>
          <w:highlight w:val="white"/>
        </w:rPr>
        <w:t>Bipolar Disorders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(5), pp.472-489. Available at: </w:t>
      </w:r>
      <w:hyperlink r:id="rId18" w:history="1">
        <w:r>
          <w:rPr>
            <w:rFonts w:ascii="Times New Roman" w:eastAsia="Times New Roman" w:hAnsi="Times New Roman" w:cs="Times New Roman"/>
            <w:color w:val="1155CC"/>
            <w:sz w:val="24"/>
            <w:szCs w:val="24"/>
            <w:highlight w:val="white"/>
            <w:u w:val="single"/>
          </w:rPr>
          <w:t>http://medi-guide.meditool.cn/ymtpdf/294F892F-E12F-1D</w:t>
        </w:r>
        <w:r>
          <w:rPr>
            <w:rFonts w:ascii="Times New Roman" w:eastAsia="Times New Roman" w:hAnsi="Times New Roman" w:cs="Times New Roman"/>
            <w:color w:val="1155CC"/>
            <w:sz w:val="24"/>
            <w:szCs w:val="24"/>
            <w:highlight w:val="white"/>
            <w:u w:val="single"/>
          </w:rPr>
          <w:t>11-C986-D2AB005DECBF.pdf</w:t>
        </w:r>
      </w:hyperlink>
    </w:p>
    <w:p w14:paraId="0F0944B3" w14:textId="77777777" w:rsidR="0057541D" w:rsidRDefault="0073407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Yackobovitch-Gavan, M., Shvalb, N.F. and Bhutta, Z.A., 2018. Malnutrition and catch-up growth during childhood and puberty. </w:t>
      </w:r>
      <w:r>
        <w:rPr>
          <w:rFonts w:ascii="Times New Roman" w:eastAsia="Times New Roman" w:hAnsi="Times New Roman" w:cs="Times New Roman"/>
          <w:i/>
          <w:color w:val="222222"/>
          <w:sz w:val="24"/>
          <w:szCs w:val="24"/>
          <w:highlight w:val="white"/>
        </w:rPr>
        <w:t>World Rev Nutr Diet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117</w:t>
      </w:r>
      <w:r>
        <w:rPr>
          <w:rFonts w:ascii="Times New Roman" w:eastAsia="Times New Roman" w:hAnsi="Times New Roman" w:cs="Times New Roman"/>
          <w:color w:val="222222"/>
          <w:sz w:val="24"/>
          <w:szCs w:val="24"/>
          <w:highlight w:val="white"/>
        </w:rPr>
        <w:t xml:space="preserve">, pp.129-50. Available at: </w:t>
      </w:r>
      <w:hyperlink r:id="rId19" w:anchor="page=139" w:history="1">
        <w:r>
          <w:rPr>
            <w:rFonts w:ascii="Times New Roman" w:eastAsia="Times New Roman" w:hAnsi="Times New Roman" w:cs="Times New Roman"/>
            <w:color w:val="1155CC"/>
            <w:sz w:val="24"/>
            <w:szCs w:val="24"/>
            <w:highlight w:val="white"/>
            <w:u w:val="single"/>
          </w:rPr>
          <w:t>http://www.2018.nutrition-growth.kenes.com/Documents/World%20Review%20of%20Nutrition%20and%20Dietetics%20Vol%20117.pdf#page=139</w:t>
        </w:r>
      </w:hyperlink>
    </w:p>
    <w:sectPr w:rsidR="0057541D" w:rsidSect="0057541D">
      <w:footerReference w:type="default" r:id="rId2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A6796" w14:textId="77777777" w:rsidR="00000000" w:rsidRDefault="0073407E">
      <w:pPr>
        <w:spacing w:line="240" w:lineRule="auto"/>
      </w:pPr>
      <w:r>
        <w:separator/>
      </w:r>
    </w:p>
  </w:endnote>
  <w:endnote w:type="continuationSeparator" w:id="0">
    <w:p w14:paraId="7683CBE2" w14:textId="77777777" w:rsidR="00000000" w:rsidRDefault="00734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70047"/>
      <w:docPartObj>
        <w:docPartGallery w:val="Page Numbers (Bottom of Page)"/>
        <w:docPartUnique/>
      </w:docPartObj>
    </w:sdtPr>
    <w:sdtEndPr/>
    <w:sdtContent>
      <w:sdt>
        <w:sdtPr>
          <w:id w:val="565050523"/>
          <w:docPartObj>
            <w:docPartGallery w:val="Page Numbers (Top of Page)"/>
            <w:docPartUnique/>
          </w:docPartObj>
        </w:sdtPr>
        <w:sdtEndPr/>
        <w:sdtContent>
          <w:p w14:paraId="3975F87C" w14:textId="77777777" w:rsidR="0057541D" w:rsidRDefault="0073407E">
            <w:pPr>
              <w:pStyle w:val="a7"/>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sdtContent>
      </w:sdt>
    </w:sdtContent>
  </w:sdt>
  <w:p w14:paraId="7DCA6CA8" w14:textId="77777777" w:rsidR="0057541D" w:rsidRDefault="0057541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DA9A0" w14:textId="77777777" w:rsidR="00000000" w:rsidRDefault="0073407E">
      <w:pPr>
        <w:spacing w:line="240" w:lineRule="auto"/>
      </w:pPr>
      <w:r>
        <w:separator/>
      </w:r>
    </w:p>
  </w:footnote>
  <w:footnote w:type="continuationSeparator" w:id="0">
    <w:p w14:paraId="530568B8" w14:textId="77777777" w:rsidR="00000000" w:rsidRDefault="00734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AB2B43"/>
    <w:multiLevelType w:val="multilevel"/>
    <w:tmpl w:val="C1C2E52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9425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removePersonalInformation/>
  <w:removeDateAndTim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95E"/>
    <w:rsid w:val="00343EDE"/>
    <w:rsid w:val="003C485A"/>
    <w:rsid w:val="0057541D"/>
    <w:rsid w:val="00584784"/>
    <w:rsid w:val="0073407E"/>
    <w:rsid w:val="00806823"/>
    <w:rsid w:val="00897EA6"/>
    <w:rsid w:val="00BA7291"/>
    <w:rsid w:val="00EB295E"/>
    <w:rsid w:val="00F32725"/>
    <w:rsid w:val="00F47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4EB5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Normal1"/>
    <w:next w:val="Normal1"/>
    <w:rsid w:val="00F47F2A"/>
    <w:pPr>
      <w:spacing w:line="360" w:lineRule="auto"/>
      <w:jc w:val="both"/>
      <w:outlineLvl w:val="0"/>
    </w:pPr>
    <w:rPr>
      <w:rFonts w:ascii="Times New Roman" w:eastAsia="Times New Roman" w:hAnsi="Times New Roman" w:cs="Times New Roman"/>
      <w:b/>
      <w:color w:val="000000" w:themeColor="text1"/>
      <w:sz w:val="28"/>
      <w:szCs w:val="24"/>
    </w:rPr>
  </w:style>
  <w:style w:type="paragraph" w:styleId="2">
    <w:name w:val="heading 2"/>
    <w:basedOn w:val="Normal1"/>
    <w:next w:val="Normal1"/>
    <w:rsid w:val="0057541D"/>
    <w:pPr>
      <w:spacing w:line="360" w:lineRule="auto"/>
      <w:jc w:val="both"/>
      <w:outlineLvl w:val="1"/>
    </w:pPr>
    <w:rPr>
      <w:rFonts w:ascii="Times New Roman" w:eastAsia="Times New Roman" w:hAnsi="Times New Roman" w:cs="Times New Roman"/>
      <w:b/>
      <w:color w:val="0E101A"/>
      <w:sz w:val="24"/>
      <w:szCs w:val="24"/>
    </w:rPr>
  </w:style>
  <w:style w:type="paragraph" w:styleId="3">
    <w:name w:val="heading 3"/>
    <w:basedOn w:val="Normal1"/>
    <w:next w:val="Normal1"/>
    <w:rsid w:val="00EB295E"/>
    <w:pPr>
      <w:keepNext/>
      <w:keepLines/>
      <w:spacing w:before="320" w:after="80"/>
      <w:outlineLvl w:val="2"/>
    </w:pPr>
    <w:rPr>
      <w:color w:val="434343"/>
      <w:sz w:val="28"/>
      <w:szCs w:val="28"/>
    </w:rPr>
  </w:style>
  <w:style w:type="paragraph" w:styleId="4">
    <w:name w:val="heading 4"/>
    <w:basedOn w:val="Normal1"/>
    <w:next w:val="Normal1"/>
    <w:rsid w:val="00EB295E"/>
    <w:pPr>
      <w:keepNext/>
      <w:keepLines/>
      <w:spacing w:before="280" w:after="80"/>
      <w:outlineLvl w:val="3"/>
    </w:pPr>
    <w:rPr>
      <w:color w:val="666666"/>
      <w:sz w:val="24"/>
      <w:szCs w:val="24"/>
    </w:rPr>
  </w:style>
  <w:style w:type="paragraph" w:styleId="5">
    <w:name w:val="heading 5"/>
    <w:basedOn w:val="Normal1"/>
    <w:next w:val="Normal1"/>
    <w:rsid w:val="00EB295E"/>
    <w:pPr>
      <w:keepNext/>
      <w:keepLines/>
      <w:spacing w:before="240" w:after="80"/>
      <w:outlineLvl w:val="4"/>
    </w:pPr>
    <w:rPr>
      <w:color w:val="666666"/>
    </w:rPr>
  </w:style>
  <w:style w:type="paragraph" w:styleId="6">
    <w:name w:val="heading 6"/>
    <w:basedOn w:val="Normal1"/>
    <w:next w:val="Normal1"/>
    <w:rsid w:val="00EB295E"/>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EB295E"/>
  </w:style>
  <w:style w:type="paragraph" w:styleId="a3">
    <w:name w:val="Title"/>
    <w:basedOn w:val="Normal1"/>
    <w:next w:val="Normal1"/>
    <w:rsid w:val="00EB295E"/>
    <w:pPr>
      <w:keepNext/>
      <w:keepLines/>
      <w:spacing w:after="60"/>
    </w:pPr>
    <w:rPr>
      <w:sz w:val="52"/>
      <w:szCs w:val="52"/>
    </w:rPr>
  </w:style>
  <w:style w:type="paragraph" w:styleId="a4">
    <w:name w:val="Subtitle"/>
    <w:basedOn w:val="Normal1"/>
    <w:next w:val="Normal1"/>
    <w:rsid w:val="00EB295E"/>
    <w:pPr>
      <w:keepNext/>
      <w:keepLines/>
      <w:spacing w:after="320"/>
    </w:pPr>
    <w:rPr>
      <w:color w:val="666666"/>
      <w:sz w:val="30"/>
      <w:szCs w:val="30"/>
    </w:rPr>
  </w:style>
  <w:style w:type="paragraph" w:styleId="a5">
    <w:name w:val="header"/>
    <w:basedOn w:val="a"/>
    <w:link w:val="a6"/>
    <w:uiPriority w:val="99"/>
    <w:unhideWhenUsed/>
    <w:rsid w:val="0057541D"/>
    <w:pPr>
      <w:tabs>
        <w:tab w:val="center" w:pos="4680"/>
        <w:tab w:val="right" w:pos="9360"/>
      </w:tabs>
      <w:spacing w:line="240" w:lineRule="auto"/>
    </w:pPr>
  </w:style>
  <w:style w:type="character" w:customStyle="1" w:styleId="a6">
    <w:name w:val="Верхний колонтитул Знак"/>
    <w:basedOn w:val="a0"/>
    <w:link w:val="a5"/>
    <w:uiPriority w:val="99"/>
    <w:rsid w:val="0057541D"/>
  </w:style>
  <w:style w:type="paragraph" w:styleId="a7">
    <w:name w:val="footer"/>
    <w:basedOn w:val="a"/>
    <w:link w:val="a8"/>
    <w:uiPriority w:val="99"/>
    <w:unhideWhenUsed/>
    <w:rsid w:val="0057541D"/>
    <w:pPr>
      <w:tabs>
        <w:tab w:val="center" w:pos="4680"/>
        <w:tab w:val="right" w:pos="9360"/>
      </w:tabs>
      <w:spacing w:line="240" w:lineRule="auto"/>
    </w:pPr>
  </w:style>
  <w:style w:type="character" w:customStyle="1" w:styleId="a8">
    <w:name w:val="Нижний колонтитул Знак"/>
    <w:basedOn w:val="a0"/>
    <w:link w:val="a7"/>
    <w:uiPriority w:val="99"/>
    <w:rsid w:val="0057541D"/>
  </w:style>
  <w:style w:type="paragraph" w:styleId="a9">
    <w:name w:val="TOC Heading"/>
    <w:basedOn w:val="1"/>
    <w:next w:val="a"/>
    <w:uiPriority w:val="39"/>
    <w:unhideWhenUsed/>
    <w:qFormat/>
    <w:rsid w:val="0057541D"/>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10">
    <w:name w:val="toc 1"/>
    <w:basedOn w:val="a"/>
    <w:next w:val="a"/>
    <w:autoRedefine/>
    <w:uiPriority w:val="39"/>
    <w:unhideWhenUsed/>
    <w:rsid w:val="0057541D"/>
    <w:pPr>
      <w:spacing w:after="100"/>
    </w:pPr>
  </w:style>
  <w:style w:type="paragraph" w:styleId="20">
    <w:name w:val="toc 2"/>
    <w:basedOn w:val="a"/>
    <w:next w:val="a"/>
    <w:autoRedefine/>
    <w:uiPriority w:val="39"/>
    <w:unhideWhenUsed/>
    <w:rsid w:val="0057541D"/>
    <w:pPr>
      <w:spacing w:after="100"/>
      <w:ind w:left="220"/>
    </w:pPr>
  </w:style>
  <w:style w:type="character" w:styleId="aa">
    <w:name w:val="Hyperlink"/>
    <w:basedOn w:val="a0"/>
    <w:uiPriority w:val="99"/>
    <w:unhideWhenUsed/>
    <w:rsid w:val="0057541D"/>
    <w:rPr>
      <w:color w:val="0000FF" w:themeColor="hyperlink"/>
      <w:u w:val="single"/>
    </w:rPr>
  </w:style>
  <w:style w:type="paragraph" w:styleId="ab">
    <w:name w:val="Balloon Text"/>
    <w:basedOn w:val="a"/>
    <w:link w:val="ac"/>
    <w:uiPriority w:val="99"/>
    <w:semiHidden/>
    <w:unhideWhenUsed/>
    <w:rsid w:val="0057541D"/>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5754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0379572119877348" TargetMode="External"/><Relationship Id="rId13" Type="http://schemas.openxmlformats.org/officeDocument/2006/relationships/hyperlink" Target="https://www.tandfonline.com/doi/pdf/10.1080/16549716.2018.1452357" TargetMode="External"/><Relationship Id="rId18" Type="http://schemas.openxmlformats.org/officeDocument/2006/relationships/hyperlink" Target="http://medi-guide.meditool.cn/ymtpdf/294F892F-E12F-1D11-C986-D2AB005DECBF.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stage.jst.go.jp/article/ghm/1/2/1_2019.01033/_pdf" TargetMode="External"/><Relationship Id="rId17" Type="http://schemas.openxmlformats.org/officeDocument/2006/relationships/hyperlink" Target="https://journals.sagepub.com/doi/pdf/10.1177/0973258619878354" TargetMode="External"/><Relationship Id="rId2" Type="http://schemas.openxmlformats.org/officeDocument/2006/relationships/numbering" Target="numbering.xml"/><Relationship Id="rId16" Type="http://schemas.openxmlformats.org/officeDocument/2006/relationships/hyperlink" Target="https://scielo.conicyt.cl/pdf/rcp/v90n4/en_0370-4106-rcp-rchped_v90i4_901.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whiterose.ac.uk/134302/1/E_S_Paper_AK.pdf" TargetMode="External"/><Relationship Id="rId5" Type="http://schemas.openxmlformats.org/officeDocument/2006/relationships/webSettings" Target="webSettings.xml"/><Relationship Id="rId15" Type="http://schemas.openxmlformats.org/officeDocument/2006/relationships/hyperlink" Target="https://onlinelibrary.wiley.com/doi/pdfdirect/10.1111/tmi.13574" TargetMode="External"/><Relationship Id="rId10" Type="http://schemas.openxmlformats.org/officeDocument/2006/relationships/hyperlink" Target="https://onlinelibrary.wiley.com/doi/pdf/10.1111/mcn.13197" TargetMode="External"/><Relationship Id="rId19" Type="http://schemas.openxmlformats.org/officeDocument/2006/relationships/hyperlink" Target="http://www.2018.nutrition-growth.kenes.com/Documents/World%20Review%20of%20Nutrition%20and%20Dietetics%20Vol%20117.pdf" TargetMode="External"/><Relationship Id="rId4" Type="http://schemas.openxmlformats.org/officeDocument/2006/relationships/settings" Target="settings.xml"/><Relationship Id="rId9" Type="http://schemas.openxmlformats.org/officeDocument/2006/relationships/hyperlink" Target="https://onlinelibrary.wiley.com/doi/pdf/10.1111/tmi.13331" TargetMode="External"/><Relationship Id="rId14" Type="http://schemas.openxmlformats.org/officeDocument/2006/relationships/hyperlink" Target="https://www.liebertpub.com/doi/pdfplus/10.1089/bio.2018.013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72010F-5691-4E45-8FE6-C5DB5C9FDF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2880</Words>
  <Characters>16417</Characters>
  <Application>Microsoft Office Word</Application>
  <DocSecurity>0</DocSecurity>
  <Lines>136</Lines>
  <Paragraphs>38</Paragraphs>
  <ScaleCrop>false</ScaleCrop>
  <Company/>
  <LinksUpToDate>false</LinksUpToDate>
  <CharactersWithSpaces>19259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2022-04-30T09:14:00Z</dcterms:created>
  <dcterms:modified xsi:type="dcterms:W3CDTF">2022-04-30T09:14:00Z</dcterms:modified>
</cp:coreProperties>
</file>