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8D444A" w14:textId="77777777" w:rsidR="002E0495" w:rsidRDefault="002E0495" w:rsidP="107D7CC2">
      <w:pPr>
        <w:jc w:val="center"/>
        <w:rPr>
          <w:rFonts w:ascii="Arial" w:eastAsia="Arial" w:hAnsi="Arial" w:cs="Arial"/>
          <w:b/>
          <w:bCs/>
          <w:sz w:val="36"/>
          <w:szCs w:val="36"/>
        </w:rPr>
      </w:pPr>
    </w:p>
    <w:p w14:paraId="7DD90A12" w14:textId="77777777" w:rsidR="002E0495" w:rsidRDefault="002E0495" w:rsidP="107D7CC2">
      <w:pPr>
        <w:jc w:val="center"/>
        <w:rPr>
          <w:rFonts w:ascii="Arial" w:eastAsia="Arial" w:hAnsi="Arial" w:cs="Arial"/>
          <w:b/>
          <w:bCs/>
          <w:sz w:val="36"/>
          <w:szCs w:val="36"/>
        </w:rPr>
      </w:pPr>
    </w:p>
    <w:p w14:paraId="45505790" w14:textId="77777777" w:rsidR="002E0495" w:rsidRDefault="002E0495" w:rsidP="107D7CC2">
      <w:pPr>
        <w:jc w:val="center"/>
        <w:rPr>
          <w:rFonts w:ascii="Arial" w:eastAsia="Arial" w:hAnsi="Arial" w:cs="Arial"/>
          <w:b/>
          <w:bCs/>
          <w:sz w:val="36"/>
          <w:szCs w:val="36"/>
        </w:rPr>
      </w:pPr>
    </w:p>
    <w:p w14:paraId="3AF26F6A" w14:textId="77777777" w:rsidR="002E0495" w:rsidRDefault="002E0495" w:rsidP="107D7CC2">
      <w:pPr>
        <w:jc w:val="center"/>
        <w:rPr>
          <w:rFonts w:ascii="Arial" w:eastAsia="Arial" w:hAnsi="Arial" w:cs="Arial"/>
          <w:b/>
          <w:bCs/>
          <w:sz w:val="36"/>
          <w:szCs w:val="36"/>
        </w:rPr>
      </w:pPr>
    </w:p>
    <w:p w14:paraId="107F50DF" w14:textId="363C1B5C" w:rsidR="00137627" w:rsidRDefault="6DCF9BD9" w:rsidP="107D7CC2">
      <w:pPr>
        <w:jc w:val="center"/>
        <w:rPr>
          <w:rFonts w:ascii="Arial" w:eastAsia="Arial" w:hAnsi="Arial" w:cs="Arial"/>
          <w:b/>
          <w:bCs/>
          <w:sz w:val="36"/>
          <w:szCs w:val="36"/>
        </w:rPr>
      </w:pPr>
      <w:r w:rsidRPr="6DCF9BD9">
        <w:rPr>
          <w:rFonts w:ascii="Arial" w:eastAsia="Arial" w:hAnsi="Arial" w:cs="Arial"/>
          <w:b/>
          <w:bCs/>
          <w:sz w:val="36"/>
          <w:szCs w:val="36"/>
        </w:rPr>
        <w:t>Pollution and waste management in Bowden House Community, UK</w:t>
      </w:r>
    </w:p>
    <w:p w14:paraId="66822B9F" w14:textId="1C79D704" w:rsidR="00137627" w:rsidRDefault="00FD0223">
      <w:r>
        <w:br w:type="page"/>
      </w:r>
    </w:p>
    <w:p w14:paraId="03363ACA" w14:textId="7A5DC043" w:rsidR="6DCF9BD9" w:rsidRDefault="029B1C6E" w:rsidP="6DCF9BD9">
      <w:pPr>
        <w:jc w:val="both"/>
        <w:rPr>
          <w:rFonts w:ascii="Arial" w:eastAsia="Arial" w:hAnsi="Arial" w:cs="Arial"/>
          <w:sz w:val="24"/>
          <w:szCs w:val="24"/>
        </w:rPr>
      </w:pPr>
      <w:r w:rsidRPr="029B1C6E">
        <w:rPr>
          <w:rFonts w:ascii="Arial" w:eastAsia="Arial" w:hAnsi="Arial" w:cs="Arial"/>
          <w:sz w:val="24"/>
          <w:szCs w:val="24"/>
        </w:rPr>
        <w:lastRenderedPageBreak/>
        <w:t>In 2018, UK generated about 222 million tons of garbage in which only England contributed 84% (</w:t>
      </w:r>
      <w:proofErr w:type="spellStart"/>
      <w:r w:rsidRPr="029B1C6E">
        <w:rPr>
          <w:rFonts w:ascii="Arial" w:eastAsia="Arial" w:hAnsi="Arial" w:cs="Arial"/>
          <w:sz w:val="24"/>
          <w:szCs w:val="24"/>
        </w:rPr>
        <w:t>Laville</w:t>
      </w:r>
      <w:proofErr w:type="spellEnd"/>
      <w:r w:rsidRPr="029B1C6E">
        <w:rPr>
          <w:rFonts w:ascii="Arial" w:eastAsia="Arial" w:hAnsi="Arial" w:cs="Arial"/>
          <w:sz w:val="24"/>
          <w:szCs w:val="24"/>
        </w:rPr>
        <w:t>, 2020). In 2019, the amount of commercial and industrial waste was 37.2 million tons produced by England. In a report published by local authority of UK demonstrated that annually per person in England generated 392 kilograms of waste where the figure shows dramatical fluctuation in some cases. For example, in some regions of North East England per person generated about 586 kilograms of waste in 2019/20 (</w:t>
      </w:r>
      <w:proofErr w:type="spellStart"/>
      <w:r w:rsidRPr="029B1C6E">
        <w:rPr>
          <w:rFonts w:ascii="Arial" w:eastAsia="Arial" w:hAnsi="Arial" w:cs="Arial"/>
          <w:sz w:val="24"/>
          <w:szCs w:val="24"/>
        </w:rPr>
        <w:t>Tiseo</w:t>
      </w:r>
      <w:proofErr w:type="spellEnd"/>
      <w:r w:rsidRPr="029B1C6E">
        <w:rPr>
          <w:rFonts w:ascii="Arial" w:eastAsia="Arial" w:hAnsi="Arial" w:cs="Arial"/>
          <w:sz w:val="24"/>
          <w:szCs w:val="24"/>
        </w:rPr>
        <w:t xml:space="preserve">, 2021). UK generally uses landfill, incineration, and anaerobic digestion for waste management. Each of these processes cause significant harm to the local environment and the current policies and interventions of UK government is proving insufficient to facilitate the waste management processes of local communities such as </w:t>
      </w:r>
      <w:bookmarkStart w:id="0" w:name="_Hlk78917243"/>
      <w:r w:rsidRPr="029B1C6E">
        <w:rPr>
          <w:rFonts w:ascii="Arial" w:eastAsia="Arial" w:hAnsi="Arial" w:cs="Arial"/>
          <w:sz w:val="24"/>
          <w:szCs w:val="24"/>
        </w:rPr>
        <w:t>Bowden House Community</w:t>
      </w:r>
      <w:bookmarkEnd w:id="0"/>
      <w:r w:rsidRPr="029B1C6E">
        <w:rPr>
          <w:rFonts w:ascii="Arial" w:eastAsia="Arial" w:hAnsi="Arial" w:cs="Arial"/>
          <w:sz w:val="24"/>
          <w:szCs w:val="24"/>
        </w:rPr>
        <w:t>. To overcome this environmental issue and enhance the waste management system of the selected community, it is required to initiate a community engagement project which will be able to outline as well as resolve the core issues related to the problem. The following report is going to</w:t>
      </w:r>
      <w:r w:rsidR="003D166B">
        <w:rPr>
          <w:rFonts w:ascii="Arial" w:eastAsia="Arial" w:hAnsi="Arial" w:cs="Arial"/>
          <w:sz w:val="24"/>
          <w:szCs w:val="24"/>
        </w:rPr>
        <w:t xml:space="preserve"> develop a community engagement plan for </w:t>
      </w:r>
      <w:r w:rsidR="003D166B" w:rsidRPr="003D166B">
        <w:rPr>
          <w:rFonts w:ascii="Arial" w:eastAsia="Arial" w:hAnsi="Arial" w:cs="Arial"/>
          <w:sz w:val="24"/>
          <w:szCs w:val="24"/>
        </w:rPr>
        <w:t>Bowden House Community</w:t>
      </w:r>
      <w:r w:rsidR="003D166B">
        <w:rPr>
          <w:rFonts w:ascii="Arial" w:eastAsia="Arial" w:hAnsi="Arial" w:cs="Arial"/>
          <w:sz w:val="24"/>
          <w:szCs w:val="24"/>
        </w:rPr>
        <w:t xml:space="preserve"> to overcome the waste management issues. To do so the geographical aspects, availability of resources, process of communicating stakeholders, and principals and standards of community engagement projects will be considered.  </w:t>
      </w:r>
    </w:p>
    <w:p w14:paraId="4BC5CEC2" w14:textId="55D43CA7" w:rsidR="029B1C6E" w:rsidRDefault="029B1C6E" w:rsidP="029B1C6E">
      <w:pPr>
        <w:jc w:val="both"/>
        <w:rPr>
          <w:rFonts w:ascii="Arial" w:eastAsia="Arial" w:hAnsi="Arial" w:cs="Arial"/>
          <w:sz w:val="24"/>
          <w:szCs w:val="24"/>
        </w:rPr>
      </w:pPr>
      <w:r w:rsidRPr="029B1C6E">
        <w:rPr>
          <w:rFonts w:ascii="Arial" w:eastAsia="Arial" w:hAnsi="Arial" w:cs="Arial"/>
          <w:sz w:val="24"/>
          <w:szCs w:val="24"/>
        </w:rPr>
        <w:t xml:space="preserve">Community engagement is a strategic process which aims to identify and resolve a certain communal issue by working with selected group of people regardless of their demographic characteristic, interest and identity for their well-being (De </w:t>
      </w:r>
      <w:proofErr w:type="spellStart"/>
      <w:r w:rsidRPr="029B1C6E">
        <w:rPr>
          <w:rFonts w:ascii="Arial" w:eastAsia="Arial" w:hAnsi="Arial" w:cs="Arial"/>
          <w:sz w:val="24"/>
          <w:szCs w:val="24"/>
        </w:rPr>
        <w:t>Weger</w:t>
      </w:r>
      <w:proofErr w:type="spellEnd"/>
      <w:r w:rsidRPr="029B1C6E">
        <w:rPr>
          <w:rFonts w:ascii="Arial" w:eastAsia="Arial" w:hAnsi="Arial" w:cs="Arial"/>
          <w:sz w:val="24"/>
          <w:szCs w:val="24"/>
        </w:rPr>
        <w:t xml:space="preserve"> et al., 2018). Community engagement process is a blend of science and art. The concept of science comes from sociology, public policy, political science, cultural anthropology, development of organizations, psychology, social psychology and from other fields. It also comes from establishing concepts devised from the literature on community engagement, community development, member building, and social psychology. The arts arise from comprehension of skills and sensitivities used to apply and adapt science in ways that are suited to the purposes of society and specific participatory activities. The outcomes of these efforts can be measure differently and encompass a variety of structures but they all fall under the general heading of social engagement and are discussed as well as dealt with here (</w:t>
      </w:r>
      <w:proofErr w:type="spellStart"/>
      <w:r w:rsidRPr="029B1C6E">
        <w:rPr>
          <w:rFonts w:ascii="Arial" w:eastAsia="Arial" w:hAnsi="Arial" w:cs="Arial"/>
          <w:sz w:val="24"/>
          <w:szCs w:val="24"/>
        </w:rPr>
        <w:t>Bidandi</w:t>
      </w:r>
      <w:proofErr w:type="spellEnd"/>
      <w:r w:rsidRPr="029B1C6E">
        <w:rPr>
          <w:rFonts w:ascii="Arial" w:eastAsia="Arial" w:hAnsi="Arial" w:cs="Arial"/>
          <w:sz w:val="24"/>
          <w:szCs w:val="24"/>
        </w:rPr>
        <w:t xml:space="preserve"> et al, 2021). </w:t>
      </w:r>
    </w:p>
    <w:p w14:paraId="7CD1F404" w14:textId="37D87727" w:rsidR="029B1C6E" w:rsidRDefault="029B1C6E" w:rsidP="029B1C6E">
      <w:pPr>
        <w:jc w:val="both"/>
        <w:rPr>
          <w:rFonts w:ascii="Arial" w:eastAsia="Arial" w:hAnsi="Arial" w:cs="Arial"/>
          <w:sz w:val="24"/>
          <w:szCs w:val="24"/>
        </w:rPr>
      </w:pPr>
      <w:r w:rsidRPr="029B1C6E">
        <w:rPr>
          <w:rFonts w:ascii="Arial" w:eastAsia="Arial" w:hAnsi="Arial" w:cs="Arial"/>
          <w:sz w:val="24"/>
          <w:szCs w:val="24"/>
        </w:rPr>
        <w:t xml:space="preserve">Without outside help and support, it is difficult to design and effectuate an integrated waste management program or project. Through community engagement, members of the tribe play a meaningful role in the deliberative, discussion, decision and implementation of integrated waste management projects and programs that will benefit them. This will make the project or solution more likely to be widely accepted as people in the community will see many aspects of the project where they can learn more about waste management issues. Through community engagement, organizational and government leaders can serve as promoters, sponsors and collaborators, providing them a stronger perspective while giving a stronger voice to the citizens and stakeholders of the community. Leveraging the local knowledge of the various groups to create practical and effective solutions. Community Engagement also enhance the level of trust between </w:t>
      </w:r>
      <w:r w:rsidRPr="029B1C6E">
        <w:rPr>
          <w:rFonts w:ascii="Arial" w:eastAsia="Arial" w:hAnsi="Arial" w:cs="Arial"/>
          <w:sz w:val="24"/>
          <w:szCs w:val="24"/>
        </w:rPr>
        <w:lastRenderedPageBreak/>
        <w:t xml:space="preserve">tribal communities and local and federal governments which reduces the gap by connecting people who are not currently a part of the direct constituency (O’Mara-Eves et al., 2015). Sometimes in effective community engagement project, it requires to letting go of some of the conventional reins of power and trust which consider that every citizen will actively engage in an integrated waste management project. The aim is to build and strengthen the partnership which is healthy for the community and will be able to identify communal issues more effectively. For the chosen waste management program, community engagement will enhance the capacity to achieve the required changes in the community in almost all scenarios (Thwala,2010).    </w:t>
      </w:r>
    </w:p>
    <w:p w14:paraId="13AB3951" w14:textId="1E521386" w:rsidR="029B1C6E" w:rsidRDefault="029B1C6E" w:rsidP="029B1C6E">
      <w:pPr>
        <w:jc w:val="both"/>
        <w:rPr>
          <w:rFonts w:ascii="Arial" w:eastAsia="Arial" w:hAnsi="Arial" w:cs="Arial"/>
          <w:sz w:val="24"/>
          <w:szCs w:val="24"/>
        </w:rPr>
      </w:pPr>
      <w:r w:rsidRPr="029B1C6E">
        <w:rPr>
          <w:rFonts w:ascii="Arial" w:eastAsia="Arial" w:hAnsi="Arial" w:cs="Arial"/>
          <w:sz w:val="24"/>
          <w:szCs w:val="24"/>
        </w:rPr>
        <w:t>The developed community engagement plan to reduce pollution and enhance the existed waste management system of Bowden House Community, UK involves the following steps: defining the necessity of community engagement; developing a communal waste management advisory committee; scrutinize the project scope, goals and anticipated outcomes; analyze and identify stakeholders servings and contribution; evaluate engagement methods; implement the designed community engagement plan; and progress monitoring, plan evaluation and modify necessary changes (</w:t>
      </w:r>
      <w:proofErr w:type="spellStart"/>
      <w:r w:rsidRPr="029B1C6E">
        <w:rPr>
          <w:rFonts w:ascii="Arial" w:eastAsia="Arial" w:hAnsi="Arial" w:cs="Arial"/>
          <w:sz w:val="24"/>
          <w:szCs w:val="24"/>
        </w:rPr>
        <w:t>Konsti-Laakso</w:t>
      </w:r>
      <w:proofErr w:type="spellEnd"/>
      <w:r w:rsidRPr="029B1C6E">
        <w:rPr>
          <w:rFonts w:ascii="Arial" w:eastAsia="Arial" w:hAnsi="Arial" w:cs="Arial"/>
          <w:sz w:val="24"/>
          <w:szCs w:val="24"/>
        </w:rPr>
        <w:t xml:space="preserve"> and Rantala, 2018). </w:t>
      </w:r>
    </w:p>
    <w:p w14:paraId="13221280" w14:textId="514C8435" w:rsidR="029B1C6E" w:rsidRDefault="029B1C6E" w:rsidP="029B1C6E">
      <w:pPr>
        <w:jc w:val="both"/>
        <w:rPr>
          <w:rFonts w:ascii="Arial" w:eastAsia="Arial" w:hAnsi="Arial" w:cs="Arial"/>
          <w:sz w:val="24"/>
          <w:szCs w:val="24"/>
        </w:rPr>
      </w:pPr>
      <w:r w:rsidRPr="029B1C6E">
        <w:rPr>
          <w:rFonts w:ascii="Arial" w:eastAsia="Arial" w:hAnsi="Arial" w:cs="Arial"/>
          <w:sz w:val="24"/>
          <w:szCs w:val="24"/>
        </w:rPr>
        <w:t>The success of an effective waste management project lies within the engagement of communities as partners and develop the capacity of the community to foster a safer and cleaner environment. An effective community engagement project recognizes the citizens as the most valuable resources of the community which acknowledges the collaboration as a fundamental catalyst to push the community forward. The designed community engagement plan is directed and considered the following community engagement principals (ATSDR, 2020):</w:t>
      </w:r>
    </w:p>
    <w:p w14:paraId="43E9553C" w14:textId="1C5FDD50" w:rsidR="029B1C6E" w:rsidRDefault="029B1C6E" w:rsidP="029B1C6E">
      <w:pPr>
        <w:jc w:val="both"/>
        <w:rPr>
          <w:rFonts w:ascii="Arial" w:eastAsia="Arial" w:hAnsi="Arial" w:cs="Arial"/>
          <w:sz w:val="24"/>
          <w:szCs w:val="24"/>
        </w:rPr>
      </w:pPr>
      <w:r w:rsidRPr="029B1C6E">
        <w:rPr>
          <w:rFonts w:ascii="Arial" w:eastAsia="Arial" w:hAnsi="Arial" w:cs="Arial"/>
          <w:sz w:val="24"/>
          <w:szCs w:val="24"/>
          <w:u w:val="single"/>
        </w:rPr>
        <w:t>Integrity:</w:t>
      </w:r>
      <w:r w:rsidRPr="029B1C6E">
        <w:rPr>
          <w:rFonts w:ascii="Arial" w:eastAsia="Arial" w:hAnsi="Arial" w:cs="Arial"/>
          <w:sz w:val="24"/>
          <w:szCs w:val="24"/>
        </w:rPr>
        <w:t xml:space="preserve"> The waste management project will clearly define its goals to the community members to promote engagement and to elucidate the necessity of their active participation. The process will help to develop a robust plan which will be able to provide maximum benefit. </w:t>
      </w:r>
    </w:p>
    <w:p w14:paraId="44D29A38" w14:textId="7CD91089" w:rsidR="029B1C6E" w:rsidRDefault="029B1C6E" w:rsidP="029B1C6E">
      <w:pPr>
        <w:jc w:val="both"/>
        <w:rPr>
          <w:rFonts w:ascii="Arial" w:eastAsia="Arial" w:hAnsi="Arial" w:cs="Arial"/>
          <w:sz w:val="24"/>
          <w:szCs w:val="24"/>
        </w:rPr>
      </w:pPr>
      <w:r w:rsidRPr="029B1C6E">
        <w:rPr>
          <w:rFonts w:ascii="Arial" w:eastAsia="Arial" w:hAnsi="Arial" w:cs="Arial"/>
          <w:sz w:val="24"/>
          <w:szCs w:val="24"/>
          <w:u w:val="single"/>
        </w:rPr>
        <w:t>In-depth knowledge about the community:</w:t>
      </w:r>
      <w:r w:rsidRPr="029B1C6E">
        <w:rPr>
          <w:rFonts w:ascii="Arial" w:eastAsia="Arial" w:hAnsi="Arial" w:cs="Arial"/>
          <w:sz w:val="24"/>
          <w:szCs w:val="24"/>
        </w:rPr>
        <w:t xml:space="preserve"> Before initiating the community engagement project, in-depth knowledge about the community's historical background, demographical structure, cultural and social norms, economic condition, social networks, political interest and power structure. These information's will be collected through qualitative and quantitative approaches such as: surveys, interviews, observations etc.</w:t>
      </w:r>
    </w:p>
    <w:p w14:paraId="7DAA901B" w14:textId="500708DA" w:rsidR="029B1C6E" w:rsidRDefault="029B1C6E" w:rsidP="029B1C6E">
      <w:pPr>
        <w:jc w:val="both"/>
        <w:rPr>
          <w:rFonts w:ascii="Arial" w:eastAsia="Arial" w:hAnsi="Arial" w:cs="Arial"/>
          <w:sz w:val="24"/>
          <w:szCs w:val="24"/>
        </w:rPr>
      </w:pPr>
      <w:r w:rsidRPr="029B1C6E">
        <w:rPr>
          <w:rFonts w:ascii="Arial" w:eastAsia="Arial" w:hAnsi="Arial" w:cs="Arial"/>
          <w:sz w:val="24"/>
          <w:szCs w:val="24"/>
          <w:u w:val="single"/>
        </w:rPr>
        <w:t>Develop relationship:</w:t>
      </w:r>
      <w:r w:rsidRPr="029B1C6E">
        <w:rPr>
          <w:rFonts w:ascii="Arial" w:eastAsia="Arial" w:hAnsi="Arial" w:cs="Arial"/>
          <w:sz w:val="24"/>
          <w:szCs w:val="24"/>
        </w:rPr>
        <w:t xml:space="preserve"> To effectuate the waste management plan, it will be required to develop relationship with the community members and neighbors and to acknowledge their resilience's and strengths.   </w:t>
      </w:r>
    </w:p>
    <w:p w14:paraId="3D4449BB" w14:textId="0EAA0C11" w:rsidR="029B1C6E" w:rsidRDefault="029B1C6E" w:rsidP="029B1C6E">
      <w:pPr>
        <w:jc w:val="both"/>
        <w:rPr>
          <w:rFonts w:ascii="Arial" w:eastAsia="Arial" w:hAnsi="Arial" w:cs="Arial"/>
          <w:sz w:val="24"/>
          <w:szCs w:val="24"/>
        </w:rPr>
      </w:pPr>
      <w:r w:rsidRPr="029B1C6E">
        <w:rPr>
          <w:rFonts w:ascii="Arial" w:eastAsia="Arial" w:hAnsi="Arial" w:cs="Arial"/>
          <w:sz w:val="24"/>
          <w:szCs w:val="24"/>
          <w:u w:val="single"/>
        </w:rPr>
        <w:t>Promotion of diversity:</w:t>
      </w:r>
      <w:r w:rsidRPr="029B1C6E">
        <w:rPr>
          <w:rFonts w:ascii="Arial" w:eastAsia="Arial" w:hAnsi="Arial" w:cs="Arial"/>
          <w:sz w:val="24"/>
          <w:szCs w:val="24"/>
        </w:rPr>
        <w:t xml:space="preserve"> To develop trust and relationship, it will be required to understand and respect individuals right and perspective. The process will reduce resistance and will facilitate everyone's participation as well as project progression. </w:t>
      </w:r>
    </w:p>
    <w:p w14:paraId="0E349140" w14:textId="3D06E64C" w:rsidR="029B1C6E" w:rsidRDefault="029B1C6E" w:rsidP="029B1C6E">
      <w:pPr>
        <w:jc w:val="both"/>
        <w:rPr>
          <w:rFonts w:ascii="Arial" w:eastAsia="Arial" w:hAnsi="Arial" w:cs="Arial"/>
          <w:sz w:val="24"/>
          <w:szCs w:val="24"/>
        </w:rPr>
      </w:pPr>
      <w:r w:rsidRPr="029B1C6E">
        <w:rPr>
          <w:rFonts w:ascii="Arial" w:eastAsia="Arial" w:hAnsi="Arial" w:cs="Arial"/>
          <w:sz w:val="24"/>
          <w:szCs w:val="24"/>
          <w:u w:val="single"/>
        </w:rPr>
        <w:lastRenderedPageBreak/>
        <w:t>Promoting partnership:</w:t>
      </w:r>
      <w:r w:rsidRPr="029B1C6E">
        <w:rPr>
          <w:rFonts w:ascii="Arial" w:eastAsia="Arial" w:hAnsi="Arial" w:cs="Arial"/>
          <w:sz w:val="24"/>
          <w:szCs w:val="24"/>
        </w:rPr>
        <w:t xml:space="preserve"> Encouraging inclusive practices will be required which will respond to political, social and economic trends. Activities which will create opportunities, growth, and prosperity of the community will be supported. </w:t>
      </w:r>
    </w:p>
    <w:p w14:paraId="4E6C3218" w14:textId="4904954C" w:rsidR="029B1C6E" w:rsidRDefault="029B1C6E" w:rsidP="029B1C6E">
      <w:pPr>
        <w:jc w:val="both"/>
        <w:rPr>
          <w:rFonts w:ascii="Arial" w:eastAsia="Arial" w:hAnsi="Arial" w:cs="Arial"/>
          <w:sz w:val="24"/>
          <w:szCs w:val="24"/>
        </w:rPr>
      </w:pPr>
      <w:r w:rsidRPr="029B1C6E">
        <w:rPr>
          <w:rFonts w:ascii="Arial" w:eastAsia="Arial" w:hAnsi="Arial" w:cs="Arial"/>
          <w:sz w:val="24"/>
          <w:szCs w:val="24"/>
          <w:u w:val="single"/>
        </w:rPr>
        <w:t>Valuing diversity:</w:t>
      </w:r>
      <w:r w:rsidRPr="029B1C6E">
        <w:rPr>
          <w:rFonts w:ascii="Arial" w:eastAsia="Arial" w:hAnsi="Arial" w:cs="Arial"/>
          <w:sz w:val="24"/>
          <w:szCs w:val="24"/>
        </w:rPr>
        <w:t xml:space="preserve"> To enhance participation and productivity, every member </w:t>
      </w:r>
      <w:r w:rsidRPr="029B1C6E">
        <w:rPr>
          <w:rFonts w:ascii="Arial" w:eastAsia="Arial" w:hAnsi="Arial" w:cs="Arial"/>
          <w:color w:val="000000" w:themeColor="text1"/>
          <w:sz w:val="24"/>
          <w:szCs w:val="24"/>
        </w:rPr>
        <w:t>of the</w:t>
      </w:r>
      <w:r w:rsidRPr="029B1C6E">
        <w:rPr>
          <w:rFonts w:ascii="Arial" w:eastAsia="Arial" w:hAnsi="Arial" w:cs="Arial"/>
          <w:sz w:val="24"/>
          <w:szCs w:val="24"/>
        </w:rPr>
        <w:t xml:space="preserve"> community and their contribution will be valued regardless of their race, ethnicity, age, gender, profession, religion and literacy.  </w:t>
      </w:r>
    </w:p>
    <w:p w14:paraId="14F34598" w14:textId="1EF571C7" w:rsidR="029B1C6E" w:rsidRDefault="029B1C6E" w:rsidP="029B1C6E">
      <w:pPr>
        <w:jc w:val="both"/>
        <w:rPr>
          <w:rFonts w:ascii="Arial" w:eastAsia="Arial" w:hAnsi="Arial" w:cs="Arial"/>
          <w:sz w:val="24"/>
          <w:szCs w:val="24"/>
        </w:rPr>
      </w:pPr>
      <w:r w:rsidRPr="029B1C6E">
        <w:rPr>
          <w:rFonts w:ascii="Arial" w:eastAsia="Arial" w:hAnsi="Arial" w:cs="Arial"/>
          <w:sz w:val="24"/>
          <w:szCs w:val="24"/>
          <w:u w:val="single"/>
        </w:rPr>
        <w:t>Mobilizing community assets:</w:t>
      </w:r>
      <w:r w:rsidRPr="029B1C6E">
        <w:rPr>
          <w:rFonts w:ascii="Arial" w:eastAsia="Arial" w:hAnsi="Arial" w:cs="Arial"/>
          <w:sz w:val="24"/>
          <w:szCs w:val="24"/>
        </w:rPr>
        <w:t xml:space="preserve"> By providing technical empowerment, leadership skill, advocacy skill, networking skill, project management and planning skill, capacity-building among the communities will be encouraged.  </w:t>
      </w:r>
    </w:p>
    <w:p w14:paraId="692A7B09" w14:textId="4DA0AB18" w:rsidR="029B1C6E" w:rsidRDefault="029B1C6E" w:rsidP="029B1C6E">
      <w:pPr>
        <w:jc w:val="both"/>
        <w:rPr>
          <w:rFonts w:ascii="Arial" w:eastAsia="Arial" w:hAnsi="Arial" w:cs="Arial"/>
          <w:sz w:val="24"/>
          <w:szCs w:val="24"/>
        </w:rPr>
      </w:pPr>
      <w:r w:rsidRPr="029B1C6E">
        <w:rPr>
          <w:rFonts w:ascii="Arial" w:eastAsia="Arial" w:hAnsi="Arial" w:cs="Arial"/>
          <w:sz w:val="24"/>
          <w:szCs w:val="24"/>
          <w:u w:val="single"/>
        </w:rPr>
        <w:t>Flexible intervention:</w:t>
      </w:r>
      <w:r w:rsidRPr="029B1C6E">
        <w:rPr>
          <w:rFonts w:ascii="Arial" w:eastAsia="Arial" w:hAnsi="Arial" w:cs="Arial"/>
          <w:sz w:val="24"/>
          <w:szCs w:val="24"/>
        </w:rPr>
        <w:t xml:space="preserve"> The level of required changes across the board will be assessed. The most impacted areas and individuals will be identified and the positive changes will be implemented. The intervention will be designed considering its ability to response in changes.  </w:t>
      </w:r>
    </w:p>
    <w:p w14:paraId="68CBF08E" w14:textId="515154F3" w:rsidR="029B1C6E" w:rsidRDefault="029B1C6E" w:rsidP="029B1C6E">
      <w:pPr>
        <w:jc w:val="both"/>
        <w:rPr>
          <w:rFonts w:ascii="Arial" w:eastAsia="Arial" w:hAnsi="Arial" w:cs="Arial"/>
          <w:sz w:val="24"/>
          <w:szCs w:val="24"/>
        </w:rPr>
      </w:pPr>
      <w:r w:rsidRPr="029B1C6E">
        <w:rPr>
          <w:rFonts w:ascii="Arial" w:eastAsia="Arial" w:hAnsi="Arial" w:cs="Arial"/>
          <w:sz w:val="24"/>
          <w:szCs w:val="24"/>
          <w:u w:val="single"/>
        </w:rPr>
        <w:t>Long-term collaboration and commitment:</w:t>
      </w:r>
      <w:r w:rsidRPr="029B1C6E">
        <w:rPr>
          <w:rFonts w:ascii="Arial" w:eastAsia="Arial" w:hAnsi="Arial" w:cs="Arial"/>
          <w:sz w:val="24"/>
          <w:szCs w:val="24"/>
        </w:rPr>
        <w:t xml:space="preserve"> The designed waste management project has considered the long-term impacts. It will be able to adopt sustainability and it will promote inclusiveness and collaboration among community members.</w:t>
      </w:r>
    </w:p>
    <w:p w14:paraId="1FC1F84C" w14:textId="71E98062" w:rsidR="029B1C6E" w:rsidRDefault="029B1C6E" w:rsidP="029B1C6E">
      <w:pPr>
        <w:jc w:val="both"/>
        <w:rPr>
          <w:rFonts w:ascii="Arial" w:eastAsia="Arial" w:hAnsi="Arial" w:cs="Arial"/>
          <w:color w:val="000000" w:themeColor="text1"/>
          <w:sz w:val="24"/>
          <w:szCs w:val="24"/>
        </w:rPr>
      </w:pPr>
      <w:r w:rsidRPr="029B1C6E">
        <w:rPr>
          <w:rFonts w:ascii="Arial" w:eastAsia="Arial" w:hAnsi="Arial" w:cs="Arial"/>
          <w:sz w:val="24"/>
          <w:szCs w:val="24"/>
        </w:rPr>
        <w:t>Stakeholder identification and analysis is an integral part of the community engagement planning process. Community engagement plans are most successful when true partnerships exist and power and control are shared. Optimum outcomes can be achieved if the project has managed and understand the</w:t>
      </w:r>
      <w:r w:rsidRPr="029B1C6E">
        <w:rPr>
          <w:rFonts w:ascii="Arial" w:eastAsia="Arial" w:hAnsi="Arial" w:cs="Arial"/>
          <w:color w:val="000000" w:themeColor="text1"/>
          <w:sz w:val="24"/>
          <w:szCs w:val="24"/>
        </w:rPr>
        <w:t xml:space="preserve"> relationships between community members and stakeholders. Conversely, without a complete understanding of the dynamics of the relationships that exist among stakeholders, interference can occur that has a negative impact on the entire project (Boon, </w:t>
      </w:r>
      <w:proofErr w:type="spellStart"/>
      <w:r w:rsidRPr="029B1C6E">
        <w:rPr>
          <w:rFonts w:ascii="Arial" w:eastAsia="Arial" w:hAnsi="Arial" w:cs="Arial"/>
          <w:color w:val="000000" w:themeColor="text1"/>
          <w:sz w:val="24"/>
          <w:szCs w:val="24"/>
        </w:rPr>
        <w:t>Bawole</w:t>
      </w:r>
      <w:proofErr w:type="spellEnd"/>
      <w:r w:rsidRPr="029B1C6E">
        <w:rPr>
          <w:rFonts w:ascii="Arial" w:eastAsia="Arial" w:hAnsi="Arial" w:cs="Arial"/>
          <w:color w:val="000000" w:themeColor="text1"/>
          <w:sz w:val="24"/>
          <w:szCs w:val="24"/>
        </w:rPr>
        <w:t xml:space="preserve"> and </w:t>
      </w:r>
      <w:proofErr w:type="spellStart"/>
      <w:r w:rsidRPr="029B1C6E">
        <w:rPr>
          <w:rFonts w:ascii="Arial" w:eastAsia="Arial" w:hAnsi="Arial" w:cs="Arial"/>
          <w:color w:val="000000" w:themeColor="text1"/>
          <w:sz w:val="24"/>
          <w:szCs w:val="24"/>
        </w:rPr>
        <w:t>Ahenkan</w:t>
      </w:r>
      <w:proofErr w:type="spellEnd"/>
      <w:r w:rsidRPr="029B1C6E">
        <w:rPr>
          <w:rFonts w:ascii="Arial" w:eastAsia="Arial" w:hAnsi="Arial" w:cs="Arial"/>
          <w:color w:val="000000" w:themeColor="text1"/>
          <w:sz w:val="24"/>
          <w:szCs w:val="24"/>
        </w:rPr>
        <w:t>, 2013). In the waste management project stakeholders can be anyone who will be affected by the project, will have knowledge about the project, will possess any kind of authority and will express interest to the project. Here a list of potential stakeholders of the chosen project has been given: public workers, healthcare providers, health departments, cultural resource leaders and programs, waste hauling companies and employees, neighboring communities, regional planning organizations, environmental organizations, housing authorities and many others. Direct communication with the stakeholders allows the project planner to accumulate different perspective on the project. The information gleaned from these perspectives will help to improve the engagement project plan. Involving stakeholders in project and considering their perception promote trust and reliability. Furthermore, research studies also demonstrated that business and project which involved stakeholders considerably reduced their cost and time by providing crucial and empirical information (</w:t>
      </w:r>
      <w:proofErr w:type="spellStart"/>
      <w:r w:rsidRPr="029B1C6E">
        <w:rPr>
          <w:rFonts w:ascii="Arial" w:eastAsia="Arial" w:hAnsi="Arial" w:cs="Arial"/>
          <w:color w:val="000000" w:themeColor="text1"/>
          <w:sz w:val="24"/>
          <w:szCs w:val="24"/>
        </w:rPr>
        <w:t>Motu'apuaka</w:t>
      </w:r>
      <w:proofErr w:type="spellEnd"/>
      <w:r w:rsidRPr="029B1C6E">
        <w:rPr>
          <w:rFonts w:ascii="Arial" w:eastAsia="Arial" w:hAnsi="Arial" w:cs="Arial"/>
          <w:color w:val="000000" w:themeColor="text1"/>
          <w:sz w:val="24"/>
          <w:szCs w:val="24"/>
        </w:rPr>
        <w:t xml:space="preserve"> et al., 2015).    </w:t>
      </w:r>
    </w:p>
    <w:p w14:paraId="3C7F40D9" w14:textId="202DC849" w:rsidR="029B1C6E" w:rsidRDefault="029B1C6E" w:rsidP="029B1C6E">
      <w:pPr>
        <w:jc w:val="both"/>
        <w:rPr>
          <w:rFonts w:ascii="Arial" w:eastAsia="Arial" w:hAnsi="Arial" w:cs="Arial"/>
          <w:sz w:val="24"/>
          <w:szCs w:val="24"/>
        </w:rPr>
      </w:pPr>
      <w:r w:rsidRPr="029B1C6E">
        <w:rPr>
          <w:rFonts w:ascii="Arial" w:eastAsia="Arial" w:hAnsi="Arial" w:cs="Arial"/>
          <w:color w:val="000000" w:themeColor="text1"/>
          <w:sz w:val="24"/>
          <w:szCs w:val="24"/>
        </w:rPr>
        <w:t xml:space="preserve">A wide range of community engagement method is available which can be used to engage communities with stakeholders. For different issues different approaches has been proved suitable. Some strategies have been particularly developed to share information's, opinions and perspectives. Others have efficacy in involving communities </w:t>
      </w:r>
      <w:r w:rsidRPr="029B1C6E">
        <w:rPr>
          <w:rFonts w:ascii="Arial" w:eastAsia="Arial" w:hAnsi="Arial" w:cs="Arial"/>
          <w:color w:val="000000" w:themeColor="text1"/>
          <w:sz w:val="24"/>
          <w:szCs w:val="24"/>
        </w:rPr>
        <w:lastRenderedPageBreak/>
        <w:t>in decision-making. The suitability of the stakeholder engagement method depends on the issue, desired objectives and available resources (Boaz et al., 2018). Signage, leaflets, posters are effective mediums of sharing information about waste management program. They can inform the general population as well as can stimulate the stakeholders to participate in the community engagement activity. Local newspapers, newsletters have been a viable vehicle to promote news about waste management in local community. Though the process can be expensive, it can be considered as a part of the overall community engagement project. Social media and networking becoming increasing popular in promoting social activities. In the chosen project, stakeholder’s engagement can be enhanced by maintaining the following steps (</w:t>
      </w:r>
      <w:proofErr w:type="spellStart"/>
      <w:r w:rsidRPr="029B1C6E">
        <w:rPr>
          <w:rFonts w:ascii="Arial" w:eastAsia="Arial" w:hAnsi="Arial" w:cs="Arial"/>
          <w:color w:val="000000" w:themeColor="text1"/>
          <w:sz w:val="24"/>
          <w:szCs w:val="24"/>
        </w:rPr>
        <w:t>Meratian</w:t>
      </w:r>
      <w:proofErr w:type="spellEnd"/>
      <w:r w:rsidRPr="029B1C6E">
        <w:rPr>
          <w:rFonts w:ascii="Arial" w:eastAsia="Arial" w:hAnsi="Arial" w:cs="Arial"/>
          <w:color w:val="000000" w:themeColor="text1"/>
          <w:sz w:val="24"/>
          <w:szCs w:val="24"/>
        </w:rPr>
        <w:t xml:space="preserve"> </w:t>
      </w:r>
      <w:proofErr w:type="spellStart"/>
      <w:r w:rsidRPr="029B1C6E">
        <w:rPr>
          <w:rFonts w:ascii="Arial" w:eastAsia="Arial" w:hAnsi="Arial" w:cs="Arial"/>
          <w:color w:val="000000" w:themeColor="text1"/>
          <w:sz w:val="24"/>
          <w:szCs w:val="24"/>
        </w:rPr>
        <w:t>Esfahani</w:t>
      </w:r>
      <w:proofErr w:type="spellEnd"/>
      <w:r w:rsidRPr="029B1C6E">
        <w:rPr>
          <w:rFonts w:ascii="Arial" w:eastAsia="Arial" w:hAnsi="Arial" w:cs="Arial"/>
          <w:color w:val="000000" w:themeColor="text1"/>
          <w:sz w:val="24"/>
          <w:szCs w:val="24"/>
        </w:rPr>
        <w:t xml:space="preserve"> and W. Johnson, 2018). The first step is to maintain a relevant presence on the social networks used by stakeholders. Creating a relevant profile will be required to facilitate communication. The second step is to search for stakeholders' conversation. Initiating a waste management program will already create some positive and negative talks in social medias. It will be required to join those conversations and spread the positive view of the project. The third step is to target interested stakeholders by using social medias. The fourth and most important step is to create relevant content with the help of stakeholders. In the selected project, content creation on waste management, its necessity and adversaries will help to attract more stakeholders. </w:t>
      </w:r>
    </w:p>
    <w:p w14:paraId="6C364917" w14:textId="7957C048" w:rsidR="029B1C6E" w:rsidRDefault="029B1C6E" w:rsidP="029B1C6E">
      <w:pPr>
        <w:jc w:val="both"/>
        <w:rPr>
          <w:rFonts w:ascii="Arial" w:eastAsia="Arial" w:hAnsi="Arial" w:cs="Arial"/>
          <w:sz w:val="24"/>
          <w:szCs w:val="24"/>
        </w:rPr>
      </w:pPr>
      <w:r w:rsidRPr="029B1C6E">
        <w:rPr>
          <w:rFonts w:ascii="Arial" w:eastAsia="Arial" w:hAnsi="Arial" w:cs="Arial"/>
          <w:color w:val="000000" w:themeColor="text1"/>
          <w:sz w:val="24"/>
          <w:szCs w:val="24"/>
        </w:rPr>
        <w:t>There are several internal and external factors which can considerably influence the community development. The factors are human elements such as participation, interest, leadership, attitude; social factors such as discrimination, prejudice, religious belief, political views; environmental and geographical factors such as legal restriction, government involvement, natural disasters, economics; resources such as budgeting, availability and sustainability (</w:t>
      </w:r>
      <w:proofErr w:type="spellStart"/>
      <w:r w:rsidRPr="029B1C6E">
        <w:rPr>
          <w:rFonts w:ascii="Arial" w:eastAsia="Arial" w:hAnsi="Arial" w:cs="Arial"/>
          <w:color w:val="000000" w:themeColor="text1"/>
          <w:sz w:val="24"/>
          <w:szCs w:val="24"/>
        </w:rPr>
        <w:t>Awortwi</w:t>
      </w:r>
      <w:proofErr w:type="spellEnd"/>
      <w:r w:rsidRPr="029B1C6E">
        <w:rPr>
          <w:rFonts w:ascii="Arial" w:eastAsia="Arial" w:hAnsi="Arial" w:cs="Arial"/>
          <w:color w:val="000000" w:themeColor="text1"/>
          <w:sz w:val="24"/>
          <w:szCs w:val="24"/>
        </w:rPr>
        <w:t xml:space="preserve">, 2012). Imbalance and influence of these factors can greatly shift the community's ability to succeed or fail in any community development process. Due to these reasons, it is required to adopt a forward-looking approach educate community members on factors which can affect the community development significantly.   </w:t>
      </w:r>
    </w:p>
    <w:p w14:paraId="2B9A1ADB" w14:textId="2D543C97" w:rsidR="00FD0223" w:rsidRDefault="001C7BD4" w:rsidP="001C7BD4">
      <w:pPr>
        <w:jc w:val="both"/>
        <w:rPr>
          <w:rFonts w:ascii="Arial" w:eastAsia="Arial" w:hAnsi="Arial" w:cs="Arial"/>
          <w:bCs/>
          <w:sz w:val="24"/>
          <w:szCs w:val="24"/>
        </w:rPr>
      </w:pPr>
      <w:r w:rsidRPr="001C7BD4">
        <w:rPr>
          <w:rFonts w:ascii="Arial" w:eastAsia="Arial" w:hAnsi="Arial" w:cs="Arial"/>
          <w:bCs/>
          <w:sz w:val="24"/>
          <w:szCs w:val="24"/>
        </w:rPr>
        <w:t xml:space="preserve">In conclusion, </w:t>
      </w:r>
      <w:r>
        <w:rPr>
          <w:rFonts w:ascii="Arial" w:eastAsia="Arial" w:hAnsi="Arial" w:cs="Arial"/>
          <w:bCs/>
          <w:sz w:val="24"/>
          <w:szCs w:val="24"/>
        </w:rPr>
        <w:t xml:space="preserve">the report has evaluated the principals and standard criterions of community engagement projects, the demographic condition of the community, political and leadership aspects, available resources to conduct the waste management project, and most importantly the participation and attracting process of stakeholders. A list of potential stakeholders has been prepared who will be identified and communicated through social media platforms. Various aspects of the projects will be outlined to motivate them and to convince them for active participation. To obtain empirical </w:t>
      </w:r>
      <w:r w:rsidR="00C50BCD">
        <w:rPr>
          <w:rFonts w:ascii="Arial" w:eastAsia="Arial" w:hAnsi="Arial" w:cs="Arial"/>
          <w:bCs/>
          <w:sz w:val="24"/>
          <w:szCs w:val="24"/>
        </w:rPr>
        <w:t xml:space="preserve">information about issues, statements and suggestions from stakeholders will be taken which will motivate them to participate willingly in the project and make the waste management intervention more effective. To obtain sustainability, the plan has suggested to educate the community members about various aspects of community engagement program which will help to adopt changes in the program and to obtain sustainable environment. Identification and communication with stakeholders will help to accumulate sufficient fund and provide local </w:t>
      </w:r>
      <w:r w:rsidR="00C50BCD">
        <w:rPr>
          <w:rFonts w:ascii="Arial" w:eastAsia="Arial" w:hAnsi="Arial" w:cs="Arial"/>
          <w:bCs/>
          <w:sz w:val="24"/>
          <w:szCs w:val="24"/>
        </w:rPr>
        <w:lastRenderedPageBreak/>
        <w:t xml:space="preserve">leadership and support. By </w:t>
      </w:r>
      <w:r w:rsidR="00FD0223">
        <w:rPr>
          <w:rFonts w:ascii="Arial" w:eastAsia="Arial" w:hAnsi="Arial" w:cs="Arial"/>
          <w:bCs/>
          <w:sz w:val="24"/>
          <w:szCs w:val="24"/>
        </w:rPr>
        <w:t xml:space="preserve">evaluating the project plan and overall condition of </w:t>
      </w:r>
      <w:r w:rsidR="00FD0223" w:rsidRPr="00FD0223">
        <w:rPr>
          <w:rFonts w:ascii="Arial" w:eastAsia="Arial" w:hAnsi="Arial" w:cs="Arial"/>
          <w:bCs/>
          <w:sz w:val="24"/>
          <w:szCs w:val="24"/>
        </w:rPr>
        <w:t>Bowden House Community</w:t>
      </w:r>
      <w:r w:rsidR="00FD0223">
        <w:rPr>
          <w:rFonts w:ascii="Arial" w:eastAsia="Arial" w:hAnsi="Arial" w:cs="Arial"/>
          <w:bCs/>
          <w:sz w:val="24"/>
          <w:szCs w:val="24"/>
        </w:rPr>
        <w:t>, the following recommendations has been put forward:</w:t>
      </w:r>
    </w:p>
    <w:p w14:paraId="7A6D4EEE" w14:textId="482847B6" w:rsidR="00FD0223" w:rsidRDefault="00FD0223" w:rsidP="00FD0223">
      <w:pPr>
        <w:pStyle w:val="ListParagraph"/>
        <w:numPr>
          <w:ilvl w:val="0"/>
          <w:numId w:val="2"/>
        </w:numPr>
        <w:jc w:val="both"/>
        <w:rPr>
          <w:rFonts w:ascii="Arial" w:eastAsia="Arial" w:hAnsi="Arial" w:cs="Arial"/>
          <w:bCs/>
          <w:sz w:val="24"/>
          <w:szCs w:val="24"/>
        </w:rPr>
      </w:pPr>
      <w:r>
        <w:rPr>
          <w:rFonts w:ascii="Arial" w:eastAsia="Arial" w:hAnsi="Arial" w:cs="Arial"/>
          <w:bCs/>
          <w:sz w:val="24"/>
          <w:szCs w:val="24"/>
        </w:rPr>
        <w:t>Extensive research regarding the waste management issue, the current waste management system, and the extent of success of government intervention will help to design a more effective community engagement plan.</w:t>
      </w:r>
    </w:p>
    <w:p w14:paraId="0C04EF65" w14:textId="23AD3217" w:rsidR="00FD0223" w:rsidRDefault="00FD0223" w:rsidP="00FD0223">
      <w:pPr>
        <w:pStyle w:val="ListParagraph"/>
        <w:numPr>
          <w:ilvl w:val="0"/>
          <w:numId w:val="2"/>
        </w:numPr>
        <w:jc w:val="both"/>
        <w:rPr>
          <w:rFonts w:ascii="Arial" w:eastAsia="Arial" w:hAnsi="Arial" w:cs="Arial"/>
          <w:bCs/>
          <w:sz w:val="24"/>
          <w:szCs w:val="24"/>
        </w:rPr>
      </w:pPr>
      <w:r>
        <w:rPr>
          <w:rFonts w:ascii="Arial" w:eastAsia="Arial" w:hAnsi="Arial" w:cs="Arial"/>
          <w:bCs/>
          <w:sz w:val="24"/>
          <w:szCs w:val="24"/>
        </w:rPr>
        <w:t>Before initiating the project, it will be required to attract maximum number of stakeholders which will reduce the dependency of governmental support and to make the project self-sufficient.</w:t>
      </w:r>
    </w:p>
    <w:p w14:paraId="13A542A7" w14:textId="212364D2" w:rsidR="00FD0223" w:rsidRPr="00FD0223" w:rsidRDefault="00FD0223" w:rsidP="00FD0223">
      <w:pPr>
        <w:pStyle w:val="ListParagraph"/>
        <w:numPr>
          <w:ilvl w:val="0"/>
          <w:numId w:val="2"/>
        </w:numPr>
        <w:jc w:val="both"/>
        <w:rPr>
          <w:rFonts w:ascii="Arial" w:eastAsia="Arial" w:hAnsi="Arial" w:cs="Arial"/>
          <w:bCs/>
          <w:sz w:val="24"/>
          <w:szCs w:val="24"/>
        </w:rPr>
      </w:pPr>
      <w:r>
        <w:rPr>
          <w:rFonts w:ascii="Arial" w:eastAsia="Arial" w:hAnsi="Arial" w:cs="Arial"/>
          <w:bCs/>
          <w:sz w:val="24"/>
          <w:szCs w:val="24"/>
        </w:rPr>
        <w:t xml:space="preserve">Considering the current factors related to the waste management issue will not be sufficient to achieve sustainability. It will be required to evaluate the internal and external factors of the community to keep running the project in the future and achieve environmental sustainability.  </w:t>
      </w:r>
      <w:bookmarkStart w:id="1" w:name="_GoBack"/>
      <w:bookmarkEnd w:id="1"/>
    </w:p>
    <w:p w14:paraId="1134AC87" w14:textId="7DC5EF8B" w:rsidR="029B1C6E" w:rsidRPr="00FD0223" w:rsidRDefault="029B1C6E" w:rsidP="00FD0223">
      <w:pPr>
        <w:jc w:val="both"/>
        <w:rPr>
          <w:rFonts w:ascii="Arial" w:eastAsia="Arial" w:hAnsi="Arial" w:cs="Arial"/>
          <w:b/>
          <w:bCs/>
          <w:sz w:val="24"/>
          <w:szCs w:val="24"/>
        </w:rPr>
      </w:pPr>
      <w:r w:rsidRPr="00FD0223">
        <w:rPr>
          <w:rFonts w:ascii="Arial" w:eastAsia="Arial" w:hAnsi="Arial" w:cs="Arial"/>
          <w:b/>
          <w:bCs/>
          <w:sz w:val="24"/>
          <w:szCs w:val="24"/>
        </w:rPr>
        <w:br w:type="page"/>
      </w:r>
    </w:p>
    <w:p w14:paraId="61BCF7B5" w14:textId="13AC2784" w:rsidR="029B1C6E" w:rsidRDefault="029B1C6E" w:rsidP="029B1C6E">
      <w:pPr>
        <w:rPr>
          <w:rFonts w:ascii="Arial" w:eastAsia="Arial" w:hAnsi="Arial" w:cs="Arial"/>
          <w:b/>
          <w:bCs/>
          <w:sz w:val="24"/>
          <w:szCs w:val="24"/>
        </w:rPr>
      </w:pPr>
      <w:r w:rsidRPr="029B1C6E">
        <w:rPr>
          <w:rFonts w:ascii="Arial" w:eastAsia="Arial" w:hAnsi="Arial" w:cs="Arial"/>
          <w:b/>
          <w:bCs/>
          <w:sz w:val="24"/>
          <w:szCs w:val="24"/>
        </w:rPr>
        <w:lastRenderedPageBreak/>
        <w:t>References</w:t>
      </w:r>
    </w:p>
    <w:p w14:paraId="0281C589" w14:textId="45C5B820" w:rsidR="029B1C6E" w:rsidRDefault="029B1C6E" w:rsidP="029B1C6E">
      <w:pPr>
        <w:rPr>
          <w:rFonts w:ascii="Arial" w:eastAsia="Arial" w:hAnsi="Arial" w:cs="Arial"/>
          <w:sz w:val="24"/>
          <w:szCs w:val="24"/>
        </w:rPr>
      </w:pPr>
      <w:r w:rsidRPr="029B1C6E">
        <w:rPr>
          <w:rFonts w:ascii="Arial" w:eastAsia="Arial" w:hAnsi="Arial" w:cs="Arial"/>
          <w:sz w:val="24"/>
          <w:szCs w:val="24"/>
        </w:rPr>
        <w:t xml:space="preserve">Atsdr.cdc.gov. 2020. Home | Principles </w:t>
      </w:r>
      <w:proofErr w:type="gramStart"/>
      <w:r w:rsidRPr="029B1C6E">
        <w:rPr>
          <w:rFonts w:ascii="Arial" w:eastAsia="Arial" w:hAnsi="Arial" w:cs="Arial"/>
          <w:sz w:val="24"/>
          <w:szCs w:val="24"/>
        </w:rPr>
        <w:t>Of</w:t>
      </w:r>
      <w:proofErr w:type="gramEnd"/>
      <w:r w:rsidRPr="029B1C6E">
        <w:rPr>
          <w:rFonts w:ascii="Arial" w:eastAsia="Arial" w:hAnsi="Arial" w:cs="Arial"/>
          <w:sz w:val="24"/>
          <w:szCs w:val="24"/>
        </w:rPr>
        <w:t xml:space="preserve"> Community Engagement | ATSDR. [online] Available at: &lt;https://www.atsdr.cdc.gov/communityengagement/index.html&gt; [Accessed 12 October 2020].</w:t>
      </w:r>
    </w:p>
    <w:p w14:paraId="40338760" w14:textId="65BE423A" w:rsidR="029B1C6E" w:rsidRDefault="029B1C6E" w:rsidP="029B1C6E">
      <w:pPr>
        <w:rPr>
          <w:rFonts w:ascii="Arial" w:eastAsia="Arial" w:hAnsi="Arial" w:cs="Arial"/>
          <w:sz w:val="24"/>
          <w:szCs w:val="24"/>
        </w:rPr>
      </w:pPr>
      <w:proofErr w:type="spellStart"/>
      <w:r w:rsidRPr="029B1C6E">
        <w:rPr>
          <w:rFonts w:ascii="Arial" w:eastAsia="Arial" w:hAnsi="Arial" w:cs="Arial"/>
          <w:sz w:val="24"/>
          <w:szCs w:val="24"/>
        </w:rPr>
        <w:t>Awortwi</w:t>
      </w:r>
      <w:proofErr w:type="spellEnd"/>
      <w:r w:rsidRPr="029B1C6E">
        <w:rPr>
          <w:rFonts w:ascii="Arial" w:eastAsia="Arial" w:hAnsi="Arial" w:cs="Arial"/>
          <w:sz w:val="24"/>
          <w:szCs w:val="24"/>
        </w:rPr>
        <w:t>, N., 2012. The riddle of community development: factors influencing participation and management in twenty-nine African and Latin American communities.</w:t>
      </w:r>
    </w:p>
    <w:p w14:paraId="76F5C332" w14:textId="010E824D" w:rsidR="029B1C6E" w:rsidRDefault="029B1C6E" w:rsidP="029B1C6E">
      <w:pPr>
        <w:rPr>
          <w:rFonts w:ascii="Arial" w:eastAsia="Arial" w:hAnsi="Arial" w:cs="Arial"/>
          <w:sz w:val="24"/>
          <w:szCs w:val="24"/>
        </w:rPr>
      </w:pPr>
      <w:proofErr w:type="spellStart"/>
      <w:r w:rsidRPr="029B1C6E">
        <w:rPr>
          <w:rFonts w:ascii="Arial" w:eastAsia="Arial" w:hAnsi="Arial" w:cs="Arial"/>
          <w:sz w:val="24"/>
          <w:szCs w:val="24"/>
        </w:rPr>
        <w:t>Bidandi</w:t>
      </w:r>
      <w:proofErr w:type="spellEnd"/>
      <w:r w:rsidRPr="029B1C6E">
        <w:rPr>
          <w:rFonts w:ascii="Arial" w:eastAsia="Arial" w:hAnsi="Arial" w:cs="Arial"/>
          <w:sz w:val="24"/>
          <w:szCs w:val="24"/>
        </w:rPr>
        <w:t xml:space="preserve">, F., </w:t>
      </w:r>
      <w:proofErr w:type="spellStart"/>
      <w:r w:rsidRPr="029B1C6E">
        <w:rPr>
          <w:rFonts w:ascii="Arial" w:eastAsia="Arial" w:hAnsi="Arial" w:cs="Arial"/>
          <w:sz w:val="24"/>
          <w:szCs w:val="24"/>
        </w:rPr>
        <w:t>Ambe</w:t>
      </w:r>
      <w:proofErr w:type="spellEnd"/>
      <w:r w:rsidRPr="029B1C6E">
        <w:rPr>
          <w:rFonts w:ascii="Arial" w:eastAsia="Arial" w:hAnsi="Arial" w:cs="Arial"/>
          <w:sz w:val="24"/>
          <w:szCs w:val="24"/>
        </w:rPr>
        <w:t xml:space="preserve">, A. N., &amp; </w:t>
      </w:r>
      <w:proofErr w:type="spellStart"/>
      <w:r w:rsidRPr="029B1C6E">
        <w:rPr>
          <w:rFonts w:ascii="Arial" w:eastAsia="Arial" w:hAnsi="Arial" w:cs="Arial"/>
          <w:sz w:val="24"/>
          <w:szCs w:val="24"/>
        </w:rPr>
        <w:t>Mukong</w:t>
      </w:r>
      <w:proofErr w:type="spellEnd"/>
      <w:r w:rsidRPr="029B1C6E">
        <w:rPr>
          <w:rFonts w:ascii="Arial" w:eastAsia="Arial" w:hAnsi="Arial" w:cs="Arial"/>
          <w:sz w:val="24"/>
          <w:szCs w:val="24"/>
        </w:rPr>
        <w:t>, C. H. (2021). Insights and Current Debates on Community Engagement in Higher Education Institutions: Perspectives on the University of the Western Cape. SAGE Open. https://doi.org/10.1177/21582440211011467</w:t>
      </w:r>
    </w:p>
    <w:p w14:paraId="1569768A" w14:textId="7F37BAC6" w:rsidR="029B1C6E" w:rsidRDefault="029B1C6E" w:rsidP="029B1C6E">
      <w:pPr>
        <w:rPr>
          <w:rFonts w:ascii="Arial" w:eastAsia="Arial" w:hAnsi="Arial" w:cs="Arial"/>
          <w:sz w:val="24"/>
          <w:szCs w:val="24"/>
        </w:rPr>
      </w:pPr>
      <w:r w:rsidRPr="029B1C6E">
        <w:rPr>
          <w:rFonts w:ascii="Arial" w:eastAsia="Arial" w:hAnsi="Arial" w:cs="Arial"/>
          <w:sz w:val="24"/>
          <w:szCs w:val="24"/>
        </w:rPr>
        <w:t xml:space="preserve">Boaz, A., </w:t>
      </w:r>
      <w:proofErr w:type="spellStart"/>
      <w:r w:rsidRPr="029B1C6E">
        <w:rPr>
          <w:rFonts w:ascii="Arial" w:eastAsia="Arial" w:hAnsi="Arial" w:cs="Arial"/>
          <w:sz w:val="24"/>
          <w:szCs w:val="24"/>
        </w:rPr>
        <w:t>Hanney</w:t>
      </w:r>
      <w:proofErr w:type="spellEnd"/>
      <w:r w:rsidRPr="029B1C6E">
        <w:rPr>
          <w:rFonts w:ascii="Arial" w:eastAsia="Arial" w:hAnsi="Arial" w:cs="Arial"/>
          <w:sz w:val="24"/>
          <w:szCs w:val="24"/>
        </w:rPr>
        <w:t xml:space="preserve">, S., Borst, R., O’Shea, A. and </w:t>
      </w:r>
      <w:proofErr w:type="spellStart"/>
      <w:r w:rsidRPr="029B1C6E">
        <w:rPr>
          <w:rFonts w:ascii="Arial" w:eastAsia="Arial" w:hAnsi="Arial" w:cs="Arial"/>
          <w:sz w:val="24"/>
          <w:szCs w:val="24"/>
        </w:rPr>
        <w:t>Kok</w:t>
      </w:r>
      <w:proofErr w:type="spellEnd"/>
      <w:r w:rsidRPr="029B1C6E">
        <w:rPr>
          <w:rFonts w:ascii="Arial" w:eastAsia="Arial" w:hAnsi="Arial" w:cs="Arial"/>
          <w:sz w:val="24"/>
          <w:szCs w:val="24"/>
        </w:rPr>
        <w:t>, M., 2018. How to engage stakeholders in research: design principles to support improvement. Health Research Policy and Systems, 16(1).</w:t>
      </w:r>
    </w:p>
    <w:p w14:paraId="6EED969E" w14:textId="220F2DD4" w:rsidR="029B1C6E" w:rsidRDefault="029B1C6E" w:rsidP="029B1C6E">
      <w:pPr>
        <w:rPr>
          <w:rFonts w:ascii="Arial" w:eastAsia="Arial" w:hAnsi="Arial" w:cs="Arial"/>
          <w:sz w:val="24"/>
          <w:szCs w:val="24"/>
        </w:rPr>
      </w:pPr>
      <w:r w:rsidRPr="029B1C6E">
        <w:rPr>
          <w:rFonts w:ascii="Arial" w:eastAsia="Arial" w:hAnsi="Arial" w:cs="Arial"/>
          <w:sz w:val="24"/>
          <w:szCs w:val="24"/>
        </w:rPr>
        <w:t xml:space="preserve">Boon, E., </w:t>
      </w:r>
      <w:proofErr w:type="spellStart"/>
      <w:r w:rsidRPr="029B1C6E">
        <w:rPr>
          <w:rFonts w:ascii="Arial" w:eastAsia="Arial" w:hAnsi="Arial" w:cs="Arial"/>
          <w:sz w:val="24"/>
          <w:szCs w:val="24"/>
        </w:rPr>
        <w:t>Bawole</w:t>
      </w:r>
      <w:proofErr w:type="spellEnd"/>
      <w:r w:rsidRPr="029B1C6E">
        <w:rPr>
          <w:rFonts w:ascii="Arial" w:eastAsia="Arial" w:hAnsi="Arial" w:cs="Arial"/>
          <w:sz w:val="24"/>
          <w:szCs w:val="24"/>
        </w:rPr>
        <w:t xml:space="preserve">, J. and </w:t>
      </w:r>
      <w:proofErr w:type="spellStart"/>
      <w:r w:rsidRPr="029B1C6E">
        <w:rPr>
          <w:rFonts w:ascii="Arial" w:eastAsia="Arial" w:hAnsi="Arial" w:cs="Arial"/>
          <w:sz w:val="24"/>
          <w:szCs w:val="24"/>
        </w:rPr>
        <w:t>Ahenkan</w:t>
      </w:r>
      <w:proofErr w:type="spellEnd"/>
      <w:r w:rsidRPr="029B1C6E">
        <w:rPr>
          <w:rFonts w:ascii="Arial" w:eastAsia="Arial" w:hAnsi="Arial" w:cs="Arial"/>
          <w:sz w:val="24"/>
          <w:szCs w:val="24"/>
        </w:rPr>
        <w:t>, A., 2013. Stakeholder participation in community development projects: an analysis of the quadripartite model of the International Centre for Enterprise and Sustainable Development (ICED) in Ghana. Community Development, 44(1), pp.38-54.</w:t>
      </w:r>
    </w:p>
    <w:p w14:paraId="10C05698" w14:textId="5597090B" w:rsidR="029B1C6E" w:rsidRDefault="029B1C6E" w:rsidP="029B1C6E">
      <w:pPr>
        <w:rPr>
          <w:rFonts w:ascii="Arial" w:eastAsia="Arial" w:hAnsi="Arial" w:cs="Arial"/>
          <w:sz w:val="24"/>
          <w:szCs w:val="24"/>
        </w:rPr>
      </w:pPr>
      <w:r w:rsidRPr="029B1C6E">
        <w:rPr>
          <w:rFonts w:ascii="Arial" w:eastAsia="Arial" w:hAnsi="Arial" w:cs="Arial"/>
          <w:sz w:val="24"/>
          <w:szCs w:val="24"/>
        </w:rPr>
        <w:t xml:space="preserve">De </w:t>
      </w:r>
      <w:proofErr w:type="spellStart"/>
      <w:r w:rsidRPr="029B1C6E">
        <w:rPr>
          <w:rFonts w:ascii="Arial" w:eastAsia="Arial" w:hAnsi="Arial" w:cs="Arial"/>
          <w:sz w:val="24"/>
          <w:szCs w:val="24"/>
        </w:rPr>
        <w:t>Weger</w:t>
      </w:r>
      <w:proofErr w:type="spellEnd"/>
      <w:r w:rsidRPr="029B1C6E">
        <w:rPr>
          <w:rFonts w:ascii="Arial" w:eastAsia="Arial" w:hAnsi="Arial" w:cs="Arial"/>
          <w:sz w:val="24"/>
          <w:szCs w:val="24"/>
        </w:rPr>
        <w:t xml:space="preserve">, E., Van </w:t>
      </w:r>
      <w:proofErr w:type="spellStart"/>
      <w:r w:rsidRPr="029B1C6E">
        <w:rPr>
          <w:rFonts w:ascii="Arial" w:eastAsia="Arial" w:hAnsi="Arial" w:cs="Arial"/>
          <w:sz w:val="24"/>
          <w:szCs w:val="24"/>
        </w:rPr>
        <w:t>Vooren</w:t>
      </w:r>
      <w:proofErr w:type="spellEnd"/>
      <w:r w:rsidRPr="029B1C6E">
        <w:rPr>
          <w:rFonts w:ascii="Arial" w:eastAsia="Arial" w:hAnsi="Arial" w:cs="Arial"/>
          <w:sz w:val="24"/>
          <w:szCs w:val="24"/>
        </w:rPr>
        <w:t xml:space="preserve">, N., </w:t>
      </w:r>
      <w:proofErr w:type="spellStart"/>
      <w:r w:rsidRPr="029B1C6E">
        <w:rPr>
          <w:rFonts w:ascii="Arial" w:eastAsia="Arial" w:hAnsi="Arial" w:cs="Arial"/>
          <w:sz w:val="24"/>
          <w:szCs w:val="24"/>
        </w:rPr>
        <w:t>Luijkx</w:t>
      </w:r>
      <w:proofErr w:type="spellEnd"/>
      <w:r w:rsidRPr="029B1C6E">
        <w:rPr>
          <w:rFonts w:ascii="Arial" w:eastAsia="Arial" w:hAnsi="Arial" w:cs="Arial"/>
          <w:sz w:val="24"/>
          <w:szCs w:val="24"/>
        </w:rPr>
        <w:t>, K., Baan, C. and Drewes, H., 2018. Achieving successful community engagement: a rapid realist review. BMC Health Services Research, 18(1).</w:t>
      </w:r>
    </w:p>
    <w:p w14:paraId="62D1A314" w14:textId="4B4FB70B" w:rsidR="029B1C6E" w:rsidRDefault="029B1C6E" w:rsidP="029B1C6E">
      <w:pPr>
        <w:rPr>
          <w:rFonts w:ascii="Arial" w:eastAsia="Arial" w:hAnsi="Arial" w:cs="Arial"/>
          <w:sz w:val="24"/>
          <w:szCs w:val="24"/>
        </w:rPr>
      </w:pPr>
      <w:proofErr w:type="spellStart"/>
      <w:r w:rsidRPr="029B1C6E">
        <w:rPr>
          <w:rFonts w:ascii="Arial" w:eastAsia="Arial" w:hAnsi="Arial" w:cs="Arial"/>
          <w:sz w:val="24"/>
          <w:szCs w:val="24"/>
        </w:rPr>
        <w:t>Konsti-Laakso</w:t>
      </w:r>
      <w:proofErr w:type="spellEnd"/>
      <w:r w:rsidRPr="029B1C6E">
        <w:rPr>
          <w:rFonts w:ascii="Arial" w:eastAsia="Arial" w:hAnsi="Arial" w:cs="Arial"/>
          <w:sz w:val="24"/>
          <w:szCs w:val="24"/>
        </w:rPr>
        <w:t>, S. and Rantala, T., 2018. Managing community engagement: A process model for urban planning. European Journal of Operational Research, 268(3), pp.1040-1049.</w:t>
      </w:r>
    </w:p>
    <w:p w14:paraId="48B4D5DB" w14:textId="2E632B67" w:rsidR="029B1C6E" w:rsidRDefault="029B1C6E" w:rsidP="029B1C6E">
      <w:pPr>
        <w:rPr>
          <w:rFonts w:ascii="Arial" w:eastAsia="Arial" w:hAnsi="Arial" w:cs="Arial"/>
          <w:sz w:val="24"/>
          <w:szCs w:val="24"/>
        </w:rPr>
      </w:pPr>
      <w:proofErr w:type="spellStart"/>
      <w:r w:rsidRPr="029B1C6E">
        <w:rPr>
          <w:rFonts w:ascii="Arial" w:eastAsia="Arial" w:hAnsi="Arial" w:cs="Arial"/>
          <w:sz w:val="24"/>
          <w:szCs w:val="24"/>
        </w:rPr>
        <w:t>Laville</w:t>
      </w:r>
      <w:proofErr w:type="spellEnd"/>
      <w:r w:rsidRPr="029B1C6E">
        <w:rPr>
          <w:rFonts w:ascii="Arial" w:eastAsia="Arial" w:hAnsi="Arial" w:cs="Arial"/>
          <w:sz w:val="24"/>
          <w:szCs w:val="24"/>
        </w:rPr>
        <w:t>, S., 2020. Increase in burning of plastic 'driving up emissions from waste disposal'. [online] the Guardian. Available at: &lt;https://www.theguardian.com/environment/2020/nov/16/increase-in-burning-of-plastic-driving-up-emissions-from-waste-disposal&gt; [Accessed 2 August 2021].</w:t>
      </w:r>
    </w:p>
    <w:p w14:paraId="7F4052FD" w14:textId="74FF29FC" w:rsidR="029B1C6E" w:rsidRDefault="029B1C6E" w:rsidP="029B1C6E">
      <w:pPr>
        <w:rPr>
          <w:rFonts w:ascii="Arial" w:eastAsia="Arial" w:hAnsi="Arial" w:cs="Arial"/>
          <w:sz w:val="24"/>
          <w:szCs w:val="24"/>
        </w:rPr>
      </w:pPr>
      <w:proofErr w:type="spellStart"/>
      <w:r w:rsidRPr="029B1C6E">
        <w:rPr>
          <w:rFonts w:ascii="Arial" w:eastAsia="Arial" w:hAnsi="Arial" w:cs="Arial"/>
          <w:sz w:val="24"/>
          <w:szCs w:val="24"/>
        </w:rPr>
        <w:t>Meratian</w:t>
      </w:r>
      <w:proofErr w:type="spellEnd"/>
      <w:r w:rsidRPr="029B1C6E">
        <w:rPr>
          <w:rFonts w:ascii="Arial" w:eastAsia="Arial" w:hAnsi="Arial" w:cs="Arial"/>
          <w:sz w:val="24"/>
          <w:szCs w:val="24"/>
        </w:rPr>
        <w:t xml:space="preserve"> </w:t>
      </w:r>
      <w:proofErr w:type="spellStart"/>
      <w:r w:rsidRPr="029B1C6E">
        <w:rPr>
          <w:rFonts w:ascii="Arial" w:eastAsia="Arial" w:hAnsi="Arial" w:cs="Arial"/>
          <w:sz w:val="24"/>
          <w:szCs w:val="24"/>
        </w:rPr>
        <w:t>Esfahani</w:t>
      </w:r>
      <w:proofErr w:type="spellEnd"/>
      <w:r w:rsidRPr="029B1C6E">
        <w:rPr>
          <w:rFonts w:ascii="Arial" w:eastAsia="Arial" w:hAnsi="Arial" w:cs="Arial"/>
          <w:sz w:val="24"/>
          <w:szCs w:val="24"/>
        </w:rPr>
        <w:t>, L. and W. Johnson, L., 2018. Stakeholders’ Engagement and Strategic Management of social media.</w:t>
      </w:r>
    </w:p>
    <w:p w14:paraId="1D36A46D" w14:textId="55862982" w:rsidR="029B1C6E" w:rsidRDefault="029B1C6E" w:rsidP="029B1C6E">
      <w:pPr>
        <w:rPr>
          <w:rFonts w:ascii="Arial" w:eastAsia="Arial" w:hAnsi="Arial" w:cs="Arial"/>
          <w:sz w:val="24"/>
          <w:szCs w:val="24"/>
        </w:rPr>
      </w:pPr>
      <w:proofErr w:type="spellStart"/>
      <w:r w:rsidRPr="029B1C6E">
        <w:rPr>
          <w:rFonts w:ascii="Arial" w:eastAsia="Arial" w:hAnsi="Arial" w:cs="Arial"/>
          <w:sz w:val="24"/>
          <w:szCs w:val="24"/>
        </w:rPr>
        <w:t>Motu'apuaka</w:t>
      </w:r>
      <w:proofErr w:type="spellEnd"/>
      <w:r w:rsidRPr="029B1C6E">
        <w:rPr>
          <w:rFonts w:ascii="Arial" w:eastAsia="Arial" w:hAnsi="Arial" w:cs="Arial"/>
          <w:sz w:val="24"/>
          <w:szCs w:val="24"/>
        </w:rPr>
        <w:t xml:space="preserve">, M., Whitlock, E., Kato, E., </w:t>
      </w:r>
      <w:proofErr w:type="spellStart"/>
      <w:r w:rsidRPr="029B1C6E">
        <w:rPr>
          <w:rFonts w:ascii="Arial" w:eastAsia="Arial" w:hAnsi="Arial" w:cs="Arial"/>
          <w:sz w:val="24"/>
          <w:szCs w:val="24"/>
        </w:rPr>
        <w:t>Uhl</w:t>
      </w:r>
      <w:proofErr w:type="spellEnd"/>
      <w:r w:rsidRPr="029B1C6E">
        <w:rPr>
          <w:rFonts w:ascii="Arial" w:eastAsia="Arial" w:hAnsi="Arial" w:cs="Arial"/>
          <w:sz w:val="24"/>
          <w:szCs w:val="24"/>
        </w:rPr>
        <w:t xml:space="preserve">, S., </w:t>
      </w:r>
      <w:proofErr w:type="spellStart"/>
      <w:r w:rsidRPr="029B1C6E">
        <w:rPr>
          <w:rFonts w:ascii="Arial" w:eastAsia="Arial" w:hAnsi="Arial" w:cs="Arial"/>
          <w:sz w:val="24"/>
          <w:szCs w:val="24"/>
        </w:rPr>
        <w:t>Belinson</w:t>
      </w:r>
      <w:proofErr w:type="spellEnd"/>
      <w:r w:rsidRPr="029B1C6E">
        <w:rPr>
          <w:rFonts w:ascii="Arial" w:eastAsia="Arial" w:hAnsi="Arial" w:cs="Arial"/>
          <w:sz w:val="24"/>
          <w:szCs w:val="24"/>
        </w:rPr>
        <w:t xml:space="preserve">, S., Chang, C., </w:t>
      </w:r>
      <w:proofErr w:type="spellStart"/>
      <w:r w:rsidRPr="029B1C6E">
        <w:rPr>
          <w:rFonts w:ascii="Arial" w:eastAsia="Arial" w:hAnsi="Arial" w:cs="Arial"/>
          <w:sz w:val="24"/>
          <w:szCs w:val="24"/>
        </w:rPr>
        <w:t>Hoomans</w:t>
      </w:r>
      <w:proofErr w:type="spellEnd"/>
      <w:r w:rsidRPr="029B1C6E">
        <w:rPr>
          <w:rFonts w:ascii="Arial" w:eastAsia="Arial" w:hAnsi="Arial" w:cs="Arial"/>
          <w:sz w:val="24"/>
          <w:szCs w:val="24"/>
        </w:rPr>
        <w:t xml:space="preserve">, T., Meltzer, D., </w:t>
      </w:r>
      <w:proofErr w:type="spellStart"/>
      <w:r w:rsidRPr="029B1C6E">
        <w:rPr>
          <w:rFonts w:ascii="Arial" w:eastAsia="Arial" w:hAnsi="Arial" w:cs="Arial"/>
          <w:sz w:val="24"/>
          <w:szCs w:val="24"/>
        </w:rPr>
        <w:t>Noorani</w:t>
      </w:r>
      <w:proofErr w:type="spellEnd"/>
      <w:r w:rsidRPr="029B1C6E">
        <w:rPr>
          <w:rFonts w:ascii="Arial" w:eastAsia="Arial" w:hAnsi="Arial" w:cs="Arial"/>
          <w:sz w:val="24"/>
          <w:szCs w:val="24"/>
        </w:rPr>
        <w:t>, H., Robinson, K., Anderson, J., Paynter, R., Guise, J. and Cottrell, E., 2015. Defining the benefits and challenges of stakeholder engagement in systematic reviews. Comparative Effectiveness Research, p.13.</w:t>
      </w:r>
    </w:p>
    <w:p w14:paraId="5FC2F461" w14:textId="3DC1C6F2" w:rsidR="029B1C6E" w:rsidRDefault="029B1C6E" w:rsidP="029B1C6E">
      <w:pPr>
        <w:rPr>
          <w:rFonts w:ascii="Arial" w:eastAsia="Arial" w:hAnsi="Arial" w:cs="Arial"/>
          <w:sz w:val="24"/>
          <w:szCs w:val="24"/>
        </w:rPr>
      </w:pPr>
      <w:r w:rsidRPr="029B1C6E">
        <w:rPr>
          <w:rFonts w:ascii="Arial" w:eastAsia="Arial" w:hAnsi="Arial" w:cs="Arial"/>
          <w:sz w:val="24"/>
          <w:szCs w:val="24"/>
        </w:rPr>
        <w:t>O’Mara-Eves, A., Brunton, G., Oliver, S., Kavanagh, J., Jamal, F. and Thomas, J., 2015. The effectiveness of community engagement in public health interventions for disadvantaged groups: a meta-analysis. BMC Public Health, 15(1).</w:t>
      </w:r>
    </w:p>
    <w:p w14:paraId="3BA442E8" w14:textId="365B25DB" w:rsidR="029B1C6E" w:rsidRDefault="029B1C6E" w:rsidP="029B1C6E">
      <w:pPr>
        <w:rPr>
          <w:rFonts w:ascii="Arial" w:eastAsia="Arial" w:hAnsi="Arial" w:cs="Arial"/>
          <w:sz w:val="24"/>
          <w:szCs w:val="24"/>
        </w:rPr>
      </w:pPr>
      <w:proofErr w:type="spellStart"/>
      <w:r w:rsidRPr="029B1C6E">
        <w:rPr>
          <w:rFonts w:ascii="Arial" w:eastAsia="Arial" w:hAnsi="Arial" w:cs="Arial"/>
          <w:sz w:val="24"/>
          <w:szCs w:val="24"/>
        </w:rPr>
        <w:lastRenderedPageBreak/>
        <w:t>Thwala</w:t>
      </w:r>
      <w:proofErr w:type="spellEnd"/>
      <w:r w:rsidRPr="029B1C6E">
        <w:rPr>
          <w:rFonts w:ascii="Arial" w:eastAsia="Arial" w:hAnsi="Arial" w:cs="Arial"/>
          <w:sz w:val="24"/>
          <w:szCs w:val="24"/>
        </w:rPr>
        <w:t xml:space="preserve">, W. (2010). Community participation is a necessity for project success: A case study of rural water supply project in </w:t>
      </w:r>
      <w:proofErr w:type="spellStart"/>
      <w:r w:rsidRPr="029B1C6E">
        <w:rPr>
          <w:rFonts w:ascii="Arial" w:eastAsia="Arial" w:hAnsi="Arial" w:cs="Arial"/>
          <w:sz w:val="24"/>
          <w:szCs w:val="24"/>
        </w:rPr>
        <w:t>Jeppes</w:t>
      </w:r>
      <w:proofErr w:type="spellEnd"/>
      <w:r w:rsidRPr="029B1C6E">
        <w:rPr>
          <w:rFonts w:ascii="Arial" w:eastAsia="Arial" w:hAnsi="Arial" w:cs="Arial"/>
          <w:sz w:val="24"/>
          <w:szCs w:val="24"/>
        </w:rPr>
        <w:t xml:space="preserve"> Reefs, South Africa. African Journal of Agricultural Research, 5, 970-979.</w:t>
      </w:r>
    </w:p>
    <w:p w14:paraId="0F0BDD07" w14:textId="4D081D57" w:rsidR="029B1C6E" w:rsidRDefault="029B1C6E" w:rsidP="029B1C6E">
      <w:pPr>
        <w:rPr>
          <w:rFonts w:ascii="Arial" w:eastAsia="Arial" w:hAnsi="Arial" w:cs="Arial"/>
          <w:sz w:val="24"/>
          <w:szCs w:val="24"/>
        </w:rPr>
      </w:pPr>
      <w:proofErr w:type="spellStart"/>
      <w:r w:rsidRPr="029B1C6E">
        <w:rPr>
          <w:rFonts w:ascii="Arial" w:eastAsia="Arial" w:hAnsi="Arial" w:cs="Arial"/>
          <w:sz w:val="24"/>
          <w:szCs w:val="24"/>
        </w:rPr>
        <w:t>Tiseo</w:t>
      </w:r>
      <w:proofErr w:type="spellEnd"/>
      <w:r w:rsidRPr="029B1C6E">
        <w:rPr>
          <w:rFonts w:ascii="Arial" w:eastAsia="Arial" w:hAnsi="Arial" w:cs="Arial"/>
          <w:sz w:val="24"/>
          <w:szCs w:val="24"/>
        </w:rPr>
        <w:t>, I., 2021. England: household waste collected per person 2019 | Statista. [online] Statista. Available at: &lt;https://www.statista.com/statistics/322535/total-household-waste-volumes-in-england-uk-per-person/&gt; [Accessed 2 August 2021].</w:t>
      </w:r>
    </w:p>
    <w:sectPr w:rsidR="029B1C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7A1A9E"/>
    <w:multiLevelType w:val="hybridMultilevel"/>
    <w:tmpl w:val="8A0C5298"/>
    <w:lvl w:ilvl="0" w:tplc="04090009">
      <w:start w:val="1"/>
      <w:numFmt w:val="bullet"/>
      <w:lvlText w:val=""/>
      <w:lvlJc w:val="left"/>
      <w:pPr>
        <w:ind w:left="4063" w:hanging="360"/>
      </w:pPr>
      <w:rPr>
        <w:rFonts w:ascii="Wingdings" w:hAnsi="Wingdings" w:hint="default"/>
      </w:rPr>
    </w:lvl>
    <w:lvl w:ilvl="1" w:tplc="04090003" w:tentative="1">
      <w:start w:val="1"/>
      <w:numFmt w:val="bullet"/>
      <w:lvlText w:val="o"/>
      <w:lvlJc w:val="left"/>
      <w:pPr>
        <w:ind w:left="4783" w:hanging="360"/>
      </w:pPr>
      <w:rPr>
        <w:rFonts w:ascii="Courier New" w:hAnsi="Courier New" w:cs="Courier New" w:hint="default"/>
      </w:rPr>
    </w:lvl>
    <w:lvl w:ilvl="2" w:tplc="04090005" w:tentative="1">
      <w:start w:val="1"/>
      <w:numFmt w:val="bullet"/>
      <w:lvlText w:val=""/>
      <w:lvlJc w:val="left"/>
      <w:pPr>
        <w:ind w:left="5503" w:hanging="360"/>
      </w:pPr>
      <w:rPr>
        <w:rFonts w:ascii="Wingdings" w:hAnsi="Wingdings" w:hint="default"/>
      </w:rPr>
    </w:lvl>
    <w:lvl w:ilvl="3" w:tplc="04090001" w:tentative="1">
      <w:start w:val="1"/>
      <w:numFmt w:val="bullet"/>
      <w:lvlText w:val=""/>
      <w:lvlJc w:val="left"/>
      <w:pPr>
        <w:ind w:left="6223" w:hanging="360"/>
      </w:pPr>
      <w:rPr>
        <w:rFonts w:ascii="Symbol" w:hAnsi="Symbol" w:hint="default"/>
      </w:rPr>
    </w:lvl>
    <w:lvl w:ilvl="4" w:tplc="04090003" w:tentative="1">
      <w:start w:val="1"/>
      <w:numFmt w:val="bullet"/>
      <w:lvlText w:val="o"/>
      <w:lvlJc w:val="left"/>
      <w:pPr>
        <w:ind w:left="6943" w:hanging="360"/>
      </w:pPr>
      <w:rPr>
        <w:rFonts w:ascii="Courier New" w:hAnsi="Courier New" w:cs="Courier New" w:hint="default"/>
      </w:rPr>
    </w:lvl>
    <w:lvl w:ilvl="5" w:tplc="04090005" w:tentative="1">
      <w:start w:val="1"/>
      <w:numFmt w:val="bullet"/>
      <w:lvlText w:val=""/>
      <w:lvlJc w:val="left"/>
      <w:pPr>
        <w:ind w:left="7663" w:hanging="360"/>
      </w:pPr>
      <w:rPr>
        <w:rFonts w:ascii="Wingdings" w:hAnsi="Wingdings" w:hint="default"/>
      </w:rPr>
    </w:lvl>
    <w:lvl w:ilvl="6" w:tplc="04090001" w:tentative="1">
      <w:start w:val="1"/>
      <w:numFmt w:val="bullet"/>
      <w:lvlText w:val=""/>
      <w:lvlJc w:val="left"/>
      <w:pPr>
        <w:ind w:left="8383" w:hanging="360"/>
      </w:pPr>
      <w:rPr>
        <w:rFonts w:ascii="Symbol" w:hAnsi="Symbol" w:hint="default"/>
      </w:rPr>
    </w:lvl>
    <w:lvl w:ilvl="7" w:tplc="04090003" w:tentative="1">
      <w:start w:val="1"/>
      <w:numFmt w:val="bullet"/>
      <w:lvlText w:val="o"/>
      <w:lvlJc w:val="left"/>
      <w:pPr>
        <w:ind w:left="9103" w:hanging="360"/>
      </w:pPr>
      <w:rPr>
        <w:rFonts w:ascii="Courier New" w:hAnsi="Courier New" w:cs="Courier New" w:hint="default"/>
      </w:rPr>
    </w:lvl>
    <w:lvl w:ilvl="8" w:tplc="04090005" w:tentative="1">
      <w:start w:val="1"/>
      <w:numFmt w:val="bullet"/>
      <w:lvlText w:val=""/>
      <w:lvlJc w:val="left"/>
      <w:pPr>
        <w:ind w:left="9823" w:hanging="360"/>
      </w:pPr>
      <w:rPr>
        <w:rFonts w:ascii="Wingdings" w:hAnsi="Wingdings" w:hint="default"/>
      </w:rPr>
    </w:lvl>
  </w:abstractNum>
  <w:abstractNum w:abstractNumId="1" w15:restartNumberingAfterBreak="0">
    <w:nsid w:val="1F955A5C"/>
    <w:multiLevelType w:val="hybridMultilevel"/>
    <w:tmpl w:val="746E1C6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07D7CC2"/>
    <w:rsid w:val="00137627"/>
    <w:rsid w:val="001C7BD4"/>
    <w:rsid w:val="002E0495"/>
    <w:rsid w:val="003D166B"/>
    <w:rsid w:val="00C50BCD"/>
    <w:rsid w:val="00FD0223"/>
    <w:rsid w:val="029B1C6E"/>
    <w:rsid w:val="107D7CC2"/>
    <w:rsid w:val="6DCF9B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10D9C"/>
  <w15:chartTrackingRefBased/>
  <w15:docId w15:val="{C321F573-1164-40FC-94C7-42D2EF7FF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2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8</Pages>
  <Words>2513</Words>
  <Characters>14327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4</cp:revision>
  <dcterms:created xsi:type="dcterms:W3CDTF">2012-08-07T16:44:00Z</dcterms:created>
  <dcterms:modified xsi:type="dcterms:W3CDTF">2021-08-03T15:34:00Z</dcterms:modified>
</cp:coreProperties>
</file>