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568230909"/>
        <w:docPartObj>
          <w:docPartGallery w:val="Cover Pages"/>
          <w:docPartUnique/>
        </w:docPartObj>
      </w:sdtPr>
      <w:sdtEndPr>
        <w:rPr>
          <w:rFonts w:ascii="Arial" w:eastAsiaTheme="minorHAnsi" w:hAnsi="Arial" w:cs="Arial"/>
          <w:b/>
          <w:bCs/>
          <w:color w:val="156082" w:themeColor="accent1"/>
          <w:kern w:val="2"/>
          <w:sz w:val="24"/>
          <w:szCs w:val="24"/>
          <w:lang w:val="en-GB"/>
          <w14:ligatures w14:val="standardContextual"/>
        </w:rPr>
      </w:sdtEndPr>
      <w:sdtContent>
        <w:p w14:paraId="22979E98" w14:textId="1BD88620" w:rsidR="00C1471B" w:rsidRDefault="00C1471B">
          <w:pPr>
            <w:pStyle w:val="NoSpacing"/>
            <w:rPr>
              <w:sz w:val="2"/>
            </w:rPr>
          </w:pPr>
        </w:p>
        <w:p w14:paraId="2DABF201" w14:textId="0FA9142A" w:rsidR="00C1471B" w:rsidRDefault="00C1471B">
          <w:r>
            <w:rPr>
              <w:noProof/>
              <w:color w:val="156082" w:themeColor="accent1"/>
              <w:sz w:val="36"/>
              <w:szCs w:val="36"/>
            </w:rPr>
            <mc:AlternateContent>
              <mc:Choice Requires="wpg">
                <w:drawing>
                  <wp:anchor distT="0" distB="0" distL="114300" distR="114300" simplePos="0" relativeHeight="251660288" behindDoc="1" locked="0" layoutInCell="1" allowOverlap="1" wp14:anchorId="06A60DEB" wp14:editId="2B70B44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AA9AEA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C0112F" wp14:editId="6C5FFD4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7CB26" w14:textId="193381C0" w:rsidR="00C1471B" w:rsidRPr="00C1471B" w:rsidRDefault="00C1471B">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C1471B">
                                      <w:rPr>
                                        <w:rFonts w:ascii="Arial Black" w:hAnsi="Arial Black"/>
                                        <w:color w:val="156082" w:themeColor="accent1"/>
                                        <w:sz w:val="36"/>
                                        <w:szCs w:val="36"/>
                                      </w:rPr>
                                      <w:t>Module code:</w:t>
                                    </w:r>
                                    <w:r>
                                      <w:rPr>
                                        <w:rFonts w:ascii="Arial Black" w:hAnsi="Arial Black"/>
                                        <w:color w:val="156082" w:themeColor="accent1"/>
                                        <w:sz w:val="36"/>
                                        <w:szCs w:val="36"/>
                                      </w:rPr>
                                      <w:t xml:space="preserve"> </w:t>
                                    </w:r>
                                    <w:r w:rsidRPr="00C1471B">
                                      <w:rPr>
                                        <w:rFonts w:ascii="Arial Black" w:hAnsi="Arial Black"/>
                                        <w:color w:val="156082" w:themeColor="accent1"/>
                                        <w:sz w:val="36"/>
                                        <w:szCs w:val="36"/>
                                      </w:rPr>
                                      <w:t>BMSP4016D</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0395FC5" w14:textId="535F3430" w:rsidR="00C1471B" w:rsidRDefault="00C1471B">
                                    <w:pPr>
                                      <w:pStyle w:val="NoSpacing"/>
                                      <w:jc w:val="right"/>
                                      <w:rPr>
                                        <w:color w:val="156082" w:themeColor="accent1"/>
                                        <w:sz w:val="36"/>
                                        <w:szCs w:val="36"/>
                                      </w:rPr>
                                    </w:pPr>
                                    <w:r w:rsidRPr="00C1471B">
                                      <w:rPr>
                                        <w:rFonts w:ascii="Arial Black" w:hAnsi="Arial Black"/>
                                        <w:color w:val="156082" w:themeColor="accent1"/>
                                        <w:sz w:val="36"/>
                                        <w:szCs w:val="36"/>
                                      </w:rPr>
                                      <w:t>Module:</w:t>
                                    </w:r>
                                    <w:r>
                                      <w:rPr>
                                        <w:rFonts w:ascii="Arial Black" w:hAnsi="Arial Black"/>
                                        <w:color w:val="156082" w:themeColor="accent1"/>
                                        <w:sz w:val="36"/>
                                        <w:szCs w:val="36"/>
                                      </w:rPr>
                                      <w:t xml:space="preserve"> </w:t>
                                    </w:r>
                                    <w:r w:rsidRPr="00C1471B">
                                      <w:rPr>
                                        <w:rFonts w:ascii="Arial Black" w:hAnsi="Arial Black"/>
                                        <w:color w:val="156082" w:themeColor="accent1"/>
                                        <w:sz w:val="36"/>
                                        <w:szCs w:val="36"/>
                                      </w:rPr>
                                      <w:t>Distinctiveness and Regeneration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DC0112F"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4FF7CB26" w14:textId="193381C0" w:rsidR="00C1471B" w:rsidRPr="00C1471B" w:rsidRDefault="00C1471B">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C1471B">
                                <w:rPr>
                                  <w:rFonts w:ascii="Arial Black" w:hAnsi="Arial Black"/>
                                  <w:color w:val="156082" w:themeColor="accent1"/>
                                  <w:sz w:val="36"/>
                                  <w:szCs w:val="36"/>
                                </w:rPr>
                                <w:t>Module code:</w:t>
                              </w:r>
                              <w:r>
                                <w:rPr>
                                  <w:rFonts w:ascii="Arial Black" w:hAnsi="Arial Black"/>
                                  <w:color w:val="156082" w:themeColor="accent1"/>
                                  <w:sz w:val="36"/>
                                  <w:szCs w:val="36"/>
                                </w:rPr>
                                <w:t xml:space="preserve"> </w:t>
                              </w:r>
                              <w:r w:rsidRPr="00C1471B">
                                <w:rPr>
                                  <w:rFonts w:ascii="Arial Black" w:hAnsi="Arial Black"/>
                                  <w:color w:val="156082" w:themeColor="accent1"/>
                                  <w:sz w:val="36"/>
                                  <w:szCs w:val="36"/>
                                </w:rPr>
                                <w:t>BMSP4016D</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0395FC5" w14:textId="535F3430" w:rsidR="00C1471B" w:rsidRDefault="00C1471B">
                              <w:pPr>
                                <w:pStyle w:val="NoSpacing"/>
                                <w:jc w:val="right"/>
                                <w:rPr>
                                  <w:color w:val="156082" w:themeColor="accent1"/>
                                  <w:sz w:val="36"/>
                                  <w:szCs w:val="36"/>
                                </w:rPr>
                              </w:pPr>
                              <w:r w:rsidRPr="00C1471B">
                                <w:rPr>
                                  <w:rFonts w:ascii="Arial Black" w:hAnsi="Arial Black"/>
                                  <w:color w:val="156082" w:themeColor="accent1"/>
                                  <w:sz w:val="36"/>
                                  <w:szCs w:val="36"/>
                                </w:rPr>
                                <w:t>Module:</w:t>
                              </w:r>
                              <w:r>
                                <w:rPr>
                                  <w:rFonts w:ascii="Arial Black" w:hAnsi="Arial Black"/>
                                  <w:color w:val="156082" w:themeColor="accent1"/>
                                  <w:sz w:val="36"/>
                                  <w:szCs w:val="36"/>
                                </w:rPr>
                                <w:t xml:space="preserve"> </w:t>
                              </w:r>
                              <w:r w:rsidRPr="00C1471B">
                                <w:rPr>
                                  <w:rFonts w:ascii="Arial Black" w:hAnsi="Arial Black"/>
                                  <w:color w:val="156082" w:themeColor="accent1"/>
                                  <w:sz w:val="36"/>
                                  <w:szCs w:val="36"/>
                                </w:rPr>
                                <w:t>Distinctiveness and Regeneration</w:t>
                              </w:r>
                            </w:p>
                          </w:sdtContent>
                        </w:sdt>
                      </w:txbxContent>
                    </v:textbox>
                    <w10:wrap anchorx="page" anchory="margin"/>
                  </v:shape>
                </w:pict>
              </mc:Fallback>
            </mc:AlternateContent>
          </w:r>
        </w:p>
        <w:p w14:paraId="6B8FEB09" w14:textId="64774A4D" w:rsidR="00C1471B" w:rsidRDefault="00C1471B">
          <w:pPr>
            <w:rPr>
              <w:rFonts w:ascii="Arial" w:hAnsi="Arial" w:cs="Arial"/>
              <w:b/>
              <w:bCs/>
              <w:color w:val="156082" w:themeColor="accent1"/>
            </w:rPr>
          </w:pPr>
          <w:r>
            <w:rPr>
              <w:noProof/>
            </w:rPr>
            <mc:AlternateContent>
              <mc:Choice Requires="wps">
                <w:drawing>
                  <wp:anchor distT="0" distB="0" distL="114300" distR="114300" simplePos="0" relativeHeight="251661312" behindDoc="0" locked="0" layoutInCell="1" allowOverlap="1" wp14:anchorId="386FE076" wp14:editId="7B57F102">
                    <wp:simplePos x="0" y="0"/>
                    <wp:positionH relativeFrom="page">
                      <wp:posOffset>789980</wp:posOffset>
                    </wp:positionH>
                    <wp:positionV relativeFrom="margin">
                      <wp:posOffset>1637817</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156082" w:themeColor="accen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71D71EC" w14:textId="737C392C" w:rsidR="00C1471B" w:rsidRPr="00C1471B" w:rsidRDefault="00C1471B" w:rsidP="00C1471B">
                                    <w:pPr>
                                      <w:pStyle w:val="NoSpacing"/>
                                      <w:rPr>
                                        <w:rFonts w:asciiTheme="majorHAnsi" w:eastAsiaTheme="majorEastAsia" w:hAnsiTheme="majorHAnsi" w:cstheme="majorBidi"/>
                                        <w:caps/>
                                        <w:color w:val="2C7FCE" w:themeColor="text2" w:themeTint="99"/>
                                        <w:sz w:val="68"/>
                                        <w:szCs w:val="68"/>
                                      </w:rPr>
                                    </w:pPr>
                                    <w:r w:rsidRPr="00C1471B">
                                      <w:rPr>
                                        <w:rFonts w:ascii="Arial Black" w:eastAsiaTheme="majorEastAsia" w:hAnsi="Arial Black" w:cstheme="majorBidi"/>
                                        <w:caps/>
                                        <w:color w:val="156082" w:themeColor="accent1"/>
                                        <w:sz w:val="96"/>
                                        <w:szCs w:val="96"/>
                                      </w:rPr>
                                      <w:t>Assignment 2: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386FE076" id="Text Box 66" o:spid="_x0000_s1027" type="#_x0000_t202" style="position:absolute;margin-left:62.2pt;margin-top:128.9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" filled="f" stroked="f" strokeweight=".5pt">
                    <v:textbox style="mso-fit-shape-to-text:t">
                      <w:txbxContent>
                        <w:sdt>
                          <w:sdtPr>
                            <w:rPr>
                              <w:rFonts w:ascii="Arial Black" w:eastAsiaTheme="majorEastAsia" w:hAnsi="Arial Black" w:cstheme="majorBidi"/>
                              <w:caps/>
                              <w:color w:val="156082" w:themeColor="accen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71D71EC" w14:textId="737C392C" w:rsidR="00C1471B" w:rsidRPr="00C1471B" w:rsidRDefault="00C1471B" w:rsidP="00C1471B">
                              <w:pPr>
                                <w:pStyle w:val="NoSpacing"/>
                                <w:rPr>
                                  <w:rFonts w:asciiTheme="majorHAnsi" w:eastAsiaTheme="majorEastAsia" w:hAnsiTheme="majorHAnsi" w:cstheme="majorBidi"/>
                                  <w:caps/>
                                  <w:color w:val="2C7FCE" w:themeColor="text2" w:themeTint="99"/>
                                  <w:sz w:val="68"/>
                                  <w:szCs w:val="68"/>
                                </w:rPr>
                              </w:pPr>
                              <w:r w:rsidRPr="00C1471B">
                                <w:rPr>
                                  <w:rFonts w:ascii="Arial Black" w:eastAsiaTheme="majorEastAsia" w:hAnsi="Arial Black" w:cstheme="majorBidi"/>
                                  <w:caps/>
                                  <w:color w:val="156082" w:themeColor="accent1"/>
                                  <w:sz w:val="96"/>
                                  <w:szCs w:val="96"/>
                                </w:rPr>
                                <w:t>Assignment 2: Report</w:t>
                              </w:r>
                            </w:p>
                          </w:sdtContent>
                        </w:sdt>
                      </w:txbxContent>
                    </v:textbox>
                    <w10:wrap anchorx="page" anchory="margin"/>
                  </v:shape>
                </w:pict>
              </mc:Fallback>
            </mc:AlternateContent>
          </w:r>
          <w:r>
            <w:rPr>
              <w:rFonts w:ascii="Arial" w:hAnsi="Arial" w:cs="Arial"/>
              <w:b/>
              <w:bCs/>
              <w:color w:val="156082" w:themeColor="accent1"/>
            </w:rPr>
            <w:br w:type="page"/>
          </w:r>
        </w:p>
      </w:sdtContent>
    </w:sdt>
    <w:p w14:paraId="572E1573" w14:textId="4962BA3F" w:rsidR="00847695" w:rsidRPr="00847695" w:rsidRDefault="00847695" w:rsidP="00847695">
      <w:pPr>
        <w:spacing w:line="480" w:lineRule="auto"/>
        <w:rPr>
          <w:rFonts w:ascii="Arial" w:hAnsi="Arial" w:cs="Arial"/>
          <w:b/>
          <w:bCs/>
          <w:color w:val="156082" w:themeColor="accent1"/>
        </w:rPr>
      </w:pPr>
      <w:r w:rsidRPr="00847695">
        <w:rPr>
          <w:rFonts w:ascii="Arial" w:hAnsi="Arial" w:cs="Arial"/>
          <w:b/>
          <w:bCs/>
          <w:color w:val="156082" w:themeColor="accent1"/>
        </w:rPr>
        <w:lastRenderedPageBreak/>
        <w:t>Wrexham's Future</w:t>
      </w:r>
      <w:r w:rsidR="00C1471B">
        <w:rPr>
          <w:rFonts w:ascii="Arial" w:hAnsi="Arial" w:cs="Arial"/>
          <w:b/>
          <w:bCs/>
          <w:color w:val="156082" w:themeColor="accent1"/>
        </w:rPr>
        <w:t xml:space="preserve">: </w:t>
      </w:r>
      <w:r w:rsidRPr="00847695">
        <w:rPr>
          <w:rFonts w:ascii="Arial" w:hAnsi="Arial" w:cs="Arial"/>
          <w:b/>
          <w:bCs/>
          <w:color w:val="156082" w:themeColor="accent1"/>
        </w:rPr>
        <w:t xml:space="preserve"> An Unconventional Case for Regeneration</w:t>
      </w:r>
    </w:p>
    <w:p w14:paraId="417C1AB4" w14:textId="5D214E30" w:rsidR="00847695" w:rsidRPr="00847695" w:rsidRDefault="00847695" w:rsidP="00847695">
      <w:pPr>
        <w:spacing w:line="480" w:lineRule="auto"/>
        <w:rPr>
          <w:rFonts w:ascii="Arial" w:hAnsi="Arial" w:cs="Arial"/>
        </w:rPr>
      </w:pPr>
      <w:r w:rsidRPr="00847695">
        <w:rPr>
          <w:rFonts w:ascii="Arial" w:hAnsi="Arial" w:cs="Arial"/>
        </w:rPr>
        <w:t xml:space="preserve">Wrexham is experiencing </w:t>
      </w:r>
      <w:r>
        <w:rPr>
          <w:rFonts w:ascii="Arial" w:hAnsi="Arial" w:cs="Arial"/>
        </w:rPr>
        <w:t>a</w:t>
      </w:r>
      <w:r w:rsidRPr="00847695">
        <w:rPr>
          <w:rFonts w:ascii="Arial" w:hAnsi="Arial" w:cs="Arial"/>
        </w:rPr>
        <w:t xml:space="preserve"> unique regeneration opportunity that is being shaped by both multi-dimensional </w:t>
      </w:r>
      <w:r>
        <w:rPr>
          <w:rFonts w:ascii="Arial" w:hAnsi="Arial" w:cs="Arial"/>
        </w:rPr>
        <w:t>long-standing</w:t>
      </w:r>
      <w:r w:rsidRPr="00847695">
        <w:rPr>
          <w:rFonts w:ascii="Arial" w:hAnsi="Arial" w:cs="Arial"/>
        </w:rPr>
        <w:t xml:space="preserve"> central challenges</w:t>
      </w:r>
      <w:r>
        <w:rPr>
          <w:rFonts w:ascii="Arial" w:hAnsi="Arial" w:cs="Arial"/>
        </w:rPr>
        <w:t>,</w:t>
      </w:r>
      <w:r w:rsidRPr="00847695">
        <w:rPr>
          <w:rFonts w:ascii="Arial" w:hAnsi="Arial" w:cs="Arial"/>
        </w:rPr>
        <w:t xml:space="preserve"> historical legacies of town centres and a contemporary increased level of visibility associated with its recognition as a </w:t>
      </w:r>
      <w:r w:rsidRPr="00847695">
        <w:rPr>
          <w:rFonts w:ascii="Arial" w:hAnsi="Arial" w:cs="Arial"/>
        </w:rPr>
        <w:t>city</w:t>
      </w:r>
      <w:r w:rsidRPr="00847695">
        <w:rPr>
          <w:rFonts w:ascii="Arial" w:hAnsi="Arial" w:cs="Arial"/>
        </w:rPr>
        <w:t xml:space="preserve"> through its strong connection with the sport of football, and raising levels of new business investment interest in the Local Economy. The key question to be </w:t>
      </w:r>
      <w:r>
        <w:rPr>
          <w:rFonts w:ascii="Arial" w:hAnsi="Arial" w:cs="Arial"/>
        </w:rPr>
        <w:t>answered</w:t>
      </w:r>
      <w:r w:rsidRPr="00847695">
        <w:rPr>
          <w:rFonts w:ascii="Arial" w:hAnsi="Arial" w:cs="Arial"/>
        </w:rPr>
        <w:t xml:space="preserve"> is </w:t>
      </w:r>
      <w:r>
        <w:rPr>
          <w:rFonts w:ascii="Arial" w:hAnsi="Arial" w:cs="Arial"/>
        </w:rPr>
        <w:t>whether</w:t>
      </w:r>
      <w:r w:rsidRPr="00847695">
        <w:rPr>
          <w:rFonts w:ascii="Arial" w:hAnsi="Arial" w:cs="Arial"/>
        </w:rPr>
        <w:t xml:space="preserve"> a compelling period of interest between Wrexham and its neighbouring cities</w:t>
      </w:r>
      <w:r>
        <w:rPr>
          <w:rFonts w:ascii="Arial" w:hAnsi="Arial" w:cs="Arial"/>
        </w:rPr>
        <w:t xml:space="preserve"> can</w:t>
      </w:r>
      <w:r w:rsidRPr="00847695">
        <w:rPr>
          <w:rFonts w:ascii="Arial" w:hAnsi="Arial" w:cs="Arial"/>
        </w:rPr>
        <w:t xml:space="preserve"> convert this period of opportunity into lasting urban Improvements? This report proposes that the best pathway for Wrexham to continue as a vibrant City will not lie within creating </w:t>
      </w:r>
      <w:r>
        <w:rPr>
          <w:rFonts w:ascii="Arial" w:hAnsi="Arial" w:cs="Arial"/>
        </w:rPr>
        <w:t>metropolitan-level</w:t>
      </w:r>
      <w:r w:rsidRPr="00847695">
        <w:rPr>
          <w:rFonts w:ascii="Arial" w:hAnsi="Arial" w:cs="Arial"/>
        </w:rPr>
        <w:t xml:space="preserve"> spectacles, instead through a gradual revitalisation of existing buildings</w:t>
      </w:r>
      <w:r>
        <w:rPr>
          <w:rFonts w:ascii="Arial" w:hAnsi="Arial" w:cs="Arial"/>
        </w:rPr>
        <w:t>,</w:t>
      </w:r>
      <w:r w:rsidRPr="00847695">
        <w:rPr>
          <w:rFonts w:ascii="Arial" w:hAnsi="Arial" w:cs="Arial"/>
        </w:rPr>
        <w:t xml:space="preserve"> developing stronger Social Infrastructure</w:t>
      </w:r>
      <w:r>
        <w:rPr>
          <w:rFonts w:ascii="Arial" w:hAnsi="Arial" w:cs="Arial"/>
        </w:rPr>
        <w:t>,</w:t>
      </w:r>
      <w:r w:rsidRPr="00847695">
        <w:rPr>
          <w:rFonts w:ascii="Arial" w:hAnsi="Arial" w:cs="Arial"/>
        </w:rPr>
        <w:t xml:space="preserve"> and improving </w:t>
      </w:r>
      <w:r>
        <w:rPr>
          <w:rFonts w:ascii="Arial" w:hAnsi="Arial" w:cs="Arial"/>
        </w:rPr>
        <w:t>c</w:t>
      </w:r>
      <w:r w:rsidRPr="00847695">
        <w:rPr>
          <w:rFonts w:ascii="Arial" w:hAnsi="Arial" w:cs="Arial"/>
        </w:rPr>
        <w:t xml:space="preserve">onnections </w:t>
      </w:r>
      <w:r>
        <w:rPr>
          <w:rFonts w:ascii="Arial" w:hAnsi="Arial" w:cs="Arial"/>
        </w:rPr>
        <w:t>between</w:t>
      </w:r>
      <w:r w:rsidRPr="00847695">
        <w:rPr>
          <w:rFonts w:ascii="Arial" w:hAnsi="Arial" w:cs="Arial"/>
        </w:rPr>
        <w:t xml:space="preserve"> the </w:t>
      </w:r>
      <w:r>
        <w:rPr>
          <w:rFonts w:ascii="Arial" w:hAnsi="Arial" w:cs="Arial"/>
        </w:rPr>
        <w:t>c</w:t>
      </w:r>
      <w:r w:rsidRPr="00847695">
        <w:rPr>
          <w:rFonts w:ascii="Arial" w:hAnsi="Arial" w:cs="Arial"/>
        </w:rPr>
        <w:t xml:space="preserve">entre and its wider </w:t>
      </w:r>
      <w:r>
        <w:rPr>
          <w:rFonts w:ascii="Arial" w:hAnsi="Arial" w:cs="Arial"/>
        </w:rPr>
        <w:t>e</w:t>
      </w:r>
      <w:r w:rsidRPr="00847695">
        <w:rPr>
          <w:rFonts w:ascii="Arial" w:hAnsi="Arial" w:cs="Arial"/>
        </w:rPr>
        <w:t xml:space="preserve">conomic </w:t>
      </w:r>
      <w:r>
        <w:rPr>
          <w:rFonts w:ascii="Arial" w:hAnsi="Arial" w:cs="Arial"/>
        </w:rPr>
        <w:t>e</w:t>
      </w:r>
      <w:r w:rsidRPr="00847695">
        <w:rPr>
          <w:rFonts w:ascii="Arial" w:hAnsi="Arial" w:cs="Arial"/>
        </w:rPr>
        <w:t>nvir</w:t>
      </w:r>
      <w:r>
        <w:rPr>
          <w:rFonts w:ascii="Arial" w:hAnsi="Arial" w:cs="Arial"/>
        </w:rPr>
        <w:t>onments.</w:t>
      </w:r>
    </w:p>
    <w:p w14:paraId="51193232" w14:textId="77777777" w:rsidR="00847695" w:rsidRPr="00847695" w:rsidRDefault="00847695" w:rsidP="00847695">
      <w:pPr>
        <w:spacing w:line="480" w:lineRule="auto"/>
        <w:rPr>
          <w:rFonts w:ascii="Arial" w:hAnsi="Arial" w:cs="Arial"/>
        </w:rPr>
      </w:pPr>
    </w:p>
    <w:p w14:paraId="4EA79AF4" w14:textId="77777777" w:rsidR="00847695" w:rsidRPr="00847695" w:rsidRDefault="00847695" w:rsidP="00847695">
      <w:pPr>
        <w:spacing w:line="480" w:lineRule="auto"/>
        <w:rPr>
          <w:rFonts w:ascii="Arial" w:hAnsi="Arial" w:cs="Arial"/>
        </w:rPr>
      </w:pPr>
    </w:p>
    <w:p w14:paraId="5569D3AF" w14:textId="77777777" w:rsidR="00847695" w:rsidRDefault="00847695" w:rsidP="00847695">
      <w:pPr>
        <w:spacing w:line="480" w:lineRule="auto"/>
        <w:rPr>
          <w:rFonts w:ascii="Arial" w:hAnsi="Arial" w:cs="Arial"/>
        </w:rPr>
      </w:pPr>
    </w:p>
    <w:p w14:paraId="656B2A3E" w14:textId="77777777" w:rsidR="00847695" w:rsidRDefault="00847695" w:rsidP="00847695">
      <w:pPr>
        <w:spacing w:line="480" w:lineRule="auto"/>
        <w:rPr>
          <w:rFonts w:ascii="Arial" w:hAnsi="Arial" w:cs="Arial"/>
        </w:rPr>
      </w:pPr>
    </w:p>
    <w:p w14:paraId="55275B78" w14:textId="77777777" w:rsidR="00847695" w:rsidRDefault="00847695" w:rsidP="00847695">
      <w:pPr>
        <w:spacing w:line="480" w:lineRule="auto"/>
        <w:rPr>
          <w:rFonts w:ascii="Arial" w:hAnsi="Arial" w:cs="Arial"/>
        </w:rPr>
      </w:pPr>
    </w:p>
    <w:p w14:paraId="56E4D4ED" w14:textId="77777777" w:rsidR="00847695" w:rsidRDefault="00847695" w:rsidP="00847695">
      <w:pPr>
        <w:spacing w:line="480" w:lineRule="auto"/>
        <w:rPr>
          <w:rFonts w:ascii="Arial" w:hAnsi="Arial" w:cs="Arial"/>
        </w:rPr>
      </w:pPr>
    </w:p>
    <w:p w14:paraId="03F2157F" w14:textId="77777777" w:rsidR="00847695" w:rsidRDefault="00847695" w:rsidP="00847695">
      <w:pPr>
        <w:spacing w:line="480" w:lineRule="auto"/>
        <w:rPr>
          <w:rFonts w:ascii="Arial" w:hAnsi="Arial" w:cs="Arial"/>
        </w:rPr>
      </w:pPr>
    </w:p>
    <w:p w14:paraId="27ECD120" w14:textId="77777777" w:rsidR="00847695" w:rsidRDefault="00847695" w:rsidP="00847695">
      <w:pPr>
        <w:spacing w:line="480" w:lineRule="auto"/>
        <w:rPr>
          <w:rFonts w:ascii="Arial" w:hAnsi="Arial" w:cs="Arial"/>
        </w:rPr>
      </w:pPr>
    </w:p>
    <w:p w14:paraId="29435EF2" w14:textId="77777777" w:rsidR="00847695" w:rsidRDefault="00847695" w:rsidP="00847695">
      <w:pPr>
        <w:spacing w:line="480" w:lineRule="auto"/>
        <w:rPr>
          <w:rFonts w:ascii="Arial" w:hAnsi="Arial" w:cs="Arial"/>
        </w:rPr>
      </w:pPr>
    </w:p>
    <w:p w14:paraId="0EF066F9" w14:textId="431F77CA" w:rsidR="00847695" w:rsidRPr="00847695" w:rsidRDefault="00847695" w:rsidP="00847695">
      <w:pPr>
        <w:spacing w:line="480" w:lineRule="auto"/>
        <w:rPr>
          <w:rFonts w:ascii="Arial" w:hAnsi="Arial" w:cs="Arial"/>
          <w:b/>
          <w:bCs/>
          <w:color w:val="156082" w:themeColor="accent1"/>
        </w:rPr>
      </w:pPr>
      <w:r w:rsidRPr="00847695">
        <w:rPr>
          <w:rFonts w:ascii="Arial" w:hAnsi="Arial" w:cs="Arial"/>
          <w:b/>
          <w:bCs/>
          <w:color w:val="156082" w:themeColor="accent1"/>
        </w:rPr>
        <w:lastRenderedPageBreak/>
        <w:t>The impact of changing fortune and legacy</w:t>
      </w:r>
    </w:p>
    <w:p w14:paraId="343BFE64" w14:textId="14D6B118" w:rsidR="00847695" w:rsidRPr="00847695" w:rsidRDefault="00847695" w:rsidP="00847695">
      <w:pPr>
        <w:spacing w:line="480" w:lineRule="auto"/>
        <w:rPr>
          <w:rFonts w:ascii="Arial" w:hAnsi="Arial" w:cs="Arial"/>
        </w:rPr>
      </w:pPr>
      <w:r w:rsidRPr="00847695">
        <w:rPr>
          <w:rFonts w:ascii="Arial" w:hAnsi="Arial" w:cs="Arial"/>
        </w:rPr>
        <w:t xml:space="preserve">Historically, Wrexham has developed as a major market and industrial city, contributing to the </w:t>
      </w:r>
      <w:r w:rsidRPr="00847695">
        <w:rPr>
          <w:rFonts w:ascii="Arial" w:hAnsi="Arial" w:cs="Arial"/>
        </w:rPr>
        <w:t>Northeast</w:t>
      </w:r>
      <w:r w:rsidRPr="00847695">
        <w:rPr>
          <w:rFonts w:ascii="Arial" w:hAnsi="Arial" w:cs="Arial"/>
        </w:rPr>
        <w:t xml:space="preserve"> Wales </w:t>
      </w:r>
      <w:r>
        <w:rPr>
          <w:rFonts w:ascii="Arial" w:hAnsi="Arial" w:cs="Arial"/>
        </w:rPr>
        <w:t>b</w:t>
      </w:r>
      <w:r w:rsidRPr="00847695">
        <w:rPr>
          <w:rFonts w:ascii="Arial" w:hAnsi="Arial" w:cs="Arial"/>
        </w:rPr>
        <w:t xml:space="preserve">order </w:t>
      </w:r>
      <w:r>
        <w:rPr>
          <w:rFonts w:ascii="Arial" w:hAnsi="Arial" w:cs="Arial"/>
        </w:rPr>
        <w:t>e</w:t>
      </w:r>
      <w:r w:rsidRPr="00847695">
        <w:rPr>
          <w:rFonts w:ascii="Arial" w:hAnsi="Arial" w:cs="Arial"/>
        </w:rPr>
        <w:t xml:space="preserve">conomies </w:t>
      </w:r>
      <w:r w:rsidR="00C90A47">
        <w:rPr>
          <w:rFonts w:ascii="Arial" w:hAnsi="Arial" w:cs="Arial"/>
        </w:rPr>
        <w:t>through key industries such as coal mining, steel production, beer brewing, manufacturing/service provision, and now</w:t>
      </w:r>
      <w:r w:rsidRPr="00847695">
        <w:rPr>
          <w:rFonts w:ascii="Arial" w:hAnsi="Arial" w:cs="Arial"/>
        </w:rPr>
        <w:t xml:space="preserve"> tourism. Wrexham and those of similar size have experienced significant declines in the </w:t>
      </w:r>
      <w:r>
        <w:rPr>
          <w:rFonts w:ascii="Arial" w:hAnsi="Arial" w:cs="Arial"/>
        </w:rPr>
        <w:t>m</w:t>
      </w:r>
      <w:r w:rsidRPr="00847695">
        <w:rPr>
          <w:rFonts w:ascii="Arial" w:hAnsi="Arial" w:cs="Arial"/>
        </w:rPr>
        <w:t xml:space="preserve">anufacturing industry due to de-industrialisation processes and </w:t>
      </w:r>
      <w:r>
        <w:rPr>
          <w:rFonts w:ascii="Arial" w:hAnsi="Arial" w:cs="Arial"/>
        </w:rPr>
        <w:t>r</w:t>
      </w:r>
      <w:r w:rsidRPr="00847695">
        <w:rPr>
          <w:rFonts w:ascii="Arial" w:hAnsi="Arial" w:cs="Arial"/>
        </w:rPr>
        <w:t xml:space="preserve">etail Restructuring: retail outlets have moved from Town Centres to </w:t>
      </w:r>
      <w:r>
        <w:rPr>
          <w:rFonts w:ascii="Arial" w:hAnsi="Arial" w:cs="Arial"/>
        </w:rPr>
        <w:t>edge-of-town locations</w:t>
      </w:r>
      <w:r w:rsidRPr="00847695">
        <w:rPr>
          <w:rFonts w:ascii="Arial" w:hAnsi="Arial" w:cs="Arial"/>
        </w:rPr>
        <w:t>/</w:t>
      </w:r>
      <w:r>
        <w:rPr>
          <w:rFonts w:ascii="Arial" w:hAnsi="Arial" w:cs="Arial"/>
        </w:rPr>
        <w:t>car-oriented</w:t>
      </w:r>
      <w:r w:rsidRPr="00847695">
        <w:rPr>
          <w:rFonts w:ascii="Arial" w:hAnsi="Arial" w:cs="Arial"/>
        </w:rPr>
        <w:t xml:space="preserve"> </w:t>
      </w:r>
      <w:r>
        <w:rPr>
          <w:rFonts w:ascii="Arial" w:hAnsi="Arial" w:cs="Arial"/>
        </w:rPr>
        <w:t>l</w:t>
      </w:r>
      <w:r w:rsidRPr="00847695">
        <w:rPr>
          <w:rFonts w:ascii="Arial" w:hAnsi="Arial" w:cs="Arial"/>
        </w:rPr>
        <w:t xml:space="preserve">ocations. Consequently, Wrexham is no different than those of medium size all over North America in that vacant buildings; declining/high-priced or unrevised commercial land; and lack of a current fit of the Historic Building Stock for the current/modern </w:t>
      </w:r>
      <w:r>
        <w:rPr>
          <w:rFonts w:ascii="Arial" w:hAnsi="Arial" w:cs="Arial"/>
        </w:rPr>
        <w:t>c</w:t>
      </w:r>
      <w:r w:rsidRPr="00847695">
        <w:rPr>
          <w:rFonts w:ascii="Arial" w:hAnsi="Arial" w:cs="Arial"/>
        </w:rPr>
        <w:t xml:space="preserve">ommercial </w:t>
      </w:r>
      <w:r>
        <w:rPr>
          <w:rFonts w:ascii="Arial" w:hAnsi="Arial" w:cs="Arial"/>
        </w:rPr>
        <w:t>d</w:t>
      </w:r>
      <w:r w:rsidRPr="00847695">
        <w:rPr>
          <w:rFonts w:ascii="Arial" w:hAnsi="Arial" w:cs="Arial"/>
        </w:rPr>
        <w:t xml:space="preserve">emand has left two significant legacies; (1) a perception of disconnect between the City Centre's Architectural </w:t>
      </w:r>
      <w:r>
        <w:rPr>
          <w:rFonts w:ascii="Arial" w:hAnsi="Arial" w:cs="Arial"/>
        </w:rPr>
        <w:t>c</w:t>
      </w:r>
      <w:r w:rsidRPr="00847695">
        <w:rPr>
          <w:rFonts w:ascii="Arial" w:hAnsi="Arial" w:cs="Arial"/>
        </w:rPr>
        <w:t xml:space="preserve">haracter and Economic Performance and (2) a similarly negative view of Wrexham's Urban Image, Determined by several factors including; structure, use, design, location, and social </w:t>
      </w:r>
      <w:r>
        <w:rPr>
          <w:rFonts w:ascii="Arial" w:hAnsi="Arial" w:cs="Arial"/>
        </w:rPr>
        <w:t>r</w:t>
      </w:r>
      <w:r w:rsidRPr="00847695">
        <w:rPr>
          <w:rFonts w:ascii="Arial" w:hAnsi="Arial" w:cs="Arial"/>
        </w:rPr>
        <w:t>ole/</w:t>
      </w:r>
      <w:r>
        <w:rPr>
          <w:rFonts w:ascii="Arial" w:hAnsi="Arial" w:cs="Arial"/>
        </w:rPr>
        <w:t>m</w:t>
      </w:r>
      <w:r w:rsidRPr="00847695">
        <w:rPr>
          <w:rFonts w:ascii="Arial" w:hAnsi="Arial" w:cs="Arial"/>
        </w:rPr>
        <w:t xml:space="preserve">arketing of </w:t>
      </w:r>
      <w:r>
        <w:rPr>
          <w:rFonts w:ascii="Arial" w:hAnsi="Arial" w:cs="Arial"/>
        </w:rPr>
        <w:t>e</w:t>
      </w:r>
      <w:r w:rsidRPr="00847695">
        <w:rPr>
          <w:rFonts w:ascii="Arial" w:hAnsi="Arial" w:cs="Arial"/>
        </w:rPr>
        <w:t>ach of</w:t>
      </w:r>
      <w:r w:rsidR="00DF6B44">
        <w:rPr>
          <w:rFonts w:ascii="Arial" w:hAnsi="Arial" w:cs="Arial"/>
        </w:rPr>
        <w:t xml:space="preserve"> </w:t>
      </w:r>
      <w:r w:rsidRPr="00847695">
        <w:rPr>
          <w:rFonts w:ascii="Arial" w:hAnsi="Arial" w:cs="Arial"/>
        </w:rPr>
        <w:t xml:space="preserve">the </w:t>
      </w:r>
      <w:r>
        <w:rPr>
          <w:rFonts w:ascii="Arial" w:hAnsi="Arial" w:cs="Arial"/>
        </w:rPr>
        <w:t>l</w:t>
      </w:r>
      <w:r w:rsidRPr="00847695">
        <w:rPr>
          <w:rFonts w:ascii="Arial" w:hAnsi="Arial" w:cs="Arial"/>
        </w:rPr>
        <w:t xml:space="preserve">ocal </w:t>
      </w:r>
      <w:r>
        <w:rPr>
          <w:rFonts w:ascii="Arial" w:hAnsi="Arial" w:cs="Arial"/>
        </w:rPr>
        <w:t>m</w:t>
      </w:r>
      <w:r w:rsidRPr="00847695">
        <w:rPr>
          <w:rFonts w:ascii="Arial" w:hAnsi="Arial" w:cs="Arial"/>
        </w:rPr>
        <w:t xml:space="preserve">arkets, </w:t>
      </w:r>
      <w:r>
        <w:rPr>
          <w:rFonts w:ascii="Arial" w:hAnsi="Arial" w:cs="Arial"/>
        </w:rPr>
        <w:t>c</w:t>
      </w:r>
      <w:r w:rsidRPr="00847695">
        <w:rPr>
          <w:rFonts w:ascii="Arial" w:hAnsi="Arial" w:cs="Arial"/>
        </w:rPr>
        <w:t xml:space="preserve">ultures and </w:t>
      </w:r>
      <w:r>
        <w:rPr>
          <w:rFonts w:ascii="Arial" w:hAnsi="Arial" w:cs="Arial"/>
        </w:rPr>
        <w:t>s</w:t>
      </w:r>
      <w:r w:rsidRPr="00847695">
        <w:rPr>
          <w:rFonts w:ascii="Arial" w:hAnsi="Arial" w:cs="Arial"/>
        </w:rPr>
        <w:t xml:space="preserve">ervices </w:t>
      </w:r>
      <w:r>
        <w:rPr>
          <w:rFonts w:ascii="Arial" w:hAnsi="Arial" w:cs="Arial"/>
        </w:rPr>
        <w:t>p</w:t>
      </w:r>
      <w:r w:rsidRPr="00847695">
        <w:rPr>
          <w:rFonts w:ascii="Arial" w:hAnsi="Arial" w:cs="Arial"/>
        </w:rPr>
        <w:t xml:space="preserve">rovided to the </w:t>
      </w:r>
      <w:r w:rsidR="00DF6B44">
        <w:rPr>
          <w:rFonts w:ascii="Arial" w:hAnsi="Arial" w:cs="Arial"/>
        </w:rPr>
        <w:t>l</w:t>
      </w:r>
      <w:r w:rsidRPr="00847695">
        <w:rPr>
          <w:rFonts w:ascii="Arial" w:hAnsi="Arial" w:cs="Arial"/>
        </w:rPr>
        <w:t xml:space="preserve">ocal </w:t>
      </w:r>
      <w:r w:rsidR="00DF6B44">
        <w:rPr>
          <w:rFonts w:ascii="Arial" w:hAnsi="Arial" w:cs="Arial"/>
        </w:rPr>
        <w:t>c</w:t>
      </w:r>
      <w:r w:rsidRPr="00847695">
        <w:rPr>
          <w:rFonts w:ascii="Arial" w:hAnsi="Arial" w:cs="Arial"/>
        </w:rPr>
        <w:t>ommunity</w:t>
      </w:r>
    </w:p>
    <w:p w14:paraId="4BB01608" w14:textId="3995B45F" w:rsidR="00847695" w:rsidRPr="00847695" w:rsidRDefault="00847695" w:rsidP="00847695">
      <w:pPr>
        <w:spacing w:line="480" w:lineRule="auto"/>
        <w:rPr>
          <w:rFonts w:ascii="Arial" w:hAnsi="Arial" w:cs="Arial"/>
        </w:rPr>
      </w:pPr>
      <w:r w:rsidRPr="00847695">
        <w:rPr>
          <w:rFonts w:ascii="Arial" w:hAnsi="Arial" w:cs="Arial"/>
        </w:rPr>
        <w:t xml:space="preserve">As defined by Powe, Pringle and Hart (2015), the success of </w:t>
      </w:r>
      <w:r>
        <w:rPr>
          <w:rFonts w:ascii="Arial" w:hAnsi="Arial" w:cs="Arial"/>
        </w:rPr>
        <w:t>s</w:t>
      </w:r>
      <w:r w:rsidRPr="00847695">
        <w:rPr>
          <w:rFonts w:ascii="Arial" w:hAnsi="Arial" w:cs="Arial"/>
        </w:rPr>
        <w:t xml:space="preserve">mall </w:t>
      </w:r>
      <w:r>
        <w:rPr>
          <w:rFonts w:ascii="Arial" w:hAnsi="Arial" w:cs="Arial"/>
        </w:rPr>
        <w:t>t</w:t>
      </w:r>
      <w:r w:rsidRPr="00847695">
        <w:rPr>
          <w:rFonts w:ascii="Arial" w:hAnsi="Arial" w:cs="Arial"/>
        </w:rPr>
        <w:t xml:space="preserve">own and </w:t>
      </w:r>
      <w:r>
        <w:rPr>
          <w:rFonts w:ascii="Arial" w:hAnsi="Arial" w:cs="Arial"/>
        </w:rPr>
        <w:t>m</w:t>
      </w:r>
      <w:r w:rsidRPr="00847695">
        <w:rPr>
          <w:rFonts w:ascii="Arial" w:hAnsi="Arial" w:cs="Arial"/>
        </w:rPr>
        <w:t xml:space="preserve">edium </w:t>
      </w:r>
      <w:r>
        <w:rPr>
          <w:rFonts w:ascii="Arial" w:hAnsi="Arial" w:cs="Arial"/>
        </w:rPr>
        <w:t>t</w:t>
      </w:r>
      <w:r w:rsidRPr="00847695">
        <w:rPr>
          <w:rFonts w:ascii="Arial" w:hAnsi="Arial" w:cs="Arial"/>
        </w:rPr>
        <w:t xml:space="preserve">own </w:t>
      </w:r>
      <w:r>
        <w:rPr>
          <w:rFonts w:ascii="Arial" w:hAnsi="Arial" w:cs="Arial"/>
        </w:rPr>
        <w:t>r</w:t>
      </w:r>
      <w:r w:rsidRPr="00847695">
        <w:rPr>
          <w:rFonts w:ascii="Arial" w:hAnsi="Arial" w:cs="Arial"/>
        </w:rPr>
        <w:t xml:space="preserve">egeneration must provide processes designed to respond to the unique </w:t>
      </w:r>
      <w:r>
        <w:rPr>
          <w:rFonts w:ascii="Arial" w:hAnsi="Arial" w:cs="Arial"/>
        </w:rPr>
        <w:t>c</w:t>
      </w:r>
      <w:r w:rsidRPr="00847695">
        <w:rPr>
          <w:rFonts w:ascii="Arial" w:hAnsi="Arial" w:cs="Arial"/>
        </w:rPr>
        <w:t xml:space="preserve">haracteristics of </w:t>
      </w:r>
      <w:r>
        <w:rPr>
          <w:rFonts w:ascii="Arial" w:hAnsi="Arial" w:cs="Arial"/>
        </w:rPr>
        <w:t>s</w:t>
      </w:r>
      <w:r w:rsidRPr="00847695">
        <w:rPr>
          <w:rFonts w:ascii="Arial" w:hAnsi="Arial" w:cs="Arial"/>
        </w:rPr>
        <w:t xml:space="preserve">mall and </w:t>
      </w:r>
      <w:r>
        <w:rPr>
          <w:rFonts w:ascii="Arial" w:hAnsi="Arial" w:cs="Arial"/>
        </w:rPr>
        <w:t>m</w:t>
      </w:r>
      <w:r w:rsidRPr="00847695">
        <w:rPr>
          <w:rFonts w:ascii="Arial" w:hAnsi="Arial" w:cs="Arial"/>
        </w:rPr>
        <w:t xml:space="preserve">edium </w:t>
      </w:r>
      <w:r>
        <w:rPr>
          <w:rFonts w:ascii="Arial" w:hAnsi="Arial" w:cs="Arial"/>
        </w:rPr>
        <w:t>c</w:t>
      </w:r>
      <w:r w:rsidRPr="00847695">
        <w:rPr>
          <w:rFonts w:ascii="Arial" w:hAnsi="Arial" w:cs="Arial"/>
        </w:rPr>
        <w:t xml:space="preserve">ities rather than import generic processes associated with </w:t>
      </w:r>
      <w:r>
        <w:rPr>
          <w:rFonts w:ascii="Arial" w:hAnsi="Arial" w:cs="Arial"/>
        </w:rPr>
        <w:t>l</w:t>
      </w:r>
      <w:r w:rsidRPr="00847695">
        <w:rPr>
          <w:rFonts w:ascii="Arial" w:hAnsi="Arial" w:cs="Arial"/>
        </w:rPr>
        <w:t xml:space="preserve">arge </w:t>
      </w:r>
      <w:r>
        <w:rPr>
          <w:rFonts w:ascii="Arial" w:hAnsi="Arial" w:cs="Arial"/>
        </w:rPr>
        <w:t>c</w:t>
      </w:r>
      <w:r w:rsidRPr="00847695">
        <w:rPr>
          <w:rFonts w:ascii="Arial" w:hAnsi="Arial" w:cs="Arial"/>
        </w:rPr>
        <w:t xml:space="preserve">ities </w:t>
      </w:r>
      <w:r w:rsidRPr="00847695">
        <w:rPr>
          <w:rFonts w:ascii="Arial" w:hAnsi="Arial" w:cs="Arial"/>
        </w:rPr>
        <w:t>(Big</w:t>
      </w:r>
      <w:r w:rsidRPr="00847695">
        <w:rPr>
          <w:rFonts w:ascii="Arial" w:hAnsi="Arial" w:cs="Arial"/>
        </w:rPr>
        <w:t xml:space="preserve"> </w:t>
      </w:r>
      <w:r w:rsidRPr="00847695">
        <w:rPr>
          <w:rFonts w:ascii="Arial" w:hAnsi="Arial" w:cs="Arial"/>
        </w:rPr>
        <w:t>Cities)</w:t>
      </w:r>
      <w:r w:rsidRPr="00847695">
        <w:rPr>
          <w:rFonts w:ascii="Arial" w:hAnsi="Arial" w:cs="Arial"/>
        </w:rPr>
        <w:t xml:space="preserve">. Wrexham's </w:t>
      </w:r>
      <w:r>
        <w:rPr>
          <w:rFonts w:ascii="Arial" w:hAnsi="Arial" w:cs="Arial"/>
        </w:rPr>
        <w:t>r</w:t>
      </w:r>
      <w:r w:rsidRPr="00847695">
        <w:rPr>
          <w:rFonts w:ascii="Arial" w:hAnsi="Arial" w:cs="Arial"/>
        </w:rPr>
        <w:t xml:space="preserve">edevelopment </w:t>
      </w:r>
      <w:r>
        <w:rPr>
          <w:rFonts w:ascii="Arial" w:hAnsi="Arial" w:cs="Arial"/>
        </w:rPr>
        <w:t>o</w:t>
      </w:r>
      <w:r w:rsidRPr="00847695">
        <w:rPr>
          <w:rFonts w:ascii="Arial" w:hAnsi="Arial" w:cs="Arial"/>
        </w:rPr>
        <w:t xml:space="preserve">pportunities are certainly scaled from the small </w:t>
      </w:r>
      <w:r>
        <w:rPr>
          <w:rFonts w:ascii="Arial" w:hAnsi="Arial" w:cs="Arial"/>
        </w:rPr>
        <w:t>c</w:t>
      </w:r>
      <w:r w:rsidRPr="00847695">
        <w:rPr>
          <w:rFonts w:ascii="Arial" w:hAnsi="Arial" w:cs="Arial"/>
        </w:rPr>
        <w:t xml:space="preserve">ity of Cardiff Bay/Metropolitan Waterfront to </w:t>
      </w:r>
      <w:r>
        <w:rPr>
          <w:rFonts w:ascii="Arial" w:hAnsi="Arial" w:cs="Arial"/>
        </w:rPr>
        <w:t xml:space="preserve">a </w:t>
      </w:r>
      <w:r w:rsidRPr="00847695">
        <w:rPr>
          <w:rFonts w:ascii="Arial" w:hAnsi="Arial" w:cs="Arial"/>
        </w:rPr>
        <w:t xml:space="preserve">similarly sized </w:t>
      </w:r>
      <w:r>
        <w:rPr>
          <w:rFonts w:ascii="Arial" w:hAnsi="Arial" w:cs="Arial"/>
        </w:rPr>
        <w:t>c</w:t>
      </w:r>
      <w:r w:rsidRPr="00847695">
        <w:rPr>
          <w:rFonts w:ascii="Arial" w:hAnsi="Arial" w:cs="Arial"/>
        </w:rPr>
        <w:t xml:space="preserve">ity by the </w:t>
      </w:r>
      <w:r>
        <w:rPr>
          <w:rFonts w:ascii="Arial" w:hAnsi="Arial" w:cs="Arial"/>
        </w:rPr>
        <w:t>c</w:t>
      </w:r>
      <w:r w:rsidRPr="00847695">
        <w:rPr>
          <w:rFonts w:ascii="Arial" w:hAnsi="Arial" w:cs="Arial"/>
        </w:rPr>
        <w:t xml:space="preserve">apital of Wales. However, some of the issues Wrexham will face in its </w:t>
      </w:r>
      <w:r>
        <w:rPr>
          <w:rFonts w:ascii="Arial" w:hAnsi="Arial" w:cs="Arial"/>
        </w:rPr>
        <w:t>r</w:t>
      </w:r>
      <w:r w:rsidRPr="00847695">
        <w:rPr>
          <w:rFonts w:ascii="Arial" w:hAnsi="Arial" w:cs="Arial"/>
        </w:rPr>
        <w:t xml:space="preserve">edevelopment opportunities are </w:t>
      </w:r>
      <w:proofErr w:type="gramStart"/>
      <w:r w:rsidRPr="00847695">
        <w:rPr>
          <w:rFonts w:ascii="Arial" w:hAnsi="Arial" w:cs="Arial"/>
        </w:rPr>
        <w:t>to</w:t>
      </w:r>
      <w:r>
        <w:rPr>
          <w:rFonts w:ascii="Arial" w:hAnsi="Arial" w:cs="Arial"/>
        </w:rPr>
        <w:t>:</w:t>
      </w:r>
      <w:proofErr w:type="gramEnd"/>
      <w:r w:rsidRPr="00847695">
        <w:rPr>
          <w:rFonts w:ascii="Arial" w:hAnsi="Arial" w:cs="Arial"/>
        </w:rPr>
        <w:t xml:space="preserve"> create the </w:t>
      </w:r>
      <w:r w:rsidR="00DF6B44">
        <w:rPr>
          <w:rFonts w:ascii="Arial" w:hAnsi="Arial" w:cs="Arial"/>
        </w:rPr>
        <w:t>e</w:t>
      </w:r>
      <w:r w:rsidRPr="00847695">
        <w:rPr>
          <w:rFonts w:ascii="Arial" w:hAnsi="Arial" w:cs="Arial"/>
        </w:rPr>
        <w:t xml:space="preserve">conomic </w:t>
      </w:r>
      <w:r w:rsidR="00DF6B44">
        <w:rPr>
          <w:rFonts w:ascii="Arial" w:hAnsi="Arial" w:cs="Arial"/>
        </w:rPr>
        <w:t>v</w:t>
      </w:r>
      <w:r w:rsidRPr="00847695">
        <w:rPr>
          <w:rFonts w:ascii="Arial" w:hAnsi="Arial" w:cs="Arial"/>
        </w:rPr>
        <w:t xml:space="preserve">iability of a Compact City Centre; create an appropriate pattern of reuse for existing </w:t>
      </w:r>
      <w:r>
        <w:rPr>
          <w:rFonts w:ascii="Arial" w:hAnsi="Arial" w:cs="Arial"/>
        </w:rPr>
        <w:t>h</w:t>
      </w:r>
      <w:r w:rsidRPr="00847695">
        <w:rPr>
          <w:rFonts w:ascii="Arial" w:hAnsi="Arial" w:cs="Arial"/>
        </w:rPr>
        <w:t xml:space="preserve">istoric </w:t>
      </w:r>
      <w:r>
        <w:rPr>
          <w:rFonts w:ascii="Arial" w:hAnsi="Arial" w:cs="Arial"/>
        </w:rPr>
        <w:t>b</w:t>
      </w:r>
      <w:r w:rsidRPr="00847695">
        <w:rPr>
          <w:rFonts w:ascii="Arial" w:hAnsi="Arial" w:cs="Arial"/>
        </w:rPr>
        <w:t xml:space="preserve">uildings; </w:t>
      </w:r>
      <w:r>
        <w:rPr>
          <w:rFonts w:ascii="Arial" w:hAnsi="Arial" w:cs="Arial"/>
        </w:rPr>
        <w:t>c</w:t>
      </w:r>
      <w:r w:rsidRPr="00847695">
        <w:rPr>
          <w:rFonts w:ascii="Arial" w:hAnsi="Arial" w:cs="Arial"/>
        </w:rPr>
        <w:t xml:space="preserve">reate </w:t>
      </w:r>
      <w:r>
        <w:rPr>
          <w:rFonts w:ascii="Arial" w:hAnsi="Arial" w:cs="Arial"/>
        </w:rPr>
        <w:t>n</w:t>
      </w:r>
      <w:r w:rsidRPr="00847695">
        <w:rPr>
          <w:rFonts w:ascii="Arial" w:hAnsi="Arial" w:cs="Arial"/>
        </w:rPr>
        <w:t xml:space="preserve">ew </w:t>
      </w:r>
      <w:r>
        <w:rPr>
          <w:rFonts w:ascii="Arial" w:hAnsi="Arial" w:cs="Arial"/>
        </w:rPr>
        <w:t>f</w:t>
      </w:r>
      <w:r w:rsidRPr="00847695">
        <w:rPr>
          <w:rFonts w:ascii="Arial" w:hAnsi="Arial" w:cs="Arial"/>
        </w:rPr>
        <w:t xml:space="preserve">acilities; </w:t>
      </w:r>
      <w:r>
        <w:rPr>
          <w:rFonts w:ascii="Arial" w:hAnsi="Arial" w:cs="Arial"/>
        </w:rPr>
        <w:t>c</w:t>
      </w:r>
      <w:r w:rsidRPr="00847695">
        <w:rPr>
          <w:rFonts w:ascii="Arial" w:hAnsi="Arial" w:cs="Arial"/>
        </w:rPr>
        <w:t xml:space="preserve">reate </w:t>
      </w:r>
      <w:r>
        <w:rPr>
          <w:rFonts w:ascii="Arial" w:hAnsi="Arial" w:cs="Arial"/>
        </w:rPr>
        <w:t>p</w:t>
      </w:r>
      <w:r w:rsidRPr="00847695">
        <w:rPr>
          <w:rFonts w:ascii="Arial" w:hAnsi="Arial" w:cs="Arial"/>
        </w:rPr>
        <w:t xml:space="preserve">ublic </w:t>
      </w:r>
      <w:r>
        <w:rPr>
          <w:rFonts w:ascii="Arial" w:hAnsi="Arial" w:cs="Arial"/>
        </w:rPr>
        <w:t>s</w:t>
      </w:r>
      <w:r w:rsidRPr="00847695">
        <w:rPr>
          <w:rFonts w:ascii="Arial" w:hAnsi="Arial" w:cs="Arial"/>
        </w:rPr>
        <w:t xml:space="preserve">pace; and </w:t>
      </w:r>
      <w:r>
        <w:rPr>
          <w:rFonts w:ascii="Arial" w:hAnsi="Arial" w:cs="Arial"/>
        </w:rPr>
        <w:t>create</w:t>
      </w:r>
      <w:r w:rsidRPr="00847695">
        <w:rPr>
          <w:rFonts w:ascii="Arial" w:hAnsi="Arial" w:cs="Arial"/>
        </w:rPr>
        <w:t xml:space="preserve"> a </w:t>
      </w:r>
      <w:r>
        <w:rPr>
          <w:rFonts w:ascii="Arial" w:hAnsi="Arial" w:cs="Arial"/>
        </w:rPr>
        <w:t>s</w:t>
      </w:r>
      <w:r w:rsidRPr="00847695">
        <w:rPr>
          <w:rFonts w:ascii="Arial" w:hAnsi="Arial" w:cs="Arial"/>
        </w:rPr>
        <w:t xml:space="preserve">ocial </w:t>
      </w:r>
      <w:r>
        <w:rPr>
          <w:rFonts w:ascii="Arial" w:hAnsi="Arial" w:cs="Arial"/>
        </w:rPr>
        <w:t>r</w:t>
      </w:r>
      <w:r w:rsidRPr="00847695">
        <w:rPr>
          <w:rFonts w:ascii="Arial" w:hAnsi="Arial" w:cs="Arial"/>
        </w:rPr>
        <w:t xml:space="preserve">ole </w:t>
      </w:r>
      <w:r>
        <w:rPr>
          <w:rFonts w:ascii="Arial" w:hAnsi="Arial" w:cs="Arial"/>
        </w:rPr>
        <w:t>f</w:t>
      </w:r>
      <w:r w:rsidRPr="00847695">
        <w:rPr>
          <w:rFonts w:ascii="Arial" w:hAnsi="Arial" w:cs="Arial"/>
        </w:rPr>
        <w:t xml:space="preserve">or </w:t>
      </w:r>
      <w:r w:rsidR="00DF6B44">
        <w:rPr>
          <w:rFonts w:ascii="Arial" w:hAnsi="Arial" w:cs="Arial"/>
        </w:rPr>
        <w:lastRenderedPageBreak/>
        <w:t>markets</w:t>
      </w:r>
      <w:r w:rsidRPr="00847695">
        <w:rPr>
          <w:rFonts w:ascii="Arial" w:hAnsi="Arial" w:cs="Arial"/>
        </w:rPr>
        <w:t>/</w:t>
      </w:r>
      <w:r w:rsidR="00DF6B44">
        <w:rPr>
          <w:rFonts w:ascii="Arial" w:hAnsi="Arial" w:cs="Arial"/>
        </w:rPr>
        <w:t>c</w:t>
      </w:r>
      <w:r w:rsidRPr="00847695">
        <w:rPr>
          <w:rFonts w:ascii="Arial" w:hAnsi="Arial" w:cs="Arial"/>
        </w:rPr>
        <w:t>ulture/</w:t>
      </w:r>
      <w:r w:rsidR="00DF6B44">
        <w:rPr>
          <w:rFonts w:ascii="Arial" w:hAnsi="Arial" w:cs="Arial"/>
        </w:rPr>
        <w:t>local</w:t>
      </w:r>
      <w:r w:rsidRPr="00847695">
        <w:rPr>
          <w:rFonts w:ascii="Arial" w:hAnsi="Arial" w:cs="Arial"/>
        </w:rPr>
        <w:t xml:space="preserve"> </w:t>
      </w:r>
      <w:r w:rsidR="00DF6B44">
        <w:rPr>
          <w:rFonts w:ascii="Arial" w:hAnsi="Arial" w:cs="Arial"/>
        </w:rPr>
        <w:t>s</w:t>
      </w:r>
      <w:r w:rsidRPr="00847695">
        <w:rPr>
          <w:rFonts w:ascii="Arial" w:hAnsi="Arial" w:cs="Arial"/>
        </w:rPr>
        <w:t xml:space="preserve">ervices within the centre of </w:t>
      </w:r>
      <w:r w:rsidR="00DF6B44" w:rsidRPr="00847695">
        <w:rPr>
          <w:rFonts w:ascii="Arial" w:hAnsi="Arial" w:cs="Arial"/>
        </w:rPr>
        <w:t>Wrexham. According</w:t>
      </w:r>
      <w:r w:rsidRPr="00847695">
        <w:rPr>
          <w:rFonts w:ascii="Arial" w:hAnsi="Arial" w:cs="Arial"/>
        </w:rPr>
        <w:t xml:space="preserve"> to Viken (2016), place revitalisation in rural areas relies more on existing place identities than </w:t>
      </w:r>
      <w:r w:rsidR="00DF6B44">
        <w:rPr>
          <w:rFonts w:ascii="Arial" w:hAnsi="Arial" w:cs="Arial"/>
        </w:rPr>
        <w:t xml:space="preserve">on </w:t>
      </w:r>
      <w:r w:rsidRPr="00847695">
        <w:rPr>
          <w:rFonts w:ascii="Arial" w:hAnsi="Arial" w:cs="Arial"/>
        </w:rPr>
        <w:t>using abstract urban planning models to create new places. However, Wrexham's current stage can be thought of as reinventing its character rather than starting from scratch.</w:t>
      </w:r>
    </w:p>
    <w:p w14:paraId="5C5A3541" w14:textId="67B7293C" w:rsidR="00847695" w:rsidRPr="00847695" w:rsidRDefault="00847695" w:rsidP="00847695">
      <w:pPr>
        <w:spacing w:line="480" w:lineRule="auto"/>
        <w:rPr>
          <w:rFonts w:ascii="Arial" w:hAnsi="Arial" w:cs="Arial"/>
        </w:rPr>
      </w:pPr>
      <w:r w:rsidRPr="00847695">
        <w:rPr>
          <w:rFonts w:ascii="Arial" w:hAnsi="Arial" w:cs="Arial"/>
        </w:rPr>
        <w:t>In addition to the positive aspects of Wrexham's past, it also kept important components</w:t>
      </w:r>
      <w:r w:rsidR="00DF6B44">
        <w:rPr>
          <w:rFonts w:ascii="Arial" w:hAnsi="Arial" w:cs="Arial"/>
        </w:rPr>
        <w:t>,</w:t>
      </w:r>
      <w:r w:rsidRPr="00847695">
        <w:rPr>
          <w:rFonts w:ascii="Arial" w:hAnsi="Arial" w:cs="Arial"/>
        </w:rPr>
        <w:t xml:space="preserve"> including: a recognisable town centre, market tradition, location for transport interchange, robust cultural activity, and strong civic identity. T</w:t>
      </w:r>
      <w:r w:rsidR="00DF6B44">
        <w:rPr>
          <w:rFonts w:ascii="Arial" w:hAnsi="Arial" w:cs="Arial"/>
        </w:rPr>
        <w:t>y</w:t>
      </w:r>
      <w:r w:rsidRPr="00847695">
        <w:rPr>
          <w:rFonts w:ascii="Arial" w:hAnsi="Arial" w:cs="Arial"/>
        </w:rPr>
        <w:t xml:space="preserve"> </w:t>
      </w:r>
      <w:proofErr w:type="spellStart"/>
      <w:r w:rsidRPr="00847695">
        <w:rPr>
          <w:rFonts w:ascii="Arial" w:hAnsi="Arial" w:cs="Arial"/>
        </w:rPr>
        <w:t>Pawb</w:t>
      </w:r>
      <w:proofErr w:type="spellEnd"/>
      <w:r w:rsidRPr="00847695">
        <w:rPr>
          <w:rFonts w:ascii="Arial" w:hAnsi="Arial" w:cs="Arial"/>
        </w:rPr>
        <w:t xml:space="preserve"> may be the best example of how to reinvent an existing building rather than demolishing it. The ability to become a centre for creating value through hybridised activities that include market, community, and art functions provides evidence that regeneration can </w:t>
      </w:r>
      <w:r w:rsidR="00DF6B44">
        <w:rPr>
          <w:rFonts w:ascii="Arial" w:hAnsi="Arial" w:cs="Arial"/>
        </w:rPr>
        <w:t>utilise</w:t>
      </w:r>
      <w:r w:rsidRPr="00847695">
        <w:rPr>
          <w:rFonts w:ascii="Arial" w:hAnsi="Arial" w:cs="Arial"/>
        </w:rPr>
        <w:t xml:space="preserve"> value through the combination of these uses. Conversely, the town centre still reflects the effects of structural change, </w:t>
      </w:r>
      <w:r w:rsidR="00C90A47">
        <w:rPr>
          <w:rFonts w:ascii="Arial" w:hAnsi="Arial" w:cs="Arial"/>
        </w:rPr>
        <w:t>as evidenced by vacant upper floors, underinvested public realm areas, and weak connections between economic growth in other parts</w:t>
      </w:r>
      <w:r w:rsidRPr="00847695">
        <w:rPr>
          <w:rFonts w:ascii="Arial" w:hAnsi="Arial" w:cs="Arial"/>
        </w:rPr>
        <w:t xml:space="preserve"> of the local economy and expenditure in the centre. Developing Wrexham's city centre through regeneration will require capturing more of the value produced from Wrexham's increased visibility and business base.</w:t>
      </w:r>
    </w:p>
    <w:p w14:paraId="598F61B6" w14:textId="77777777" w:rsidR="00C90A47" w:rsidRDefault="00847695" w:rsidP="00847695">
      <w:pPr>
        <w:spacing w:line="480" w:lineRule="auto"/>
        <w:rPr>
          <w:rFonts w:ascii="Arial" w:hAnsi="Arial" w:cs="Arial"/>
        </w:rPr>
      </w:pPr>
      <w:r w:rsidRPr="00847695">
        <w:rPr>
          <w:rFonts w:ascii="Arial" w:hAnsi="Arial" w:cs="Arial"/>
        </w:rPr>
        <w:t xml:space="preserve">Wrexham's key assets </w:t>
      </w:r>
      <w:r w:rsidR="00DF6B44" w:rsidRPr="00847695">
        <w:rPr>
          <w:rFonts w:ascii="Arial" w:hAnsi="Arial" w:cs="Arial"/>
        </w:rPr>
        <w:t>include</w:t>
      </w:r>
      <w:r w:rsidRPr="00847695">
        <w:rPr>
          <w:rFonts w:ascii="Arial" w:hAnsi="Arial" w:cs="Arial"/>
        </w:rPr>
        <w:t xml:space="preserve"> </w:t>
      </w:r>
      <w:r w:rsidR="00DF6B44">
        <w:rPr>
          <w:rFonts w:ascii="Arial" w:hAnsi="Arial" w:cs="Arial"/>
        </w:rPr>
        <w:t xml:space="preserve">a </w:t>
      </w:r>
      <w:r w:rsidRPr="00847695">
        <w:rPr>
          <w:rFonts w:ascii="Arial" w:hAnsi="Arial" w:cs="Arial"/>
        </w:rPr>
        <w:t>compact town centre</w:t>
      </w:r>
      <w:r w:rsidR="00DF6B44">
        <w:rPr>
          <w:rFonts w:ascii="Arial" w:hAnsi="Arial" w:cs="Arial"/>
        </w:rPr>
        <w:t>,</w:t>
      </w:r>
      <w:r w:rsidRPr="00847695">
        <w:rPr>
          <w:rFonts w:ascii="Arial" w:hAnsi="Arial" w:cs="Arial"/>
        </w:rPr>
        <w:t xml:space="preserve"> strong railway connections</w:t>
      </w:r>
      <w:r w:rsidR="00DF6B44">
        <w:rPr>
          <w:rFonts w:ascii="Arial" w:hAnsi="Arial" w:cs="Arial"/>
        </w:rPr>
        <w:t>,</w:t>
      </w:r>
      <w:r w:rsidRPr="00847695">
        <w:rPr>
          <w:rFonts w:ascii="Arial" w:hAnsi="Arial" w:cs="Arial"/>
        </w:rPr>
        <w:t xml:space="preserve"> </w:t>
      </w:r>
      <w:r w:rsidR="00DF6B44">
        <w:rPr>
          <w:rFonts w:ascii="Arial" w:hAnsi="Arial" w:cs="Arial"/>
        </w:rPr>
        <w:t xml:space="preserve">a </w:t>
      </w:r>
      <w:r w:rsidRPr="00847695">
        <w:rPr>
          <w:rFonts w:ascii="Arial" w:hAnsi="Arial" w:cs="Arial"/>
        </w:rPr>
        <w:t>history of architectural development</w:t>
      </w:r>
      <w:r w:rsidR="00DF6B44">
        <w:rPr>
          <w:rFonts w:ascii="Arial" w:hAnsi="Arial" w:cs="Arial"/>
        </w:rPr>
        <w:t>,</w:t>
      </w:r>
      <w:r w:rsidRPr="00847695">
        <w:rPr>
          <w:rFonts w:ascii="Arial" w:hAnsi="Arial" w:cs="Arial"/>
        </w:rPr>
        <w:t xml:space="preserve"> </w:t>
      </w:r>
      <w:r w:rsidR="00DF6B44">
        <w:rPr>
          <w:rFonts w:ascii="Arial" w:hAnsi="Arial" w:cs="Arial"/>
        </w:rPr>
        <w:t xml:space="preserve">a </w:t>
      </w:r>
      <w:r w:rsidRPr="00847695">
        <w:rPr>
          <w:rFonts w:ascii="Arial" w:hAnsi="Arial" w:cs="Arial"/>
        </w:rPr>
        <w:t>history of markets</w:t>
      </w:r>
      <w:r w:rsidR="00DF6B44">
        <w:rPr>
          <w:rFonts w:ascii="Arial" w:hAnsi="Arial" w:cs="Arial"/>
        </w:rPr>
        <w:t>,</w:t>
      </w:r>
      <w:r w:rsidRPr="00847695">
        <w:rPr>
          <w:rFonts w:ascii="Arial" w:hAnsi="Arial" w:cs="Arial"/>
        </w:rPr>
        <w:t xml:space="preserve"> civic buildings</w:t>
      </w:r>
      <w:r w:rsidR="00DF6B44">
        <w:rPr>
          <w:rFonts w:ascii="Arial" w:hAnsi="Arial" w:cs="Arial"/>
        </w:rPr>
        <w:t>,</w:t>
      </w:r>
      <w:r w:rsidRPr="00847695">
        <w:rPr>
          <w:rFonts w:ascii="Arial" w:hAnsi="Arial" w:cs="Arial"/>
        </w:rPr>
        <w:t xml:space="preserve"> </w:t>
      </w:r>
      <w:r w:rsidR="00DF6B44">
        <w:rPr>
          <w:rFonts w:ascii="Arial" w:hAnsi="Arial" w:cs="Arial"/>
        </w:rPr>
        <w:t xml:space="preserve">a </w:t>
      </w:r>
      <w:r w:rsidRPr="00847695">
        <w:rPr>
          <w:rFonts w:ascii="Arial" w:hAnsi="Arial" w:cs="Arial"/>
        </w:rPr>
        <w:t>university</w:t>
      </w:r>
      <w:r w:rsidR="00DF6B44">
        <w:rPr>
          <w:rFonts w:ascii="Arial" w:hAnsi="Arial" w:cs="Arial"/>
        </w:rPr>
        <w:t>,</w:t>
      </w:r>
      <w:r w:rsidRPr="00847695">
        <w:rPr>
          <w:rFonts w:ascii="Arial" w:hAnsi="Arial" w:cs="Arial"/>
        </w:rPr>
        <w:t xml:space="preserve"> and </w:t>
      </w:r>
      <w:r w:rsidR="00DF6B44">
        <w:rPr>
          <w:rFonts w:ascii="Arial" w:hAnsi="Arial" w:cs="Arial"/>
        </w:rPr>
        <w:t xml:space="preserve">an </w:t>
      </w:r>
      <w:r w:rsidRPr="00847695">
        <w:rPr>
          <w:rFonts w:ascii="Arial" w:hAnsi="Arial" w:cs="Arial"/>
        </w:rPr>
        <w:t xml:space="preserve">increasing ability to attract people from outside Wrexham. Wrexham's town centre masterplan defines how to develop a desirable place where people want to live, create, work, visit, and invest, while also identifying opportunity areas for future development (e.g., Bridge Street, </w:t>
      </w:r>
      <w:proofErr w:type="spellStart"/>
      <w:r w:rsidRPr="00847695">
        <w:rPr>
          <w:rFonts w:ascii="Arial" w:hAnsi="Arial" w:cs="Arial"/>
        </w:rPr>
        <w:t>Bodhyfryd</w:t>
      </w:r>
      <w:proofErr w:type="spellEnd"/>
      <w:r w:rsidRPr="00847695">
        <w:rPr>
          <w:rFonts w:ascii="Arial" w:hAnsi="Arial" w:cs="Arial"/>
        </w:rPr>
        <w:t xml:space="preserve">, Queens Square, Henblas Street, and The Bradley Road Fire Station). The masterplan suggests that the town centre will not just be perceived as a retail shop, but rather as a diverse </w:t>
      </w:r>
      <w:r w:rsidRPr="00847695">
        <w:rPr>
          <w:rFonts w:ascii="Arial" w:hAnsi="Arial" w:cs="Arial"/>
        </w:rPr>
        <w:lastRenderedPageBreak/>
        <w:t xml:space="preserve">multi-functional </w:t>
      </w:r>
      <w:r w:rsidR="00C90A47" w:rsidRPr="00847695">
        <w:rPr>
          <w:rFonts w:ascii="Arial" w:hAnsi="Arial" w:cs="Arial"/>
        </w:rPr>
        <w:t>neighbourhood. The</w:t>
      </w:r>
      <w:r w:rsidRPr="00847695">
        <w:rPr>
          <w:rFonts w:ascii="Arial" w:hAnsi="Arial" w:cs="Arial"/>
        </w:rPr>
        <w:t xml:space="preserve"> centre also includes cultural and social infrastructure that </w:t>
      </w:r>
      <w:proofErr w:type="gramStart"/>
      <w:r w:rsidRPr="00847695">
        <w:rPr>
          <w:rFonts w:ascii="Arial" w:hAnsi="Arial" w:cs="Arial"/>
        </w:rPr>
        <w:t>is considered to be</w:t>
      </w:r>
      <w:proofErr w:type="gramEnd"/>
      <w:r w:rsidRPr="00847695">
        <w:rPr>
          <w:rFonts w:ascii="Arial" w:hAnsi="Arial" w:cs="Arial"/>
        </w:rPr>
        <w:t xml:space="preserve"> essential as well. According to Lewis, Fakan, and Miskin (2022), the impact of social infrastructure on successful urban regeneration is significant, especially in relation to helping older people remain at home and providing social inclusion each day. This is important for Wrexham because </w:t>
      </w:r>
      <w:r w:rsidR="00C90A47" w:rsidRPr="00847695">
        <w:rPr>
          <w:rFonts w:ascii="Arial" w:hAnsi="Arial" w:cs="Arial"/>
        </w:rPr>
        <w:t>for</w:t>
      </w:r>
      <w:r w:rsidRPr="00847695">
        <w:rPr>
          <w:rFonts w:ascii="Arial" w:hAnsi="Arial" w:cs="Arial"/>
        </w:rPr>
        <w:t xml:space="preserve"> the core of the town to be successful, it will need to serve the people who live there as well as the people who visit. `Ty Pawb', indoor markets, independent stores, and civic places all aid in fulfilling this social purpose. Furthermore, Roberts (2024) has stated that there will be a growing need for medium-sized municipalities to rely on strategies to support more activity in both the evening and night-time hours, which means that mixed activity will be needed throughout the entire 24-hour day instead of just for shopping purposes.</w:t>
      </w:r>
    </w:p>
    <w:p w14:paraId="3D6B59C0" w14:textId="77777777" w:rsidR="00C90A47" w:rsidRDefault="00847695" w:rsidP="00847695">
      <w:pPr>
        <w:spacing w:line="480" w:lineRule="auto"/>
        <w:rPr>
          <w:rFonts w:ascii="Arial" w:hAnsi="Arial" w:cs="Arial"/>
        </w:rPr>
      </w:pPr>
      <w:r w:rsidRPr="00847695">
        <w:rPr>
          <w:rFonts w:ascii="Arial" w:hAnsi="Arial" w:cs="Arial"/>
        </w:rPr>
        <w:t xml:space="preserve">Wrexham has a diverse economic base. Employment opportunities and business enterprises throughout the larger Wrexham metropolitan region increase the financial viability of businesses located in Wrexham County. However, Wrexham's core does not always capture this economic benefit. Armstrong and </w:t>
      </w:r>
      <w:proofErr w:type="spellStart"/>
      <w:r w:rsidRPr="00847695">
        <w:rPr>
          <w:rFonts w:ascii="Arial" w:hAnsi="Arial" w:cs="Arial"/>
        </w:rPr>
        <w:t>Wiejak</w:t>
      </w:r>
      <w:proofErr w:type="spellEnd"/>
      <w:r w:rsidRPr="00847695">
        <w:rPr>
          <w:rFonts w:ascii="Arial" w:hAnsi="Arial" w:cs="Arial"/>
        </w:rPr>
        <w:t xml:space="preserve">-Roy (2024) state that the role of local property owners will have a significant effect on the formation of the local </w:t>
      </w:r>
      <w:r w:rsidR="00C90A47" w:rsidRPr="00847695">
        <w:rPr>
          <w:rFonts w:ascii="Arial" w:hAnsi="Arial" w:cs="Arial"/>
        </w:rPr>
        <w:t>small-town</w:t>
      </w:r>
      <w:r w:rsidRPr="00847695">
        <w:rPr>
          <w:rFonts w:ascii="Arial" w:hAnsi="Arial" w:cs="Arial"/>
        </w:rPr>
        <w:t xml:space="preserve"> core, which is particularly helpful </w:t>
      </w:r>
      <w:r w:rsidR="00C90A47" w:rsidRPr="00847695">
        <w:rPr>
          <w:rFonts w:ascii="Arial" w:hAnsi="Arial" w:cs="Arial"/>
        </w:rPr>
        <w:t>since</w:t>
      </w:r>
      <w:r w:rsidRPr="00847695">
        <w:rPr>
          <w:rFonts w:ascii="Arial" w:hAnsi="Arial" w:cs="Arial"/>
        </w:rPr>
        <w:t xml:space="preserve"> fragmented properties and a lack of reinvestment will slow redevelopment. Earley (2025) argues that having a community-based approach to revitalising a neighbourhood without having to worry about gentrification is more likely where there are strong community-based organisations and ownership of local resources. This means that in the case of Wrexham's revitalisation, the funding of redevelopment should not be based on the ability to secure large outside investors. In addition, funding for the redevelopment of Wrexham should also provide an opportunity for residents to own and operate their </w:t>
      </w:r>
      <w:r w:rsidRPr="00847695">
        <w:rPr>
          <w:rFonts w:ascii="Arial" w:hAnsi="Arial" w:cs="Arial"/>
        </w:rPr>
        <w:lastRenderedPageBreak/>
        <w:t>own businesses; local businesses should also have access to the use of local assets.</w:t>
      </w:r>
    </w:p>
    <w:p w14:paraId="7F3A3EF1" w14:textId="77777777" w:rsidR="00C90A47" w:rsidRDefault="00847695" w:rsidP="00847695">
      <w:pPr>
        <w:spacing w:line="480" w:lineRule="auto"/>
        <w:rPr>
          <w:rFonts w:ascii="Arial" w:hAnsi="Arial" w:cs="Arial"/>
        </w:rPr>
      </w:pPr>
      <w:r w:rsidRPr="00847695">
        <w:rPr>
          <w:rFonts w:ascii="Arial" w:hAnsi="Arial" w:cs="Arial"/>
        </w:rPr>
        <w:t>Wrexham County Borough Council is the lead public developer behind projects such as the masterplan, environmental improvements, heritage and building reuse programs, and various grants/loans.</w:t>
      </w:r>
      <w:r w:rsidR="00C90A47">
        <w:rPr>
          <w:rFonts w:ascii="Arial" w:hAnsi="Arial" w:cs="Arial"/>
        </w:rPr>
        <w:t xml:space="preserve"> </w:t>
      </w:r>
      <w:r w:rsidRPr="00847695">
        <w:rPr>
          <w:rFonts w:ascii="Arial" w:hAnsi="Arial" w:cs="Arial"/>
        </w:rPr>
        <w:t xml:space="preserve">The Council's recent work on vacant properties, public realm enhancement and shopfront improvements indicates an enthusiastic and interventionist approach rather than resting on the market. The Welsh Government also plays a role in this regard through </w:t>
      </w:r>
      <w:r w:rsidR="00C90A47">
        <w:rPr>
          <w:rFonts w:ascii="Arial" w:hAnsi="Arial" w:cs="Arial"/>
        </w:rPr>
        <w:t>t</w:t>
      </w:r>
      <w:r w:rsidRPr="00847695">
        <w:rPr>
          <w:rFonts w:ascii="Arial" w:hAnsi="Arial" w:cs="Arial"/>
        </w:rPr>
        <w:t xml:space="preserve">ransforming </w:t>
      </w:r>
      <w:r w:rsidR="00C90A47">
        <w:rPr>
          <w:rFonts w:ascii="Arial" w:hAnsi="Arial" w:cs="Arial"/>
        </w:rPr>
        <w:t>t</w:t>
      </w:r>
      <w:r w:rsidRPr="00847695">
        <w:rPr>
          <w:rFonts w:ascii="Arial" w:hAnsi="Arial" w:cs="Arial"/>
        </w:rPr>
        <w:t>owns and other funding sources. Transport bodies affect access and first impressions, particularly at the station and gateway. Design decisions, the nature of lease arrangements, and decisions regarding the public realm directly impact local commercial activity from businesses, landlords, cultural entities and market traders.</w:t>
      </w:r>
    </w:p>
    <w:p w14:paraId="1D8687EE" w14:textId="77777777" w:rsidR="00C90A47" w:rsidRDefault="00847695" w:rsidP="00847695">
      <w:pPr>
        <w:spacing w:line="480" w:lineRule="auto"/>
        <w:rPr>
          <w:rFonts w:ascii="Arial" w:hAnsi="Arial" w:cs="Arial"/>
        </w:rPr>
      </w:pPr>
      <w:r w:rsidRPr="00847695">
        <w:rPr>
          <w:rFonts w:ascii="Arial" w:hAnsi="Arial" w:cs="Arial"/>
        </w:rPr>
        <w:t xml:space="preserve">Community organisations and users of social infrastructure are also important stakeholders in this regard. Park, Kang and Shin (2025) have suggested that community involvement in urban regeneration is frequently represented in rhetoric but only sometimes realised substantively. The importance of </w:t>
      </w:r>
      <w:r w:rsidR="00C90A47">
        <w:rPr>
          <w:rFonts w:ascii="Arial" w:hAnsi="Arial" w:cs="Arial"/>
        </w:rPr>
        <w:t>p</w:t>
      </w:r>
      <w:r w:rsidRPr="00847695">
        <w:rPr>
          <w:rFonts w:ascii="Arial" w:hAnsi="Arial" w:cs="Arial"/>
        </w:rPr>
        <w:t>articipation in Wrexham is particularly acute due to the reliance of the viability of the town centre on regular, day-to-day usage by residents rather than sporadic day-trippers. Heritage stakeholders also play a critical role because many of the significant buildings in Wrexham have a degree of conservation value and can form an identity if reused appropriately. Watson and Fredheim (2022) have noted that development-led heritage projects can create social value by allowing the public to understand the heritage and not simply being seen as a technical constraint. This principle is especially important in Wrexham's vacant and underused heritage buildings.</w:t>
      </w:r>
    </w:p>
    <w:p w14:paraId="30E400C8" w14:textId="77777777" w:rsidR="00C90A47" w:rsidRDefault="00847695" w:rsidP="00847695">
      <w:pPr>
        <w:spacing w:line="480" w:lineRule="auto"/>
        <w:rPr>
          <w:rFonts w:ascii="Arial" w:hAnsi="Arial" w:cs="Arial"/>
        </w:rPr>
      </w:pPr>
      <w:r w:rsidRPr="00847695">
        <w:rPr>
          <w:rFonts w:ascii="Arial" w:hAnsi="Arial" w:cs="Arial"/>
        </w:rPr>
        <w:lastRenderedPageBreak/>
        <w:t xml:space="preserve">A further key stakeholder group includes anchor institutions, including the university, transportation companies and the significant employers in the broader Wrexham economy. The question is how to better link these institutions to </w:t>
      </w:r>
      <w:r w:rsidR="00C90A47">
        <w:rPr>
          <w:rFonts w:ascii="Arial" w:hAnsi="Arial" w:cs="Arial"/>
        </w:rPr>
        <w:t xml:space="preserve">the </w:t>
      </w:r>
      <w:r w:rsidRPr="00847695">
        <w:rPr>
          <w:rFonts w:ascii="Arial" w:hAnsi="Arial" w:cs="Arial"/>
        </w:rPr>
        <w:t>centre-city existence. Regeneration benefit from these institutions will be negligible if students, workers and visitors pass through but do not stay. If the centre becomes a destination for educational, cultural, business and everyday service functions, it will serve a much stronger purpose in the urban core.</w:t>
      </w:r>
      <w:r w:rsidR="00C90A47">
        <w:rPr>
          <w:rFonts w:ascii="Arial" w:hAnsi="Arial" w:cs="Arial"/>
        </w:rPr>
        <w:t xml:space="preserve"> </w:t>
      </w:r>
    </w:p>
    <w:p w14:paraId="4BBBBC3A" w14:textId="0609613C" w:rsidR="00847695" w:rsidRPr="00C90A47" w:rsidRDefault="00847695" w:rsidP="00847695">
      <w:pPr>
        <w:spacing w:line="480" w:lineRule="auto"/>
        <w:rPr>
          <w:rFonts w:ascii="Arial" w:hAnsi="Arial" w:cs="Arial"/>
          <w:b/>
          <w:bCs/>
          <w:color w:val="156082" w:themeColor="accent1"/>
        </w:rPr>
      </w:pPr>
      <w:r w:rsidRPr="00C90A47">
        <w:rPr>
          <w:rFonts w:ascii="Arial" w:hAnsi="Arial" w:cs="Arial"/>
          <w:b/>
          <w:bCs/>
          <w:color w:val="156082" w:themeColor="accent1"/>
        </w:rPr>
        <w:t>Current development strategies and their implications</w:t>
      </w:r>
    </w:p>
    <w:p w14:paraId="37F2D9CE" w14:textId="77777777" w:rsidR="00C90A47" w:rsidRDefault="00847695" w:rsidP="00847695">
      <w:pPr>
        <w:spacing w:line="480" w:lineRule="auto"/>
        <w:rPr>
          <w:rFonts w:ascii="Arial" w:hAnsi="Arial" w:cs="Arial"/>
        </w:rPr>
      </w:pPr>
      <w:r w:rsidRPr="00847695">
        <w:rPr>
          <w:rFonts w:ascii="Arial" w:hAnsi="Arial" w:cs="Arial"/>
        </w:rPr>
        <w:t>A current strategic asset for Wrexham is the adopted town centre masterplan. It provides a level of evidence for the regeneration of Wrexham and as part of the process to make decisions about the future of the town centre and its surrounding areas. Other council documents have identified the need for a smaller, more focused centre with a greater mix of retail, residential and entertainment activities. More recent grant and loan initiatives have been put in place</w:t>
      </w:r>
      <w:r w:rsidR="00C90A47">
        <w:rPr>
          <w:rFonts w:ascii="Arial" w:hAnsi="Arial" w:cs="Arial"/>
        </w:rPr>
        <w:t>,</w:t>
      </w:r>
      <w:r w:rsidRPr="00847695">
        <w:rPr>
          <w:rFonts w:ascii="Arial" w:hAnsi="Arial" w:cs="Arial"/>
        </w:rPr>
        <w:t xml:space="preserve"> which aim at bringing back into use vacant properties, improving existing shop frontages, and facilitating the reuse of commercial buildings. Similarly, environmental improvement (visible streetscape improvements) works </w:t>
      </w:r>
      <w:r w:rsidR="00C90A47" w:rsidRPr="00847695">
        <w:rPr>
          <w:rFonts w:ascii="Arial" w:hAnsi="Arial" w:cs="Arial"/>
        </w:rPr>
        <w:t>can improve</w:t>
      </w:r>
      <w:r w:rsidRPr="00847695">
        <w:rPr>
          <w:rFonts w:ascii="Arial" w:hAnsi="Arial" w:cs="Arial"/>
        </w:rPr>
        <w:t xml:space="preserve"> the quality of streets and the routes leading to Wrexham. </w:t>
      </w:r>
      <w:r w:rsidR="00C90A47" w:rsidRPr="00847695">
        <w:rPr>
          <w:rFonts w:ascii="Arial" w:hAnsi="Arial" w:cs="Arial"/>
        </w:rPr>
        <w:t>All</w:t>
      </w:r>
      <w:r w:rsidRPr="00847695">
        <w:rPr>
          <w:rFonts w:ascii="Arial" w:hAnsi="Arial" w:cs="Arial"/>
        </w:rPr>
        <w:t xml:space="preserve"> these measures are an indicator of a regeneration strategy focused more on the use of existing building stock through adaptation than the complete redevelopment of the town centre.</w:t>
      </w:r>
    </w:p>
    <w:p w14:paraId="480EC26E" w14:textId="4F9ADB6E" w:rsidR="00847695" w:rsidRPr="00847695" w:rsidRDefault="00847695" w:rsidP="00847695">
      <w:pPr>
        <w:spacing w:line="480" w:lineRule="auto"/>
        <w:rPr>
          <w:rFonts w:ascii="Arial" w:hAnsi="Arial" w:cs="Arial"/>
        </w:rPr>
      </w:pPr>
      <w:r w:rsidRPr="00847695">
        <w:rPr>
          <w:rFonts w:ascii="Arial" w:hAnsi="Arial" w:cs="Arial"/>
        </w:rPr>
        <w:t xml:space="preserve">There is considerable support for this overall strategic direction from the literature. Powe et al. (2015) outline that regeneration in this type of town centre should be tailored, </w:t>
      </w:r>
      <w:r w:rsidR="00C90A47">
        <w:rPr>
          <w:rFonts w:ascii="Arial" w:hAnsi="Arial" w:cs="Arial"/>
        </w:rPr>
        <w:t>process-oriented</w:t>
      </w:r>
      <w:r w:rsidRPr="00847695">
        <w:rPr>
          <w:rFonts w:ascii="Arial" w:hAnsi="Arial" w:cs="Arial"/>
        </w:rPr>
        <w:t xml:space="preserve"> and </w:t>
      </w:r>
      <w:r w:rsidR="00C90A47">
        <w:rPr>
          <w:rFonts w:ascii="Arial" w:hAnsi="Arial" w:cs="Arial"/>
        </w:rPr>
        <w:t>partnership-based</w:t>
      </w:r>
      <w:r w:rsidRPr="00847695">
        <w:rPr>
          <w:rFonts w:ascii="Arial" w:hAnsi="Arial" w:cs="Arial"/>
        </w:rPr>
        <w:t xml:space="preserve">. Fiorentino (2023) continues with this by suggesting that regeneration includes intangible factors such as the </w:t>
      </w:r>
      <w:r w:rsidRPr="00847695">
        <w:rPr>
          <w:rFonts w:ascii="Arial" w:hAnsi="Arial" w:cs="Arial"/>
        </w:rPr>
        <w:lastRenderedPageBreak/>
        <w:t>perception of the area, confidence by users, and the quality of public sector provision of workspace. The work of Ge, Hou and Xiao (2023) shows that the pedestrianisation of city centres and the spatial arrangement of a city centre have a significant impact on the city centre's vitality. This supports the argument for Wrexham to continue to focus on providing a strong public realm, ensuring walkability, and having a mix of uses within the town centre; however, physical types of development need to be complemented by programming, local business support and long-term property strategies.</w:t>
      </w:r>
    </w:p>
    <w:p w14:paraId="051F6A36" w14:textId="77777777" w:rsidR="00847695" w:rsidRPr="00C90A47" w:rsidRDefault="00847695" w:rsidP="00847695">
      <w:pPr>
        <w:spacing w:line="480" w:lineRule="auto"/>
        <w:rPr>
          <w:rFonts w:ascii="Arial" w:hAnsi="Arial" w:cs="Arial"/>
          <w:b/>
          <w:bCs/>
          <w:color w:val="156082" w:themeColor="accent1"/>
        </w:rPr>
      </w:pPr>
      <w:r w:rsidRPr="00C90A47">
        <w:rPr>
          <w:rFonts w:ascii="Arial" w:hAnsi="Arial" w:cs="Arial"/>
          <w:b/>
          <w:bCs/>
          <w:color w:val="156082" w:themeColor="accent1"/>
        </w:rPr>
        <w:t>Future opportunities for regeneration</w:t>
      </w:r>
    </w:p>
    <w:p w14:paraId="2AC6A2DE" w14:textId="77777777" w:rsidR="00C90A47" w:rsidRDefault="00847695" w:rsidP="00847695">
      <w:pPr>
        <w:spacing w:line="480" w:lineRule="auto"/>
        <w:rPr>
          <w:rFonts w:ascii="Arial" w:hAnsi="Arial" w:cs="Arial"/>
        </w:rPr>
      </w:pPr>
      <w:r w:rsidRPr="00847695">
        <w:rPr>
          <w:rFonts w:ascii="Arial" w:hAnsi="Arial" w:cs="Arial"/>
        </w:rPr>
        <w:t xml:space="preserve">The first opportunity to significantly enhance regeneration in Wrexham is the implementation of a connection and arrival strategy that links Wrexham General Railway Station, the Mold Road corridor and the Town </w:t>
      </w:r>
      <w:r w:rsidR="00C90A47" w:rsidRPr="00847695">
        <w:rPr>
          <w:rFonts w:ascii="Arial" w:hAnsi="Arial" w:cs="Arial"/>
        </w:rPr>
        <w:t>Centre. A</w:t>
      </w:r>
      <w:r w:rsidRPr="00847695">
        <w:rPr>
          <w:rFonts w:ascii="Arial" w:hAnsi="Arial" w:cs="Arial"/>
        </w:rPr>
        <w:t xml:space="preserve"> narrative already exists regarding transport and gateway experience</w:t>
      </w:r>
      <w:r w:rsidR="00C90A47">
        <w:rPr>
          <w:rFonts w:ascii="Arial" w:hAnsi="Arial" w:cs="Arial"/>
        </w:rPr>
        <w:t>;</w:t>
      </w:r>
      <w:r w:rsidRPr="00847695">
        <w:rPr>
          <w:rFonts w:ascii="Arial" w:hAnsi="Arial" w:cs="Arial"/>
        </w:rPr>
        <w:t xml:space="preserve"> however, it needs to be enhanced to ensure that increased visitation results in many more local purchases and </w:t>
      </w:r>
      <w:r w:rsidR="00C90A47">
        <w:rPr>
          <w:rFonts w:ascii="Arial" w:hAnsi="Arial" w:cs="Arial"/>
        </w:rPr>
        <w:t xml:space="preserve">a </w:t>
      </w:r>
      <w:r w:rsidRPr="00847695">
        <w:rPr>
          <w:rFonts w:ascii="Arial" w:hAnsi="Arial" w:cs="Arial"/>
        </w:rPr>
        <w:t>sense of belonging within the local community. Creating a clear wayfinding route throughout Wrexham with quality public realm space</w:t>
      </w:r>
      <w:r w:rsidR="00C90A47">
        <w:rPr>
          <w:rFonts w:ascii="Arial" w:hAnsi="Arial" w:cs="Arial"/>
        </w:rPr>
        <w:t>,</w:t>
      </w:r>
      <w:r w:rsidRPr="00847695">
        <w:rPr>
          <w:rFonts w:ascii="Arial" w:hAnsi="Arial" w:cs="Arial"/>
        </w:rPr>
        <w:t xml:space="preserve"> utilising spaces at different times of the day</w:t>
      </w:r>
      <w:r w:rsidR="00C90A47">
        <w:rPr>
          <w:rFonts w:ascii="Arial" w:hAnsi="Arial" w:cs="Arial"/>
        </w:rPr>
        <w:t>,</w:t>
      </w:r>
      <w:r w:rsidRPr="00847695">
        <w:rPr>
          <w:rFonts w:ascii="Arial" w:hAnsi="Arial" w:cs="Arial"/>
        </w:rPr>
        <w:t xml:space="preserve"> providing cultural and interpretive signage</w:t>
      </w:r>
      <w:r w:rsidR="00C90A47">
        <w:rPr>
          <w:rFonts w:ascii="Arial" w:hAnsi="Arial" w:cs="Arial"/>
        </w:rPr>
        <w:t>,</w:t>
      </w:r>
      <w:r w:rsidRPr="00847695">
        <w:rPr>
          <w:rFonts w:ascii="Arial" w:hAnsi="Arial" w:cs="Arial"/>
        </w:rPr>
        <w:t xml:space="preserve"> and having active frontages at ground level would help Wrexham’s city centre connect directly to </w:t>
      </w:r>
      <w:r w:rsidR="00C90A47">
        <w:rPr>
          <w:rFonts w:ascii="Arial" w:hAnsi="Arial" w:cs="Arial"/>
        </w:rPr>
        <w:t>high-volume</w:t>
      </w:r>
      <w:r w:rsidRPr="00847695">
        <w:rPr>
          <w:rFonts w:ascii="Arial" w:hAnsi="Arial" w:cs="Arial"/>
        </w:rPr>
        <w:t xml:space="preserve"> visitor movement flows rather than appearing disconnected. By strengthening Wrexham’s connection to the broader national narrative, this framework will also enable Wrexham to build on the national media’s growing interest in Wrexham and create an urban value that outlasts the media’s cycles of attraction.</w:t>
      </w:r>
    </w:p>
    <w:p w14:paraId="24E1CC72" w14:textId="49884553" w:rsidR="00847695" w:rsidRPr="00847695" w:rsidRDefault="00847695" w:rsidP="00847695">
      <w:pPr>
        <w:spacing w:line="480" w:lineRule="auto"/>
        <w:rPr>
          <w:rFonts w:ascii="Arial" w:hAnsi="Arial" w:cs="Arial"/>
        </w:rPr>
      </w:pPr>
      <w:r w:rsidRPr="00847695">
        <w:rPr>
          <w:rFonts w:ascii="Arial" w:hAnsi="Arial" w:cs="Arial"/>
        </w:rPr>
        <w:lastRenderedPageBreak/>
        <w:t xml:space="preserve">The second opportunity lies in creating a heritage reuse and living programme through </w:t>
      </w:r>
      <w:r w:rsidR="00C90A47">
        <w:rPr>
          <w:rFonts w:ascii="Arial" w:hAnsi="Arial" w:cs="Arial"/>
        </w:rPr>
        <w:t xml:space="preserve">the </w:t>
      </w:r>
      <w:r w:rsidRPr="00847695">
        <w:rPr>
          <w:rFonts w:ascii="Arial" w:hAnsi="Arial" w:cs="Arial"/>
        </w:rPr>
        <w:t>upper floors of existing historic buildings. Wrexham’s historic properties are a double-edged sword in that they can create ill-will through vacancies and/or underutilisation of buildings, but they can also provide the basis for housing units, studios/</w:t>
      </w:r>
      <w:r w:rsidR="00C90A47">
        <w:rPr>
          <w:rFonts w:ascii="Arial" w:hAnsi="Arial" w:cs="Arial"/>
        </w:rPr>
        <w:t>workshops</w:t>
      </w:r>
      <w:r w:rsidRPr="00847695">
        <w:rPr>
          <w:rFonts w:ascii="Arial" w:hAnsi="Arial" w:cs="Arial"/>
        </w:rPr>
        <w:t xml:space="preserve"> in creative industries, training facilities, and small offices. Armstrong and </w:t>
      </w:r>
      <w:proofErr w:type="spellStart"/>
      <w:r w:rsidRPr="00847695">
        <w:rPr>
          <w:rFonts w:ascii="Arial" w:hAnsi="Arial" w:cs="Arial"/>
        </w:rPr>
        <w:t>Wiejak</w:t>
      </w:r>
      <w:proofErr w:type="spellEnd"/>
      <w:r w:rsidRPr="00847695">
        <w:rPr>
          <w:rFonts w:ascii="Arial" w:hAnsi="Arial" w:cs="Arial"/>
        </w:rPr>
        <w:t xml:space="preserve">-Roy (2024) note the contribution that </w:t>
      </w:r>
      <w:r w:rsidR="00C90A47">
        <w:rPr>
          <w:rFonts w:ascii="Arial" w:hAnsi="Arial" w:cs="Arial"/>
        </w:rPr>
        <w:t xml:space="preserve">the </w:t>
      </w:r>
      <w:r w:rsidRPr="00847695">
        <w:rPr>
          <w:rFonts w:ascii="Arial" w:hAnsi="Arial" w:cs="Arial"/>
        </w:rPr>
        <w:t xml:space="preserve">behaviour of landlords can make to outcomes on high streets and therefore suggest that a better range of economic incentives, conditions and partnership models will be required. Through combining </w:t>
      </w:r>
      <w:r w:rsidR="00C90A47">
        <w:rPr>
          <w:rFonts w:ascii="Arial" w:hAnsi="Arial" w:cs="Arial"/>
        </w:rPr>
        <w:t>heritage-sensitive</w:t>
      </w:r>
      <w:r w:rsidRPr="00847695">
        <w:rPr>
          <w:rFonts w:ascii="Arial" w:hAnsi="Arial" w:cs="Arial"/>
        </w:rPr>
        <w:t xml:space="preserve"> refurbishment of existing buildings with support for community enterprises, it should be possible to implement a regeneration model of reuse-led regeneration that Earley (2025) advocates will help to eliminate the growth of exclusionary practices.</w:t>
      </w:r>
    </w:p>
    <w:p w14:paraId="3E8185E5" w14:textId="57D9A05A" w:rsidR="00847695" w:rsidRPr="00847695" w:rsidRDefault="00847695" w:rsidP="00847695">
      <w:pPr>
        <w:spacing w:line="480" w:lineRule="auto"/>
        <w:rPr>
          <w:rFonts w:ascii="Arial" w:hAnsi="Arial" w:cs="Arial"/>
        </w:rPr>
      </w:pPr>
      <w:r w:rsidRPr="00847695">
        <w:rPr>
          <w:rFonts w:ascii="Arial" w:hAnsi="Arial" w:cs="Arial"/>
        </w:rPr>
        <w:t>The third opportunity is to establish a local business chain that connects the wider economic environment with Wrexham’s city centre. The city centre should not just act as an attractive entrance to Wrexham</w:t>
      </w:r>
      <w:r w:rsidR="00C90A47">
        <w:rPr>
          <w:rFonts w:ascii="Arial" w:hAnsi="Arial" w:cs="Arial"/>
        </w:rPr>
        <w:t>, but also</w:t>
      </w:r>
      <w:r w:rsidRPr="00847695">
        <w:rPr>
          <w:rFonts w:ascii="Arial" w:hAnsi="Arial" w:cs="Arial"/>
        </w:rPr>
        <w:t xml:space="preserve"> as a community where there are many jobs located outside of the city centre. Regeneration policy can be reconstructed to create connections between large employers, colleges, local producers, markets and independent retailers to create a planned chain. Shared workspaces, business support for graduates, workforce development training designed around both retrofit and construction of heritage buildings, and procurement initiatives are examples of ways to improve connections within Wrexham. Phillips (2026) observes that towns located at the edge of metropolitan areas, such as Wrexham, in addition to having a high percentage of their economic activity located outside of their city centres, experience a systematic lack of connections between their city centres </w:t>
      </w:r>
      <w:r w:rsidR="00C324DA">
        <w:rPr>
          <w:rFonts w:ascii="Arial" w:hAnsi="Arial" w:cs="Arial"/>
        </w:rPr>
        <w:t>and</w:t>
      </w:r>
      <w:r w:rsidRPr="00847695">
        <w:rPr>
          <w:rFonts w:ascii="Arial" w:hAnsi="Arial" w:cs="Arial"/>
        </w:rPr>
        <w:t xml:space="preserve"> the regional economy. This means that </w:t>
      </w:r>
      <w:r w:rsidRPr="00847695">
        <w:rPr>
          <w:rFonts w:ascii="Arial" w:hAnsi="Arial" w:cs="Arial"/>
        </w:rPr>
        <w:lastRenderedPageBreak/>
        <w:t>Wrexham’s city centre needs to be a platform for creating, retaining and recirculating locally generated economic value.</w:t>
      </w:r>
    </w:p>
    <w:p w14:paraId="6209DA05" w14:textId="77777777" w:rsidR="00C1471B" w:rsidRDefault="00C1471B" w:rsidP="00847695">
      <w:pPr>
        <w:spacing w:line="480" w:lineRule="auto"/>
        <w:rPr>
          <w:rFonts w:ascii="Arial" w:hAnsi="Arial" w:cs="Arial"/>
          <w:b/>
          <w:bCs/>
          <w:color w:val="156082" w:themeColor="accent1"/>
        </w:rPr>
      </w:pPr>
    </w:p>
    <w:p w14:paraId="5CF015DF" w14:textId="77777777" w:rsidR="00C1471B" w:rsidRDefault="00C1471B" w:rsidP="00847695">
      <w:pPr>
        <w:spacing w:line="480" w:lineRule="auto"/>
        <w:rPr>
          <w:rFonts w:ascii="Arial" w:hAnsi="Arial" w:cs="Arial"/>
          <w:b/>
          <w:bCs/>
          <w:color w:val="156082" w:themeColor="accent1"/>
        </w:rPr>
      </w:pPr>
    </w:p>
    <w:p w14:paraId="3B85F456" w14:textId="77777777" w:rsidR="00C1471B" w:rsidRDefault="00C1471B" w:rsidP="00847695">
      <w:pPr>
        <w:spacing w:line="480" w:lineRule="auto"/>
        <w:rPr>
          <w:rFonts w:ascii="Arial" w:hAnsi="Arial" w:cs="Arial"/>
          <w:b/>
          <w:bCs/>
          <w:color w:val="156082" w:themeColor="accent1"/>
        </w:rPr>
      </w:pPr>
    </w:p>
    <w:p w14:paraId="6F196A2E" w14:textId="77777777" w:rsidR="00C1471B" w:rsidRDefault="00C1471B" w:rsidP="00847695">
      <w:pPr>
        <w:spacing w:line="480" w:lineRule="auto"/>
        <w:rPr>
          <w:rFonts w:ascii="Arial" w:hAnsi="Arial" w:cs="Arial"/>
          <w:b/>
          <w:bCs/>
          <w:color w:val="156082" w:themeColor="accent1"/>
        </w:rPr>
      </w:pPr>
    </w:p>
    <w:p w14:paraId="798C0FEC" w14:textId="77777777" w:rsidR="00C1471B" w:rsidRDefault="00C1471B" w:rsidP="00847695">
      <w:pPr>
        <w:spacing w:line="480" w:lineRule="auto"/>
        <w:rPr>
          <w:rFonts w:ascii="Arial" w:hAnsi="Arial" w:cs="Arial"/>
          <w:b/>
          <w:bCs/>
          <w:color w:val="156082" w:themeColor="accent1"/>
        </w:rPr>
      </w:pPr>
    </w:p>
    <w:p w14:paraId="2E4E1386" w14:textId="77777777" w:rsidR="00C1471B" w:rsidRDefault="00C1471B" w:rsidP="00847695">
      <w:pPr>
        <w:spacing w:line="480" w:lineRule="auto"/>
        <w:rPr>
          <w:rFonts w:ascii="Arial" w:hAnsi="Arial" w:cs="Arial"/>
          <w:b/>
          <w:bCs/>
          <w:color w:val="156082" w:themeColor="accent1"/>
        </w:rPr>
      </w:pPr>
    </w:p>
    <w:p w14:paraId="02246A82" w14:textId="77777777" w:rsidR="00C1471B" w:rsidRDefault="00C1471B" w:rsidP="00847695">
      <w:pPr>
        <w:spacing w:line="480" w:lineRule="auto"/>
        <w:rPr>
          <w:rFonts w:ascii="Arial" w:hAnsi="Arial" w:cs="Arial"/>
          <w:b/>
          <w:bCs/>
          <w:color w:val="156082" w:themeColor="accent1"/>
        </w:rPr>
      </w:pPr>
    </w:p>
    <w:p w14:paraId="607ABE1C" w14:textId="77777777" w:rsidR="00C1471B" w:rsidRDefault="00C1471B" w:rsidP="00847695">
      <w:pPr>
        <w:spacing w:line="480" w:lineRule="auto"/>
        <w:rPr>
          <w:rFonts w:ascii="Arial" w:hAnsi="Arial" w:cs="Arial"/>
          <w:b/>
          <w:bCs/>
          <w:color w:val="156082" w:themeColor="accent1"/>
        </w:rPr>
      </w:pPr>
    </w:p>
    <w:p w14:paraId="1CB0E077" w14:textId="77777777" w:rsidR="00C1471B" w:rsidRDefault="00C1471B" w:rsidP="00847695">
      <w:pPr>
        <w:spacing w:line="480" w:lineRule="auto"/>
        <w:rPr>
          <w:rFonts w:ascii="Arial" w:hAnsi="Arial" w:cs="Arial"/>
          <w:b/>
          <w:bCs/>
          <w:color w:val="156082" w:themeColor="accent1"/>
        </w:rPr>
      </w:pPr>
    </w:p>
    <w:p w14:paraId="3CBD1640" w14:textId="77777777" w:rsidR="00C1471B" w:rsidRDefault="00C1471B" w:rsidP="00847695">
      <w:pPr>
        <w:spacing w:line="480" w:lineRule="auto"/>
        <w:rPr>
          <w:rFonts w:ascii="Arial" w:hAnsi="Arial" w:cs="Arial"/>
          <w:b/>
          <w:bCs/>
          <w:color w:val="156082" w:themeColor="accent1"/>
        </w:rPr>
      </w:pPr>
    </w:p>
    <w:p w14:paraId="795E6649" w14:textId="77777777" w:rsidR="00C1471B" w:rsidRDefault="00C1471B" w:rsidP="00847695">
      <w:pPr>
        <w:spacing w:line="480" w:lineRule="auto"/>
        <w:rPr>
          <w:rFonts w:ascii="Arial" w:hAnsi="Arial" w:cs="Arial"/>
          <w:b/>
          <w:bCs/>
          <w:color w:val="156082" w:themeColor="accent1"/>
        </w:rPr>
      </w:pPr>
    </w:p>
    <w:p w14:paraId="14F86733" w14:textId="77777777" w:rsidR="00C1471B" w:rsidRDefault="00C1471B" w:rsidP="00847695">
      <w:pPr>
        <w:spacing w:line="480" w:lineRule="auto"/>
        <w:rPr>
          <w:rFonts w:ascii="Arial" w:hAnsi="Arial" w:cs="Arial"/>
          <w:b/>
          <w:bCs/>
          <w:color w:val="156082" w:themeColor="accent1"/>
        </w:rPr>
      </w:pPr>
    </w:p>
    <w:p w14:paraId="2E4C443B" w14:textId="77777777" w:rsidR="00C1471B" w:rsidRDefault="00C1471B" w:rsidP="00847695">
      <w:pPr>
        <w:spacing w:line="480" w:lineRule="auto"/>
        <w:rPr>
          <w:rFonts w:ascii="Arial" w:hAnsi="Arial" w:cs="Arial"/>
          <w:b/>
          <w:bCs/>
          <w:color w:val="156082" w:themeColor="accent1"/>
        </w:rPr>
      </w:pPr>
    </w:p>
    <w:p w14:paraId="0B0F85BD" w14:textId="77777777" w:rsidR="00C1471B" w:rsidRDefault="00C1471B" w:rsidP="00847695">
      <w:pPr>
        <w:spacing w:line="480" w:lineRule="auto"/>
        <w:rPr>
          <w:rFonts w:ascii="Arial" w:hAnsi="Arial" w:cs="Arial"/>
          <w:b/>
          <w:bCs/>
          <w:color w:val="156082" w:themeColor="accent1"/>
        </w:rPr>
      </w:pPr>
    </w:p>
    <w:p w14:paraId="70AABAF6" w14:textId="77777777" w:rsidR="00C1471B" w:rsidRDefault="00C1471B" w:rsidP="00847695">
      <w:pPr>
        <w:spacing w:line="480" w:lineRule="auto"/>
        <w:rPr>
          <w:rFonts w:ascii="Arial" w:hAnsi="Arial" w:cs="Arial"/>
          <w:b/>
          <w:bCs/>
          <w:color w:val="156082" w:themeColor="accent1"/>
        </w:rPr>
      </w:pPr>
    </w:p>
    <w:p w14:paraId="26ABF0FC" w14:textId="77777777" w:rsidR="00C1471B" w:rsidRDefault="00C1471B" w:rsidP="00847695">
      <w:pPr>
        <w:spacing w:line="480" w:lineRule="auto"/>
        <w:rPr>
          <w:rFonts w:ascii="Arial" w:hAnsi="Arial" w:cs="Arial"/>
          <w:b/>
          <w:bCs/>
          <w:color w:val="156082" w:themeColor="accent1"/>
        </w:rPr>
      </w:pPr>
    </w:p>
    <w:p w14:paraId="57843F9E" w14:textId="77777777" w:rsidR="00C1471B" w:rsidRDefault="00C1471B" w:rsidP="00847695">
      <w:pPr>
        <w:spacing w:line="480" w:lineRule="auto"/>
        <w:rPr>
          <w:rFonts w:ascii="Arial" w:hAnsi="Arial" w:cs="Arial"/>
          <w:b/>
          <w:bCs/>
          <w:color w:val="156082" w:themeColor="accent1"/>
        </w:rPr>
      </w:pPr>
    </w:p>
    <w:p w14:paraId="42578638" w14:textId="77777777" w:rsidR="00C1471B" w:rsidRDefault="00C1471B" w:rsidP="00847695">
      <w:pPr>
        <w:spacing w:line="480" w:lineRule="auto"/>
        <w:rPr>
          <w:rFonts w:ascii="Arial" w:hAnsi="Arial" w:cs="Arial"/>
          <w:b/>
          <w:bCs/>
          <w:color w:val="156082" w:themeColor="accent1"/>
        </w:rPr>
      </w:pPr>
    </w:p>
    <w:p w14:paraId="6A7D84AE" w14:textId="6D4D1CD2" w:rsidR="00847695" w:rsidRPr="00C324DA" w:rsidRDefault="00847695" w:rsidP="00847695">
      <w:pPr>
        <w:spacing w:line="480" w:lineRule="auto"/>
        <w:rPr>
          <w:rFonts w:ascii="Arial" w:hAnsi="Arial" w:cs="Arial"/>
          <w:b/>
          <w:bCs/>
          <w:color w:val="156082" w:themeColor="accent1"/>
        </w:rPr>
      </w:pPr>
      <w:r w:rsidRPr="00C324DA">
        <w:rPr>
          <w:rFonts w:ascii="Arial" w:hAnsi="Arial" w:cs="Arial"/>
          <w:b/>
          <w:bCs/>
          <w:color w:val="156082" w:themeColor="accent1"/>
        </w:rPr>
        <w:lastRenderedPageBreak/>
        <w:t>Conclusion</w:t>
      </w:r>
    </w:p>
    <w:p w14:paraId="71E6B342" w14:textId="0B49C6C7" w:rsidR="00847695" w:rsidRDefault="00847695" w:rsidP="00847695">
      <w:pPr>
        <w:spacing w:line="480" w:lineRule="auto"/>
        <w:rPr>
          <w:rFonts w:ascii="Arial" w:hAnsi="Arial" w:cs="Arial"/>
        </w:rPr>
      </w:pPr>
      <w:r w:rsidRPr="00847695">
        <w:rPr>
          <w:rFonts w:ascii="Arial" w:hAnsi="Arial" w:cs="Arial"/>
        </w:rPr>
        <w:t xml:space="preserve">Wrexham has unique assets. These include a compact urban structure, a long history of entrepreneurial market activity, significant cultural resources, the establishment of a master planning framework for the development of the city </w:t>
      </w:r>
      <w:r w:rsidR="00C324DA" w:rsidRPr="00847695">
        <w:rPr>
          <w:rFonts w:ascii="Arial" w:hAnsi="Arial" w:cs="Arial"/>
        </w:rPr>
        <w:t>centre and</w:t>
      </w:r>
      <w:r w:rsidRPr="00847695">
        <w:rPr>
          <w:rFonts w:ascii="Arial" w:hAnsi="Arial" w:cs="Arial"/>
        </w:rPr>
        <w:t xml:space="preserve"> renewed national focus. However, attention does not generate long-term benefits. The most viable long-term future for Wrexham will be the result of improved connection between the city centre and rail station; systematic reuse of historic buildings; and the circulation of generated local economic value through the networks of enterprise, culture, and daily services. This is how city status will develop into a long-lasting urban benefit for Wrexham rather than being ephemeral in nature.</w:t>
      </w:r>
    </w:p>
    <w:p w14:paraId="55757542" w14:textId="77777777" w:rsidR="00C324DA" w:rsidRDefault="00C324DA" w:rsidP="00847695">
      <w:pPr>
        <w:spacing w:line="480" w:lineRule="auto"/>
        <w:rPr>
          <w:rFonts w:ascii="Arial" w:hAnsi="Arial" w:cs="Arial"/>
        </w:rPr>
      </w:pPr>
    </w:p>
    <w:p w14:paraId="6EB7A25A" w14:textId="77777777" w:rsidR="00C324DA" w:rsidRDefault="00C324DA" w:rsidP="00847695">
      <w:pPr>
        <w:spacing w:line="480" w:lineRule="auto"/>
        <w:rPr>
          <w:rFonts w:ascii="Arial" w:hAnsi="Arial" w:cs="Arial"/>
        </w:rPr>
      </w:pPr>
    </w:p>
    <w:p w14:paraId="40D6491D" w14:textId="77777777" w:rsidR="00C324DA" w:rsidRDefault="00C324DA" w:rsidP="00847695">
      <w:pPr>
        <w:spacing w:line="480" w:lineRule="auto"/>
        <w:rPr>
          <w:rFonts w:ascii="Arial" w:hAnsi="Arial" w:cs="Arial"/>
        </w:rPr>
      </w:pPr>
    </w:p>
    <w:p w14:paraId="0F0AA526" w14:textId="77777777" w:rsidR="00C324DA" w:rsidRDefault="00C324DA" w:rsidP="00847695">
      <w:pPr>
        <w:spacing w:line="480" w:lineRule="auto"/>
        <w:rPr>
          <w:rFonts w:ascii="Arial" w:hAnsi="Arial" w:cs="Arial"/>
        </w:rPr>
      </w:pPr>
    </w:p>
    <w:p w14:paraId="71895E7B" w14:textId="77777777" w:rsidR="00C324DA" w:rsidRDefault="00C324DA" w:rsidP="00847695">
      <w:pPr>
        <w:spacing w:line="480" w:lineRule="auto"/>
        <w:rPr>
          <w:rFonts w:ascii="Arial" w:hAnsi="Arial" w:cs="Arial"/>
        </w:rPr>
      </w:pPr>
    </w:p>
    <w:p w14:paraId="5059E3C8" w14:textId="77777777" w:rsidR="00C324DA" w:rsidRDefault="00C324DA" w:rsidP="00847695">
      <w:pPr>
        <w:spacing w:line="480" w:lineRule="auto"/>
        <w:rPr>
          <w:rFonts w:ascii="Arial" w:hAnsi="Arial" w:cs="Arial"/>
        </w:rPr>
      </w:pPr>
    </w:p>
    <w:p w14:paraId="25B3B6EC" w14:textId="77777777" w:rsidR="00C324DA" w:rsidRDefault="00C324DA" w:rsidP="00847695">
      <w:pPr>
        <w:spacing w:line="480" w:lineRule="auto"/>
        <w:rPr>
          <w:rFonts w:ascii="Arial" w:hAnsi="Arial" w:cs="Arial"/>
        </w:rPr>
      </w:pPr>
    </w:p>
    <w:p w14:paraId="3209FF73" w14:textId="77777777" w:rsidR="00C324DA" w:rsidRDefault="00C324DA" w:rsidP="00847695">
      <w:pPr>
        <w:spacing w:line="480" w:lineRule="auto"/>
        <w:rPr>
          <w:rFonts w:ascii="Arial" w:hAnsi="Arial" w:cs="Arial"/>
        </w:rPr>
      </w:pPr>
    </w:p>
    <w:p w14:paraId="588014BE" w14:textId="77777777" w:rsidR="00C324DA" w:rsidRDefault="00C324DA" w:rsidP="00847695">
      <w:pPr>
        <w:spacing w:line="480" w:lineRule="auto"/>
        <w:rPr>
          <w:rFonts w:ascii="Arial" w:hAnsi="Arial" w:cs="Arial"/>
        </w:rPr>
      </w:pPr>
    </w:p>
    <w:p w14:paraId="49FB7DD9" w14:textId="77777777" w:rsidR="00C1471B" w:rsidRDefault="00C1471B" w:rsidP="00847695">
      <w:pPr>
        <w:spacing w:line="480" w:lineRule="auto"/>
        <w:rPr>
          <w:rFonts w:ascii="Arial" w:hAnsi="Arial" w:cs="Arial"/>
          <w:b/>
          <w:bCs/>
          <w:color w:val="156082" w:themeColor="accent1"/>
        </w:rPr>
      </w:pPr>
    </w:p>
    <w:p w14:paraId="3948BAB2" w14:textId="77777777" w:rsidR="00C1471B" w:rsidRDefault="00C1471B" w:rsidP="00847695">
      <w:pPr>
        <w:spacing w:line="480" w:lineRule="auto"/>
        <w:rPr>
          <w:rFonts w:ascii="Arial" w:hAnsi="Arial" w:cs="Arial"/>
          <w:b/>
          <w:bCs/>
          <w:color w:val="156082" w:themeColor="accent1"/>
        </w:rPr>
      </w:pPr>
    </w:p>
    <w:p w14:paraId="1300EA57" w14:textId="5017BA09" w:rsidR="00C324DA" w:rsidRPr="00C324DA" w:rsidRDefault="00C324DA" w:rsidP="00847695">
      <w:pPr>
        <w:spacing w:line="480" w:lineRule="auto"/>
        <w:rPr>
          <w:rFonts w:ascii="Arial" w:hAnsi="Arial" w:cs="Arial"/>
          <w:b/>
          <w:bCs/>
          <w:color w:val="156082" w:themeColor="accent1"/>
        </w:rPr>
      </w:pPr>
      <w:r w:rsidRPr="00C324DA">
        <w:rPr>
          <w:rFonts w:ascii="Arial" w:hAnsi="Arial" w:cs="Arial"/>
          <w:b/>
          <w:bCs/>
          <w:color w:val="156082" w:themeColor="accent1"/>
        </w:rPr>
        <w:lastRenderedPageBreak/>
        <w:t xml:space="preserve">References </w:t>
      </w:r>
    </w:p>
    <w:p w14:paraId="7D76D0BA" w14:textId="77777777" w:rsidR="00C324DA" w:rsidRPr="00C324DA" w:rsidRDefault="00C324DA" w:rsidP="00C324DA">
      <w:pPr>
        <w:spacing w:line="480" w:lineRule="auto"/>
        <w:rPr>
          <w:rFonts w:ascii="Arial" w:hAnsi="Arial" w:cs="Arial"/>
        </w:rPr>
      </w:pPr>
      <w:r w:rsidRPr="00C324DA">
        <w:rPr>
          <w:rFonts w:ascii="Arial" w:hAnsi="Arial" w:cs="Arial"/>
        </w:rPr>
        <w:t xml:space="preserve">Ahsan, M. (2026). Comprehending the internal–external mode of participatory urban regeneration practice: Learning lessons from the sanitation programme of the Orangi Pilot Project, Karachi, Pakistan. </w:t>
      </w:r>
      <w:r w:rsidRPr="00C324DA">
        <w:rPr>
          <w:rFonts w:ascii="Arial" w:hAnsi="Arial" w:cs="Arial"/>
          <w:i/>
          <w:iCs/>
        </w:rPr>
        <w:t>Journal of Urban Regeneration &amp; Renewal, 19(</w:t>
      </w:r>
      <w:r w:rsidRPr="00C324DA">
        <w:rPr>
          <w:rFonts w:ascii="Arial" w:hAnsi="Arial" w:cs="Arial"/>
        </w:rPr>
        <w:t>2), 200–217.</w:t>
      </w:r>
    </w:p>
    <w:p w14:paraId="70BDD5B7" w14:textId="77777777" w:rsidR="00C324DA" w:rsidRPr="00C324DA" w:rsidRDefault="00C324DA" w:rsidP="00C324DA">
      <w:pPr>
        <w:spacing w:line="480" w:lineRule="auto"/>
        <w:rPr>
          <w:rFonts w:ascii="Arial" w:hAnsi="Arial" w:cs="Arial"/>
        </w:rPr>
      </w:pPr>
      <w:r w:rsidRPr="00C324DA">
        <w:rPr>
          <w:rFonts w:ascii="Arial" w:hAnsi="Arial" w:cs="Arial"/>
        </w:rPr>
        <w:t xml:space="preserve">Armstrong, K., &amp; </w:t>
      </w:r>
      <w:proofErr w:type="spellStart"/>
      <w:r w:rsidRPr="00C324DA">
        <w:rPr>
          <w:rFonts w:ascii="Arial" w:hAnsi="Arial" w:cs="Arial"/>
        </w:rPr>
        <w:t>Wiejak</w:t>
      </w:r>
      <w:proofErr w:type="spellEnd"/>
      <w:r w:rsidRPr="00C324DA">
        <w:rPr>
          <w:rFonts w:ascii="Arial" w:hAnsi="Arial" w:cs="Arial"/>
        </w:rPr>
        <w:t>-Roy, G. (2024). Role of local landlords in small-town high streets: A study of Trowbridge, UK</w:t>
      </w:r>
      <w:r w:rsidRPr="00C324DA">
        <w:rPr>
          <w:rFonts w:ascii="Arial" w:hAnsi="Arial" w:cs="Arial"/>
          <w:i/>
          <w:iCs/>
        </w:rPr>
        <w:t>. Infrastructure Asset Management, 11(</w:t>
      </w:r>
      <w:r w:rsidRPr="00C324DA">
        <w:rPr>
          <w:rFonts w:ascii="Arial" w:hAnsi="Arial" w:cs="Arial"/>
        </w:rPr>
        <w:t>4), 200–211.</w:t>
      </w:r>
    </w:p>
    <w:p w14:paraId="0E20306D" w14:textId="77777777" w:rsidR="00C324DA" w:rsidRPr="00C324DA" w:rsidRDefault="00C324DA" w:rsidP="00C324DA">
      <w:pPr>
        <w:spacing w:line="480" w:lineRule="auto"/>
        <w:rPr>
          <w:rFonts w:ascii="Arial" w:hAnsi="Arial" w:cs="Arial"/>
        </w:rPr>
      </w:pPr>
      <w:r w:rsidRPr="00C324DA">
        <w:rPr>
          <w:rFonts w:ascii="Arial" w:hAnsi="Arial" w:cs="Arial"/>
        </w:rPr>
        <w:t xml:space="preserve">Earley, A. (2025). Achieving urban regeneration without gentrification? Community enterprises and community assets in the UK. </w:t>
      </w:r>
      <w:r w:rsidRPr="00C324DA">
        <w:rPr>
          <w:rFonts w:ascii="Arial" w:hAnsi="Arial" w:cs="Arial"/>
          <w:i/>
          <w:iCs/>
        </w:rPr>
        <w:t>Journal of Urban Affairs, 47(</w:t>
      </w:r>
      <w:r w:rsidRPr="00C324DA">
        <w:rPr>
          <w:rFonts w:ascii="Arial" w:hAnsi="Arial" w:cs="Arial"/>
        </w:rPr>
        <w:t>4), 1125–1148.</w:t>
      </w:r>
    </w:p>
    <w:p w14:paraId="709EA8F1" w14:textId="77777777" w:rsidR="00C324DA" w:rsidRPr="00C324DA" w:rsidRDefault="00C324DA" w:rsidP="00C324DA">
      <w:pPr>
        <w:spacing w:line="480" w:lineRule="auto"/>
        <w:rPr>
          <w:rFonts w:ascii="Arial" w:hAnsi="Arial" w:cs="Arial"/>
        </w:rPr>
      </w:pPr>
      <w:r w:rsidRPr="00C324DA">
        <w:rPr>
          <w:rFonts w:ascii="Arial" w:hAnsi="Arial" w:cs="Arial"/>
        </w:rPr>
        <w:t xml:space="preserve">Fiorentino, S. (2023). Public-led shared workspaces and the intangible factors of urban regeneration in UK coastal towns. </w:t>
      </w:r>
      <w:r w:rsidRPr="00C324DA">
        <w:rPr>
          <w:rFonts w:ascii="Arial" w:hAnsi="Arial" w:cs="Arial"/>
          <w:i/>
          <w:iCs/>
        </w:rPr>
        <w:t>Urban, Planning and Transport Research, 11(</w:t>
      </w:r>
      <w:r w:rsidRPr="00C324DA">
        <w:rPr>
          <w:rFonts w:ascii="Arial" w:hAnsi="Arial" w:cs="Arial"/>
        </w:rPr>
        <w:t>1), 2260853.</w:t>
      </w:r>
    </w:p>
    <w:p w14:paraId="28404475" w14:textId="77777777" w:rsidR="00C324DA" w:rsidRPr="00C324DA" w:rsidRDefault="00C324DA" w:rsidP="00C324DA">
      <w:pPr>
        <w:spacing w:line="480" w:lineRule="auto"/>
        <w:rPr>
          <w:rFonts w:ascii="Arial" w:hAnsi="Arial" w:cs="Arial"/>
        </w:rPr>
      </w:pPr>
      <w:r w:rsidRPr="00C324DA">
        <w:rPr>
          <w:rFonts w:ascii="Arial" w:hAnsi="Arial" w:cs="Arial"/>
        </w:rPr>
        <w:t xml:space="preserve">Ge, T., Hou, W., &amp; Xiao, Y. (2023). Study on the regeneration of city centre spatial structure pedestrianisation based on space syntax: Case study on 21 city centres in the UK. </w:t>
      </w:r>
      <w:r w:rsidRPr="00C324DA">
        <w:rPr>
          <w:rFonts w:ascii="Arial" w:hAnsi="Arial" w:cs="Arial"/>
          <w:i/>
          <w:iCs/>
        </w:rPr>
        <w:t>Land, 12(</w:t>
      </w:r>
      <w:r w:rsidRPr="00C324DA">
        <w:rPr>
          <w:rFonts w:ascii="Arial" w:hAnsi="Arial" w:cs="Arial"/>
        </w:rPr>
        <w:t>6), 1183.</w:t>
      </w:r>
    </w:p>
    <w:p w14:paraId="3DDDBC39" w14:textId="77777777" w:rsidR="00C324DA" w:rsidRPr="00C324DA" w:rsidRDefault="00C324DA" w:rsidP="00C324DA">
      <w:pPr>
        <w:spacing w:line="480" w:lineRule="auto"/>
        <w:rPr>
          <w:rFonts w:ascii="Arial" w:hAnsi="Arial" w:cs="Arial"/>
        </w:rPr>
      </w:pPr>
      <w:r w:rsidRPr="00C324DA">
        <w:rPr>
          <w:rFonts w:ascii="Arial" w:hAnsi="Arial" w:cs="Arial"/>
        </w:rPr>
        <w:t xml:space="preserve">Lewis, C., Yarker, S., Hammond, M., Kavanagh, N., &amp; Phillipson, C. (2022). “Ageing in place” and urban regeneration: Analysing the role of social infrastructure. </w:t>
      </w:r>
      <w:r w:rsidRPr="00C324DA">
        <w:rPr>
          <w:rFonts w:ascii="Arial" w:hAnsi="Arial" w:cs="Arial"/>
          <w:i/>
          <w:iCs/>
        </w:rPr>
        <w:t>Urban Planning, 7(</w:t>
      </w:r>
      <w:r w:rsidRPr="00C324DA">
        <w:rPr>
          <w:rFonts w:ascii="Arial" w:hAnsi="Arial" w:cs="Arial"/>
        </w:rPr>
        <w:t>4), 523–533.</w:t>
      </w:r>
    </w:p>
    <w:p w14:paraId="169439CF" w14:textId="77777777" w:rsidR="00C324DA" w:rsidRDefault="00C324DA" w:rsidP="00C324DA">
      <w:pPr>
        <w:spacing w:line="480" w:lineRule="auto"/>
        <w:rPr>
          <w:rFonts w:ascii="Arial" w:hAnsi="Arial" w:cs="Arial"/>
        </w:rPr>
      </w:pPr>
      <w:r w:rsidRPr="00C324DA">
        <w:rPr>
          <w:rFonts w:ascii="Arial" w:hAnsi="Arial" w:cs="Arial"/>
        </w:rPr>
        <w:t xml:space="preserve">Lin, S., &amp; van </w:t>
      </w:r>
      <w:proofErr w:type="spellStart"/>
      <w:r w:rsidRPr="00C324DA">
        <w:rPr>
          <w:rFonts w:ascii="Arial" w:hAnsi="Arial" w:cs="Arial"/>
        </w:rPr>
        <w:t>Ameijde</w:t>
      </w:r>
      <w:proofErr w:type="spellEnd"/>
      <w:r w:rsidRPr="00C324DA">
        <w:rPr>
          <w:rFonts w:ascii="Arial" w:hAnsi="Arial" w:cs="Arial"/>
        </w:rPr>
        <w:t xml:space="preserve">, J. (2026). </w:t>
      </w:r>
      <w:r w:rsidRPr="00C324DA">
        <w:rPr>
          <w:rFonts w:ascii="Arial" w:hAnsi="Arial" w:cs="Arial"/>
          <w:i/>
          <w:iCs/>
        </w:rPr>
        <w:t>The impact of urban renewal on place attachment: A framework to enhance social structures and resident satisfaction</w:t>
      </w:r>
      <w:r w:rsidRPr="00C324DA">
        <w:rPr>
          <w:rFonts w:ascii="Arial" w:hAnsi="Arial" w:cs="Arial"/>
        </w:rPr>
        <w:t>. Cities, 172, 106894.</w:t>
      </w:r>
    </w:p>
    <w:p w14:paraId="71C76205" w14:textId="23ABF2F4" w:rsidR="00C324DA" w:rsidRPr="00C324DA" w:rsidRDefault="00C324DA" w:rsidP="00C324DA">
      <w:pPr>
        <w:spacing w:line="480" w:lineRule="auto"/>
        <w:rPr>
          <w:rFonts w:ascii="Arial" w:hAnsi="Arial" w:cs="Arial"/>
        </w:rPr>
      </w:pPr>
      <w:r w:rsidRPr="00C324DA">
        <w:rPr>
          <w:rFonts w:ascii="Arial" w:hAnsi="Arial" w:cs="Arial"/>
        </w:rPr>
        <w:lastRenderedPageBreak/>
        <w:t xml:space="preserve">Park, E. J., Kang, E., &amp; Shin, Y. J. (2025). </w:t>
      </w:r>
      <w:r w:rsidRPr="00C324DA">
        <w:rPr>
          <w:rFonts w:ascii="Arial" w:hAnsi="Arial" w:cs="Arial"/>
          <w:i/>
          <w:iCs/>
        </w:rPr>
        <w:t>Urban regeneration and community participation: A critical review of project-based research</w:t>
      </w:r>
      <w:r w:rsidRPr="00C324DA">
        <w:rPr>
          <w:rFonts w:ascii="Arial" w:hAnsi="Arial" w:cs="Arial"/>
        </w:rPr>
        <w:t>. Open House International.</w:t>
      </w:r>
    </w:p>
    <w:p w14:paraId="1C5632E6" w14:textId="77777777" w:rsidR="00C324DA" w:rsidRPr="00C324DA" w:rsidRDefault="00C324DA" w:rsidP="00C324DA">
      <w:pPr>
        <w:spacing w:line="480" w:lineRule="auto"/>
        <w:rPr>
          <w:rFonts w:ascii="Arial" w:hAnsi="Arial" w:cs="Arial"/>
        </w:rPr>
      </w:pPr>
      <w:r w:rsidRPr="00C324DA">
        <w:rPr>
          <w:rFonts w:ascii="Arial" w:hAnsi="Arial" w:cs="Arial"/>
        </w:rPr>
        <w:t xml:space="preserve">Phillips, M. (2026). The challenges of being left behind: Peripheralisation in English small rural towns. </w:t>
      </w:r>
      <w:proofErr w:type="spellStart"/>
      <w:r w:rsidRPr="00C324DA">
        <w:rPr>
          <w:rFonts w:ascii="Arial" w:hAnsi="Arial" w:cs="Arial"/>
          <w:i/>
          <w:iCs/>
        </w:rPr>
        <w:t>Sociologia</w:t>
      </w:r>
      <w:proofErr w:type="spellEnd"/>
      <w:r w:rsidRPr="00C324DA">
        <w:rPr>
          <w:rFonts w:ascii="Arial" w:hAnsi="Arial" w:cs="Arial"/>
          <w:i/>
          <w:iCs/>
        </w:rPr>
        <w:t xml:space="preserve"> </w:t>
      </w:r>
      <w:proofErr w:type="spellStart"/>
      <w:r w:rsidRPr="00C324DA">
        <w:rPr>
          <w:rFonts w:ascii="Arial" w:hAnsi="Arial" w:cs="Arial"/>
          <w:i/>
          <w:iCs/>
        </w:rPr>
        <w:t>Ruralis</w:t>
      </w:r>
      <w:proofErr w:type="spellEnd"/>
      <w:r w:rsidRPr="00C324DA">
        <w:rPr>
          <w:rFonts w:ascii="Arial" w:hAnsi="Arial" w:cs="Arial"/>
          <w:i/>
          <w:iCs/>
        </w:rPr>
        <w:t>, 66(</w:t>
      </w:r>
      <w:r w:rsidRPr="00C324DA">
        <w:rPr>
          <w:rFonts w:ascii="Arial" w:hAnsi="Arial" w:cs="Arial"/>
        </w:rPr>
        <w:t>1), e70015.</w:t>
      </w:r>
    </w:p>
    <w:p w14:paraId="2EF5A561" w14:textId="77777777" w:rsidR="00C324DA" w:rsidRPr="00C324DA" w:rsidRDefault="00C324DA" w:rsidP="00C324DA">
      <w:pPr>
        <w:spacing w:line="480" w:lineRule="auto"/>
        <w:rPr>
          <w:rFonts w:ascii="Arial" w:hAnsi="Arial" w:cs="Arial"/>
        </w:rPr>
      </w:pPr>
      <w:r w:rsidRPr="00C324DA">
        <w:rPr>
          <w:rFonts w:ascii="Arial" w:hAnsi="Arial" w:cs="Arial"/>
        </w:rPr>
        <w:t xml:space="preserve">Powe, N., Pringle, R., &amp; Hart, T. (2015). Matching the process to the challenge within small town regeneration. </w:t>
      </w:r>
      <w:r w:rsidRPr="00C324DA">
        <w:rPr>
          <w:rFonts w:ascii="Arial" w:hAnsi="Arial" w:cs="Arial"/>
          <w:i/>
          <w:iCs/>
        </w:rPr>
        <w:t>Town Planning Review, 86(</w:t>
      </w:r>
      <w:r w:rsidRPr="00C324DA">
        <w:rPr>
          <w:rFonts w:ascii="Arial" w:hAnsi="Arial" w:cs="Arial"/>
        </w:rPr>
        <w:t>2), 177–202.</w:t>
      </w:r>
    </w:p>
    <w:p w14:paraId="5506273F" w14:textId="77777777" w:rsidR="00C324DA" w:rsidRPr="00C324DA" w:rsidRDefault="00C324DA" w:rsidP="00C324DA">
      <w:pPr>
        <w:spacing w:line="480" w:lineRule="auto"/>
        <w:rPr>
          <w:rFonts w:ascii="Arial" w:hAnsi="Arial" w:cs="Arial"/>
        </w:rPr>
      </w:pPr>
      <w:r w:rsidRPr="00C324DA">
        <w:rPr>
          <w:rFonts w:ascii="Arial" w:hAnsi="Arial" w:cs="Arial"/>
        </w:rPr>
        <w:t xml:space="preserve">Roberts, M. (2024). Night-time and strategies for regeneration in two medium-sized town centres. </w:t>
      </w:r>
      <w:r w:rsidRPr="00C324DA">
        <w:rPr>
          <w:rFonts w:ascii="Arial" w:hAnsi="Arial" w:cs="Arial"/>
          <w:i/>
          <w:iCs/>
        </w:rPr>
        <w:t>Journal of Urban Design, 29(</w:t>
      </w:r>
      <w:r w:rsidRPr="00C324DA">
        <w:rPr>
          <w:rFonts w:ascii="Arial" w:hAnsi="Arial" w:cs="Arial"/>
        </w:rPr>
        <w:t>5), 517–535.</w:t>
      </w:r>
    </w:p>
    <w:p w14:paraId="2592A11E" w14:textId="77777777" w:rsidR="00C324DA" w:rsidRPr="00C324DA" w:rsidRDefault="00C324DA" w:rsidP="00C324DA">
      <w:pPr>
        <w:spacing w:line="480" w:lineRule="auto"/>
        <w:rPr>
          <w:rFonts w:ascii="Arial" w:hAnsi="Arial" w:cs="Arial"/>
        </w:rPr>
      </w:pPr>
      <w:r w:rsidRPr="00C324DA">
        <w:rPr>
          <w:rFonts w:ascii="Arial" w:hAnsi="Arial" w:cs="Arial"/>
        </w:rPr>
        <w:t xml:space="preserve">Viken, A. (2016). </w:t>
      </w:r>
      <w:r w:rsidRPr="00C324DA">
        <w:rPr>
          <w:rFonts w:ascii="Arial" w:hAnsi="Arial" w:cs="Arial"/>
          <w:i/>
          <w:iCs/>
        </w:rPr>
        <w:t>Place reinvention: Northern perspectives</w:t>
      </w:r>
      <w:r w:rsidRPr="00C324DA">
        <w:rPr>
          <w:rFonts w:ascii="Arial" w:hAnsi="Arial" w:cs="Arial"/>
        </w:rPr>
        <w:t>. Routledge.</w:t>
      </w:r>
    </w:p>
    <w:p w14:paraId="5FBAD0EA" w14:textId="77777777" w:rsidR="00C324DA" w:rsidRPr="00C324DA" w:rsidRDefault="00C324DA" w:rsidP="00C324DA">
      <w:pPr>
        <w:spacing w:line="480" w:lineRule="auto"/>
        <w:rPr>
          <w:rFonts w:ascii="Arial" w:hAnsi="Arial" w:cs="Arial"/>
        </w:rPr>
      </w:pPr>
      <w:r w:rsidRPr="00C324DA">
        <w:rPr>
          <w:rFonts w:ascii="Arial" w:hAnsi="Arial" w:cs="Arial"/>
        </w:rPr>
        <w:t xml:space="preserve">Watson, S., &amp; Fredheim, H. (2022). Value from development-led archaeology in the UK: Advancing the narrative to reflect societal changes. </w:t>
      </w:r>
      <w:r w:rsidRPr="00C324DA">
        <w:rPr>
          <w:rFonts w:ascii="Arial" w:hAnsi="Arial" w:cs="Arial"/>
          <w:i/>
          <w:iCs/>
        </w:rPr>
        <w:t>Sustainability, 14(</w:t>
      </w:r>
      <w:r w:rsidRPr="00C324DA">
        <w:rPr>
          <w:rFonts w:ascii="Arial" w:hAnsi="Arial" w:cs="Arial"/>
        </w:rPr>
        <w:t>5), 3053.</w:t>
      </w:r>
    </w:p>
    <w:p w14:paraId="5EA57BF5" w14:textId="252CE131" w:rsidR="00C324DA" w:rsidRPr="00C324DA" w:rsidRDefault="00C324DA" w:rsidP="00C324DA">
      <w:pPr>
        <w:spacing w:line="480" w:lineRule="auto"/>
        <w:rPr>
          <w:rFonts w:ascii="Arial" w:hAnsi="Arial" w:cs="Arial"/>
        </w:rPr>
      </w:pPr>
      <w:r w:rsidRPr="00C324DA">
        <w:rPr>
          <w:rFonts w:ascii="Arial" w:hAnsi="Arial" w:cs="Arial"/>
        </w:rPr>
        <w:t>Wrexham Council. (2022). Council plan 2022–23.</w:t>
      </w:r>
      <w:r>
        <w:rPr>
          <w:rFonts w:ascii="Arial" w:hAnsi="Arial" w:cs="Arial"/>
        </w:rPr>
        <w:t xml:space="preserve"> Available to: </w:t>
      </w:r>
      <w:hyperlink r:id="rId6" w:history="1">
        <w:r w:rsidRPr="001B6952">
          <w:rPr>
            <w:rStyle w:val="Hyperlink"/>
            <w:rFonts w:ascii="Arial" w:hAnsi="Arial" w:cs="Arial"/>
          </w:rPr>
          <w:t>https://www.wrexham.gov.uk/sites/default/files/2022-05/council-plan-2020-2023-rev22.pdf</w:t>
        </w:r>
      </w:hyperlink>
      <w:r>
        <w:rPr>
          <w:rFonts w:ascii="Arial" w:hAnsi="Arial" w:cs="Arial"/>
        </w:rPr>
        <w:t xml:space="preserve"> </w:t>
      </w:r>
    </w:p>
    <w:p w14:paraId="1B8F8D82" w14:textId="0F8231D8" w:rsidR="00C324DA" w:rsidRPr="00C324DA" w:rsidRDefault="00C324DA" w:rsidP="00C324DA">
      <w:pPr>
        <w:spacing w:line="480" w:lineRule="auto"/>
        <w:rPr>
          <w:rFonts w:ascii="Arial" w:hAnsi="Arial" w:cs="Arial"/>
        </w:rPr>
      </w:pPr>
      <w:r w:rsidRPr="00C324DA">
        <w:rPr>
          <w:rFonts w:ascii="Arial" w:hAnsi="Arial" w:cs="Arial"/>
        </w:rPr>
        <w:t>Wrexham Council. (2026). Wrexham town centre masterplan.</w:t>
      </w:r>
      <w:r>
        <w:rPr>
          <w:rFonts w:ascii="Arial" w:hAnsi="Arial" w:cs="Arial"/>
        </w:rPr>
        <w:t xml:space="preserve"> Available at: </w:t>
      </w:r>
      <w:hyperlink r:id="rId7" w:history="1">
        <w:r w:rsidRPr="001B6952">
          <w:rPr>
            <w:rStyle w:val="Hyperlink"/>
            <w:rFonts w:ascii="Arial" w:hAnsi="Arial" w:cs="Arial"/>
          </w:rPr>
          <w:t>https://www.wrexham.gov.uk/service/development-plans-and-other-planning-policy/wrexham-town-centre-masterplan</w:t>
        </w:r>
      </w:hyperlink>
      <w:r>
        <w:rPr>
          <w:rFonts w:ascii="Arial" w:hAnsi="Arial" w:cs="Arial"/>
        </w:rPr>
        <w:t xml:space="preserve"> </w:t>
      </w:r>
    </w:p>
    <w:p w14:paraId="12AB65D4" w14:textId="6FE55695" w:rsidR="00C324DA" w:rsidRPr="00C324DA" w:rsidRDefault="00C324DA" w:rsidP="00C324DA">
      <w:pPr>
        <w:spacing w:line="480" w:lineRule="auto"/>
        <w:rPr>
          <w:rFonts w:ascii="Arial" w:hAnsi="Arial" w:cs="Arial"/>
        </w:rPr>
      </w:pPr>
      <w:r w:rsidRPr="00C324DA">
        <w:rPr>
          <w:rFonts w:ascii="Arial" w:hAnsi="Arial" w:cs="Arial"/>
        </w:rPr>
        <w:t>Wrexham Council News. (2024a). Grant and loan schemes for city centre shops and commercial properties in Wrexham.</w:t>
      </w:r>
      <w:r>
        <w:rPr>
          <w:rFonts w:ascii="Arial" w:hAnsi="Arial" w:cs="Arial"/>
        </w:rPr>
        <w:t xml:space="preserve"> Available at: </w:t>
      </w:r>
      <w:hyperlink r:id="rId8" w:history="1">
        <w:r w:rsidR="00C1471B" w:rsidRPr="001B6952">
          <w:rPr>
            <w:rStyle w:val="Hyperlink"/>
            <w:rFonts w:ascii="Arial" w:hAnsi="Arial" w:cs="Arial"/>
          </w:rPr>
          <w:t>https://news.wrexham.gov.uk/grant-and-loan-schemes-for-city-centre-shops-and-commercial-properties-in-wrexham/</w:t>
        </w:r>
      </w:hyperlink>
      <w:r w:rsidR="00C1471B">
        <w:rPr>
          <w:rFonts w:ascii="Arial" w:hAnsi="Arial" w:cs="Arial"/>
        </w:rPr>
        <w:t xml:space="preserve"> </w:t>
      </w:r>
    </w:p>
    <w:p w14:paraId="35DBEAA9" w14:textId="1B06EB4E" w:rsidR="00C324DA" w:rsidRPr="00847695" w:rsidRDefault="00C324DA" w:rsidP="00C324DA">
      <w:pPr>
        <w:spacing w:line="480" w:lineRule="auto"/>
        <w:rPr>
          <w:rFonts w:ascii="Arial" w:hAnsi="Arial" w:cs="Arial"/>
        </w:rPr>
      </w:pPr>
      <w:r w:rsidRPr="00C324DA">
        <w:rPr>
          <w:rFonts w:ascii="Arial" w:hAnsi="Arial" w:cs="Arial"/>
        </w:rPr>
        <w:t>Wrexham Council News. (2024b). Wrexham city centre environmental improvements.</w:t>
      </w:r>
      <w:r w:rsidR="00C1471B">
        <w:rPr>
          <w:rFonts w:ascii="Arial" w:hAnsi="Arial" w:cs="Arial"/>
        </w:rPr>
        <w:t xml:space="preserve"> Available at: </w:t>
      </w:r>
      <w:hyperlink r:id="rId9" w:history="1">
        <w:r w:rsidR="00C1471B" w:rsidRPr="001B6952">
          <w:rPr>
            <w:rStyle w:val="Hyperlink"/>
            <w:rFonts w:ascii="Arial" w:hAnsi="Arial" w:cs="Arial"/>
          </w:rPr>
          <w:t>https://news.wrexham.gov.uk/wrexham-city-centre-environmental-improvements/</w:t>
        </w:r>
      </w:hyperlink>
      <w:r w:rsidR="00C1471B">
        <w:rPr>
          <w:rFonts w:ascii="Arial" w:hAnsi="Arial" w:cs="Arial"/>
        </w:rPr>
        <w:t xml:space="preserve"> </w:t>
      </w:r>
    </w:p>
    <w:sectPr w:rsidR="00C324DA" w:rsidRPr="00847695" w:rsidSect="00C1471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67170" w14:textId="77777777" w:rsidR="00CE24B2" w:rsidRDefault="00CE24B2" w:rsidP="00C1471B">
      <w:pPr>
        <w:spacing w:after="0" w:line="240" w:lineRule="auto"/>
      </w:pPr>
      <w:r>
        <w:separator/>
      </w:r>
    </w:p>
  </w:endnote>
  <w:endnote w:type="continuationSeparator" w:id="0">
    <w:p w14:paraId="02422366" w14:textId="77777777" w:rsidR="00CE24B2" w:rsidRDefault="00CE24B2" w:rsidP="00C14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A113E" w14:textId="77777777" w:rsidR="00CE24B2" w:rsidRDefault="00CE24B2" w:rsidP="00C1471B">
      <w:pPr>
        <w:spacing w:after="0" w:line="240" w:lineRule="auto"/>
      </w:pPr>
      <w:r>
        <w:separator/>
      </w:r>
    </w:p>
  </w:footnote>
  <w:footnote w:type="continuationSeparator" w:id="0">
    <w:p w14:paraId="09BA72CD" w14:textId="77777777" w:rsidR="00CE24B2" w:rsidRDefault="00CE24B2" w:rsidP="00C14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B3C91" w14:textId="77777777" w:rsidR="00C1471B" w:rsidRDefault="00C1471B">
    <w:pPr>
      <w:pStyle w:val="Header"/>
      <w:jc w:val="right"/>
      <w:rPr>
        <w:color w:val="2C7FCE" w:themeColor="text2" w:themeTint="99"/>
      </w:rPr>
    </w:pPr>
    <w:r>
      <w:rPr>
        <w:noProof/>
        <w:color w:val="2C7FCE" w:themeColor="text2" w:themeTint="99"/>
      </w:rPr>
      <mc:AlternateContent>
        <mc:Choice Requires="wpg">
          <w:drawing>
            <wp:anchor distT="0" distB="0" distL="114300" distR="114300" simplePos="0" relativeHeight="251659264" behindDoc="0" locked="0" layoutInCell="1" allowOverlap="1" wp14:anchorId="149F6623" wp14:editId="421E0FED">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B4EE3" w14:textId="77777777" w:rsidR="00C1471B" w:rsidRDefault="00C1471B">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9F6623" id="Group 80" o:spid="_x0000_s1028"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9"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2c7fce [1951]" stroked="f">
                <v:path arrowok="t" o:connecttype="custom" o:connectlocs="0,473242;0,473242;471071,0;475601,0;0,473242" o:connectangles="0,0,0,0,0"/>
              </v:shape>
              <v:shape id="Freeform 72" o:spid="_x0000_s1030"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2c7fce [1951]" stroked="f">
                <v:path arrowok="t" o:connecttype="custom" o:connectlocs="0,592679;0,592679;591104,0;595634,4507;0,592679" o:connectangles="0,0,0,0,0"/>
              </v:shape>
              <v:shape id="Freeform 73" o:spid="_x0000_s1031"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2c7fce [1951]" stroked="f">
                <v:path arrowok="t" o:connecttype="custom" o:connectlocs="0,582539;0,576905;580913,0;585443,0;0,582539" o:connectangles="0,0,0,0,0"/>
              </v:shape>
              <v:shape id="Freeform 74" o:spid="_x0000_s1032"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2c7fce [1951]" stroked="f">
                <v:path arrowok="t" o:connecttype="custom" o:connectlocs="0,520566;0,520566;517499,0;522029,5634;0,520566" o:connectangles="0,0,0,0,0"/>
              </v:shape>
              <v:shape id="Freeform 75" o:spid="_x0000_s1033"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2c7fce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4"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5EBB4EE3" w14:textId="77777777" w:rsidR="00C1471B" w:rsidRDefault="00C1471B">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v:textbox>
              </v:shape>
              <w10:wrap anchorx="margin" anchory="margin"/>
            </v:group>
          </w:pict>
        </mc:Fallback>
      </mc:AlternateContent>
    </w:r>
  </w:p>
  <w:p w14:paraId="03BFA56C" w14:textId="77777777" w:rsidR="00C1471B" w:rsidRDefault="00C147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695"/>
    <w:rsid w:val="00247BE0"/>
    <w:rsid w:val="00847695"/>
    <w:rsid w:val="00C1471B"/>
    <w:rsid w:val="00C324DA"/>
    <w:rsid w:val="00C90A47"/>
    <w:rsid w:val="00CE24B2"/>
    <w:rsid w:val="00DF6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30A2"/>
  <w15:chartTrackingRefBased/>
  <w15:docId w15:val="{95876762-0DB4-4B47-832E-4AB9A108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7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7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695"/>
    <w:rPr>
      <w:rFonts w:eastAsiaTheme="majorEastAsia" w:cstheme="majorBidi"/>
      <w:color w:val="272727" w:themeColor="text1" w:themeTint="D8"/>
    </w:rPr>
  </w:style>
  <w:style w:type="paragraph" w:styleId="Title">
    <w:name w:val="Title"/>
    <w:basedOn w:val="Normal"/>
    <w:next w:val="Normal"/>
    <w:link w:val="TitleChar"/>
    <w:uiPriority w:val="10"/>
    <w:qFormat/>
    <w:rsid w:val="00847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695"/>
    <w:pPr>
      <w:spacing w:before="160"/>
      <w:jc w:val="center"/>
    </w:pPr>
    <w:rPr>
      <w:i/>
      <w:iCs/>
      <w:color w:val="404040" w:themeColor="text1" w:themeTint="BF"/>
    </w:rPr>
  </w:style>
  <w:style w:type="character" w:customStyle="1" w:styleId="QuoteChar">
    <w:name w:val="Quote Char"/>
    <w:basedOn w:val="DefaultParagraphFont"/>
    <w:link w:val="Quote"/>
    <w:uiPriority w:val="29"/>
    <w:rsid w:val="00847695"/>
    <w:rPr>
      <w:i/>
      <w:iCs/>
      <w:color w:val="404040" w:themeColor="text1" w:themeTint="BF"/>
    </w:rPr>
  </w:style>
  <w:style w:type="paragraph" w:styleId="ListParagraph">
    <w:name w:val="List Paragraph"/>
    <w:basedOn w:val="Normal"/>
    <w:uiPriority w:val="34"/>
    <w:qFormat/>
    <w:rsid w:val="00847695"/>
    <w:pPr>
      <w:ind w:left="720"/>
      <w:contextualSpacing/>
    </w:pPr>
  </w:style>
  <w:style w:type="character" w:styleId="IntenseEmphasis">
    <w:name w:val="Intense Emphasis"/>
    <w:basedOn w:val="DefaultParagraphFont"/>
    <w:uiPriority w:val="21"/>
    <w:qFormat/>
    <w:rsid w:val="00847695"/>
    <w:rPr>
      <w:i/>
      <w:iCs/>
      <w:color w:val="0F4761" w:themeColor="accent1" w:themeShade="BF"/>
    </w:rPr>
  </w:style>
  <w:style w:type="paragraph" w:styleId="IntenseQuote">
    <w:name w:val="Intense Quote"/>
    <w:basedOn w:val="Normal"/>
    <w:next w:val="Normal"/>
    <w:link w:val="IntenseQuoteChar"/>
    <w:uiPriority w:val="30"/>
    <w:qFormat/>
    <w:rsid w:val="00847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695"/>
    <w:rPr>
      <w:i/>
      <w:iCs/>
      <w:color w:val="0F4761" w:themeColor="accent1" w:themeShade="BF"/>
    </w:rPr>
  </w:style>
  <w:style w:type="character" w:styleId="IntenseReference">
    <w:name w:val="Intense Reference"/>
    <w:basedOn w:val="DefaultParagraphFont"/>
    <w:uiPriority w:val="32"/>
    <w:qFormat/>
    <w:rsid w:val="00847695"/>
    <w:rPr>
      <w:b/>
      <w:bCs/>
      <w:smallCaps/>
      <w:color w:val="0F4761" w:themeColor="accent1" w:themeShade="BF"/>
      <w:spacing w:val="5"/>
    </w:rPr>
  </w:style>
  <w:style w:type="character" w:styleId="Hyperlink">
    <w:name w:val="Hyperlink"/>
    <w:basedOn w:val="DefaultParagraphFont"/>
    <w:uiPriority w:val="99"/>
    <w:unhideWhenUsed/>
    <w:rsid w:val="00C324DA"/>
    <w:rPr>
      <w:color w:val="467886" w:themeColor="hyperlink"/>
      <w:u w:val="single"/>
    </w:rPr>
  </w:style>
  <w:style w:type="character" w:styleId="UnresolvedMention">
    <w:name w:val="Unresolved Mention"/>
    <w:basedOn w:val="DefaultParagraphFont"/>
    <w:uiPriority w:val="99"/>
    <w:semiHidden/>
    <w:unhideWhenUsed/>
    <w:rsid w:val="00C324DA"/>
    <w:rPr>
      <w:color w:val="605E5C"/>
      <w:shd w:val="clear" w:color="auto" w:fill="E1DFDD"/>
    </w:rPr>
  </w:style>
  <w:style w:type="paragraph" w:styleId="Header">
    <w:name w:val="header"/>
    <w:basedOn w:val="Normal"/>
    <w:link w:val="HeaderChar"/>
    <w:uiPriority w:val="99"/>
    <w:unhideWhenUsed/>
    <w:rsid w:val="00C14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71B"/>
  </w:style>
  <w:style w:type="paragraph" w:styleId="Footer">
    <w:name w:val="footer"/>
    <w:basedOn w:val="Normal"/>
    <w:link w:val="FooterChar"/>
    <w:uiPriority w:val="99"/>
    <w:unhideWhenUsed/>
    <w:rsid w:val="00C14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71B"/>
  </w:style>
  <w:style w:type="paragraph" w:styleId="NoSpacing">
    <w:name w:val="No Spacing"/>
    <w:link w:val="NoSpacingChar"/>
    <w:uiPriority w:val="1"/>
    <w:qFormat/>
    <w:rsid w:val="00C1471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1471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wrexham.gov.uk/grant-and-loan-schemes-for-city-centre-shops-and-commercial-properties-in-wrexham/" TargetMode="External"/><Relationship Id="rId3" Type="http://schemas.openxmlformats.org/officeDocument/2006/relationships/webSettings" Target="webSettings.xml"/><Relationship Id="rId7" Type="http://schemas.openxmlformats.org/officeDocument/2006/relationships/hyperlink" Target="https://www.wrexham.gov.uk/service/development-plans-and-other-planning-policy/wrexham-town-centre-masterpla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rexham.gov.uk/sites/default/files/2022-05/council-plan-2020-2023-rev22.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news.wrexham.gov.uk/wrexham-city-centre-environmental-improv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2768</Words>
  <Characters>15784</Characters>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Report</dc:title>
  <dc:subject/>
  <cp:keywords/>
  <dc:description/>
  <dcterms:created xsi:type="dcterms:W3CDTF">2026-03-20T09:39:00Z</dcterms:created>
  <dcterms:modified xsi:type="dcterms:W3CDTF">2026-03-20T09:39:00Z</dcterms:modified>
  <cp:category>Module: Distinctiveness and Regeneration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8fb76925-9ac1-42e0-bb8b-5c7168f6fd06</vt:lpwstr>
  </property>
</Properties>
</file>