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74AEB" w:rsidRPr="00DB36F5" w:rsidRDefault="00A74AEB" w:rsidP="00A74AEB">
      <w:pPr>
        <w:ind w:left="360"/>
        <w:rPr>
          <w:rFonts w:cs="Arial"/>
          <w:b/>
          <w:szCs w:val="24"/>
        </w:rPr>
      </w:pPr>
      <w:bookmarkStart w:id="0" w:name="_GoBack"/>
      <w:r w:rsidRPr="00DB36F5">
        <w:rPr>
          <w:rFonts w:asciiTheme="majorHAnsi" w:hAnsiTheme="majorHAnsi" w:cs="Arial"/>
          <w:b/>
          <w:sz w:val="72"/>
          <w:szCs w:val="72"/>
        </w:rPr>
        <w:t>Contract Practice &amp; Procedures</w:t>
      </w:r>
    </w:p>
    <w:bookmarkEnd w:id="0"/>
    <w:p w:rsidR="00A74AEB" w:rsidRPr="00DB36F5" w:rsidRDefault="00A74AEB" w:rsidP="00A74AEB">
      <w:pPr>
        <w:ind w:left="360"/>
        <w:rPr>
          <w:rFonts w:asciiTheme="majorHAnsi" w:hAnsiTheme="majorHAnsi" w:cs="Arial"/>
          <w:b/>
          <w:sz w:val="72"/>
          <w:szCs w:val="72"/>
        </w:rPr>
      </w:pPr>
      <w:r w:rsidRPr="00DB36F5">
        <w:rPr>
          <w:rFonts w:asciiTheme="majorHAnsi" w:hAnsiTheme="majorHAnsi" w:cs="Arial"/>
          <w:b/>
          <w:sz w:val="72"/>
          <w:szCs w:val="72"/>
        </w:rPr>
        <w:t>Assignment 1</w:t>
      </w:r>
    </w:p>
    <w:p w:rsidR="00A74AEB" w:rsidRPr="00DB36F5" w:rsidRDefault="00A74AEB" w:rsidP="00A74AEB">
      <w:pPr>
        <w:ind w:left="360"/>
        <w:rPr>
          <w:rFonts w:asciiTheme="majorHAnsi" w:hAnsiTheme="majorHAnsi" w:cs="Arial"/>
          <w:b/>
          <w:sz w:val="72"/>
          <w:szCs w:val="72"/>
        </w:rPr>
      </w:pPr>
    </w:p>
    <w:p w:rsidR="00A74AEB" w:rsidRPr="00DB36F5" w:rsidRDefault="00A74AEB" w:rsidP="00A74AEB">
      <w:pPr>
        <w:ind w:left="360"/>
        <w:rPr>
          <w:rFonts w:asciiTheme="majorHAnsi" w:hAnsiTheme="majorHAnsi" w:cs="Arial"/>
          <w:b/>
          <w:sz w:val="72"/>
          <w:szCs w:val="72"/>
        </w:rPr>
      </w:pPr>
      <w:r w:rsidRPr="00DB36F5">
        <w:rPr>
          <w:rFonts w:asciiTheme="majorHAnsi" w:hAnsiTheme="majorHAnsi" w:cs="Arial"/>
          <w:b/>
          <w:sz w:val="72"/>
          <w:szCs w:val="72"/>
        </w:rPr>
        <w:t xml:space="preserve">Sean </w:t>
      </w:r>
      <w:proofErr w:type="spellStart"/>
      <w:r w:rsidRPr="00DB36F5">
        <w:rPr>
          <w:rFonts w:asciiTheme="majorHAnsi" w:hAnsiTheme="majorHAnsi" w:cs="Arial"/>
          <w:b/>
          <w:sz w:val="72"/>
          <w:szCs w:val="72"/>
        </w:rPr>
        <w:t>Dugay</w:t>
      </w:r>
      <w:proofErr w:type="spellEnd"/>
      <w:r w:rsidRPr="00DB36F5">
        <w:rPr>
          <w:rFonts w:asciiTheme="majorHAnsi" w:hAnsiTheme="majorHAnsi" w:cs="Arial"/>
          <w:b/>
          <w:sz w:val="72"/>
          <w:szCs w:val="72"/>
        </w:rPr>
        <w:t xml:space="preserve"> (P149833)</w:t>
      </w:r>
    </w:p>
    <w:p w:rsidR="00A74AEB" w:rsidRPr="00DB36F5" w:rsidRDefault="00A74AEB" w:rsidP="00A74AEB">
      <w:pPr>
        <w:ind w:left="360"/>
        <w:rPr>
          <w:rFonts w:asciiTheme="majorHAnsi" w:hAnsiTheme="majorHAnsi" w:cs="Arial"/>
          <w:b/>
          <w:sz w:val="72"/>
          <w:szCs w:val="72"/>
        </w:rPr>
      </w:pPr>
    </w:p>
    <w:p w:rsidR="00A74AEB" w:rsidRPr="00DB36F5" w:rsidRDefault="00A74AEB" w:rsidP="00A74AEB">
      <w:pPr>
        <w:ind w:left="360"/>
        <w:rPr>
          <w:rFonts w:asciiTheme="majorHAnsi" w:hAnsiTheme="majorHAnsi" w:cs="Arial"/>
          <w:b/>
          <w:sz w:val="72"/>
          <w:szCs w:val="72"/>
        </w:rPr>
      </w:pPr>
      <w:r>
        <w:rPr>
          <w:rFonts w:asciiTheme="majorHAnsi" w:hAnsiTheme="majorHAnsi" w:cs="Arial"/>
          <w:b/>
          <w:sz w:val="72"/>
          <w:szCs w:val="72"/>
        </w:rPr>
        <w:t>Submission date: 14/03/2019</w:t>
      </w:r>
    </w:p>
    <w:p w:rsidR="00A74AEB" w:rsidRDefault="00A74AEB" w:rsidP="00A74AEB">
      <w:pPr>
        <w:ind w:left="360"/>
        <w:rPr>
          <w:rFonts w:cs="Arial"/>
          <w:b/>
          <w:szCs w:val="24"/>
          <w:u w:val="single"/>
        </w:rPr>
      </w:pPr>
    </w:p>
    <w:p w:rsidR="00A74AEB" w:rsidRDefault="00A74AEB" w:rsidP="00A74AEB">
      <w:pPr>
        <w:ind w:left="360"/>
        <w:rPr>
          <w:rFonts w:cs="Arial"/>
          <w:b/>
          <w:szCs w:val="24"/>
          <w:u w:val="single"/>
        </w:rPr>
      </w:pPr>
    </w:p>
    <w:p w:rsidR="00A74AEB" w:rsidRDefault="00A74AEB" w:rsidP="00A74AEB">
      <w:pPr>
        <w:ind w:left="360"/>
        <w:rPr>
          <w:rFonts w:cs="Arial"/>
          <w:b/>
          <w:szCs w:val="24"/>
          <w:u w:val="single"/>
        </w:rPr>
      </w:pPr>
    </w:p>
    <w:p w:rsidR="00A74AEB" w:rsidRDefault="00A74AEB" w:rsidP="00A74AEB">
      <w:pPr>
        <w:ind w:left="360"/>
        <w:rPr>
          <w:rFonts w:cs="Arial"/>
          <w:b/>
          <w:szCs w:val="24"/>
          <w:u w:val="single"/>
        </w:rPr>
      </w:pPr>
    </w:p>
    <w:p w:rsidR="00A74AEB" w:rsidRDefault="00A74AEB" w:rsidP="00A74AEB">
      <w:pPr>
        <w:ind w:left="360"/>
        <w:rPr>
          <w:rFonts w:cs="Arial"/>
          <w:b/>
          <w:szCs w:val="24"/>
          <w:u w:val="single"/>
        </w:rPr>
      </w:pPr>
    </w:p>
    <w:p w:rsidR="00A74AEB" w:rsidRDefault="00A74AEB" w:rsidP="00A74AEB">
      <w:pPr>
        <w:ind w:left="360"/>
        <w:rPr>
          <w:rFonts w:cs="Arial"/>
          <w:b/>
          <w:szCs w:val="24"/>
          <w:u w:val="single"/>
        </w:rPr>
      </w:pPr>
    </w:p>
    <w:p w:rsidR="00A74AEB" w:rsidRDefault="00A74AEB" w:rsidP="00A74AEB">
      <w:pPr>
        <w:ind w:left="360"/>
        <w:rPr>
          <w:rFonts w:cs="Arial"/>
          <w:b/>
          <w:szCs w:val="24"/>
          <w:u w:val="single"/>
        </w:rPr>
      </w:pPr>
    </w:p>
    <w:p w:rsidR="00A74AEB" w:rsidRDefault="00A74AEB" w:rsidP="00A74AEB">
      <w:pPr>
        <w:ind w:left="360"/>
        <w:rPr>
          <w:rFonts w:cs="Arial"/>
          <w:b/>
          <w:szCs w:val="24"/>
          <w:u w:val="single"/>
        </w:rPr>
      </w:pPr>
    </w:p>
    <w:p w:rsidR="00A74AEB" w:rsidRDefault="00A74AEB" w:rsidP="00A74AEB">
      <w:pPr>
        <w:ind w:left="360"/>
        <w:rPr>
          <w:rFonts w:cs="Arial"/>
          <w:b/>
          <w:szCs w:val="24"/>
          <w:u w:val="single"/>
        </w:rPr>
      </w:pPr>
    </w:p>
    <w:p w:rsidR="00A74AEB" w:rsidRDefault="00A74AEB" w:rsidP="00A74AEB">
      <w:pPr>
        <w:ind w:left="360"/>
        <w:rPr>
          <w:rFonts w:cs="Arial"/>
          <w:b/>
          <w:szCs w:val="24"/>
          <w:u w:val="single"/>
        </w:rPr>
      </w:pPr>
    </w:p>
    <w:p w:rsidR="00A74AEB" w:rsidRDefault="00A74AEB" w:rsidP="00A74AEB">
      <w:pPr>
        <w:ind w:left="360"/>
        <w:rPr>
          <w:rFonts w:cs="Arial"/>
          <w:b/>
          <w:szCs w:val="24"/>
          <w:u w:val="single"/>
        </w:rPr>
      </w:pPr>
    </w:p>
    <w:p w:rsidR="00A74AEB" w:rsidRDefault="00A74AEB" w:rsidP="00A74AEB">
      <w:pPr>
        <w:ind w:left="360"/>
        <w:rPr>
          <w:rFonts w:cs="Arial"/>
          <w:b/>
          <w:szCs w:val="24"/>
          <w:u w:val="single"/>
        </w:rPr>
      </w:pPr>
    </w:p>
    <w:p w:rsidR="00A74AEB" w:rsidRDefault="00A74AEB" w:rsidP="00A74AEB">
      <w:pPr>
        <w:ind w:left="360"/>
        <w:rPr>
          <w:rFonts w:cs="Arial"/>
          <w:b/>
          <w:szCs w:val="24"/>
          <w:u w:val="single"/>
        </w:rPr>
      </w:pPr>
    </w:p>
    <w:p w:rsidR="00A74AEB" w:rsidRDefault="00A74AEB" w:rsidP="00A74AEB">
      <w:pPr>
        <w:ind w:left="360"/>
        <w:rPr>
          <w:rFonts w:cs="Arial"/>
          <w:b/>
          <w:szCs w:val="24"/>
          <w:u w:val="single"/>
        </w:rPr>
      </w:pPr>
    </w:p>
    <w:p w:rsidR="00A74AEB" w:rsidRDefault="00A74AEB" w:rsidP="00A74AEB">
      <w:pPr>
        <w:ind w:left="360"/>
        <w:rPr>
          <w:rFonts w:cs="Arial"/>
          <w:b/>
          <w:szCs w:val="24"/>
          <w:u w:val="single"/>
        </w:rPr>
      </w:pPr>
    </w:p>
    <w:p w:rsidR="00A74AEB" w:rsidRDefault="00A74AEB" w:rsidP="00A74AEB">
      <w:pPr>
        <w:ind w:left="360"/>
        <w:rPr>
          <w:rFonts w:cs="Arial"/>
          <w:b/>
          <w:szCs w:val="24"/>
          <w:u w:val="single"/>
        </w:rPr>
      </w:pPr>
    </w:p>
    <w:p w:rsidR="00A74AEB" w:rsidRDefault="00A74AEB" w:rsidP="00A74AEB">
      <w:pPr>
        <w:ind w:left="360"/>
        <w:rPr>
          <w:rFonts w:cs="Arial"/>
          <w:b/>
          <w:szCs w:val="24"/>
          <w:u w:val="single"/>
        </w:rPr>
      </w:pPr>
    </w:p>
    <w:p w:rsidR="00A74AEB" w:rsidRDefault="00A74AEB" w:rsidP="00A74AEB">
      <w:pPr>
        <w:ind w:left="360"/>
        <w:rPr>
          <w:rFonts w:cs="Arial"/>
          <w:b/>
          <w:szCs w:val="24"/>
          <w:u w:val="single"/>
        </w:rPr>
      </w:pPr>
    </w:p>
    <w:p w:rsidR="00A74AEB" w:rsidRDefault="00A74AEB" w:rsidP="00A74AEB">
      <w:pPr>
        <w:ind w:left="360"/>
        <w:rPr>
          <w:rFonts w:cs="Arial"/>
          <w:b/>
          <w:szCs w:val="24"/>
          <w:u w:val="single"/>
        </w:rPr>
      </w:pPr>
    </w:p>
    <w:p w:rsidR="00A74AEB" w:rsidRDefault="00A74AEB" w:rsidP="00A74AEB">
      <w:pPr>
        <w:ind w:left="360"/>
        <w:rPr>
          <w:rFonts w:cs="Arial"/>
          <w:b/>
          <w:szCs w:val="24"/>
          <w:u w:val="single"/>
        </w:rPr>
      </w:pPr>
    </w:p>
    <w:p w:rsidR="00A74AEB" w:rsidRDefault="00A74AEB" w:rsidP="00A74AEB">
      <w:pPr>
        <w:ind w:left="360"/>
        <w:rPr>
          <w:rFonts w:cs="Arial"/>
          <w:b/>
          <w:szCs w:val="24"/>
          <w:u w:val="single"/>
        </w:rPr>
      </w:pPr>
    </w:p>
    <w:p w:rsidR="00A74AEB" w:rsidRDefault="00A74AEB" w:rsidP="00A74AEB">
      <w:pPr>
        <w:ind w:left="360"/>
        <w:rPr>
          <w:rFonts w:cs="Arial"/>
          <w:b/>
          <w:szCs w:val="24"/>
          <w:u w:val="single"/>
        </w:rPr>
      </w:pPr>
    </w:p>
    <w:p w:rsidR="00A74AEB" w:rsidRDefault="00A74AEB" w:rsidP="00A74AEB">
      <w:pPr>
        <w:ind w:left="360"/>
        <w:rPr>
          <w:rFonts w:cs="Arial"/>
          <w:b/>
          <w:szCs w:val="24"/>
          <w:u w:val="single"/>
        </w:rPr>
      </w:pPr>
    </w:p>
    <w:p w:rsidR="00A74AEB" w:rsidRDefault="00A74AEB" w:rsidP="00A74AEB">
      <w:pPr>
        <w:ind w:left="360"/>
        <w:rPr>
          <w:rFonts w:cs="Arial"/>
          <w:b/>
          <w:szCs w:val="24"/>
          <w:u w:val="single"/>
        </w:rPr>
      </w:pPr>
    </w:p>
    <w:p w:rsidR="00A74AEB" w:rsidRPr="00A74AEB" w:rsidRDefault="00A74AEB" w:rsidP="00A74AEB">
      <w:pPr>
        <w:ind w:left="360"/>
        <w:jc w:val="right"/>
        <w:rPr>
          <w:rFonts w:cs="Arial"/>
          <w:b/>
          <w:szCs w:val="24"/>
        </w:rPr>
      </w:pPr>
      <w:r w:rsidRPr="00A74AEB">
        <w:rPr>
          <w:rFonts w:cs="Arial"/>
          <w:b/>
          <w:szCs w:val="24"/>
        </w:rPr>
        <w:t>Word count: 921</w:t>
      </w:r>
    </w:p>
    <w:p w:rsidR="00A74AEB" w:rsidRPr="002A1CA4" w:rsidRDefault="00A74AEB" w:rsidP="00A74AEB">
      <w:pPr>
        <w:spacing w:line="360" w:lineRule="auto"/>
        <w:rPr>
          <w:rFonts w:cs="Arial"/>
          <w:b/>
          <w:szCs w:val="24"/>
          <w:u w:val="single"/>
        </w:rPr>
      </w:pPr>
      <w:r w:rsidRPr="002A1CA4">
        <w:rPr>
          <w:rFonts w:cs="Arial"/>
          <w:b/>
          <w:szCs w:val="24"/>
          <w:u w:val="single"/>
        </w:rPr>
        <w:lastRenderedPageBreak/>
        <w:t>The construction of a new doctor’s surgery to accommodate four GPs, three nurses and two dentists. The new surgery is required to provide accommodation following the amalgamation of three different national health practices. It will be funded by the local health authority.</w:t>
      </w:r>
    </w:p>
    <w:p w:rsidR="00A74AEB" w:rsidRPr="002A1CA4" w:rsidRDefault="00A74AEB" w:rsidP="00A74AEB">
      <w:pPr>
        <w:spacing w:line="360" w:lineRule="auto"/>
        <w:ind w:left="360"/>
        <w:rPr>
          <w:rFonts w:cs="Arial"/>
          <w:b/>
          <w:szCs w:val="24"/>
          <w:u w:val="single"/>
        </w:rPr>
      </w:pPr>
    </w:p>
    <w:p w:rsidR="00A74AEB" w:rsidRPr="002A1CA4" w:rsidRDefault="00A74AEB" w:rsidP="00A74AEB">
      <w:pPr>
        <w:pStyle w:val="ListParagraph"/>
        <w:spacing w:line="360" w:lineRule="auto"/>
        <w:rPr>
          <w:rStyle w:val="SubtitleChar"/>
          <w:i w:val="0"/>
          <w:color w:val="auto"/>
          <w:szCs w:val="24"/>
        </w:rPr>
      </w:pPr>
      <w:r w:rsidRPr="00DB36F5">
        <w:t xml:space="preserve">For the construction of a new </w:t>
      </w:r>
      <w:r w:rsidRPr="00DB36F5">
        <w:t>doctor’s</w:t>
      </w:r>
      <w:r w:rsidRPr="00DB36F5">
        <w:t xml:space="preserve"> surgery to accommodate a number of health professionals I would recommend a traditional procurement route as the client in this case being the local health authority will be responsible for designing the building to their own specifications and can then set out to receive a number of tenders. One of the main advantages of doing this would be using the consultants to design the building will allow them to control their own costs and quality of design without compromise</w:t>
      </w:r>
      <w:r w:rsidRPr="002A1CA4">
        <w:rPr>
          <w:szCs w:val="24"/>
        </w:rPr>
        <w:t xml:space="preserve"> </w:t>
      </w:r>
      <w:r w:rsidRPr="002A1CA4">
        <w:rPr>
          <w:rStyle w:val="SubtitleChar"/>
          <w:szCs w:val="24"/>
        </w:rPr>
        <w:t>“It is considered by some that one of the main advantages of the traditional method is the greater certainty”</w:t>
      </w:r>
      <w:sdt>
        <w:sdtPr>
          <w:rPr>
            <w:rStyle w:val="SubtitleChar"/>
            <w:szCs w:val="24"/>
          </w:rPr>
          <w:id w:val="-82382131"/>
          <w:citation/>
        </w:sdtPr>
        <w:sdtContent>
          <w:r w:rsidRPr="002A1CA4">
            <w:rPr>
              <w:rStyle w:val="SubtitleChar"/>
              <w:szCs w:val="24"/>
            </w:rPr>
            <w:fldChar w:fldCharType="begin"/>
          </w:r>
          <w:r w:rsidRPr="002A1CA4">
            <w:rPr>
              <w:rStyle w:val="SubtitleChar"/>
              <w:szCs w:val="24"/>
            </w:rPr>
            <w:instrText xml:space="preserve">CITATION Tra18 \l 2057 </w:instrText>
          </w:r>
          <w:r w:rsidRPr="002A1CA4">
            <w:rPr>
              <w:rStyle w:val="SubtitleChar"/>
              <w:szCs w:val="24"/>
            </w:rPr>
            <w:fldChar w:fldCharType="separate"/>
          </w:r>
          <w:r>
            <w:rPr>
              <w:rStyle w:val="SubtitleChar"/>
              <w:noProof/>
              <w:szCs w:val="24"/>
            </w:rPr>
            <w:t xml:space="preserve"> </w:t>
          </w:r>
          <w:r w:rsidRPr="00D60974">
            <w:rPr>
              <w:rFonts w:eastAsiaTheme="minorEastAsia" w:cstheme="minorBidi"/>
              <w:noProof/>
              <w:color w:val="7030A0"/>
              <w:szCs w:val="24"/>
            </w:rPr>
            <w:t>(Designing Buildings Wiki, 2018)</w:t>
          </w:r>
          <w:r w:rsidRPr="002A1CA4">
            <w:rPr>
              <w:rStyle w:val="SubtitleChar"/>
              <w:szCs w:val="24"/>
            </w:rPr>
            <w:fldChar w:fldCharType="end"/>
          </w:r>
        </w:sdtContent>
      </w:sdt>
      <w:r w:rsidRPr="002A1CA4">
        <w:rPr>
          <w:rFonts w:eastAsiaTheme="minorEastAsia"/>
          <w:szCs w:val="24"/>
        </w:rPr>
        <w:t xml:space="preserve">. </w:t>
      </w:r>
      <w:r w:rsidRPr="00DB36F5">
        <w:rPr>
          <w:rFonts w:eastAsiaTheme="minorEastAsia"/>
        </w:rPr>
        <w:t>Within the healthcare industry it is important that the structure be fit for public use on a regular basis and provide an adequate amount of security while the building is not in use with the client having consultants to design the building they can ensure it is meeting their standards and can be amended as the works continue adding another advantage to this procurement route. While the design is handled by the client the prior to appointing a contractor they are able to change the design while works have commenced by the main contractor through the use of variation orders</w:t>
      </w:r>
      <w:r w:rsidRPr="002A1CA4">
        <w:rPr>
          <w:rStyle w:val="SubtitleChar"/>
          <w:szCs w:val="24"/>
        </w:rPr>
        <w:t xml:space="preserve"> “The </w:t>
      </w:r>
      <w:hyperlink r:id="rId7" w:tooltip="Traditional procurement route" w:history="1">
        <w:r w:rsidRPr="002A1CA4">
          <w:rPr>
            <w:rStyle w:val="SubtitleChar"/>
            <w:szCs w:val="24"/>
          </w:rPr>
          <w:t>traditional procurement route</w:t>
        </w:r>
      </w:hyperlink>
      <w:r w:rsidRPr="002A1CA4">
        <w:rPr>
          <w:rStyle w:val="SubtitleChar"/>
          <w:szCs w:val="24"/>
        </w:rPr>
        <w:t> does allow some </w:t>
      </w:r>
      <w:hyperlink r:id="rId8" w:tooltip="Flexibility" w:history="1">
        <w:r w:rsidRPr="002A1CA4">
          <w:rPr>
            <w:rStyle w:val="SubtitleChar"/>
            <w:szCs w:val="24"/>
          </w:rPr>
          <w:t>flexibility</w:t>
        </w:r>
      </w:hyperlink>
      <w:r w:rsidRPr="002A1CA4">
        <w:rPr>
          <w:rStyle w:val="SubtitleChar"/>
          <w:szCs w:val="24"/>
        </w:rPr>
        <w:t> </w:t>
      </w:r>
      <w:hyperlink r:id="rId9" w:tooltip="Post" w:history="1">
        <w:r w:rsidRPr="002A1CA4">
          <w:rPr>
            <w:rStyle w:val="SubtitleChar"/>
            <w:szCs w:val="24"/>
          </w:rPr>
          <w:t>post</w:t>
        </w:r>
      </w:hyperlink>
      <w:r w:rsidRPr="002A1CA4">
        <w:rPr>
          <w:rStyle w:val="SubtitleChar"/>
          <w:szCs w:val="24"/>
        </w:rPr>
        <w:t> </w:t>
      </w:r>
      <w:hyperlink r:id="rId10" w:tooltip="Tenders" w:history="1">
        <w:r w:rsidRPr="002A1CA4">
          <w:rPr>
            <w:rStyle w:val="SubtitleChar"/>
            <w:szCs w:val="24"/>
          </w:rPr>
          <w:t>tender</w:t>
        </w:r>
      </w:hyperlink>
      <w:r w:rsidRPr="002A1CA4">
        <w:rPr>
          <w:rStyle w:val="SubtitleChar"/>
          <w:szCs w:val="24"/>
        </w:rPr>
        <w:t>, through issuing instructions, </w:t>
      </w:r>
      <w:hyperlink r:id="rId11" w:tooltip="Variations" w:history="1">
        <w:r w:rsidRPr="002A1CA4">
          <w:rPr>
            <w:rStyle w:val="SubtitleChar"/>
            <w:szCs w:val="24"/>
          </w:rPr>
          <w:t>variations</w:t>
        </w:r>
      </w:hyperlink>
      <w:r w:rsidRPr="002A1CA4">
        <w:rPr>
          <w:rStyle w:val="SubtitleChar"/>
          <w:szCs w:val="24"/>
        </w:rPr>
        <w:t> and so on.”</w:t>
      </w:r>
      <w:sdt>
        <w:sdtPr>
          <w:rPr>
            <w:rStyle w:val="SubtitleChar"/>
            <w:szCs w:val="24"/>
          </w:rPr>
          <w:id w:val="-34819418"/>
          <w:citation/>
        </w:sdtPr>
        <w:sdtContent>
          <w:r w:rsidRPr="002A1CA4">
            <w:rPr>
              <w:rStyle w:val="SubtitleChar"/>
              <w:szCs w:val="24"/>
            </w:rPr>
            <w:fldChar w:fldCharType="begin"/>
          </w:r>
          <w:r w:rsidRPr="002A1CA4">
            <w:rPr>
              <w:rStyle w:val="SubtitleChar"/>
              <w:szCs w:val="24"/>
            </w:rPr>
            <w:instrText xml:space="preserve"> CITATION Tra18 \l 2057 </w:instrText>
          </w:r>
          <w:r w:rsidRPr="002A1CA4">
            <w:rPr>
              <w:rStyle w:val="SubtitleChar"/>
              <w:szCs w:val="24"/>
            </w:rPr>
            <w:fldChar w:fldCharType="separate"/>
          </w:r>
          <w:r>
            <w:rPr>
              <w:rStyle w:val="SubtitleChar"/>
              <w:noProof/>
              <w:szCs w:val="24"/>
            </w:rPr>
            <w:t xml:space="preserve"> </w:t>
          </w:r>
          <w:r w:rsidRPr="00D60974">
            <w:rPr>
              <w:rFonts w:eastAsiaTheme="minorEastAsia" w:cstheme="minorBidi"/>
              <w:noProof/>
              <w:color w:val="7030A0"/>
              <w:szCs w:val="24"/>
            </w:rPr>
            <w:t>(Designing Buildings Wiki, 2018)</w:t>
          </w:r>
          <w:r w:rsidRPr="002A1CA4">
            <w:rPr>
              <w:rStyle w:val="SubtitleChar"/>
              <w:szCs w:val="24"/>
            </w:rPr>
            <w:fldChar w:fldCharType="end"/>
          </w:r>
        </w:sdtContent>
      </w:sdt>
      <w:r w:rsidRPr="002A1CA4">
        <w:rPr>
          <w:rStyle w:val="SubtitleChar"/>
          <w:color w:val="auto"/>
          <w:szCs w:val="24"/>
        </w:rPr>
        <w:t xml:space="preserve">. </w:t>
      </w:r>
      <w:r w:rsidRPr="00DB36F5">
        <w:rPr>
          <w:rFonts w:eastAsiaTheme="minorEastAsia"/>
        </w:rPr>
        <w:t>This kind of contract would also be familiar to the client as the local health authority have been involved in various other healthcare facility projects it is more than likely they have come across this procurement route before as it is the most common kind of procurement route.</w:t>
      </w:r>
      <w:r w:rsidRPr="002A1CA4">
        <w:rPr>
          <w:rFonts w:eastAsiaTheme="minorEastAsia"/>
          <w:szCs w:val="24"/>
        </w:rPr>
        <w:t xml:space="preserve"> </w:t>
      </w:r>
    </w:p>
    <w:p w:rsidR="00A74AEB" w:rsidRPr="002A1CA4" w:rsidRDefault="00A74AEB" w:rsidP="00A74AEB">
      <w:pPr>
        <w:spacing w:line="360" w:lineRule="auto"/>
        <w:rPr>
          <w:rFonts w:cstheme="minorHAnsi"/>
          <w:b/>
          <w:szCs w:val="24"/>
        </w:rPr>
      </w:pPr>
    </w:p>
    <w:p w:rsidR="00A74AEB" w:rsidRPr="002A1CA4" w:rsidRDefault="00A74AEB" w:rsidP="00A74AEB">
      <w:pPr>
        <w:spacing w:line="360" w:lineRule="auto"/>
        <w:rPr>
          <w:rFonts w:cs="Arial"/>
          <w:b/>
          <w:szCs w:val="24"/>
          <w:u w:val="single"/>
        </w:rPr>
      </w:pPr>
      <w:r w:rsidRPr="002A1CA4">
        <w:rPr>
          <w:rFonts w:cs="Arial"/>
          <w:b/>
          <w:szCs w:val="24"/>
          <w:u w:val="single"/>
        </w:rPr>
        <w:t xml:space="preserve">A new Tesco superstore for the town of </w:t>
      </w:r>
      <w:proofErr w:type="spellStart"/>
      <w:r w:rsidRPr="002A1CA4">
        <w:rPr>
          <w:rFonts w:cs="Arial"/>
          <w:b/>
          <w:szCs w:val="24"/>
          <w:u w:val="single"/>
        </w:rPr>
        <w:t>Skewen</w:t>
      </w:r>
      <w:proofErr w:type="spellEnd"/>
      <w:r w:rsidRPr="002A1CA4">
        <w:rPr>
          <w:rFonts w:cs="Arial"/>
          <w:b/>
          <w:szCs w:val="24"/>
          <w:u w:val="single"/>
        </w:rPr>
        <w:t xml:space="preserve"> it is to have a total floor area of 3400 m2 of which 1800 m2 will be sales area. Tesco wish the store to comply with their corporate image and to be open by September of 2019.</w:t>
      </w:r>
    </w:p>
    <w:p w:rsidR="00A74AEB" w:rsidRPr="002A1CA4" w:rsidRDefault="00A74AEB" w:rsidP="00A74AEB">
      <w:pPr>
        <w:spacing w:line="360" w:lineRule="auto"/>
        <w:rPr>
          <w:rFonts w:cstheme="minorHAnsi"/>
          <w:b/>
          <w:szCs w:val="24"/>
        </w:rPr>
      </w:pPr>
    </w:p>
    <w:p w:rsidR="00A74AEB" w:rsidRPr="002A1CA4" w:rsidRDefault="00A74AEB" w:rsidP="00A74AEB">
      <w:pPr>
        <w:shd w:val="clear" w:color="auto" w:fill="FFFFFF"/>
        <w:spacing w:line="360" w:lineRule="auto"/>
        <w:ind w:left="720" w:right="240"/>
        <w:rPr>
          <w:rFonts w:cs="Arial"/>
          <w:color w:val="000000"/>
          <w:szCs w:val="24"/>
        </w:rPr>
      </w:pPr>
      <w:r w:rsidRPr="00DB36F5">
        <w:lastRenderedPageBreak/>
        <w:t>To construct a new superstore by September 2019 I would recommend a design and build procurement route. My reasoning for this would be due to a close deadline by using a design and build procurement route we would be eliminating a lot of paperwork time by incorporating it all under one singular contract</w:t>
      </w:r>
      <w:r w:rsidRPr="002A1CA4">
        <w:rPr>
          <w:szCs w:val="24"/>
        </w:rPr>
        <w:t xml:space="preserve"> </w:t>
      </w:r>
      <w:r w:rsidRPr="002A1CA4">
        <w:rPr>
          <w:rStyle w:val="SubtitleChar"/>
          <w:szCs w:val="24"/>
        </w:rPr>
        <w:t>“reduced construction time. If the contractor is entirely responsible for design a great deal of time can potentially be saved as the design and building elements will run concurrently”</w:t>
      </w:r>
      <w:sdt>
        <w:sdtPr>
          <w:rPr>
            <w:rStyle w:val="SubtitleChar"/>
            <w:szCs w:val="24"/>
          </w:rPr>
          <w:id w:val="2122635978"/>
          <w:citation/>
        </w:sdtPr>
        <w:sdtContent>
          <w:r w:rsidRPr="002A1CA4">
            <w:rPr>
              <w:rStyle w:val="SubtitleChar"/>
              <w:szCs w:val="24"/>
            </w:rPr>
            <w:fldChar w:fldCharType="begin"/>
          </w:r>
          <w:r w:rsidRPr="002A1CA4">
            <w:rPr>
              <w:rStyle w:val="SubtitleChar"/>
              <w:szCs w:val="24"/>
            </w:rPr>
            <w:instrText xml:space="preserve"> CITATION TWC15 \l 2057 </w:instrText>
          </w:r>
          <w:r w:rsidRPr="002A1CA4">
            <w:rPr>
              <w:rStyle w:val="SubtitleChar"/>
              <w:szCs w:val="24"/>
            </w:rPr>
            <w:fldChar w:fldCharType="separate"/>
          </w:r>
          <w:r>
            <w:rPr>
              <w:rStyle w:val="SubtitleChar"/>
              <w:noProof/>
              <w:szCs w:val="24"/>
            </w:rPr>
            <w:t xml:space="preserve"> </w:t>
          </w:r>
          <w:r w:rsidRPr="00D60974">
            <w:rPr>
              <w:rFonts w:eastAsiaTheme="minorEastAsia" w:cstheme="minorBidi"/>
              <w:noProof/>
              <w:color w:val="7030A0"/>
              <w:szCs w:val="24"/>
            </w:rPr>
            <w:t>(TWC Consulting , 2015)</w:t>
          </w:r>
          <w:r w:rsidRPr="002A1CA4">
            <w:rPr>
              <w:rStyle w:val="SubtitleChar"/>
              <w:szCs w:val="24"/>
            </w:rPr>
            <w:fldChar w:fldCharType="end"/>
          </w:r>
        </w:sdtContent>
      </w:sdt>
      <w:r w:rsidRPr="00DB36F5">
        <w:t>.</w:t>
      </w:r>
      <w:r w:rsidRPr="002A1CA4">
        <w:rPr>
          <w:szCs w:val="24"/>
        </w:rPr>
        <w:t xml:space="preserve"> </w:t>
      </w:r>
      <w:r w:rsidRPr="00DB36F5">
        <w:t>The client can give the contractor the guidelines for their project for</w:t>
      </w:r>
      <w:r w:rsidRPr="002A1CA4">
        <w:rPr>
          <w:szCs w:val="24"/>
        </w:rPr>
        <w:t xml:space="preserve"> </w:t>
      </w:r>
      <w:r w:rsidRPr="00DB36F5">
        <w:t xml:space="preserve">example: 3400m2 floor area with 1800m2 sales floor area while keeping up with their corporate image. Most if not all contractors can see or would have seen that the vast majority of Tesco superstores are traditionally built from steel support beams (Using precast concrete piles as </w:t>
      </w:r>
      <w:proofErr w:type="gramStart"/>
      <w:r w:rsidRPr="00DB36F5">
        <w:t>foundations)  and</w:t>
      </w:r>
      <w:proofErr w:type="gramEnd"/>
      <w:r w:rsidRPr="00DB36F5">
        <w:t xml:space="preserve"> white corrugated sheets making up the walls and roofing of the structure. In recently built or renovated stores they have also incorporated a timber façade to make the stores more anaesthetically pleasing to the eye while the large illuminated ‘TESCO’ logo is still the first thing eyes are drawn to from a distance. Having a contractor using the design and build method to build such a structure should present no problem what so ever so long as the contractor is reputable or has previously had experience in building a commercial building. The design team will also work with the contractor when designing the store to keep the clients corporate image in mind throughout the entire project. The client will only have to deal with a single contractor throughout the duration of the contract using a design and build procurement route benefitting the client and the construction can begin once the contract is signed before the entire design is completed</w:t>
      </w:r>
      <w:r w:rsidRPr="002A1CA4">
        <w:rPr>
          <w:szCs w:val="24"/>
        </w:rPr>
        <w:t xml:space="preserve"> </w:t>
      </w:r>
      <w:r w:rsidRPr="002A1CA4">
        <w:rPr>
          <w:rStyle w:val="SubtitleChar"/>
          <w:szCs w:val="24"/>
        </w:rPr>
        <w:t>“The employer only has one organisation to deal with - one point of responsibility once the design and build contract is awarded”</w:t>
      </w:r>
      <w:sdt>
        <w:sdtPr>
          <w:rPr>
            <w:rStyle w:val="SubtitleChar"/>
            <w:szCs w:val="24"/>
          </w:rPr>
          <w:id w:val="113952927"/>
          <w:citation/>
        </w:sdtPr>
        <w:sdtEndPr>
          <w:rPr>
            <w:rStyle w:val="DefaultParagraphFont"/>
            <w:rFonts w:eastAsia="Times New Roman" w:cs="Arial"/>
            <w:i w:val="0"/>
            <w:color w:val="000000"/>
          </w:rPr>
        </w:sdtEndPr>
        <w:sdtContent>
          <w:r w:rsidRPr="002A1CA4">
            <w:rPr>
              <w:rStyle w:val="SubtitleChar"/>
              <w:szCs w:val="24"/>
            </w:rPr>
            <w:fldChar w:fldCharType="begin"/>
          </w:r>
          <w:r w:rsidRPr="002A1CA4">
            <w:rPr>
              <w:rStyle w:val="SubtitleChar"/>
              <w:szCs w:val="24"/>
            </w:rPr>
            <w:instrText xml:space="preserve"> CITATION Sim13 \l 2057 </w:instrText>
          </w:r>
          <w:r w:rsidRPr="002A1CA4">
            <w:rPr>
              <w:rStyle w:val="SubtitleChar"/>
              <w:szCs w:val="24"/>
            </w:rPr>
            <w:fldChar w:fldCharType="separate"/>
          </w:r>
          <w:r>
            <w:rPr>
              <w:rStyle w:val="SubtitleChar"/>
              <w:noProof/>
              <w:szCs w:val="24"/>
            </w:rPr>
            <w:t xml:space="preserve"> </w:t>
          </w:r>
          <w:r w:rsidRPr="00D60974">
            <w:rPr>
              <w:rFonts w:eastAsiaTheme="minorEastAsia" w:cstheme="minorBidi"/>
              <w:noProof/>
              <w:color w:val="7030A0"/>
              <w:szCs w:val="24"/>
            </w:rPr>
            <w:t>(Millman, 2013)</w:t>
          </w:r>
          <w:r w:rsidRPr="002A1CA4">
            <w:rPr>
              <w:rStyle w:val="SubtitleChar"/>
              <w:szCs w:val="24"/>
            </w:rPr>
            <w:fldChar w:fldCharType="end"/>
          </w:r>
        </w:sdtContent>
      </w:sdt>
      <w:r w:rsidRPr="002A1CA4">
        <w:rPr>
          <w:rFonts w:cs="Arial"/>
          <w:color w:val="auto"/>
          <w:szCs w:val="24"/>
        </w:rPr>
        <w:t xml:space="preserve">. </w:t>
      </w:r>
    </w:p>
    <w:p w:rsidR="00A74AEB" w:rsidRPr="002A1CA4" w:rsidRDefault="00A74AEB" w:rsidP="00A74AEB">
      <w:pPr>
        <w:spacing w:line="360" w:lineRule="auto"/>
        <w:rPr>
          <w:rFonts w:cstheme="minorHAnsi"/>
          <w:b/>
          <w:szCs w:val="24"/>
        </w:rPr>
      </w:pPr>
    </w:p>
    <w:p w:rsidR="00A74AEB" w:rsidRPr="002A1CA4" w:rsidRDefault="00A74AEB" w:rsidP="00A74AEB">
      <w:pPr>
        <w:spacing w:line="360" w:lineRule="auto"/>
        <w:rPr>
          <w:rFonts w:cs="Arial"/>
          <w:b/>
          <w:szCs w:val="24"/>
          <w:u w:val="single"/>
        </w:rPr>
      </w:pPr>
      <w:r w:rsidRPr="002A1CA4">
        <w:rPr>
          <w:rFonts w:cs="Arial"/>
          <w:b/>
          <w:szCs w:val="24"/>
          <w:u w:val="single"/>
        </w:rPr>
        <w:t xml:space="preserve">The construction of a new boutique hotel for Hilton Hotels in Swansea Marina. The project is to be privately financed by a merchant bank which has set a firm cost limit for the project. </w:t>
      </w:r>
    </w:p>
    <w:p w:rsidR="00A74AEB" w:rsidRPr="002A1CA4" w:rsidRDefault="00A74AEB" w:rsidP="00A74AEB">
      <w:pPr>
        <w:spacing w:line="360" w:lineRule="auto"/>
        <w:rPr>
          <w:rFonts w:cstheme="minorHAnsi"/>
          <w:b/>
          <w:szCs w:val="24"/>
        </w:rPr>
      </w:pPr>
    </w:p>
    <w:p w:rsidR="00A74AEB" w:rsidRDefault="00A74AEB" w:rsidP="00A74AEB">
      <w:pPr>
        <w:pStyle w:val="ListParagraph"/>
        <w:spacing w:line="360" w:lineRule="auto"/>
        <w:rPr>
          <w:szCs w:val="24"/>
        </w:rPr>
      </w:pPr>
      <w:r w:rsidRPr="00DB36F5">
        <w:t xml:space="preserve">For the construction of a new boutique hotel for Hilton Hotels in Swansea Marina I would recommend a traditional procurement route as this is being financed for by a </w:t>
      </w:r>
      <w:r w:rsidRPr="00DB36F5">
        <w:lastRenderedPageBreak/>
        <w:t>merchant bank with a firm cost limit.</w:t>
      </w:r>
      <w:r w:rsidRPr="002A1CA4">
        <w:rPr>
          <w:rFonts w:cstheme="minorHAnsi"/>
          <w:b/>
          <w:szCs w:val="24"/>
        </w:rPr>
        <w:t xml:space="preserve"> </w:t>
      </w:r>
      <w:r w:rsidRPr="002A1CA4">
        <w:rPr>
          <w:rStyle w:val="SubtitleChar"/>
          <w:rFonts w:cstheme="minorHAnsi"/>
          <w:szCs w:val="24"/>
        </w:rPr>
        <w:t>“The cost should be fixed from the start, which offers some certainly for the client – and they retain control of the design throughout”</w:t>
      </w:r>
      <w:sdt>
        <w:sdtPr>
          <w:rPr>
            <w:rStyle w:val="SubtitleChar"/>
            <w:rFonts w:cstheme="minorHAnsi"/>
            <w:szCs w:val="24"/>
          </w:rPr>
          <w:id w:val="-1779327284"/>
          <w:citation/>
        </w:sdtPr>
        <w:sdtContent>
          <w:r w:rsidRPr="002A1CA4">
            <w:rPr>
              <w:rStyle w:val="SubtitleChar"/>
              <w:rFonts w:cstheme="minorHAnsi"/>
              <w:szCs w:val="24"/>
            </w:rPr>
            <w:fldChar w:fldCharType="begin"/>
          </w:r>
          <w:r w:rsidRPr="002A1CA4">
            <w:rPr>
              <w:rStyle w:val="SubtitleChar"/>
              <w:rFonts w:cstheme="minorHAnsi"/>
              <w:szCs w:val="24"/>
            </w:rPr>
            <w:instrText xml:space="preserve"> CITATION Mik19 \l 2057 </w:instrText>
          </w:r>
          <w:r w:rsidRPr="002A1CA4">
            <w:rPr>
              <w:rStyle w:val="SubtitleChar"/>
              <w:rFonts w:cstheme="minorHAnsi"/>
              <w:szCs w:val="24"/>
            </w:rPr>
            <w:fldChar w:fldCharType="separate"/>
          </w:r>
          <w:r>
            <w:rPr>
              <w:rStyle w:val="SubtitleChar"/>
              <w:rFonts w:cstheme="minorHAnsi"/>
              <w:noProof/>
              <w:szCs w:val="24"/>
            </w:rPr>
            <w:t xml:space="preserve"> </w:t>
          </w:r>
          <w:r w:rsidRPr="00D60974">
            <w:rPr>
              <w:rFonts w:eastAsiaTheme="minorEastAsia" w:cstheme="minorHAnsi"/>
              <w:noProof/>
              <w:color w:val="7030A0"/>
              <w:szCs w:val="24"/>
            </w:rPr>
            <w:t>(Johanson, n.d.)</w:t>
          </w:r>
          <w:r w:rsidRPr="002A1CA4">
            <w:rPr>
              <w:rStyle w:val="SubtitleChar"/>
              <w:rFonts w:cstheme="minorHAnsi"/>
              <w:szCs w:val="24"/>
            </w:rPr>
            <w:fldChar w:fldCharType="end"/>
          </w:r>
        </w:sdtContent>
      </w:sdt>
      <w:r w:rsidRPr="002A1CA4">
        <w:rPr>
          <w:rStyle w:val="SubtitleChar"/>
          <w:rFonts w:cstheme="minorHAnsi"/>
          <w:szCs w:val="24"/>
        </w:rPr>
        <w:t>.</w:t>
      </w:r>
      <w:r w:rsidRPr="002A1CA4">
        <w:rPr>
          <w:szCs w:val="24"/>
        </w:rPr>
        <w:t xml:space="preserve"> </w:t>
      </w:r>
      <w:r w:rsidRPr="00DB36F5">
        <w:t>Using this procurement method may add time to the project but will however ensure the client’s budget is not overstepped. An alternative method of procurement I would also recommend is the management contracting route. It would allow the client to hire a management contractor during the design phase of the project to oversee the management of multiple contracts for various sub-contractors. With this kind of procurement route the client appoints the design team of an architect, quantity surveyor and various consultants if required and then the management contractor during the design phase. An advantage of this kind of procurement route is that works may commence for example sub structure work can begin while the rest of the building is still being designed</w:t>
      </w:r>
      <w:r w:rsidRPr="002A1CA4">
        <w:rPr>
          <w:szCs w:val="24"/>
        </w:rPr>
        <w:t xml:space="preserve"> </w:t>
      </w:r>
      <w:r w:rsidRPr="002A1CA4">
        <w:rPr>
          <w:rStyle w:val="SubtitleChar"/>
          <w:szCs w:val="24"/>
        </w:rPr>
        <w:t xml:space="preserve">“It also enables some works contracts to be tendered earlier than others, and sometimes, even before the design is completed (for example, piling might commence whilst the detailed design of above ground works continues)” </w:t>
      </w:r>
      <w:sdt>
        <w:sdtPr>
          <w:rPr>
            <w:rStyle w:val="SubtitleChar"/>
            <w:szCs w:val="24"/>
          </w:rPr>
          <w:id w:val="1533379385"/>
          <w:citation/>
        </w:sdtPr>
        <w:sdtContent>
          <w:r w:rsidRPr="002A1CA4">
            <w:rPr>
              <w:rStyle w:val="SubtitleChar"/>
              <w:szCs w:val="24"/>
            </w:rPr>
            <w:fldChar w:fldCharType="begin"/>
          </w:r>
          <w:r w:rsidRPr="002A1CA4">
            <w:rPr>
              <w:rStyle w:val="SubtitleChar"/>
              <w:szCs w:val="24"/>
            </w:rPr>
            <w:instrText xml:space="preserve"> CITATION des19 \l 2057 </w:instrText>
          </w:r>
          <w:r w:rsidRPr="002A1CA4">
            <w:rPr>
              <w:rStyle w:val="SubtitleChar"/>
              <w:szCs w:val="24"/>
            </w:rPr>
            <w:fldChar w:fldCharType="separate"/>
          </w:r>
          <w:r w:rsidRPr="00D60974">
            <w:rPr>
              <w:rFonts w:eastAsiaTheme="minorEastAsia" w:cstheme="minorBidi"/>
              <w:noProof/>
              <w:color w:val="7030A0"/>
              <w:szCs w:val="24"/>
            </w:rPr>
            <w:t>(designingbuildings, 2019)</w:t>
          </w:r>
          <w:r w:rsidRPr="002A1CA4">
            <w:rPr>
              <w:rStyle w:val="SubtitleChar"/>
              <w:szCs w:val="24"/>
            </w:rPr>
            <w:fldChar w:fldCharType="end"/>
          </w:r>
        </w:sdtContent>
      </w:sdt>
      <w:r w:rsidRPr="002A1CA4">
        <w:rPr>
          <w:szCs w:val="24"/>
        </w:rPr>
        <w:t xml:space="preserve">. </w:t>
      </w:r>
      <w:r w:rsidRPr="00DB36F5">
        <w:t>This would provide a large advantage to the contractor as the use of multiple contracts allows for an ongoing tendering process to find the best price and as works begin prior to the design being finished it allows time for any changes the client may light to implement.</w:t>
      </w:r>
      <w:r w:rsidRPr="002A1CA4">
        <w:rPr>
          <w:szCs w:val="24"/>
        </w:rPr>
        <w:t xml:space="preserve"> </w:t>
      </w:r>
    </w:p>
    <w:p w:rsidR="00A74AEB" w:rsidRPr="002A1CA4" w:rsidRDefault="00A74AEB" w:rsidP="00A74AEB">
      <w:pPr>
        <w:pStyle w:val="ListParagraph"/>
        <w:spacing w:line="360" w:lineRule="auto"/>
        <w:ind w:left="567"/>
        <w:rPr>
          <w:rFonts w:cstheme="minorHAnsi"/>
          <w:b/>
          <w:szCs w:val="24"/>
        </w:rPr>
      </w:pPr>
    </w:p>
    <w:p w:rsidR="00A74AEB" w:rsidRPr="002A1CA4" w:rsidRDefault="00A74AEB" w:rsidP="00A74AEB">
      <w:pPr>
        <w:spacing w:line="360" w:lineRule="auto"/>
        <w:rPr>
          <w:rFonts w:cs="Arial"/>
          <w:b/>
          <w:szCs w:val="24"/>
          <w:u w:val="single"/>
        </w:rPr>
      </w:pPr>
      <w:r w:rsidRPr="002A1CA4">
        <w:rPr>
          <w:rFonts w:cs="Arial"/>
          <w:b/>
          <w:szCs w:val="24"/>
          <w:u w:val="single"/>
        </w:rPr>
        <w:t xml:space="preserve">Upgrading a small community Theatre in Merthyr Tydfil, the Theatre is managed by a group of volunteers who control the Theatre through a company limited by guarantee. This means that they might be liable for any losses the Theatre makes. The extent of the works is to refurbish the floor finishes, provided disabled toilet facilities and install a new kitchen that meets current hygiene standards. </w:t>
      </w:r>
    </w:p>
    <w:p w:rsidR="00A74AEB" w:rsidRPr="002A1CA4" w:rsidRDefault="00A74AEB" w:rsidP="00A74AEB">
      <w:pPr>
        <w:pStyle w:val="ListParagraph"/>
        <w:spacing w:line="360" w:lineRule="auto"/>
        <w:rPr>
          <w:szCs w:val="24"/>
        </w:rPr>
      </w:pPr>
    </w:p>
    <w:p w:rsidR="00A74AEB" w:rsidRPr="002A1CA4" w:rsidRDefault="00A74AEB" w:rsidP="00A74AEB">
      <w:pPr>
        <w:spacing w:line="360" w:lineRule="auto"/>
        <w:ind w:left="513"/>
        <w:rPr>
          <w:color w:val="auto"/>
          <w:szCs w:val="24"/>
        </w:rPr>
      </w:pPr>
      <w:r w:rsidRPr="00DB36F5">
        <w:t>For the upgrading of a small community theatre in Merthyr Tydfil I would recommend the design and build procurement method. By using this procurement method we can have the contractor indicate the maximum cost of the project</w:t>
      </w:r>
      <w:r w:rsidRPr="002A1CA4">
        <w:rPr>
          <w:szCs w:val="24"/>
        </w:rPr>
        <w:t xml:space="preserve"> </w:t>
      </w:r>
      <w:r w:rsidRPr="002A1CA4">
        <w:rPr>
          <w:rStyle w:val="SubtitleChar"/>
          <w:szCs w:val="24"/>
        </w:rPr>
        <w:t>“contractor often should dictate a fixed cost or a guaranteed maximum price that offers certainty to the client”</w:t>
      </w:r>
      <w:sdt>
        <w:sdtPr>
          <w:rPr>
            <w:rStyle w:val="SubtitleChar"/>
            <w:szCs w:val="24"/>
          </w:rPr>
          <w:id w:val="-1721971805"/>
          <w:citation/>
        </w:sdtPr>
        <w:sdtContent>
          <w:r w:rsidRPr="002A1CA4">
            <w:rPr>
              <w:rStyle w:val="SubtitleChar"/>
              <w:szCs w:val="24"/>
            </w:rPr>
            <w:fldChar w:fldCharType="begin"/>
          </w:r>
          <w:r w:rsidRPr="002A1CA4">
            <w:rPr>
              <w:rStyle w:val="SubtitleChar"/>
              <w:szCs w:val="24"/>
            </w:rPr>
            <w:instrText xml:space="preserve"> CITATION Mik19 \l 2057 </w:instrText>
          </w:r>
          <w:r w:rsidRPr="002A1CA4">
            <w:rPr>
              <w:rStyle w:val="SubtitleChar"/>
              <w:szCs w:val="24"/>
            </w:rPr>
            <w:fldChar w:fldCharType="separate"/>
          </w:r>
          <w:r>
            <w:rPr>
              <w:rStyle w:val="SubtitleChar"/>
              <w:noProof/>
              <w:szCs w:val="24"/>
            </w:rPr>
            <w:t xml:space="preserve"> </w:t>
          </w:r>
          <w:r w:rsidRPr="00D60974">
            <w:rPr>
              <w:rFonts w:eastAsiaTheme="minorEastAsia" w:cstheme="minorBidi"/>
              <w:noProof/>
              <w:color w:val="7030A0"/>
              <w:szCs w:val="24"/>
            </w:rPr>
            <w:t>(Johanson, n.d.)</w:t>
          </w:r>
          <w:r w:rsidRPr="002A1CA4">
            <w:rPr>
              <w:rStyle w:val="SubtitleChar"/>
              <w:szCs w:val="24"/>
            </w:rPr>
            <w:fldChar w:fldCharType="end"/>
          </w:r>
        </w:sdtContent>
      </w:sdt>
      <w:r w:rsidRPr="002A1CA4">
        <w:rPr>
          <w:rStyle w:val="SubtitleChar"/>
          <w:color w:val="auto"/>
          <w:szCs w:val="24"/>
        </w:rPr>
        <w:t>.</w:t>
      </w:r>
      <w:r w:rsidRPr="002A1CA4">
        <w:rPr>
          <w:rStyle w:val="SubtitleChar"/>
          <w:szCs w:val="24"/>
        </w:rPr>
        <w:t xml:space="preserve"> </w:t>
      </w:r>
      <w:r w:rsidRPr="00DB36F5">
        <w:rPr>
          <w:rFonts w:eastAsiaTheme="minorEastAsia"/>
        </w:rPr>
        <w:t xml:space="preserve">This would provide comfort to the client as they may be liable to any losses the project makes. By doing a design and build procurement route the </w:t>
      </w:r>
      <w:r w:rsidRPr="00DB36F5">
        <w:rPr>
          <w:rFonts w:eastAsiaTheme="minorEastAsia"/>
        </w:rPr>
        <w:lastRenderedPageBreak/>
        <w:t>contractor may decide to upgrade the community centre in steps for example starting with the disables toilets and then after the price is agreed and ensured moving onto the kitchen and finally the floor finishes</w:t>
      </w:r>
      <w:r>
        <w:rPr>
          <w:rFonts w:eastAsiaTheme="minorEastAsia"/>
        </w:rPr>
        <w:t xml:space="preserve"> this can be done by either an agreement with the contractor or by using multiple contracts with either the same or various other contractors, this way if the budget is too small a portion of the work can be completed and the other works can be completed at a later date and by doing this we can avoid any cancellation fees</w:t>
      </w:r>
      <w:r w:rsidRPr="00DB36F5">
        <w:rPr>
          <w:rFonts w:eastAsiaTheme="minorEastAsia"/>
        </w:rPr>
        <w:t>. This type of procurement method is also faster than the traditional procurement method which would allow works to begin quicker, this would also mean the theatre would be closed for a shorter period of time and allow them to reopen their doors earlier to reduce any loss of cash.</w:t>
      </w:r>
      <w:r>
        <w:rPr>
          <w:rStyle w:val="SubtitleChar"/>
          <w:color w:val="auto"/>
          <w:szCs w:val="24"/>
        </w:rPr>
        <w:t xml:space="preserve"> </w:t>
      </w:r>
    </w:p>
    <w:p w:rsidR="00A74AEB" w:rsidRPr="009A6D80" w:rsidRDefault="00A74AEB" w:rsidP="00A74AEB">
      <w:pPr>
        <w:spacing w:line="360" w:lineRule="auto"/>
        <w:rPr>
          <w:rFonts w:cstheme="minorHAnsi"/>
          <w:b/>
          <w:szCs w:val="24"/>
        </w:rPr>
      </w:pPr>
    </w:p>
    <w:p w:rsidR="00A74AEB" w:rsidRDefault="00A74AEB" w:rsidP="00A74AEB">
      <w:pPr>
        <w:spacing w:line="360" w:lineRule="auto"/>
        <w:rPr>
          <w:rFonts w:cstheme="minorHAnsi"/>
          <w:b/>
          <w:szCs w:val="24"/>
        </w:rPr>
      </w:pPr>
    </w:p>
    <w:p w:rsidR="00A74AEB" w:rsidRDefault="00A74AEB" w:rsidP="00A74AEB">
      <w:pPr>
        <w:spacing w:line="360" w:lineRule="auto"/>
        <w:rPr>
          <w:rFonts w:cstheme="minorHAnsi"/>
          <w:b/>
          <w:szCs w:val="24"/>
        </w:rPr>
      </w:pPr>
    </w:p>
    <w:p w:rsidR="00A74AEB" w:rsidRDefault="00A74AEB" w:rsidP="00A74AEB">
      <w:pPr>
        <w:spacing w:line="360" w:lineRule="auto"/>
        <w:rPr>
          <w:rFonts w:cstheme="minorHAnsi"/>
          <w:b/>
          <w:szCs w:val="24"/>
        </w:rPr>
      </w:pPr>
    </w:p>
    <w:p w:rsidR="00A74AEB" w:rsidRDefault="00A74AEB" w:rsidP="00A74AEB">
      <w:pPr>
        <w:spacing w:line="360" w:lineRule="auto"/>
        <w:rPr>
          <w:rFonts w:cstheme="minorHAnsi"/>
          <w:b/>
          <w:szCs w:val="24"/>
        </w:rPr>
      </w:pPr>
    </w:p>
    <w:p w:rsidR="00A74AEB" w:rsidRDefault="00A74AEB" w:rsidP="00A74AEB">
      <w:pPr>
        <w:spacing w:line="360" w:lineRule="auto"/>
        <w:rPr>
          <w:rFonts w:cstheme="minorHAnsi"/>
          <w:b/>
          <w:szCs w:val="24"/>
        </w:rPr>
      </w:pPr>
    </w:p>
    <w:p w:rsidR="00A74AEB" w:rsidRDefault="00A74AEB" w:rsidP="00A74AEB">
      <w:pPr>
        <w:spacing w:line="360" w:lineRule="auto"/>
        <w:rPr>
          <w:rFonts w:cstheme="minorHAnsi"/>
          <w:b/>
          <w:szCs w:val="24"/>
        </w:rPr>
      </w:pPr>
    </w:p>
    <w:p w:rsidR="00A74AEB" w:rsidRPr="009A6D80" w:rsidRDefault="00A74AEB" w:rsidP="00A74AEB">
      <w:pPr>
        <w:spacing w:line="360" w:lineRule="auto"/>
        <w:rPr>
          <w:rFonts w:cstheme="minorHAnsi"/>
          <w:b/>
          <w:szCs w:val="24"/>
        </w:rPr>
      </w:pPr>
    </w:p>
    <w:sdt>
      <w:sdtPr>
        <w:rPr>
          <w:b w:val="0"/>
          <w:sz w:val="24"/>
        </w:rPr>
        <w:id w:val="-1934192034"/>
        <w:docPartObj>
          <w:docPartGallery w:val="Bibliographies"/>
          <w:docPartUnique/>
        </w:docPartObj>
      </w:sdtPr>
      <w:sdtContent>
        <w:p w:rsidR="00A74AEB" w:rsidRDefault="00A74AEB" w:rsidP="00A74AEB">
          <w:pPr>
            <w:pStyle w:val="Heading1"/>
          </w:pPr>
          <w:r>
            <w:t>References</w:t>
          </w:r>
        </w:p>
        <w:sdt>
          <w:sdtPr>
            <w:id w:val="-573587230"/>
            <w:bibliography/>
          </w:sdtPr>
          <w:sdtContent>
            <w:p w:rsidR="00A74AEB" w:rsidRDefault="00A74AEB" w:rsidP="00A74AEB">
              <w:pPr>
                <w:pStyle w:val="Bibliography"/>
                <w:rPr>
                  <w:noProof/>
                  <w:szCs w:val="24"/>
                </w:rPr>
              </w:pPr>
              <w:r>
                <w:fldChar w:fldCharType="begin"/>
              </w:r>
              <w:r>
                <w:instrText xml:space="preserve"> BIBLIOGRAPHY </w:instrText>
              </w:r>
              <w:r>
                <w:fldChar w:fldCharType="separate"/>
              </w:r>
              <w:r>
                <w:rPr>
                  <w:noProof/>
                </w:rPr>
                <w:t xml:space="preserve">Designing Buildings Wiki, 2018. </w:t>
              </w:r>
              <w:r>
                <w:rPr>
                  <w:i/>
                  <w:iCs/>
                  <w:noProof/>
                </w:rPr>
                <w:t xml:space="preserve">Traditional Contract - Pro and Cons. </w:t>
              </w:r>
              <w:r>
                <w:rPr>
                  <w:noProof/>
                </w:rPr>
                <w:t xml:space="preserve">[Online] </w:t>
              </w:r>
              <w:r>
                <w:rPr>
                  <w:noProof/>
                </w:rPr>
                <w:br/>
                <w:t xml:space="preserve">Available at: </w:t>
              </w:r>
              <w:r>
                <w:rPr>
                  <w:noProof/>
                  <w:u w:val="single"/>
                </w:rPr>
                <w:t>https://www.designingbuildings.co.uk/wiki/Traditional_contract_-_pros_and_cons</w:t>
              </w:r>
              <w:r>
                <w:rPr>
                  <w:noProof/>
                </w:rPr>
                <w:br/>
                <w:t>[Accessed 14 03 2019].</w:t>
              </w:r>
            </w:p>
            <w:p w:rsidR="00A74AEB" w:rsidRDefault="00A74AEB" w:rsidP="00A74AEB">
              <w:pPr>
                <w:pStyle w:val="Bibliography"/>
                <w:rPr>
                  <w:noProof/>
                </w:rPr>
              </w:pPr>
              <w:r>
                <w:rPr>
                  <w:noProof/>
                </w:rPr>
                <w:t xml:space="preserve">designingbuildings, 2019. </w:t>
              </w:r>
              <w:r>
                <w:rPr>
                  <w:i/>
                  <w:iCs/>
                  <w:noProof/>
                </w:rPr>
                <w:t xml:space="preserve">Management Contractor. </w:t>
              </w:r>
              <w:r>
                <w:rPr>
                  <w:noProof/>
                </w:rPr>
                <w:t xml:space="preserve">[Online] </w:t>
              </w:r>
              <w:r>
                <w:rPr>
                  <w:noProof/>
                </w:rPr>
                <w:br/>
                <w:t xml:space="preserve">Available at: </w:t>
              </w:r>
              <w:r>
                <w:rPr>
                  <w:noProof/>
                  <w:u w:val="single"/>
                </w:rPr>
                <w:t>https://www.designingbuildings.co.uk/wiki/Management_contractor</w:t>
              </w:r>
              <w:r>
                <w:rPr>
                  <w:noProof/>
                </w:rPr>
                <w:br/>
                <w:t>[Accessed 14 03 2019].</w:t>
              </w:r>
            </w:p>
            <w:p w:rsidR="00A74AEB" w:rsidRDefault="00A74AEB" w:rsidP="00A74AEB">
              <w:pPr>
                <w:pStyle w:val="Bibliography"/>
                <w:rPr>
                  <w:noProof/>
                </w:rPr>
              </w:pPr>
              <w:r>
                <w:rPr>
                  <w:noProof/>
                </w:rPr>
                <w:t xml:space="preserve">Johanson, M., n.d. </w:t>
              </w:r>
              <w:r>
                <w:rPr>
                  <w:i/>
                  <w:iCs/>
                  <w:noProof/>
                </w:rPr>
                <w:t xml:space="preserve">The 3 Procurement Methods: Advantages and Disadvantages. </w:t>
              </w:r>
              <w:r>
                <w:rPr>
                  <w:noProof/>
                </w:rPr>
                <w:t xml:space="preserve">[Online] </w:t>
              </w:r>
              <w:r>
                <w:rPr>
                  <w:noProof/>
                </w:rPr>
                <w:br/>
                <w:t xml:space="preserve">Available at: </w:t>
              </w:r>
              <w:r>
                <w:rPr>
                  <w:noProof/>
                  <w:u w:val="single"/>
                </w:rPr>
                <w:t>https://propertylikeapro.com/procurement-methods/</w:t>
              </w:r>
              <w:r>
                <w:rPr>
                  <w:noProof/>
                </w:rPr>
                <w:br/>
                <w:t>[Accessed 14 03 2019].</w:t>
              </w:r>
            </w:p>
            <w:p w:rsidR="00A74AEB" w:rsidRDefault="00A74AEB" w:rsidP="00A74AEB">
              <w:pPr>
                <w:pStyle w:val="Bibliography"/>
                <w:rPr>
                  <w:noProof/>
                </w:rPr>
              </w:pPr>
              <w:r>
                <w:rPr>
                  <w:noProof/>
                </w:rPr>
                <w:t xml:space="preserve">Millman, S., 2013. </w:t>
              </w:r>
              <w:r>
                <w:rPr>
                  <w:i/>
                  <w:iCs/>
                  <w:noProof/>
                </w:rPr>
                <w:t xml:space="preserve">Design and Build Procurement: Cutting Through the Misconceptions. </w:t>
              </w:r>
              <w:r>
                <w:rPr>
                  <w:noProof/>
                </w:rPr>
                <w:t xml:space="preserve">[Online] </w:t>
              </w:r>
              <w:r>
                <w:rPr>
                  <w:noProof/>
                </w:rPr>
                <w:br/>
                <w:t xml:space="preserve">Available at: </w:t>
              </w:r>
              <w:r>
                <w:rPr>
                  <w:noProof/>
                  <w:u w:val="single"/>
                </w:rPr>
                <w:t>https://www.fgould.com/middle-east/articles/design-and-build-procurement/</w:t>
              </w:r>
              <w:r>
                <w:rPr>
                  <w:noProof/>
                </w:rPr>
                <w:br/>
                <w:t>[Accessed 14 03 2019].</w:t>
              </w:r>
            </w:p>
            <w:p w:rsidR="00A74AEB" w:rsidRDefault="00A74AEB" w:rsidP="00A74AEB">
              <w:pPr>
                <w:pStyle w:val="Bibliography"/>
                <w:rPr>
                  <w:noProof/>
                </w:rPr>
              </w:pPr>
              <w:r>
                <w:rPr>
                  <w:noProof/>
                </w:rPr>
                <w:t xml:space="preserve">TWC Consulting , 2015. </w:t>
              </w:r>
              <w:r>
                <w:rPr>
                  <w:i/>
                  <w:iCs/>
                  <w:noProof/>
                </w:rPr>
                <w:t xml:space="preserve">Design and Build Contracts [Advantages &amp; Disadvantages]. </w:t>
              </w:r>
              <w:r>
                <w:rPr>
                  <w:noProof/>
                </w:rPr>
                <w:t xml:space="preserve">[Online] </w:t>
              </w:r>
              <w:r>
                <w:rPr>
                  <w:noProof/>
                </w:rPr>
                <w:br/>
                <w:t xml:space="preserve">Available at: </w:t>
              </w:r>
              <w:r>
                <w:rPr>
                  <w:noProof/>
                  <w:u w:val="single"/>
                </w:rPr>
                <w:t>https://www.twcconsulting.com/design-and-build-contracts/</w:t>
              </w:r>
              <w:r>
                <w:rPr>
                  <w:noProof/>
                </w:rPr>
                <w:br/>
                <w:t>[Accessed 14 03 2019].</w:t>
              </w:r>
            </w:p>
            <w:p w:rsidR="00A74AEB" w:rsidRDefault="00A74AEB" w:rsidP="00A74AEB">
              <w:r>
                <w:rPr>
                  <w:b/>
                  <w:bCs/>
                  <w:noProof/>
                </w:rPr>
                <w:fldChar w:fldCharType="end"/>
              </w:r>
            </w:p>
          </w:sdtContent>
        </w:sdt>
      </w:sdtContent>
    </w:sdt>
    <w:p w:rsidR="00A74AEB" w:rsidRDefault="00A74AEB" w:rsidP="00A74AEB">
      <w:pPr>
        <w:rPr>
          <w:rFonts w:ascii="Arial" w:hAnsi="Arial" w:cs="Arial"/>
          <w:b/>
        </w:rPr>
      </w:pPr>
    </w:p>
    <w:p w:rsidR="00A74AEB" w:rsidRDefault="00A74AEB" w:rsidP="00A74AEB">
      <w:pPr>
        <w:rPr>
          <w:rFonts w:ascii="Arial" w:hAnsi="Arial" w:cs="Arial"/>
          <w:b/>
        </w:rPr>
      </w:pPr>
    </w:p>
    <w:p w:rsidR="00FE2359" w:rsidRDefault="00FE2359"/>
    <w:sectPr w:rsidR="00FE2359" w:rsidSect="00A74AEB">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74AEB" w:rsidRDefault="00A74AEB" w:rsidP="00A74AEB">
      <w:r>
        <w:separator/>
      </w:r>
    </w:p>
  </w:endnote>
  <w:endnote w:type="continuationSeparator" w:id="0">
    <w:p w:rsidR="00A74AEB" w:rsidRDefault="00A74AEB" w:rsidP="00A74A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57359061"/>
      <w:docPartObj>
        <w:docPartGallery w:val="Page Numbers (Bottom of Page)"/>
        <w:docPartUnique/>
      </w:docPartObj>
    </w:sdtPr>
    <w:sdtEndPr>
      <w:rPr>
        <w:noProof/>
      </w:rPr>
    </w:sdtEndPr>
    <w:sdtContent>
      <w:p w:rsidR="00A74AEB" w:rsidRDefault="00A74AEB">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rsidR="00A74AEB" w:rsidRDefault="00A74AEB">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74AEB" w:rsidRDefault="00A74AEB" w:rsidP="00A74AEB">
      <w:r>
        <w:separator/>
      </w:r>
    </w:p>
  </w:footnote>
  <w:footnote w:type="continuationSeparator" w:id="0">
    <w:p w:rsidR="00A74AEB" w:rsidRDefault="00A74AEB" w:rsidP="00A74AE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4AEB"/>
    <w:rsid w:val="00A74AEB"/>
    <w:rsid w:val="00FE23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AAA112"/>
  <w15:chartTrackingRefBased/>
  <w15:docId w15:val="{42A65C80-1839-4705-B359-D822E0F7A0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74AEB"/>
    <w:pPr>
      <w:spacing w:after="0" w:line="240" w:lineRule="auto"/>
    </w:pPr>
    <w:rPr>
      <w:rFonts w:eastAsia="Times New Roman" w:cs="Times New Roman"/>
      <w:color w:val="000000" w:themeColor="text1"/>
      <w:sz w:val="24"/>
      <w:szCs w:val="20"/>
      <w:lang w:eastAsia="en-GB"/>
    </w:rPr>
  </w:style>
  <w:style w:type="paragraph" w:styleId="Heading1">
    <w:name w:val="heading 1"/>
    <w:basedOn w:val="Normal"/>
    <w:next w:val="Normal"/>
    <w:link w:val="Heading1Char"/>
    <w:uiPriority w:val="9"/>
    <w:qFormat/>
    <w:rsid w:val="00A74AEB"/>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4AEB"/>
    <w:rPr>
      <w:rFonts w:eastAsia="Times New Roman" w:cs="Times New Roman"/>
      <w:b/>
      <w:color w:val="000000" w:themeColor="text1"/>
      <w:sz w:val="36"/>
      <w:szCs w:val="20"/>
      <w:shd w:val="pct15" w:color="auto" w:fill="auto"/>
      <w:lang w:eastAsia="en-GB"/>
    </w:rPr>
  </w:style>
  <w:style w:type="paragraph" w:styleId="ListParagraph">
    <w:name w:val="List Paragraph"/>
    <w:basedOn w:val="Normal"/>
    <w:uiPriority w:val="34"/>
    <w:qFormat/>
    <w:rsid w:val="00A74AEB"/>
    <w:pPr>
      <w:ind w:left="720"/>
      <w:contextualSpacing/>
    </w:pPr>
  </w:style>
  <w:style w:type="paragraph" w:styleId="Subtitle">
    <w:name w:val="Subtitle"/>
    <w:aliases w:val="Reference"/>
    <w:basedOn w:val="Normal"/>
    <w:next w:val="Normal"/>
    <w:link w:val="SubtitleChar"/>
    <w:qFormat/>
    <w:rsid w:val="00A74AEB"/>
    <w:pPr>
      <w:numPr>
        <w:ilvl w:val="1"/>
      </w:numPr>
      <w:spacing w:after="160"/>
    </w:pPr>
    <w:rPr>
      <w:rFonts w:eastAsiaTheme="minorEastAsia" w:cstheme="minorBidi"/>
      <w:i/>
      <w:color w:val="7030A0"/>
      <w:szCs w:val="22"/>
    </w:rPr>
  </w:style>
  <w:style w:type="character" w:customStyle="1" w:styleId="SubtitleChar">
    <w:name w:val="Subtitle Char"/>
    <w:aliases w:val="Reference Char"/>
    <w:basedOn w:val="DefaultParagraphFont"/>
    <w:link w:val="Subtitle"/>
    <w:rsid w:val="00A74AEB"/>
    <w:rPr>
      <w:rFonts w:eastAsiaTheme="minorEastAsia"/>
      <w:i/>
      <w:color w:val="7030A0"/>
      <w:sz w:val="24"/>
      <w:lang w:eastAsia="en-GB"/>
    </w:rPr>
  </w:style>
  <w:style w:type="paragraph" w:styleId="Bibliography">
    <w:name w:val="Bibliography"/>
    <w:basedOn w:val="Normal"/>
    <w:next w:val="Normal"/>
    <w:uiPriority w:val="37"/>
    <w:unhideWhenUsed/>
    <w:rsid w:val="00A74AEB"/>
  </w:style>
  <w:style w:type="paragraph" w:styleId="Header">
    <w:name w:val="header"/>
    <w:basedOn w:val="Normal"/>
    <w:link w:val="HeaderChar"/>
    <w:uiPriority w:val="99"/>
    <w:unhideWhenUsed/>
    <w:rsid w:val="00A74AEB"/>
    <w:pPr>
      <w:tabs>
        <w:tab w:val="center" w:pos="4513"/>
        <w:tab w:val="right" w:pos="9026"/>
      </w:tabs>
    </w:pPr>
  </w:style>
  <w:style w:type="character" w:customStyle="1" w:styleId="HeaderChar">
    <w:name w:val="Header Char"/>
    <w:basedOn w:val="DefaultParagraphFont"/>
    <w:link w:val="Header"/>
    <w:uiPriority w:val="99"/>
    <w:rsid w:val="00A74AEB"/>
    <w:rPr>
      <w:rFonts w:eastAsia="Times New Roman" w:cs="Times New Roman"/>
      <w:color w:val="000000" w:themeColor="text1"/>
      <w:sz w:val="24"/>
      <w:szCs w:val="20"/>
      <w:lang w:eastAsia="en-GB"/>
    </w:rPr>
  </w:style>
  <w:style w:type="paragraph" w:styleId="Footer">
    <w:name w:val="footer"/>
    <w:basedOn w:val="Normal"/>
    <w:link w:val="FooterChar"/>
    <w:uiPriority w:val="99"/>
    <w:unhideWhenUsed/>
    <w:rsid w:val="00A74AEB"/>
    <w:pPr>
      <w:tabs>
        <w:tab w:val="center" w:pos="4513"/>
        <w:tab w:val="right" w:pos="9026"/>
      </w:tabs>
    </w:pPr>
  </w:style>
  <w:style w:type="character" w:customStyle="1" w:styleId="FooterChar">
    <w:name w:val="Footer Char"/>
    <w:basedOn w:val="DefaultParagraphFont"/>
    <w:link w:val="Footer"/>
    <w:uiPriority w:val="99"/>
    <w:rsid w:val="00A74AEB"/>
    <w:rPr>
      <w:rFonts w:eastAsia="Times New Roman" w:cs="Times New Roman"/>
      <w:color w:val="000000" w:themeColor="text1"/>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signingbuildings.co.uk/wiki/Flexibility"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designingbuildings.co.uk/wiki/Traditional_procurement_route"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designingbuildings.co.uk/wiki/Variations" TargetMode="External"/><Relationship Id="rId5" Type="http://schemas.openxmlformats.org/officeDocument/2006/relationships/footnotes" Target="footnotes.xml"/><Relationship Id="rId10" Type="http://schemas.openxmlformats.org/officeDocument/2006/relationships/hyperlink" Target="https://www.designingbuildings.co.uk/wiki/Tenders" TargetMode="External"/><Relationship Id="rId4" Type="http://schemas.openxmlformats.org/officeDocument/2006/relationships/webSettings" Target="webSettings.xml"/><Relationship Id="rId9" Type="http://schemas.openxmlformats.org/officeDocument/2006/relationships/hyperlink" Target="https://www.designingbuildings.co.uk/wiki/Pos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Tra18</b:Tag>
    <b:SourceType>InternetSite</b:SourceType>
    <b:Guid>{D0795435-6188-4E92-ABEC-C7117E8F3F66}</b:Guid>
    <b:Title>Traditional Contract - Pro and Cons</b:Title>
    <b:Year>2018</b:Year>
    <b:YearAccessed>2019</b:YearAccessed>
    <b:MonthAccessed>03</b:MonthAccessed>
    <b:DayAccessed>14</b:DayAccessed>
    <b:URL>https://www.designingbuildings.co.uk/wiki/Traditional_contract_-_pros_and_cons</b:URL>
    <b:Author>
      <b:Author>
        <b:Corporate>Designing Buildings Wiki</b:Corporate>
      </b:Author>
    </b:Author>
    <b:RefOrder>1</b:RefOrder>
  </b:Source>
  <b:Source>
    <b:Tag>TWC15</b:Tag>
    <b:SourceType>InternetSite</b:SourceType>
    <b:Guid>{A4D55BD2-D4F9-42A3-B9D5-0FB4D879A986}</b:Guid>
    <b:Author>
      <b:Author>
        <b:Corporate>TWC Consulting </b:Corporate>
      </b:Author>
    </b:Author>
    <b:Title>Design and Build Contracts [Advantages &amp; Disadvantages]</b:Title>
    <b:Year>2015</b:Year>
    <b:YearAccessed>2019</b:YearAccessed>
    <b:MonthAccessed>03</b:MonthAccessed>
    <b:DayAccessed>14</b:DayAccessed>
    <b:URL>https://www.twcconsulting.com/design-and-build-contracts/</b:URL>
    <b:RefOrder>2</b:RefOrder>
  </b:Source>
  <b:Source>
    <b:Tag>Sim13</b:Tag>
    <b:SourceType>InternetSite</b:SourceType>
    <b:Guid>{8603827B-CC5A-4F41-946E-8F4E092492AF}</b:Guid>
    <b:Author>
      <b:Author>
        <b:NameList>
          <b:Person>
            <b:Last>Millman</b:Last>
            <b:First>Simon</b:First>
          </b:Person>
        </b:NameList>
      </b:Author>
    </b:Author>
    <b:Title>Design and Build Procurement: Cutting Through the Misconceptions</b:Title>
    <b:Year>2013</b:Year>
    <b:YearAccessed>2019</b:YearAccessed>
    <b:MonthAccessed>03</b:MonthAccessed>
    <b:DayAccessed>14</b:DayAccessed>
    <b:URL>https://www.fgould.com/middle-east/articles/design-and-build-procurement/</b:URL>
    <b:RefOrder>3</b:RefOrder>
  </b:Source>
  <b:Source>
    <b:Tag>Mik19</b:Tag>
    <b:SourceType>InternetSite</b:SourceType>
    <b:Guid>{8058CDB3-350D-4557-8C1F-558611DC3C26}</b:Guid>
    <b:Author>
      <b:Author>
        <b:NameList>
          <b:Person>
            <b:Last>Johanson</b:Last>
            <b:First>Mike</b:First>
          </b:Person>
        </b:NameList>
      </b:Author>
    </b:Author>
    <b:Title>The 3 Procurement Methods: Advantages and Disadvantages</b:Title>
    <b:YearAccessed>2019</b:YearAccessed>
    <b:MonthAccessed>03</b:MonthAccessed>
    <b:DayAccessed>14</b:DayAccessed>
    <b:URL>https://propertylikeapro.com/procurement-methods/</b:URL>
    <b:RefOrder>4</b:RefOrder>
  </b:Source>
  <b:Source>
    <b:Tag>des19</b:Tag>
    <b:SourceType>InternetSite</b:SourceType>
    <b:Guid>{AB0DCBF3-D542-4DA6-9589-E7BF28E57459}</b:Guid>
    <b:Author>
      <b:Author>
        <b:Corporate>designingbuildings</b:Corporate>
      </b:Author>
    </b:Author>
    <b:Title>Management Contractor</b:Title>
    <b:Year>2019</b:Year>
    <b:YearAccessed>2019</b:YearAccessed>
    <b:MonthAccessed>03</b:MonthAccessed>
    <b:DayAccessed>14</b:DayAccessed>
    <b:URL>https://www.designingbuildings.co.uk/wiki/Management_contractor</b:URL>
    <b:RefOrder>5</b:RefOrder>
  </b:Source>
</b:Sources>
</file>

<file path=customXml/itemProps1.xml><?xml version="1.0" encoding="utf-8"?>
<ds:datastoreItem xmlns:ds="http://schemas.openxmlformats.org/officeDocument/2006/customXml" ds:itemID="{D22AB774-4D17-4B16-8044-475B2207DB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6</Pages>
  <Words>1414</Words>
  <Characters>8061</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1</cp:revision>
  <dcterms:created xsi:type="dcterms:W3CDTF">2019-04-24T11:45:00Z</dcterms:created>
  <dcterms:modified xsi:type="dcterms:W3CDTF">2019-04-24T11:51:00Z</dcterms:modified>
</cp:coreProperties>
</file>