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12413" w14:textId="16208253" w:rsidR="003226B4" w:rsidRPr="009A224F" w:rsidRDefault="0040099C" w:rsidP="009A224F">
      <w:pPr>
        <w:spacing w:line="360" w:lineRule="auto"/>
        <w:rPr>
          <w:rFonts w:ascii="Arial" w:eastAsia="Times New Roman" w:hAnsi="Arial" w:cs="Arial"/>
          <w:color w:val="1F1F1F"/>
          <w:sz w:val="40"/>
          <w:szCs w:val="40"/>
        </w:rPr>
      </w:pPr>
      <w:r w:rsidRPr="0040099C">
        <w:rPr>
          <w:rFonts w:ascii="Arial" w:eastAsia="Times New Roman" w:hAnsi="Arial" w:cs="Arial"/>
          <w:noProof/>
          <w:color w:val="1F1F1F"/>
        </w:rPr>
        <mc:AlternateContent>
          <mc:Choice Requires="wps">
            <w:drawing>
              <wp:anchor distT="45720" distB="45720" distL="114300" distR="114300" simplePos="0" relativeHeight="251658243" behindDoc="0" locked="0" layoutInCell="1" allowOverlap="1" wp14:anchorId="78346CE9" wp14:editId="0D3E8AD2">
                <wp:simplePos x="0" y="0"/>
                <wp:positionH relativeFrom="column">
                  <wp:posOffset>3939540</wp:posOffset>
                </wp:positionH>
                <wp:positionV relativeFrom="paragraph">
                  <wp:posOffset>784860</wp:posOffset>
                </wp:positionV>
                <wp:extent cx="2461260" cy="1021080"/>
                <wp:effectExtent l="0" t="0" r="15240" b="26670"/>
                <wp:wrapSquare wrapText="bothSides"/>
                <wp:docPr id="10208685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1260" cy="1021080"/>
                        </a:xfrm>
                        <a:prstGeom prst="rect">
                          <a:avLst/>
                        </a:prstGeom>
                        <a:solidFill>
                          <a:srgbClr val="FFFFFF"/>
                        </a:solidFill>
                        <a:ln w="9525">
                          <a:solidFill>
                            <a:srgbClr val="000000"/>
                          </a:solidFill>
                          <a:miter lim="800000"/>
                          <a:headEnd/>
                          <a:tailEnd/>
                        </a:ln>
                      </wps:spPr>
                      <wps:txbx>
                        <w:txbxContent>
                          <w:p w14:paraId="295B7BB1" w14:textId="4A364FE2" w:rsidR="0040099C" w:rsidRPr="0040099C" w:rsidRDefault="0040099C">
                            <w:pPr>
                              <w:rPr>
                                <w:b/>
                                <w:bCs/>
                                <w:sz w:val="32"/>
                                <w:szCs w:val="32"/>
                              </w:rPr>
                            </w:pPr>
                            <w:r w:rsidRPr="0040099C">
                              <w:rPr>
                                <w:b/>
                                <w:bCs/>
                                <w:sz w:val="32"/>
                                <w:szCs w:val="32"/>
                              </w:rPr>
                              <w:t>University of Wales Trinity Saint Davids.</w:t>
                            </w:r>
                          </w:p>
                          <w:p w14:paraId="3702BFF7" w14:textId="73CC9CBD" w:rsidR="0040099C" w:rsidRDefault="0040099C">
                            <w:r>
                              <w:t>Quay place: Birmingham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346CE9" id="_x0000_t202" coordsize="21600,21600" o:spt="202" path="m,l,21600r21600,l21600,xe">
                <v:stroke joinstyle="miter"/>
                <v:path gradientshapeok="t" o:connecttype="rect"/>
              </v:shapetype>
              <v:shape id="Text Box 2" o:spid="_x0000_s1026" type="#_x0000_t202" style="position:absolute;margin-left:310.2pt;margin-top:61.8pt;width:193.8pt;height:80.4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">
                <v:textbox>
                  <w:txbxContent>
                    <w:p w14:paraId="295B7BB1" w14:textId="4A364FE2" w:rsidR="0040099C" w:rsidRPr="0040099C" w:rsidRDefault="0040099C">
                      <w:pPr>
                        <w:rPr>
                          <w:b/>
                          <w:bCs/>
                          <w:sz w:val="32"/>
                          <w:szCs w:val="32"/>
                        </w:rPr>
                      </w:pPr>
                      <w:r w:rsidRPr="0040099C">
                        <w:rPr>
                          <w:b/>
                          <w:bCs/>
                          <w:sz w:val="32"/>
                          <w:szCs w:val="32"/>
                        </w:rPr>
                        <w:t>University of Wales Trinity Saint Davids.</w:t>
                      </w:r>
                    </w:p>
                    <w:p w14:paraId="3702BFF7" w14:textId="73CC9CBD" w:rsidR="0040099C" w:rsidRDefault="0040099C">
                      <w:r>
                        <w:t>Quay place: Birmingham</w:t>
                      </w:r>
                    </w:p>
                  </w:txbxContent>
                </v:textbox>
                <w10:wrap type="square"/>
              </v:shape>
            </w:pict>
          </mc:Fallback>
        </mc:AlternateContent>
      </w:r>
      <w:r w:rsidRPr="00C0407E">
        <w:rPr>
          <w:rFonts w:ascii="Arial" w:eastAsia="Times New Roman" w:hAnsi="Arial" w:cs="Arial"/>
          <w:noProof/>
          <w:color w:val="1F1F1F"/>
        </w:rPr>
        <mc:AlternateContent>
          <mc:Choice Requires="wps">
            <w:drawing>
              <wp:anchor distT="45720" distB="45720" distL="114300" distR="114300" simplePos="0" relativeHeight="251658241" behindDoc="0" locked="0" layoutInCell="1" allowOverlap="1" wp14:anchorId="7068065B" wp14:editId="7177A78B">
                <wp:simplePos x="0" y="0"/>
                <wp:positionH relativeFrom="column">
                  <wp:posOffset>-441960</wp:posOffset>
                </wp:positionH>
                <wp:positionV relativeFrom="paragraph">
                  <wp:posOffset>297180</wp:posOffset>
                </wp:positionV>
                <wp:extent cx="4221480" cy="1356360"/>
                <wp:effectExtent l="0" t="0" r="266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1480" cy="1356360"/>
                        </a:xfrm>
                        <a:prstGeom prst="rect">
                          <a:avLst/>
                        </a:prstGeom>
                        <a:solidFill>
                          <a:srgbClr val="FFFFFF"/>
                        </a:solidFill>
                        <a:ln w="9525">
                          <a:solidFill>
                            <a:srgbClr val="000000"/>
                          </a:solidFill>
                          <a:miter lim="800000"/>
                          <a:headEnd/>
                          <a:tailEnd/>
                        </a:ln>
                      </wps:spPr>
                      <wps:txbx>
                        <w:txbxContent>
                          <w:p w14:paraId="25017CB1" w14:textId="1EE37D7D" w:rsidR="00C0407E" w:rsidRPr="00C0407E" w:rsidRDefault="00C0407E">
                            <w:pPr>
                              <w:rPr>
                                <w:b/>
                                <w:bCs/>
                                <w:sz w:val="32"/>
                                <w:szCs w:val="32"/>
                              </w:rPr>
                            </w:pPr>
                            <w:proofErr w:type="gramStart"/>
                            <w:r w:rsidRPr="00C0407E">
                              <w:rPr>
                                <w:b/>
                                <w:bCs/>
                                <w:sz w:val="32"/>
                                <w:szCs w:val="32"/>
                              </w:rPr>
                              <w:t>Masters of Business Administration</w:t>
                            </w:r>
                            <w:proofErr w:type="gramEnd"/>
                          </w:p>
                          <w:p w14:paraId="71C782A5" w14:textId="6ED8E868" w:rsidR="00C0407E" w:rsidRDefault="00C0407E">
                            <w:r>
                              <w:t xml:space="preserve">Lecturer: </w:t>
                            </w:r>
                            <w:r w:rsidRPr="00C0407E">
                              <w:rPr>
                                <w:b/>
                                <w:bCs/>
                                <w:i/>
                                <w:iCs/>
                              </w:rPr>
                              <w:t>Chung Lai Johnny Wan</w:t>
                            </w:r>
                          </w:p>
                          <w:p w14:paraId="3A1209C5" w14:textId="31D7C42B" w:rsidR="00C0407E" w:rsidRPr="00C0407E" w:rsidRDefault="00C0407E">
                            <w:pPr>
                              <w:rPr>
                                <w:b/>
                                <w:bCs/>
                              </w:rPr>
                            </w:pPr>
                            <w:r w:rsidRPr="00C0407E">
                              <w:t>Module code</w:t>
                            </w:r>
                            <w:r>
                              <w:rPr>
                                <w:b/>
                                <w:bCs/>
                              </w:rPr>
                              <w:t xml:space="preserve">: </w:t>
                            </w:r>
                            <w:r w:rsidRPr="00C0407E">
                              <w:rPr>
                                <w:b/>
                                <w:bCs/>
                                <w:sz w:val="28"/>
                                <w:szCs w:val="28"/>
                              </w:rPr>
                              <w:t>LCMB7034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68065B" id="_x0000_s1027" type="#_x0000_t202" style="position:absolute;margin-left:-34.8pt;margin-top:23.4pt;width:332.4pt;height:106.8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">
                <v:textbox>
                  <w:txbxContent>
                    <w:p w14:paraId="25017CB1" w14:textId="1EE37D7D" w:rsidR="00C0407E" w:rsidRPr="00C0407E" w:rsidRDefault="00C0407E">
                      <w:pPr>
                        <w:rPr>
                          <w:b/>
                          <w:bCs/>
                          <w:sz w:val="32"/>
                          <w:szCs w:val="32"/>
                        </w:rPr>
                      </w:pPr>
                      <w:proofErr w:type="gramStart"/>
                      <w:r w:rsidRPr="00C0407E">
                        <w:rPr>
                          <w:b/>
                          <w:bCs/>
                          <w:sz w:val="32"/>
                          <w:szCs w:val="32"/>
                        </w:rPr>
                        <w:t>Masters of Business Administration</w:t>
                      </w:r>
                      <w:proofErr w:type="gramEnd"/>
                    </w:p>
                    <w:p w14:paraId="71C782A5" w14:textId="6ED8E868" w:rsidR="00C0407E" w:rsidRDefault="00C0407E">
                      <w:r>
                        <w:t xml:space="preserve">Lecturer: </w:t>
                      </w:r>
                      <w:r w:rsidRPr="00C0407E">
                        <w:rPr>
                          <w:b/>
                          <w:bCs/>
                          <w:i/>
                          <w:iCs/>
                        </w:rPr>
                        <w:t>Chung Lai Johnny Wan</w:t>
                      </w:r>
                    </w:p>
                    <w:p w14:paraId="3A1209C5" w14:textId="31D7C42B" w:rsidR="00C0407E" w:rsidRPr="00C0407E" w:rsidRDefault="00C0407E">
                      <w:pPr>
                        <w:rPr>
                          <w:b/>
                          <w:bCs/>
                        </w:rPr>
                      </w:pPr>
                      <w:r w:rsidRPr="00C0407E">
                        <w:t>Module code</w:t>
                      </w:r>
                      <w:r>
                        <w:rPr>
                          <w:b/>
                          <w:bCs/>
                        </w:rPr>
                        <w:t xml:space="preserve">: </w:t>
                      </w:r>
                      <w:r w:rsidRPr="00C0407E">
                        <w:rPr>
                          <w:b/>
                          <w:bCs/>
                          <w:sz w:val="28"/>
                          <w:szCs w:val="28"/>
                        </w:rPr>
                        <w:t>LCMB7034</w:t>
                      </w:r>
                    </w:p>
                  </w:txbxContent>
                </v:textbox>
                <w10:wrap type="square"/>
              </v:shape>
            </w:pict>
          </mc:Fallback>
        </mc:AlternateContent>
      </w:r>
      <w:r w:rsidRPr="0040099C">
        <w:rPr>
          <w:rFonts w:ascii="Arial" w:eastAsia="Times New Roman" w:hAnsi="Arial" w:cs="Arial"/>
          <w:noProof/>
          <w:color w:val="1F1F1F"/>
        </w:rPr>
        <mc:AlternateContent>
          <mc:Choice Requires="wps">
            <w:drawing>
              <wp:anchor distT="45720" distB="45720" distL="114300" distR="114300" simplePos="0" relativeHeight="251658242" behindDoc="0" locked="0" layoutInCell="1" allowOverlap="1" wp14:anchorId="326F6393" wp14:editId="38BB058F">
                <wp:simplePos x="0" y="0"/>
                <wp:positionH relativeFrom="column">
                  <wp:posOffset>3924300</wp:posOffset>
                </wp:positionH>
                <wp:positionV relativeFrom="paragraph">
                  <wp:posOffset>45720</wp:posOffset>
                </wp:positionV>
                <wp:extent cx="2476500" cy="1097280"/>
                <wp:effectExtent l="0" t="0" r="19050" b="26670"/>
                <wp:wrapSquare wrapText="bothSides"/>
                <wp:docPr id="21062447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1097280"/>
                        </a:xfrm>
                        <a:prstGeom prst="rect">
                          <a:avLst/>
                        </a:prstGeom>
                        <a:solidFill>
                          <a:srgbClr val="FFFFFF"/>
                        </a:solidFill>
                        <a:ln w="9525">
                          <a:solidFill>
                            <a:srgbClr val="000000"/>
                          </a:solidFill>
                          <a:miter lim="800000"/>
                          <a:headEnd/>
                          <a:tailEnd/>
                        </a:ln>
                      </wps:spPr>
                      <wps:txbx>
                        <w:txbxContent>
                          <w:p w14:paraId="549CE17C" w14:textId="0B459D8E" w:rsidR="0040099C" w:rsidRDefault="0040099C">
                            <w:r w:rsidRPr="0040099C">
                              <w:rPr>
                                <w:noProof/>
                              </w:rPr>
                              <w:drawing>
                                <wp:inline distT="0" distB="0" distL="0" distR="0" wp14:anchorId="44CF1995" wp14:editId="14BBFF80">
                                  <wp:extent cx="1813560" cy="723900"/>
                                  <wp:effectExtent l="0" t="0" r="0" b="0"/>
                                  <wp:docPr id="1879751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6F6393" id="_x0000_s1028" type="#_x0000_t202" style="position:absolute;margin-left:309pt;margin-top:3.6pt;width:195pt;height:86.4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">
                <v:textbox>
                  <w:txbxContent>
                    <w:p w14:paraId="549CE17C" w14:textId="0B459D8E" w:rsidR="0040099C" w:rsidRDefault="0040099C">
                      <w:r w:rsidRPr="0040099C">
                        <w:rPr>
                          <w:noProof/>
                        </w:rPr>
                        <w:drawing>
                          <wp:inline distT="0" distB="0" distL="0" distR="0" wp14:anchorId="44CF1995" wp14:editId="14BBFF80">
                            <wp:extent cx="1813560" cy="723900"/>
                            <wp:effectExtent l="0" t="0" r="0" b="0"/>
                            <wp:docPr id="1879751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txbxContent>
                </v:textbox>
                <w10:wrap type="square"/>
              </v:shape>
            </w:pict>
          </mc:Fallback>
        </mc:AlternateContent>
      </w:r>
      <w:sdt>
        <w:sdtPr>
          <w:rPr>
            <w:rFonts w:ascii="Arial" w:eastAsia="Times New Roman" w:hAnsi="Arial" w:cs="Arial"/>
            <w:color w:val="1F1F1F"/>
          </w:rPr>
          <w:id w:val="621653743"/>
          <w:docPartObj>
            <w:docPartGallery w:val="Cover Pages"/>
            <w:docPartUnique/>
          </w:docPartObj>
        </w:sdtPr>
        <w:sdtEndPr/>
        <w:sdtContent>
          <w:r w:rsidR="003226B4" w:rsidRPr="003226B4">
            <w:rPr>
              <w:rFonts w:ascii="Arial" w:eastAsia="Times New Roman" w:hAnsi="Arial" w:cs="Arial"/>
              <w:noProof/>
              <w:color w:val="1F1F1F"/>
              <w:sz w:val="40"/>
              <w:szCs w:val="40"/>
            </w:rPr>
            <mc:AlternateContent>
              <mc:Choice Requires="wps">
                <w:drawing>
                  <wp:anchor distT="0" distB="0" distL="114300" distR="114300" simplePos="0" relativeHeight="251658240" behindDoc="0" locked="0" layoutInCell="1" allowOverlap="1" wp14:anchorId="3809044A" wp14:editId="4CF64FE4">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11"/>
                                  <w:gridCol w:w="2375"/>
                                </w:tblGrid>
                                <w:tr w:rsidR="003B54FC" w14:paraId="1675B970" w14:textId="77777777" w:rsidTr="003B54FC">
                                  <w:trPr>
                                    <w:jc w:val="center"/>
                                  </w:trPr>
                                  <w:tc>
                                    <w:tcPr>
                                      <w:tcW w:w="2568" w:type="pct"/>
                                      <w:vAlign w:val="center"/>
                                    </w:tcPr>
                                    <w:p w14:paraId="5A153DEC" w14:textId="29DA8ED9" w:rsidR="003226B4" w:rsidRDefault="003B54FC">
                                      <w:pPr>
                                        <w:jc w:val="right"/>
                                      </w:pPr>
                                      <w:r>
                                        <w:rPr>
                                          <w:noProof/>
                                        </w:rPr>
                                        <w:drawing>
                                          <wp:inline distT="0" distB="0" distL="0" distR="0" wp14:anchorId="40A6EEAD" wp14:editId="6479BC73">
                                            <wp:extent cx="4121962" cy="2062480"/>
                                            <wp:effectExtent l="0" t="0" r="0" b="0"/>
                                            <wp:docPr id="2" name="Picture 1" descr="The Success Story of Nestle India - Innovative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uccess Story of Nestle India - InnovativeZo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58622" cy="2080823"/>
                                                    </a:xfrm>
                                                    <a:prstGeom prst="rect">
                                                      <a:avLst/>
                                                    </a:prstGeom>
                                                    <a:noFill/>
                                                    <a:ln>
                                                      <a:noFill/>
                                                    </a:ln>
                                                  </pic:spPr>
                                                </pic:pic>
                                              </a:graphicData>
                                            </a:graphic>
                                          </wp:inline>
                                        </w:drawing>
                                      </w:r>
                                    </w:p>
                                    <w:sdt>
                                      <w:sdtPr>
                                        <w:rPr>
                                          <w:rFonts w:ascii="Arial" w:hAnsi="Arial" w:cs="Arial"/>
                                          <w:b/>
                                          <w:bCs/>
                                          <w:color w:val="1F1F1F"/>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BF57D6B" w14:textId="70EE7FB9" w:rsidR="003226B4" w:rsidRDefault="003226B4">
                                          <w:pPr>
                                            <w:pStyle w:val="NoSpacing"/>
                                            <w:spacing w:line="312" w:lineRule="auto"/>
                                            <w:jc w:val="right"/>
                                            <w:rPr>
                                              <w:caps/>
                                              <w:color w:val="191919" w:themeColor="text1" w:themeTint="E6"/>
                                              <w:sz w:val="72"/>
                                              <w:szCs w:val="72"/>
                                            </w:rPr>
                                          </w:pPr>
                                          <w:r w:rsidRPr="003226B4">
                                            <w:rPr>
                                              <w:rFonts w:ascii="Arial" w:hAnsi="Arial" w:cs="Arial"/>
                                              <w:b/>
                                              <w:bCs/>
                                              <w:color w:val="1F1F1F"/>
                                              <w:sz w:val="44"/>
                                              <w:szCs w:val="44"/>
                                            </w:rPr>
                                            <w:t>International Business Consultancy Report:</w:t>
                                          </w:r>
                                        </w:p>
                                      </w:sdtContent>
                                    </w:sdt>
                                    <w:sdt>
                                      <w:sdtPr>
                                        <w:rPr>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3D96749" w14:textId="078FA102" w:rsidR="003226B4" w:rsidRDefault="003226B4">
                                          <w:pPr>
                                            <w:jc w:val="right"/>
                                          </w:pPr>
                                          <w:r w:rsidRPr="003226B4">
                                            <w:rPr>
                                              <w:color w:val="000000" w:themeColor="text1"/>
                                              <w:sz w:val="36"/>
                                              <w:szCs w:val="36"/>
                                            </w:rPr>
                                            <w:t>Strategic Alignment and Operational Resilience of Nestlé S.A. in the Indian Emerging Market</w:t>
                                          </w:r>
                                        </w:p>
                                      </w:sdtContent>
                                    </w:sdt>
                                  </w:tc>
                                  <w:tc>
                                    <w:tcPr>
                                      <w:tcW w:w="2432" w:type="pct"/>
                                      <w:vAlign w:val="center"/>
                                    </w:tcPr>
                                    <w:p w14:paraId="165C2746" w14:textId="77777777" w:rsidR="003226B4" w:rsidRDefault="003226B4">
                                      <w:pPr>
                                        <w:pStyle w:val="NoSpacing"/>
                                        <w:rPr>
                                          <w:caps/>
                                          <w:color w:val="E97132" w:themeColor="accent2"/>
                                          <w:sz w:val="26"/>
                                          <w:szCs w:val="26"/>
                                        </w:rPr>
                                      </w:pPr>
                                      <w:r>
                                        <w:rPr>
                                          <w:caps/>
                                          <w:color w:val="E97132" w:themeColor="accent2"/>
                                          <w:sz w:val="26"/>
                                          <w:szCs w:val="26"/>
                                        </w:rPr>
                                        <w:t>Abstract</w:t>
                                      </w:r>
                                    </w:p>
                                    <w:sdt>
                                      <w:sdtPr>
                                        <w:rPr>
                                          <w:rFonts w:ascii="Arial" w:hAnsi="Arial" w:cs="Arial"/>
                                          <w:color w:val="1F1F1F"/>
                                          <w:kern w:val="0"/>
                                          <w14:ligatures w14:val="none"/>
                                        </w:rPr>
                                        <w:alias w:val="Abstract"/>
                                        <w:tag w:val=""/>
                                        <w:id w:val="-2036181933"/>
                                        <w:dataBinding w:prefixMappings="xmlns:ns0='http://schemas.microsoft.com/office/2006/coverPageProps' " w:xpath="/ns0:CoverPageProperties[1]/ns0:Abstract[1]" w:storeItemID="{55AF091B-3C7A-41E3-B477-F2FDAA23CFDA}"/>
                                        <w:text/>
                                      </w:sdtPr>
                                      <w:sdtEndPr/>
                                      <w:sdtContent>
                                        <w:p w14:paraId="685B7468" w14:textId="5FDB0890" w:rsidR="003226B4" w:rsidRDefault="003226B4">
                                          <w:pPr>
                                            <w:rPr>
                                              <w:color w:val="000000" w:themeColor="text1"/>
                                            </w:rPr>
                                          </w:pPr>
                                          <w:r w:rsidRPr="003226B4">
                                            <w:rPr>
                                              <w:rFonts w:ascii="Arial" w:hAnsi="Arial" w:cs="Arial"/>
                                              <w:color w:val="1F1F1F"/>
                                              <w:kern w:val="0"/>
                                              <w14:ligatures w14:val="none"/>
                                            </w:rPr>
                                            <w:t>This report assesses the international business strategy of Nestlé S.A., a Transnational Corporation (TNC) headquartered in Switzerland, focusing on its market operations in the emerging economy of India. Nestlé’s status as a TNC is confirmed by its vast global footprint and highly decentralized, polycentric management structure (Bartlett &amp; Ghoshal 1989; Hill 2020).</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78D9AAB" w14:textId="29E8E6CF" w:rsidR="003226B4" w:rsidRDefault="003226B4">
                                          <w:pPr>
                                            <w:pStyle w:val="NoSpacing"/>
                                            <w:rPr>
                                              <w:color w:val="E97132" w:themeColor="accent2"/>
                                              <w:sz w:val="26"/>
                                              <w:szCs w:val="26"/>
                                            </w:rPr>
                                          </w:pPr>
                                          <w:r>
                                            <w:rPr>
                                              <w:color w:val="E97132" w:themeColor="accent2"/>
                                              <w:sz w:val="26"/>
                                              <w:szCs w:val="26"/>
                                            </w:rPr>
                                            <w:t>Boyd Malcolm (2128536)</w:t>
                                          </w:r>
                                        </w:p>
                                      </w:sdtContent>
                                    </w:sdt>
                                    <w:p w14:paraId="2E734047" w14:textId="6B5B8143" w:rsidR="003226B4" w:rsidRDefault="00F32B14">
                                      <w:pPr>
                                        <w:pStyle w:val="NoSpacing"/>
                                      </w:pPr>
                                      <w:sdt>
                                        <w:sdtPr>
                                          <w:rPr>
                                            <w:b/>
                                            <w:bCs/>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0407E" w:rsidRPr="00C0407E">
                                            <w:rPr>
                                              <w:b/>
                                              <w:bCs/>
                                              <w:color w:val="0E2841" w:themeColor="text2"/>
                                              <w:sz w:val="28"/>
                                              <w:szCs w:val="28"/>
                                            </w:rPr>
                                            <w:t>International Business Concepts</w:t>
                                          </w:r>
                                        </w:sdtContent>
                                      </w:sdt>
                                    </w:p>
                                  </w:tc>
                                </w:tr>
                              </w:tbl>
                              <w:p w14:paraId="3D57C8C4" w14:textId="300478BF" w:rsidR="003226B4" w:rsidRDefault="003B54FC">
                                <w:r>
                                  <w:rPr>
                                    <w:noProof/>
                                  </w:rPr>
                                  <w:drawing>
                                    <wp:inline distT="0" distB="0" distL="0" distR="0" wp14:anchorId="36990CA8" wp14:editId="187A259A">
                                      <wp:extent cx="2781300" cy="1082070"/>
                                      <wp:effectExtent l="0" t="0" r="0" b="3810"/>
                                      <wp:docPr id="139" name="Picture 137"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descr="A close up of a logo&#10;&#10;AI-generated content may be incorrect."/>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902501" cy="1129223"/>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3809044A" id="Text Box 139" o:spid="_x0000_s1029"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IQiaY3ACAABfBQAADgAAAAAAAAAAAAAA&#10;AAAuAgAAZHJzL2Uyb0RvYy54bWxQSwECLQAUAAYACAAAACEAxv3ro9wAAAAFAQAADwAAAAAAAAAA&#10;AAAAAADKBAAAZHJzL2Rvd25yZXYueG1sUEsFBgAAAAAEAAQA8wAAANMFAAAAAA==&#10;" fillcolor="white [3201]" stroked="f" strokeweight=".5pt">
                    <v:textbox inset="0,0,0,0">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11"/>
                            <w:gridCol w:w="2375"/>
                          </w:tblGrid>
                          <w:tr w:rsidR="003B54FC" w14:paraId="1675B970" w14:textId="77777777" w:rsidTr="003B54FC">
                            <w:trPr>
                              <w:jc w:val="center"/>
                            </w:trPr>
                            <w:tc>
                              <w:tcPr>
                                <w:tcW w:w="2568" w:type="pct"/>
                                <w:vAlign w:val="center"/>
                              </w:tcPr>
                              <w:p w14:paraId="5A153DEC" w14:textId="29DA8ED9" w:rsidR="003226B4" w:rsidRDefault="003B54FC">
                                <w:pPr>
                                  <w:jc w:val="right"/>
                                </w:pPr>
                                <w:r>
                                  <w:rPr>
                                    <w:noProof/>
                                  </w:rPr>
                                  <w:drawing>
                                    <wp:inline distT="0" distB="0" distL="0" distR="0" wp14:anchorId="40A6EEAD" wp14:editId="6479BC73">
                                      <wp:extent cx="4121962" cy="2062480"/>
                                      <wp:effectExtent l="0" t="0" r="0" b="0"/>
                                      <wp:docPr id="2" name="Picture 1" descr="The Success Story of Nestle India - Innovative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uccess Story of Nestle India - InnovativeZo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58622" cy="2080823"/>
                                              </a:xfrm>
                                              <a:prstGeom prst="rect">
                                                <a:avLst/>
                                              </a:prstGeom>
                                              <a:noFill/>
                                              <a:ln>
                                                <a:noFill/>
                                              </a:ln>
                                            </pic:spPr>
                                          </pic:pic>
                                        </a:graphicData>
                                      </a:graphic>
                                    </wp:inline>
                                  </w:drawing>
                                </w:r>
                              </w:p>
                              <w:sdt>
                                <w:sdtPr>
                                  <w:rPr>
                                    <w:rFonts w:ascii="Arial" w:hAnsi="Arial" w:cs="Arial"/>
                                    <w:b/>
                                    <w:bCs/>
                                    <w:color w:val="1F1F1F"/>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BF57D6B" w14:textId="70EE7FB9" w:rsidR="003226B4" w:rsidRDefault="003226B4">
                                    <w:pPr>
                                      <w:pStyle w:val="NoSpacing"/>
                                      <w:spacing w:line="312" w:lineRule="auto"/>
                                      <w:jc w:val="right"/>
                                      <w:rPr>
                                        <w:caps/>
                                        <w:color w:val="191919" w:themeColor="text1" w:themeTint="E6"/>
                                        <w:sz w:val="72"/>
                                        <w:szCs w:val="72"/>
                                      </w:rPr>
                                    </w:pPr>
                                    <w:r w:rsidRPr="003226B4">
                                      <w:rPr>
                                        <w:rFonts w:ascii="Arial" w:hAnsi="Arial" w:cs="Arial"/>
                                        <w:b/>
                                        <w:bCs/>
                                        <w:color w:val="1F1F1F"/>
                                        <w:sz w:val="44"/>
                                        <w:szCs w:val="44"/>
                                      </w:rPr>
                                      <w:t>International Business Consultancy Report:</w:t>
                                    </w:r>
                                  </w:p>
                                </w:sdtContent>
                              </w:sdt>
                              <w:sdt>
                                <w:sdtPr>
                                  <w:rPr>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3D96749" w14:textId="078FA102" w:rsidR="003226B4" w:rsidRDefault="003226B4">
                                    <w:pPr>
                                      <w:jc w:val="right"/>
                                    </w:pPr>
                                    <w:r w:rsidRPr="003226B4">
                                      <w:rPr>
                                        <w:color w:val="000000" w:themeColor="text1"/>
                                        <w:sz w:val="36"/>
                                        <w:szCs w:val="36"/>
                                      </w:rPr>
                                      <w:t>Strategic Alignment and Operational Resilience of Nestlé S.A. in the Indian Emerging Market</w:t>
                                    </w:r>
                                  </w:p>
                                </w:sdtContent>
                              </w:sdt>
                            </w:tc>
                            <w:tc>
                              <w:tcPr>
                                <w:tcW w:w="2432" w:type="pct"/>
                                <w:vAlign w:val="center"/>
                              </w:tcPr>
                              <w:p w14:paraId="165C2746" w14:textId="77777777" w:rsidR="003226B4" w:rsidRDefault="003226B4">
                                <w:pPr>
                                  <w:pStyle w:val="NoSpacing"/>
                                  <w:rPr>
                                    <w:caps/>
                                    <w:color w:val="E97132" w:themeColor="accent2"/>
                                    <w:sz w:val="26"/>
                                    <w:szCs w:val="26"/>
                                  </w:rPr>
                                </w:pPr>
                                <w:r>
                                  <w:rPr>
                                    <w:caps/>
                                    <w:color w:val="E97132" w:themeColor="accent2"/>
                                    <w:sz w:val="26"/>
                                    <w:szCs w:val="26"/>
                                  </w:rPr>
                                  <w:t>Abstract</w:t>
                                </w:r>
                              </w:p>
                              <w:sdt>
                                <w:sdtPr>
                                  <w:rPr>
                                    <w:rFonts w:ascii="Arial" w:hAnsi="Arial" w:cs="Arial"/>
                                    <w:color w:val="1F1F1F"/>
                                    <w:kern w:val="0"/>
                                    <w14:ligatures w14:val="none"/>
                                  </w:rPr>
                                  <w:alias w:val="Abstract"/>
                                  <w:tag w:val=""/>
                                  <w:id w:val="-2036181933"/>
                                  <w:dataBinding w:prefixMappings="xmlns:ns0='http://schemas.microsoft.com/office/2006/coverPageProps' " w:xpath="/ns0:CoverPageProperties[1]/ns0:Abstract[1]" w:storeItemID="{55AF091B-3C7A-41E3-B477-F2FDAA23CFDA}"/>
                                  <w:text/>
                                </w:sdtPr>
                                <w:sdtEndPr/>
                                <w:sdtContent>
                                  <w:p w14:paraId="685B7468" w14:textId="5FDB0890" w:rsidR="003226B4" w:rsidRDefault="003226B4">
                                    <w:pPr>
                                      <w:rPr>
                                        <w:color w:val="000000" w:themeColor="text1"/>
                                      </w:rPr>
                                    </w:pPr>
                                    <w:r w:rsidRPr="003226B4">
                                      <w:rPr>
                                        <w:rFonts w:ascii="Arial" w:hAnsi="Arial" w:cs="Arial"/>
                                        <w:color w:val="1F1F1F"/>
                                        <w:kern w:val="0"/>
                                        <w14:ligatures w14:val="none"/>
                                      </w:rPr>
                                      <w:t>This report assesses the international business strategy of Nestlé S.A., a Transnational Corporation (TNC) headquartered in Switzerland, focusing on its market operations in the emerging economy of India. Nestlé’s status as a TNC is confirmed by its vast global footprint and highly decentralized, polycentric management structure (Bartlett &amp; Ghoshal 1989; Hill 2020).</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78D9AAB" w14:textId="29E8E6CF" w:rsidR="003226B4" w:rsidRDefault="003226B4">
                                    <w:pPr>
                                      <w:pStyle w:val="NoSpacing"/>
                                      <w:rPr>
                                        <w:color w:val="E97132" w:themeColor="accent2"/>
                                        <w:sz w:val="26"/>
                                        <w:szCs w:val="26"/>
                                      </w:rPr>
                                    </w:pPr>
                                    <w:r>
                                      <w:rPr>
                                        <w:color w:val="E97132" w:themeColor="accent2"/>
                                        <w:sz w:val="26"/>
                                        <w:szCs w:val="26"/>
                                      </w:rPr>
                                      <w:t>Boyd Malcolm (2128536)</w:t>
                                    </w:r>
                                  </w:p>
                                </w:sdtContent>
                              </w:sdt>
                              <w:p w14:paraId="2E734047" w14:textId="6B5B8143" w:rsidR="003226B4" w:rsidRDefault="00F32B14">
                                <w:pPr>
                                  <w:pStyle w:val="NoSpacing"/>
                                </w:pPr>
                                <w:sdt>
                                  <w:sdtPr>
                                    <w:rPr>
                                      <w:b/>
                                      <w:bCs/>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0407E" w:rsidRPr="00C0407E">
                                      <w:rPr>
                                        <w:b/>
                                        <w:bCs/>
                                        <w:color w:val="0E2841" w:themeColor="text2"/>
                                        <w:sz w:val="28"/>
                                        <w:szCs w:val="28"/>
                                      </w:rPr>
                                      <w:t>International Business Concepts</w:t>
                                    </w:r>
                                  </w:sdtContent>
                                </w:sdt>
                              </w:p>
                            </w:tc>
                          </w:tr>
                        </w:tbl>
                        <w:p w14:paraId="3D57C8C4" w14:textId="300478BF" w:rsidR="003226B4" w:rsidRDefault="003B54FC">
                          <w:r>
                            <w:rPr>
                              <w:noProof/>
                            </w:rPr>
                            <w:drawing>
                              <wp:inline distT="0" distB="0" distL="0" distR="0" wp14:anchorId="36990CA8" wp14:editId="187A259A">
                                <wp:extent cx="2781300" cy="1082070"/>
                                <wp:effectExtent l="0" t="0" r="0" b="3810"/>
                                <wp:docPr id="139" name="Picture 137"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descr="A close up of a logo&#10;&#10;AI-generated content may be incorrect."/>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902501" cy="1129223"/>
                                        </a:xfrm>
                                        <a:prstGeom prst="rect">
                                          <a:avLst/>
                                        </a:prstGeom>
                                      </pic:spPr>
                                    </pic:pic>
                                  </a:graphicData>
                                </a:graphic>
                              </wp:inline>
                            </w:drawing>
                          </w:r>
                        </w:p>
                      </w:txbxContent>
                    </v:textbox>
                    <w10:wrap anchorx="page" anchory="page"/>
                  </v:shape>
                </w:pict>
              </mc:Fallback>
            </mc:AlternateContent>
          </w:r>
          <w:r w:rsidR="003226B4">
            <w:rPr>
              <w:rFonts w:ascii="Arial" w:eastAsia="Times New Roman" w:hAnsi="Arial" w:cs="Arial"/>
              <w:color w:val="1F1F1F"/>
            </w:rPr>
            <w:br w:type="page"/>
          </w:r>
        </w:sdtContent>
      </w:sdt>
      <w:r w:rsidR="003B54FC" w:rsidRPr="003B54FC">
        <w:rPr>
          <w:noProof/>
        </w:rPr>
        <w:t xml:space="preserve"> </w:t>
      </w:r>
    </w:p>
    <w:sdt>
      <w:sdtPr>
        <w:rPr>
          <w:rFonts w:ascii="Arial" w:eastAsiaTheme="minorEastAsia" w:hAnsi="Arial" w:cs="Arial"/>
          <w:color w:val="auto"/>
          <w:kern w:val="2"/>
          <w:sz w:val="24"/>
          <w:szCs w:val="24"/>
          <w:lang w:val="en-GB" w:eastAsia="en-GB"/>
          <w14:ligatures w14:val="standardContextual"/>
        </w:rPr>
        <w:id w:val="-1818796224"/>
        <w:docPartObj>
          <w:docPartGallery w:val="Table of Contents"/>
          <w:docPartUnique/>
        </w:docPartObj>
      </w:sdtPr>
      <w:sdtEndPr>
        <w:rPr>
          <w:b/>
          <w:bCs/>
          <w:noProof/>
        </w:rPr>
      </w:sdtEndPr>
      <w:sdtContent>
        <w:p w14:paraId="5D7CF045" w14:textId="7BD587E9" w:rsidR="000F222F" w:rsidRPr="009A224F" w:rsidRDefault="000F222F" w:rsidP="009A224F">
          <w:pPr>
            <w:pStyle w:val="TOCHeading"/>
            <w:spacing w:line="360" w:lineRule="auto"/>
            <w:rPr>
              <w:rFonts w:ascii="Arial" w:hAnsi="Arial" w:cs="Arial"/>
            </w:rPr>
          </w:pPr>
          <w:r w:rsidRPr="009A224F">
            <w:rPr>
              <w:rFonts w:ascii="Arial" w:hAnsi="Arial" w:cs="Arial"/>
            </w:rPr>
            <w:t>Table of Contents</w:t>
          </w:r>
        </w:p>
        <w:p w14:paraId="7C86D059" w14:textId="359F9D78" w:rsidR="00AD72DF" w:rsidRDefault="000F222F">
          <w:pPr>
            <w:pStyle w:val="TOC1"/>
            <w:tabs>
              <w:tab w:val="right" w:leader="dot" w:pos="9016"/>
            </w:tabs>
            <w:rPr>
              <w:noProof/>
            </w:rPr>
          </w:pPr>
          <w:r w:rsidRPr="009A224F">
            <w:rPr>
              <w:rFonts w:ascii="Arial" w:hAnsi="Arial" w:cs="Arial"/>
            </w:rPr>
            <w:fldChar w:fldCharType="begin"/>
          </w:r>
          <w:r w:rsidRPr="009A224F">
            <w:rPr>
              <w:rFonts w:ascii="Arial" w:hAnsi="Arial" w:cs="Arial"/>
            </w:rPr>
            <w:instrText xml:space="preserve"> TOC \o "1-3" \h \z \u </w:instrText>
          </w:r>
          <w:r w:rsidRPr="009A224F">
            <w:rPr>
              <w:rFonts w:ascii="Arial" w:hAnsi="Arial" w:cs="Arial"/>
            </w:rPr>
            <w:fldChar w:fldCharType="separate"/>
          </w:r>
          <w:hyperlink w:anchor="_Toc215208544" w:history="1">
            <w:r w:rsidR="00AD72DF" w:rsidRPr="001E0818">
              <w:rPr>
                <w:rStyle w:val="Hyperlink"/>
                <w:rFonts w:ascii="Arial" w:eastAsia="Times New Roman" w:hAnsi="Arial" w:cs="Arial"/>
                <w:noProof/>
              </w:rPr>
              <w:t>1.Executive Summary.</w:t>
            </w:r>
            <w:r w:rsidR="00AD72DF">
              <w:rPr>
                <w:noProof/>
                <w:webHidden/>
              </w:rPr>
              <w:tab/>
            </w:r>
            <w:r w:rsidR="00AD72DF">
              <w:rPr>
                <w:noProof/>
                <w:webHidden/>
              </w:rPr>
              <w:fldChar w:fldCharType="begin"/>
            </w:r>
            <w:r w:rsidR="00AD72DF">
              <w:rPr>
                <w:noProof/>
                <w:webHidden/>
              </w:rPr>
              <w:instrText xml:space="preserve"> PAGEREF _Toc215208544 \h </w:instrText>
            </w:r>
            <w:r w:rsidR="00AD72DF">
              <w:rPr>
                <w:noProof/>
                <w:webHidden/>
              </w:rPr>
            </w:r>
            <w:r w:rsidR="00AD72DF">
              <w:rPr>
                <w:noProof/>
                <w:webHidden/>
              </w:rPr>
              <w:fldChar w:fldCharType="separate"/>
            </w:r>
            <w:r w:rsidR="00AD72DF">
              <w:rPr>
                <w:noProof/>
                <w:webHidden/>
              </w:rPr>
              <w:t>3</w:t>
            </w:r>
            <w:r w:rsidR="00AD72DF">
              <w:rPr>
                <w:noProof/>
                <w:webHidden/>
              </w:rPr>
              <w:fldChar w:fldCharType="end"/>
            </w:r>
          </w:hyperlink>
        </w:p>
        <w:p w14:paraId="5AF3DBE5" w14:textId="1D88F5BB" w:rsidR="00AD72DF" w:rsidRDefault="00AD72DF">
          <w:pPr>
            <w:pStyle w:val="TOC1"/>
            <w:tabs>
              <w:tab w:val="right" w:leader="dot" w:pos="9016"/>
            </w:tabs>
            <w:rPr>
              <w:noProof/>
            </w:rPr>
          </w:pPr>
          <w:hyperlink w:anchor="_Toc215208545" w:history="1">
            <w:r w:rsidRPr="001E0818">
              <w:rPr>
                <w:rStyle w:val="Hyperlink"/>
                <w:rFonts w:ascii="Arial" w:eastAsia="Times New Roman" w:hAnsi="Arial" w:cs="Arial"/>
                <w:noProof/>
              </w:rPr>
              <w:t>2. Introduction.</w:t>
            </w:r>
            <w:r>
              <w:rPr>
                <w:noProof/>
                <w:webHidden/>
              </w:rPr>
              <w:tab/>
            </w:r>
            <w:r>
              <w:rPr>
                <w:noProof/>
                <w:webHidden/>
              </w:rPr>
              <w:fldChar w:fldCharType="begin"/>
            </w:r>
            <w:r>
              <w:rPr>
                <w:noProof/>
                <w:webHidden/>
              </w:rPr>
              <w:instrText xml:space="preserve"> PAGEREF _Toc215208545 \h </w:instrText>
            </w:r>
            <w:r>
              <w:rPr>
                <w:noProof/>
                <w:webHidden/>
              </w:rPr>
            </w:r>
            <w:r>
              <w:rPr>
                <w:noProof/>
                <w:webHidden/>
              </w:rPr>
              <w:fldChar w:fldCharType="separate"/>
            </w:r>
            <w:r>
              <w:rPr>
                <w:noProof/>
                <w:webHidden/>
              </w:rPr>
              <w:t>4</w:t>
            </w:r>
            <w:r>
              <w:rPr>
                <w:noProof/>
                <w:webHidden/>
              </w:rPr>
              <w:fldChar w:fldCharType="end"/>
            </w:r>
          </w:hyperlink>
        </w:p>
        <w:p w14:paraId="5847B9E1" w14:textId="1F53A276" w:rsidR="00AD72DF" w:rsidRDefault="00AD72DF">
          <w:pPr>
            <w:pStyle w:val="TOC2"/>
            <w:tabs>
              <w:tab w:val="right" w:leader="dot" w:pos="9016"/>
            </w:tabs>
            <w:rPr>
              <w:noProof/>
            </w:rPr>
          </w:pPr>
          <w:hyperlink w:anchor="_Toc215208546" w:history="1">
            <w:r w:rsidRPr="001E0818">
              <w:rPr>
                <w:rStyle w:val="Hyperlink"/>
                <w:rFonts w:ascii="Arial" w:eastAsia="Times New Roman" w:hAnsi="Arial" w:cs="Arial"/>
                <w:noProof/>
              </w:rPr>
              <w:t>2.1. Background on Nestlé S.A. and Global Scope</w:t>
            </w:r>
            <w:r>
              <w:rPr>
                <w:noProof/>
                <w:webHidden/>
              </w:rPr>
              <w:tab/>
            </w:r>
            <w:r>
              <w:rPr>
                <w:noProof/>
                <w:webHidden/>
              </w:rPr>
              <w:fldChar w:fldCharType="begin"/>
            </w:r>
            <w:r>
              <w:rPr>
                <w:noProof/>
                <w:webHidden/>
              </w:rPr>
              <w:instrText xml:space="preserve"> PAGEREF _Toc215208546 \h </w:instrText>
            </w:r>
            <w:r>
              <w:rPr>
                <w:noProof/>
                <w:webHidden/>
              </w:rPr>
            </w:r>
            <w:r>
              <w:rPr>
                <w:noProof/>
                <w:webHidden/>
              </w:rPr>
              <w:fldChar w:fldCharType="separate"/>
            </w:r>
            <w:r>
              <w:rPr>
                <w:noProof/>
                <w:webHidden/>
              </w:rPr>
              <w:t>4</w:t>
            </w:r>
            <w:r>
              <w:rPr>
                <w:noProof/>
                <w:webHidden/>
              </w:rPr>
              <w:fldChar w:fldCharType="end"/>
            </w:r>
          </w:hyperlink>
        </w:p>
        <w:p w14:paraId="52B2D6D6" w14:textId="306C05AE" w:rsidR="00AD72DF" w:rsidRDefault="00AD72DF">
          <w:pPr>
            <w:pStyle w:val="TOC2"/>
            <w:tabs>
              <w:tab w:val="right" w:leader="dot" w:pos="9016"/>
            </w:tabs>
            <w:rPr>
              <w:noProof/>
            </w:rPr>
          </w:pPr>
          <w:hyperlink w:anchor="_Toc215208547" w:history="1">
            <w:r w:rsidRPr="001E0818">
              <w:rPr>
                <w:rStyle w:val="Hyperlink"/>
                <w:rFonts w:ascii="Arial" w:eastAsia="Times New Roman" w:hAnsi="Arial" w:cs="Arial"/>
                <w:noProof/>
              </w:rPr>
              <w:t>2.2. Selection Rationale (Nestlé &amp; India)</w:t>
            </w:r>
            <w:r>
              <w:rPr>
                <w:noProof/>
                <w:webHidden/>
              </w:rPr>
              <w:tab/>
            </w:r>
            <w:r>
              <w:rPr>
                <w:noProof/>
                <w:webHidden/>
              </w:rPr>
              <w:fldChar w:fldCharType="begin"/>
            </w:r>
            <w:r>
              <w:rPr>
                <w:noProof/>
                <w:webHidden/>
              </w:rPr>
              <w:instrText xml:space="preserve"> PAGEREF _Toc215208547 \h </w:instrText>
            </w:r>
            <w:r>
              <w:rPr>
                <w:noProof/>
                <w:webHidden/>
              </w:rPr>
            </w:r>
            <w:r>
              <w:rPr>
                <w:noProof/>
                <w:webHidden/>
              </w:rPr>
              <w:fldChar w:fldCharType="separate"/>
            </w:r>
            <w:r>
              <w:rPr>
                <w:noProof/>
                <w:webHidden/>
              </w:rPr>
              <w:t>5</w:t>
            </w:r>
            <w:r>
              <w:rPr>
                <w:noProof/>
                <w:webHidden/>
              </w:rPr>
              <w:fldChar w:fldCharType="end"/>
            </w:r>
          </w:hyperlink>
        </w:p>
        <w:p w14:paraId="31E8B160" w14:textId="3DB3F7F9" w:rsidR="00AD72DF" w:rsidRDefault="00AD72DF">
          <w:pPr>
            <w:pStyle w:val="TOC2"/>
            <w:tabs>
              <w:tab w:val="right" w:leader="dot" w:pos="9016"/>
            </w:tabs>
            <w:rPr>
              <w:noProof/>
            </w:rPr>
          </w:pPr>
          <w:hyperlink w:anchor="_Toc215208548" w:history="1">
            <w:r w:rsidRPr="001E0818">
              <w:rPr>
                <w:rStyle w:val="Hyperlink"/>
                <w:rFonts w:ascii="Arial" w:eastAsia="Times New Roman" w:hAnsi="Arial" w:cs="Arial"/>
                <w:noProof/>
              </w:rPr>
              <w:t>2.3. Report Structure and Objectives</w:t>
            </w:r>
            <w:r>
              <w:rPr>
                <w:noProof/>
                <w:webHidden/>
              </w:rPr>
              <w:tab/>
            </w:r>
            <w:r>
              <w:rPr>
                <w:noProof/>
                <w:webHidden/>
              </w:rPr>
              <w:fldChar w:fldCharType="begin"/>
            </w:r>
            <w:r>
              <w:rPr>
                <w:noProof/>
                <w:webHidden/>
              </w:rPr>
              <w:instrText xml:space="preserve"> PAGEREF _Toc215208548 \h </w:instrText>
            </w:r>
            <w:r>
              <w:rPr>
                <w:noProof/>
                <w:webHidden/>
              </w:rPr>
            </w:r>
            <w:r>
              <w:rPr>
                <w:noProof/>
                <w:webHidden/>
              </w:rPr>
              <w:fldChar w:fldCharType="separate"/>
            </w:r>
            <w:r>
              <w:rPr>
                <w:noProof/>
                <w:webHidden/>
              </w:rPr>
              <w:t>5</w:t>
            </w:r>
            <w:r>
              <w:rPr>
                <w:noProof/>
                <w:webHidden/>
              </w:rPr>
              <w:fldChar w:fldCharType="end"/>
            </w:r>
          </w:hyperlink>
        </w:p>
        <w:p w14:paraId="46E97D5A" w14:textId="08BF3491" w:rsidR="00AD72DF" w:rsidRDefault="00AD72DF">
          <w:pPr>
            <w:pStyle w:val="TOC2"/>
            <w:tabs>
              <w:tab w:val="right" w:leader="dot" w:pos="9016"/>
            </w:tabs>
            <w:rPr>
              <w:noProof/>
            </w:rPr>
          </w:pPr>
          <w:hyperlink w:anchor="_Toc215208549" w:history="1">
            <w:r w:rsidRPr="001E0818">
              <w:rPr>
                <w:rStyle w:val="Hyperlink"/>
                <w:rFonts w:ascii="Arial" w:hAnsi="Arial" w:cs="Arial"/>
                <w:noProof/>
              </w:rPr>
              <w:t>3. Global Operations: Benefits, Challenges, and Entry Modes</w:t>
            </w:r>
            <w:r>
              <w:rPr>
                <w:noProof/>
                <w:webHidden/>
              </w:rPr>
              <w:tab/>
            </w:r>
            <w:r>
              <w:rPr>
                <w:noProof/>
                <w:webHidden/>
              </w:rPr>
              <w:fldChar w:fldCharType="begin"/>
            </w:r>
            <w:r>
              <w:rPr>
                <w:noProof/>
                <w:webHidden/>
              </w:rPr>
              <w:instrText xml:space="preserve"> PAGEREF _Toc215208549 \h </w:instrText>
            </w:r>
            <w:r>
              <w:rPr>
                <w:noProof/>
                <w:webHidden/>
              </w:rPr>
            </w:r>
            <w:r>
              <w:rPr>
                <w:noProof/>
                <w:webHidden/>
              </w:rPr>
              <w:fldChar w:fldCharType="separate"/>
            </w:r>
            <w:r>
              <w:rPr>
                <w:noProof/>
                <w:webHidden/>
              </w:rPr>
              <w:t>6</w:t>
            </w:r>
            <w:r>
              <w:rPr>
                <w:noProof/>
                <w:webHidden/>
              </w:rPr>
              <w:fldChar w:fldCharType="end"/>
            </w:r>
          </w:hyperlink>
        </w:p>
        <w:p w14:paraId="067AB87F" w14:textId="67FC01DD" w:rsidR="00AD72DF" w:rsidRDefault="00AD72DF">
          <w:pPr>
            <w:pStyle w:val="TOC2"/>
            <w:tabs>
              <w:tab w:val="right" w:leader="dot" w:pos="9016"/>
            </w:tabs>
            <w:rPr>
              <w:noProof/>
            </w:rPr>
          </w:pPr>
          <w:hyperlink w:anchor="_Toc215208550" w:history="1">
            <w:r w:rsidRPr="001E0818">
              <w:rPr>
                <w:rStyle w:val="Hyperlink"/>
                <w:rFonts w:ascii="Arial" w:eastAsia="Times New Roman" w:hAnsi="Arial" w:cs="Arial"/>
                <w:noProof/>
              </w:rPr>
              <w:t>3.1. MNC/TNC Designation of Nestlé</w:t>
            </w:r>
            <w:r>
              <w:rPr>
                <w:noProof/>
                <w:webHidden/>
              </w:rPr>
              <w:tab/>
            </w:r>
            <w:r>
              <w:rPr>
                <w:noProof/>
                <w:webHidden/>
              </w:rPr>
              <w:fldChar w:fldCharType="begin"/>
            </w:r>
            <w:r>
              <w:rPr>
                <w:noProof/>
                <w:webHidden/>
              </w:rPr>
              <w:instrText xml:space="preserve"> PAGEREF _Toc215208550 \h </w:instrText>
            </w:r>
            <w:r>
              <w:rPr>
                <w:noProof/>
                <w:webHidden/>
              </w:rPr>
            </w:r>
            <w:r>
              <w:rPr>
                <w:noProof/>
                <w:webHidden/>
              </w:rPr>
              <w:fldChar w:fldCharType="separate"/>
            </w:r>
            <w:r>
              <w:rPr>
                <w:noProof/>
                <w:webHidden/>
              </w:rPr>
              <w:t>6</w:t>
            </w:r>
            <w:r>
              <w:rPr>
                <w:noProof/>
                <w:webHidden/>
              </w:rPr>
              <w:fldChar w:fldCharType="end"/>
            </w:r>
          </w:hyperlink>
        </w:p>
        <w:p w14:paraId="2D048899" w14:textId="3E81DA8C" w:rsidR="00AD72DF" w:rsidRDefault="00AD72DF">
          <w:pPr>
            <w:pStyle w:val="TOC3"/>
            <w:tabs>
              <w:tab w:val="right" w:leader="dot" w:pos="9016"/>
            </w:tabs>
            <w:rPr>
              <w:noProof/>
            </w:rPr>
          </w:pPr>
          <w:hyperlink w:anchor="_Toc215208551" w:history="1">
            <w:r w:rsidRPr="001E0818">
              <w:rPr>
                <w:rStyle w:val="Hyperlink"/>
                <w:rFonts w:ascii="Arial" w:eastAsia="Times New Roman" w:hAnsi="Arial" w:cs="Arial"/>
                <w:noProof/>
              </w:rPr>
              <w:t>3.1.1. TNC Status Defined by Decentralization and Local Responsiveness</w:t>
            </w:r>
            <w:r>
              <w:rPr>
                <w:noProof/>
                <w:webHidden/>
              </w:rPr>
              <w:tab/>
            </w:r>
            <w:r>
              <w:rPr>
                <w:noProof/>
                <w:webHidden/>
              </w:rPr>
              <w:fldChar w:fldCharType="begin"/>
            </w:r>
            <w:r>
              <w:rPr>
                <w:noProof/>
                <w:webHidden/>
              </w:rPr>
              <w:instrText xml:space="preserve"> PAGEREF _Toc215208551 \h </w:instrText>
            </w:r>
            <w:r>
              <w:rPr>
                <w:noProof/>
                <w:webHidden/>
              </w:rPr>
            </w:r>
            <w:r>
              <w:rPr>
                <w:noProof/>
                <w:webHidden/>
              </w:rPr>
              <w:fldChar w:fldCharType="separate"/>
            </w:r>
            <w:r>
              <w:rPr>
                <w:noProof/>
                <w:webHidden/>
              </w:rPr>
              <w:t>6</w:t>
            </w:r>
            <w:r>
              <w:rPr>
                <w:noProof/>
                <w:webHidden/>
              </w:rPr>
              <w:fldChar w:fldCharType="end"/>
            </w:r>
          </w:hyperlink>
        </w:p>
        <w:p w14:paraId="21F932B8" w14:textId="1314FB1C" w:rsidR="00AD72DF" w:rsidRDefault="00AD72DF">
          <w:pPr>
            <w:pStyle w:val="TOC3"/>
            <w:tabs>
              <w:tab w:val="right" w:leader="dot" w:pos="9016"/>
            </w:tabs>
            <w:rPr>
              <w:noProof/>
            </w:rPr>
          </w:pPr>
          <w:hyperlink w:anchor="_Toc215208552" w:history="1">
            <w:r w:rsidRPr="001E0818">
              <w:rPr>
                <w:rStyle w:val="Hyperlink"/>
                <w:rFonts w:ascii="Arial" w:eastAsia="Times New Roman" w:hAnsi="Arial" w:cs="Arial"/>
                <w:noProof/>
              </w:rPr>
              <w:t>3.1.2. Empirical Evidence of Global Scale and Integration</w:t>
            </w:r>
            <w:r>
              <w:rPr>
                <w:noProof/>
                <w:webHidden/>
              </w:rPr>
              <w:tab/>
            </w:r>
            <w:r>
              <w:rPr>
                <w:noProof/>
                <w:webHidden/>
              </w:rPr>
              <w:fldChar w:fldCharType="begin"/>
            </w:r>
            <w:r>
              <w:rPr>
                <w:noProof/>
                <w:webHidden/>
              </w:rPr>
              <w:instrText xml:space="preserve"> PAGEREF _Toc215208552 \h </w:instrText>
            </w:r>
            <w:r>
              <w:rPr>
                <w:noProof/>
                <w:webHidden/>
              </w:rPr>
            </w:r>
            <w:r>
              <w:rPr>
                <w:noProof/>
                <w:webHidden/>
              </w:rPr>
              <w:fldChar w:fldCharType="separate"/>
            </w:r>
            <w:r>
              <w:rPr>
                <w:noProof/>
                <w:webHidden/>
              </w:rPr>
              <w:t>6</w:t>
            </w:r>
            <w:r>
              <w:rPr>
                <w:noProof/>
                <w:webHidden/>
              </w:rPr>
              <w:fldChar w:fldCharType="end"/>
            </w:r>
          </w:hyperlink>
        </w:p>
        <w:p w14:paraId="701B8E37" w14:textId="2FE3D7EB" w:rsidR="00AD72DF" w:rsidRDefault="00AD72DF">
          <w:pPr>
            <w:pStyle w:val="TOC2"/>
            <w:tabs>
              <w:tab w:val="right" w:leader="dot" w:pos="9016"/>
            </w:tabs>
            <w:rPr>
              <w:noProof/>
            </w:rPr>
          </w:pPr>
          <w:hyperlink w:anchor="_Toc215208553" w:history="1">
            <w:r w:rsidRPr="001E0818">
              <w:rPr>
                <w:rStyle w:val="Hyperlink"/>
                <w:rFonts w:ascii="Arial" w:eastAsia="Times New Roman" w:hAnsi="Arial" w:cs="Arial"/>
                <w:noProof/>
              </w:rPr>
              <w:t>3.2. Mapping the Global Value Chain</w:t>
            </w:r>
            <w:r>
              <w:rPr>
                <w:noProof/>
                <w:webHidden/>
              </w:rPr>
              <w:tab/>
            </w:r>
            <w:r>
              <w:rPr>
                <w:noProof/>
                <w:webHidden/>
              </w:rPr>
              <w:fldChar w:fldCharType="begin"/>
            </w:r>
            <w:r>
              <w:rPr>
                <w:noProof/>
                <w:webHidden/>
              </w:rPr>
              <w:instrText xml:space="preserve"> PAGEREF _Toc215208553 \h </w:instrText>
            </w:r>
            <w:r>
              <w:rPr>
                <w:noProof/>
                <w:webHidden/>
              </w:rPr>
            </w:r>
            <w:r>
              <w:rPr>
                <w:noProof/>
                <w:webHidden/>
              </w:rPr>
              <w:fldChar w:fldCharType="separate"/>
            </w:r>
            <w:r>
              <w:rPr>
                <w:noProof/>
                <w:webHidden/>
              </w:rPr>
              <w:t>7</w:t>
            </w:r>
            <w:r>
              <w:rPr>
                <w:noProof/>
                <w:webHidden/>
              </w:rPr>
              <w:fldChar w:fldCharType="end"/>
            </w:r>
          </w:hyperlink>
        </w:p>
        <w:p w14:paraId="6C2BB7DC" w14:textId="54629FCD" w:rsidR="00AD72DF" w:rsidRDefault="00AD72DF">
          <w:pPr>
            <w:pStyle w:val="TOC3"/>
            <w:tabs>
              <w:tab w:val="right" w:leader="dot" w:pos="9016"/>
            </w:tabs>
            <w:rPr>
              <w:noProof/>
            </w:rPr>
          </w:pPr>
          <w:hyperlink w:anchor="_Toc215208554" w:history="1">
            <w:r w:rsidRPr="001E0818">
              <w:rPr>
                <w:rStyle w:val="Hyperlink"/>
                <w:rFonts w:ascii="Arial" w:eastAsia="Times New Roman" w:hAnsi="Arial" w:cs="Arial"/>
                <w:noProof/>
              </w:rPr>
              <w:t>3.2.1. Research and Development (R&amp;D): The Shift to Localized Innovation Hubs</w:t>
            </w:r>
            <w:r>
              <w:rPr>
                <w:noProof/>
                <w:webHidden/>
              </w:rPr>
              <w:tab/>
            </w:r>
            <w:r>
              <w:rPr>
                <w:noProof/>
                <w:webHidden/>
              </w:rPr>
              <w:fldChar w:fldCharType="begin"/>
            </w:r>
            <w:r>
              <w:rPr>
                <w:noProof/>
                <w:webHidden/>
              </w:rPr>
              <w:instrText xml:space="preserve"> PAGEREF _Toc215208554 \h </w:instrText>
            </w:r>
            <w:r>
              <w:rPr>
                <w:noProof/>
                <w:webHidden/>
              </w:rPr>
            </w:r>
            <w:r>
              <w:rPr>
                <w:noProof/>
                <w:webHidden/>
              </w:rPr>
              <w:fldChar w:fldCharType="separate"/>
            </w:r>
            <w:r>
              <w:rPr>
                <w:noProof/>
                <w:webHidden/>
              </w:rPr>
              <w:t>7</w:t>
            </w:r>
            <w:r>
              <w:rPr>
                <w:noProof/>
                <w:webHidden/>
              </w:rPr>
              <w:fldChar w:fldCharType="end"/>
            </w:r>
          </w:hyperlink>
        </w:p>
        <w:p w14:paraId="643951B4" w14:textId="23790F17" w:rsidR="00AD72DF" w:rsidRDefault="00AD72DF">
          <w:pPr>
            <w:pStyle w:val="TOC3"/>
            <w:tabs>
              <w:tab w:val="right" w:leader="dot" w:pos="9016"/>
            </w:tabs>
            <w:rPr>
              <w:noProof/>
            </w:rPr>
          </w:pPr>
          <w:hyperlink w:anchor="_Toc215208555" w:history="1">
            <w:r w:rsidRPr="001E0818">
              <w:rPr>
                <w:rStyle w:val="Hyperlink"/>
                <w:noProof/>
              </w:rPr>
              <w:t>Diagram of Porter’s Value Chain adapted for Nestlé, showing Primary Activities (Sourcing, Production) and Support Activities (R&amp;D, HR)</w:t>
            </w:r>
            <w:r>
              <w:rPr>
                <w:noProof/>
                <w:webHidden/>
              </w:rPr>
              <w:tab/>
            </w:r>
            <w:r>
              <w:rPr>
                <w:noProof/>
                <w:webHidden/>
              </w:rPr>
              <w:fldChar w:fldCharType="begin"/>
            </w:r>
            <w:r>
              <w:rPr>
                <w:noProof/>
                <w:webHidden/>
              </w:rPr>
              <w:instrText xml:space="preserve"> PAGEREF _Toc215208555 \h </w:instrText>
            </w:r>
            <w:r>
              <w:rPr>
                <w:noProof/>
                <w:webHidden/>
              </w:rPr>
            </w:r>
            <w:r>
              <w:rPr>
                <w:noProof/>
                <w:webHidden/>
              </w:rPr>
              <w:fldChar w:fldCharType="separate"/>
            </w:r>
            <w:r>
              <w:rPr>
                <w:noProof/>
                <w:webHidden/>
              </w:rPr>
              <w:t>8</w:t>
            </w:r>
            <w:r>
              <w:rPr>
                <w:noProof/>
                <w:webHidden/>
              </w:rPr>
              <w:fldChar w:fldCharType="end"/>
            </w:r>
          </w:hyperlink>
        </w:p>
        <w:p w14:paraId="06005E0E" w14:textId="433FF72D" w:rsidR="00AD72DF" w:rsidRDefault="00AD72DF">
          <w:pPr>
            <w:pStyle w:val="TOC3"/>
            <w:tabs>
              <w:tab w:val="right" w:leader="dot" w:pos="9016"/>
            </w:tabs>
            <w:rPr>
              <w:noProof/>
            </w:rPr>
          </w:pPr>
          <w:hyperlink w:anchor="_Toc215208556" w:history="1">
            <w:r w:rsidRPr="001E0818">
              <w:rPr>
                <w:rStyle w:val="Hyperlink"/>
                <w:rFonts w:ascii="Arial" w:eastAsia="Times New Roman" w:hAnsi="Arial" w:cs="Arial"/>
                <w:noProof/>
              </w:rPr>
              <w:t>3.2.2. Sourcing and Procurement: Deep Integration and Supplier Development</w:t>
            </w:r>
            <w:r>
              <w:rPr>
                <w:noProof/>
                <w:webHidden/>
              </w:rPr>
              <w:tab/>
            </w:r>
            <w:r>
              <w:rPr>
                <w:noProof/>
                <w:webHidden/>
              </w:rPr>
              <w:fldChar w:fldCharType="begin"/>
            </w:r>
            <w:r>
              <w:rPr>
                <w:noProof/>
                <w:webHidden/>
              </w:rPr>
              <w:instrText xml:space="preserve"> PAGEREF _Toc215208556 \h </w:instrText>
            </w:r>
            <w:r>
              <w:rPr>
                <w:noProof/>
                <w:webHidden/>
              </w:rPr>
            </w:r>
            <w:r>
              <w:rPr>
                <w:noProof/>
                <w:webHidden/>
              </w:rPr>
              <w:fldChar w:fldCharType="separate"/>
            </w:r>
            <w:r>
              <w:rPr>
                <w:noProof/>
                <w:webHidden/>
              </w:rPr>
              <w:t>8</w:t>
            </w:r>
            <w:r>
              <w:rPr>
                <w:noProof/>
                <w:webHidden/>
              </w:rPr>
              <w:fldChar w:fldCharType="end"/>
            </w:r>
          </w:hyperlink>
        </w:p>
        <w:p w14:paraId="5724F5A2" w14:textId="2A58DE79" w:rsidR="00AD72DF" w:rsidRDefault="00AD72DF">
          <w:pPr>
            <w:pStyle w:val="TOC3"/>
            <w:tabs>
              <w:tab w:val="right" w:leader="dot" w:pos="9016"/>
            </w:tabs>
            <w:rPr>
              <w:noProof/>
            </w:rPr>
          </w:pPr>
          <w:hyperlink w:anchor="_Toc215208557" w:history="1">
            <w:r w:rsidRPr="001E0818">
              <w:rPr>
                <w:rStyle w:val="Hyperlink"/>
                <w:rFonts w:ascii="Arial" w:eastAsia="Times New Roman" w:hAnsi="Arial" w:cs="Arial"/>
                <w:noProof/>
              </w:rPr>
              <w:t>3.2.3. Production, Logistics, and Decentralized Efficiency</w:t>
            </w:r>
            <w:r>
              <w:rPr>
                <w:noProof/>
                <w:webHidden/>
              </w:rPr>
              <w:tab/>
            </w:r>
            <w:r>
              <w:rPr>
                <w:noProof/>
                <w:webHidden/>
              </w:rPr>
              <w:fldChar w:fldCharType="begin"/>
            </w:r>
            <w:r>
              <w:rPr>
                <w:noProof/>
                <w:webHidden/>
              </w:rPr>
              <w:instrText xml:space="preserve"> PAGEREF _Toc215208557 \h </w:instrText>
            </w:r>
            <w:r>
              <w:rPr>
                <w:noProof/>
                <w:webHidden/>
              </w:rPr>
            </w:r>
            <w:r>
              <w:rPr>
                <w:noProof/>
                <w:webHidden/>
              </w:rPr>
              <w:fldChar w:fldCharType="separate"/>
            </w:r>
            <w:r>
              <w:rPr>
                <w:noProof/>
                <w:webHidden/>
              </w:rPr>
              <w:t>9</w:t>
            </w:r>
            <w:r>
              <w:rPr>
                <w:noProof/>
                <w:webHidden/>
              </w:rPr>
              <w:fldChar w:fldCharType="end"/>
            </w:r>
          </w:hyperlink>
        </w:p>
        <w:p w14:paraId="3FF02AAF" w14:textId="08728DCA" w:rsidR="00AD72DF" w:rsidRDefault="00AD72DF">
          <w:pPr>
            <w:pStyle w:val="TOC3"/>
            <w:tabs>
              <w:tab w:val="right" w:leader="dot" w:pos="9016"/>
            </w:tabs>
            <w:rPr>
              <w:noProof/>
            </w:rPr>
          </w:pPr>
          <w:hyperlink w:anchor="_Toc215208558" w:history="1">
            <w:r w:rsidRPr="001E0818">
              <w:rPr>
                <w:rStyle w:val="Hyperlink"/>
                <w:rFonts w:ascii="Arial" w:eastAsia="Times New Roman" w:hAnsi="Arial" w:cs="Arial"/>
                <w:noProof/>
              </w:rPr>
              <w:t>3.2.4. Sales, Marketing, and Financing</w:t>
            </w:r>
            <w:r>
              <w:rPr>
                <w:noProof/>
                <w:webHidden/>
              </w:rPr>
              <w:tab/>
            </w:r>
            <w:r>
              <w:rPr>
                <w:noProof/>
                <w:webHidden/>
              </w:rPr>
              <w:fldChar w:fldCharType="begin"/>
            </w:r>
            <w:r>
              <w:rPr>
                <w:noProof/>
                <w:webHidden/>
              </w:rPr>
              <w:instrText xml:space="preserve"> PAGEREF _Toc215208558 \h </w:instrText>
            </w:r>
            <w:r>
              <w:rPr>
                <w:noProof/>
                <w:webHidden/>
              </w:rPr>
            </w:r>
            <w:r>
              <w:rPr>
                <w:noProof/>
                <w:webHidden/>
              </w:rPr>
              <w:fldChar w:fldCharType="separate"/>
            </w:r>
            <w:r>
              <w:rPr>
                <w:noProof/>
                <w:webHidden/>
              </w:rPr>
              <w:t>9</w:t>
            </w:r>
            <w:r>
              <w:rPr>
                <w:noProof/>
                <w:webHidden/>
              </w:rPr>
              <w:fldChar w:fldCharType="end"/>
            </w:r>
          </w:hyperlink>
        </w:p>
        <w:p w14:paraId="7BA24573" w14:textId="43C5BE06" w:rsidR="00AD72DF" w:rsidRDefault="00AD72DF">
          <w:pPr>
            <w:pStyle w:val="TOC2"/>
            <w:tabs>
              <w:tab w:val="right" w:leader="dot" w:pos="9016"/>
            </w:tabs>
            <w:rPr>
              <w:noProof/>
            </w:rPr>
          </w:pPr>
          <w:hyperlink w:anchor="_Toc215208559" w:history="1">
            <w:r w:rsidRPr="001E0818">
              <w:rPr>
                <w:rStyle w:val="Hyperlink"/>
                <w:rFonts w:ascii="Arial" w:eastAsia="Times New Roman" w:hAnsi="Arial" w:cs="Arial"/>
                <w:noProof/>
              </w:rPr>
              <w:t>3.3. International Market Entry Modes</w:t>
            </w:r>
            <w:r>
              <w:rPr>
                <w:noProof/>
                <w:webHidden/>
              </w:rPr>
              <w:tab/>
            </w:r>
            <w:r>
              <w:rPr>
                <w:noProof/>
                <w:webHidden/>
              </w:rPr>
              <w:fldChar w:fldCharType="begin"/>
            </w:r>
            <w:r>
              <w:rPr>
                <w:noProof/>
                <w:webHidden/>
              </w:rPr>
              <w:instrText xml:space="preserve"> PAGEREF _Toc215208559 \h </w:instrText>
            </w:r>
            <w:r>
              <w:rPr>
                <w:noProof/>
                <w:webHidden/>
              </w:rPr>
            </w:r>
            <w:r>
              <w:rPr>
                <w:noProof/>
                <w:webHidden/>
              </w:rPr>
              <w:fldChar w:fldCharType="separate"/>
            </w:r>
            <w:r>
              <w:rPr>
                <w:noProof/>
                <w:webHidden/>
              </w:rPr>
              <w:t>9</w:t>
            </w:r>
            <w:r>
              <w:rPr>
                <w:noProof/>
                <w:webHidden/>
              </w:rPr>
              <w:fldChar w:fldCharType="end"/>
            </w:r>
          </w:hyperlink>
        </w:p>
        <w:p w14:paraId="1B4F50BB" w14:textId="6CA79B6C" w:rsidR="00AD72DF" w:rsidRDefault="00AD72DF">
          <w:pPr>
            <w:pStyle w:val="TOC2"/>
            <w:tabs>
              <w:tab w:val="right" w:leader="dot" w:pos="9016"/>
            </w:tabs>
            <w:rPr>
              <w:noProof/>
            </w:rPr>
          </w:pPr>
          <w:hyperlink w:anchor="_Toc215208560" w:history="1">
            <w:r w:rsidRPr="001E0818">
              <w:rPr>
                <w:rStyle w:val="Hyperlink"/>
                <w:rFonts w:ascii="Arial" w:hAnsi="Arial" w:cs="Arial"/>
                <w:noProof/>
              </w:rPr>
              <w:t>3.3.1. Identification of Dominant Entry Mode in India: Wholly Owned Subsidiary (WOS</w:t>
            </w:r>
            <w:r w:rsidRPr="001E0818">
              <w:rPr>
                <w:rStyle w:val="Hyperlink"/>
                <w:rFonts w:ascii="Arial" w:eastAsia="Times New Roman" w:hAnsi="Arial" w:cs="Arial"/>
                <w:noProof/>
              </w:rPr>
              <w:t>)</w:t>
            </w:r>
            <w:r>
              <w:rPr>
                <w:noProof/>
                <w:webHidden/>
              </w:rPr>
              <w:tab/>
            </w:r>
            <w:r>
              <w:rPr>
                <w:noProof/>
                <w:webHidden/>
              </w:rPr>
              <w:fldChar w:fldCharType="begin"/>
            </w:r>
            <w:r>
              <w:rPr>
                <w:noProof/>
                <w:webHidden/>
              </w:rPr>
              <w:instrText xml:space="preserve"> PAGEREF _Toc215208560 \h </w:instrText>
            </w:r>
            <w:r>
              <w:rPr>
                <w:noProof/>
                <w:webHidden/>
              </w:rPr>
            </w:r>
            <w:r>
              <w:rPr>
                <w:noProof/>
                <w:webHidden/>
              </w:rPr>
              <w:fldChar w:fldCharType="separate"/>
            </w:r>
            <w:r>
              <w:rPr>
                <w:noProof/>
                <w:webHidden/>
              </w:rPr>
              <w:t>10</w:t>
            </w:r>
            <w:r>
              <w:rPr>
                <w:noProof/>
                <w:webHidden/>
              </w:rPr>
              <w:fldChar w:fldCharType="end"/>
            </w:r>
          </w:hyperlink>
        </w:p>
        <w:p w14:paraId="4CD8C477" w14:textId="771355F9" w:rsidR="00AD72DF" w:rsidRDefault="00AD72DF">
          <w:pPr>
            <w:pStyle w:val="TOC3"/>
            <w:tabs>
              <w:tab w:val="right" w:leader="dot" w:pos="9016"/>
            </w:tabs>
            <w:rPr>
              <w:noProof/>
            </w:rPr>
          </w:pPr>
          <w:hyperlink w:anchor="_Toc215208561" w:history="1">
            <w:r w:rsidRPr="001E0818">
              <w:rPr>
                <w:rStyle w:val="Hyperlink"/>
                <w:noProof/>
              </w:rPr>
              <w:t>A Pie Chart the "Revenue Contribution by Entry Mode," showing WOS (Nestlé India Ltd) holding the majority share vs. JVs].</w:t>
            </w:r>
            <w:r>
              <w:rPr>
                <w:noProof/>
                <w:webHidden/>
              </w:rPr>
              <w:tab/>
            </w:r>
            <w:r>
              <w:rPr>
                <w:noProof/>
                <w:webHidden/>
              </w:rPr>
              <w:fldChar w:fldCharType="begin"/>
            </w:r>
            <w:r>
              <w:rPr>
                <w:noProof/>
                <w:webHidden/>
              </w:rPr>
              <w:instrText xml:space="preserve"> PAGEREF _Toc215208561 \h </w:instrText>
            </w:r>
            <w:r>
              <w:rPr>
                <w:noProof/>
                <w:webHidden/>
              </w:rPr>
            </w:r>
            <w:r>
              <w:rPr>
                <w:noProof/>
                <w:webHidden/>
              </w:rPr>
              <w:fldChar w:fldCharType="separate"/>
            </w:r>
            <w:r>
              <w:rPr>
                <w:noProof/>
                <w:webHidden/>
              </w:rPr>
              <w:t>10</w:t>
            </w:r>
            <w:r>
              <w:rPr>
                <w:noProof/>
                <w:webHidden/>
              </w:rPr>
              <w:fldChar w:fldCharType="end"/>
            </w:r>
          </w:hyperlink>
        </w:p>
        <w:p w14:paraId="32F5DB5A" w14:textId="2130C9AE" w:rsidR="00AD72DF" w:rsidRDefault="00AD72DF">
          <w:pPr>
            <w:pStyle w:val="TOC2"/>
            <w:tabs>
              <w:tab w:val="right" w:leader="dot" w:pos="9016"/>
            </w:tabs>
            <w:rPr>
              <w:noProof/>
            </w:rPr>
          </w:pPr>
          <w:hyperlink w:anchor="_Toc215208562" w:history="1">
            <w:r w:rsidRPr="001E0818">
              <w:rPr>
                <w:rStyle w:val="Hyperlink"/>
                <w:rFonts w:ascii="Arial" w:eastAsia="Times New Roman" w:hAnsi="Arial" w:cs="Arial"/>
                <w:noProof/>
              </w:rPr>
              <w:t>3.4. Key Benefits and Challenges of International Operations</w:t>
            </w:r>
            <w:r>
              <w:rPr>
                <w:noProof/>
                <w:webHidden/>
              </w:rPr>
              <w:tab/>
            </w:r>
            <w:r>
              <w:rPr>
                <w:noProof/>
                <w:webHidden/>
              </w:rPr>
              <w:fldChar w:fldCharType="begin"/>
            </w:r>
            <w:r>
              <w:rPr>
                <w:noProof/>
                <w:webHidden/>
              </w:rPr>
              <w:instrText xml:space="preserve"> PAGEREF _Toc215208562 \h </w:instrText>
            </w:r>
            <w:r>
              <w:rPr>
                <w:noProof/>
                <w:webHidden/>
              </w:rPr>
            </w:r>
            <w:r>
              <w:rPr>
                <w:noProof/>
                <w:webHidden/>
              </w:rPr>
              <w:fldChar w:fldCharType="separate"/>
            </w:r>
            <w:r>
              <w:rPr>
                <w:noProof/>
                <w:webHidden/>
              </w:rPr>
              <w:t>11</w:t>
            </w:r>
            <w:r>
              <w:rPr>
                <w:noProof/>
                <w:webHidden/>
              </w:rPr>
              <w:fldChar w:fldCharType="end"/>
            </w:r>
          </w:hyperlink>
        </w:p>
        <w:p w14:paraId="1CECE889" w14:textId="4878A0E3" w:rsidR="00AD72DF" w:rsidRDefault="00AD72DF">
          <w:pPr>
            <w:pStyle w:val="TOC3"/>
            <w:tabs>
              <w:tab w:val="right" w:leader="dot" w:pos="9016"/>
            </w:tabs>
            <w:rPr>
              <w:noProof/>
            </w:rPr>
          </w:pPr>
          <w:hyperlink w:anchor="_Toc215208563" w:history="1">
            <w:r w:rsidRPr="001E0818">
              <w:rPr>
                <w:rStyle w:val="Hyperlink"/>
                <w:rFonts w:ascii="Arial" w:eastAsia="Times New Roman" w:hAnsi="Arial" w:cs="Arial"/>
                <w:noProof/>
              </w:rPr>
              <w:t>3.4.1. Benefits</w:t>
            </w:r>
            <w:r>
              <w:rPr>
                <w:noProof/>
                <w:webHidden/>
              </w:rPr>
              <w:tab/>
            </w:r>
            <w:r>
              <w:rPr>
                <w:noProof/>
                <w:webHidden/>
              </w:rPr>
              <w:fldChar w:fldCharType="begin"/>
            </w:r>
            <w:r>
              <w:rPr>
                <w:noProof/>
                <w:webHidden/>
              </w:rPr>
              <w:instrText xml:space="preserve"> PAGEREF _Toc215208563 \h </w:instrText>
            </w:r>
            <w:r>
              <w:rPr>
                <w:noProof/>
                <w:webHidden/>
              </w:rPr>
            </w:r>
            <w:r>
              <w:rPr>
                <w:noProof/>
                <w:webHidden/>
              </w:rPr>
              <w:fldChar w:fldCharType="separate"/>
            </w:r>
            <w:r>
              <w:rPr>
                <w:noProof/>
                <w:webHidden/>
              </w:rPr>
              <w:t>11</w:t>
            </w:r>
            <w:r>
              <w:rPr>
                <w:noProof/>
                <w:webHidden/>
              </w:rPr>
              <w:fldChar w:fldCharType="end"/>
            </w:r>
          </w:hyperlink>
        </w:p>
        <w:p w14:paraId="47A18545" w14:textId="46EB50DC" w:rsidR="00AD72DF" w:rsidRDefault="00AD72DF">
          <w:pPr>
            <w:pStyle w:val="TOC3"/>
            <w:tabs>
              <w:tab w:val="right" w:leader="dot" w:pos="9016"/>
            </w:tabs>
            <w:rPr>
              <w:noProof/>
            </w:rPr>
          </w:pPr>
          <w:hyperlink w:anchor="_Toc215208564" w:history="1">
            <w:r w:rsidRPr="001E0818">
              <w:rPr>
                <w:rStyle w:val="Hyperlink"/>
                <w:rFonts w:ascii="Arial" w:eastAsia="Times New Roman" w:hAnsi="Arial" w:cs="Arial"/>
                <w:noProof/>
              </w:rPr>
              <w:t>3.4.2. Challenges</w:t>
            </w:r>
            <w:r>
              <w:rPr>
                <w:noProof/>
                <w:webHidden/>
              </w:rPr>
              <w:tab/>
            </w:r>
            <w:r>
              <w:rPr>
                <w:noProof/>
                <w:webHidden/>
              </w:rPr>
              <w:fldChar w:fldCharType="begin"/>
            </w:r>
            <w:r>
              <w:rPr>
                <w:noProof/>
                <w:webHidden/>
              </w:rPr>
              <w:instrText xml:space="preserve"> PAGEREF _Toc215208564 \h </w:instrText>
            </w:r>
            <w:r>
              <w:rPr>
                <w:noProof/>
                <w:webHidden/>
              </w:rPr>
            </w:r>
            <w:r>
              <w:rPr>
                <w:noProof/>
                <w:webHidden/>
              </w:rPr>
              <w:fldChar w:fldCharType="separate"/>
            </w:r>
            <w:r>
              <w:rPr>
                <w:noProof/>
                <w:webHidden/>
              </w:rPr>
              <w:t>11</w:t>
            </w:r>
            <w:r>
              <w:rPr>
                <w:noProof/>
                <w:webHidden/>
              </w:rPr>
              <w:fldChar w:fldCharType="end"/>
            </w:r>
          </w:hyperlink>
        </w:p>
        <w:p w14:paraId="1A827612" w14:textId="5F45376B" w:rsidR="00AD72DF" w:rsidRDefault="00AD72DF">
          <w:pPr>
            <w:pStyle w:val="TOC2"/>
            <w:tabs>
              <w:tab w:val="right" w:leader="dot" w:pos="9016"/>
            </w:tabs>
            <w:rPr>
              <w:noProof/>
            </w:rPr>
          </w:pPr>
          <w:hyperlink w:anchor="_Toc215208565" w:history="1">
            <w:r w:rsidRPr="001E0818">
              <w:rPr>
                <w:rStyle w:val="Hyperlink"/>
                <w:rFonts w:ascii="Arial" w:hAnsi="Arial" w:cs="Arial"/>
                <w:noProof/>
              </w:rPr>
              <w:t>4. The Eclectic Paradigm (OLI) and Market Entry Mode in India</w:t>
            </w:r>
            <w:r>
              <w:rPr>
                <w:noProof/>
                <w:webHidden/>
              </w:rPr>
              <w:tab/>
            </w:r>
            <w:r>
              <w:rPr>
                <w:noProof/>
                <w:webHidden/>
              </w:rPr>
              <w:fldChar w:fldCharType="begin"/>
            </w:r>
            <w:r>
              <w:rPr>
                <w:noProof/>
                <w:webHidden/>
              </w:rPr>
              <w:instrText xml:space="preserve"> PAGEREF _Toc215208565 \h </w:instrText>
            </w:r>
            <w:r>
              <w:rPr>
                <w:noProof/>
                <w:webHidden/>
              </w:rPr>
            </w:r>
            <w:r>
              <w:rPr>
                <w:noProof/>
                <w:webHidden/>
              </w:rPr>
              <w:fldChar w:fldCharType="separate"/>
            </w:r>
            <w:r>
              <w:rPr>
                <w:noProof/>
                <w:webHidden/>
              </w:rPr>
              <w:t>12</w:t>
            </w:r>
            <w:r>
              <w:rPr>
                <w:noProof/>
                <w:webHidden/>
              </w:rPr>
              <w:fldChar w:fldCharType="end"/>
            </w:r>
          </w:hyperlink>
        </w:p>
        <w:p w14:paraId="19F84764" w14:textId="2F4D7378" w:rsidR="00AD72DF" w:rsidRDefault="00AD72DF">
          <w:pPr>
            <w:pStyle w:val="TOC2"/>
            <w:tabs>
              <w:tab w:val="right" w:leader="dot" w:pos="9016"/>
            </w:tabs>
            <w:rPr>
              <w:noProof/>
            </w:rPr>
          </w:pPr>
          <w:hyperlink w:anchor="_Toc215208566" w:history="1">
            <w:r w:rsidRPr="001E0818">
              <w:rPr>
                <w:rStyle w:val="Hyperlink"/>
                <w:rFonts w:ascii="Arial" w:eastAsia="Times New Roman" w:hAnsi="Arial" w:cs="Arial"/>
                <w:noProof/>
              </w:rPr>
              <w:t>4.1. Critical Introduction to Dunning’s OLI Framework</w:t>
            </w:r>
            <w:r>
              <w:rPr>
                <w:noProof/>
                <w:webHidden/>
              </w:rPr>
              <w:tab/>
            </w:r>
            <w:r>
              <w:rPr>
                <w:noProof/>
                <w:webHidden/>
              </w:rPr>
              <w:fldChar w:fldCharType="begin"/>
            </w:r>
            <w:r>
              <w:rPr>
                <w:noProof/>
                <w:webHidden/>
              </w:rPr>
              <w:instrText xml:space="preserve"> PAGEREF _Toc215208566 \h </w:instrText>
            </w:r>
            <w:r>
              <w:rPr>
                <w:noProof/>
                <w:webHidden/>
              </w:rPr>
            </w:r>
            <w:r>
              <w:rPr>
                <w:noProof/>
                <w:webHidden/>
              </w:rPr>
              <w:fldChar w:fldCharType="separate"/>
            </w:r>
            <w:r>
              <w:rPr>
                <w:noProof/>
                <w:webHidden/>
              </w:rPr>
              <w:t>12</w:t>
            </w:r>
            <w:r>
              <w:rPr>
                <w:noProof/>
                <w:webHidden/>
              </w:rPr>
              <w:fldChar w:fldCharType="end"/>
            </w:r>
          </w:hyperlink>
        </w:p>
        <w:p w14:paraId="64D7794E" w14:textId="2737E4EA" w:rsidR="00AD72DF" w:rsidRDefault="00AD72DF">
          <w:pPr>
            <w:pStyle w:val="TOC2"/>
            <w:tabs>
              <w:tab w:val="right" w:leader="dot" w:pos="9016"/>
            </w:tabs>
            <w:rPr>
              <w:noProof/>
            </w:rPr>
          </w:pPr>
          <w:hyperlink w:anchor="_Toc215208567" w:history="1">
            <w:r w:rsidRPr="001E0818">
              <w:rPr>
                <w:rStyle w:val="Hyperlink"/>
                <w:rFonts w:ascii="Arial" w:eastAsia="Times New Roman" w:hAnsi="Arial" w:cs="Arial"/>
                <w:noProof/>
              </w:rPr>
              <w:t>4.2. Ownership (O) Advantages: Nestlé’s Non-Transferable Strengths</w:t>
            </w:r>
            <w:r>
              <w:rPr>
                <w:noProof/>
                <w:webHidden/>
              </w:rPr>
              <w:tab/>
            </w:r>
            <w:r>
              <w:rPr>
                <w:noProof/>
                <w:webHidden/>
              </w:rPr>
              <w:fldChar w:fldCharType="begin"/>
            </w:r>
            <w:r>
              <w:rPr>
                <w:noProof/>
                <w:webHidden/>
              </w:rPr>
              <w:instrText xml:space="preserve"> PAGEREF _Toc215208567 \h </w:instrText>
            </w:r>
            <w:r>
              <w:rPr>
                <w:noProof/>
                <w:webHidden/>
              </w:rPr>
            </w:r>
            <w:r>
              <w:rPr>
                <w:noProof/>
                <w:webHidden/>
              </w:rPr>
              <w:fldChar w:fldCharType="separate"/>
            </w:r>
            <w:r>
              <w:rPr>
                <w:noProof/>
                <w:webHidden/>
              </w:rPr>
              <w:t>12</w:t>
            </w:r>
            <w:r>
              <w:rPr>
                <w:noProof/>
                <w:webHidden/>
              </w:rPr>
              <w:fldChar w:fldCharType="end"/>
            </w:r>
          </w:hyperlink>
        </w:p>
        <w:p w14:paraId="39558518" w14:textId="3D2F1A10" w:rsidR="00AD72DF" w:rsidRDefault="00AD72DF">
          <w:pPr>
            <w:pStyle w:val="TOC2"/>
            <w:tabs>
              <w:tab w:val="right" w:leader="dot" w:pos="9016"/>
            </w:tabs>
            <w:rPr>
              <w:noProof/>
            </w:rPr>
          </w:pPr>
          <w:hyperlink w:anchor="_Toc215208568" w:history="1">
            <w:r w:rsidRPr="001E0818">
              <w:rPr>
                <w:rStyle w:val="Hyperlink"/>
                <w:rFonts w:ascii="Arial" w:eastAsia="Times New Roman" w:hAnsi="Arial" w:cs="Arial"/>
                <w:noProof/>
              </w:rPr>
              <w:t>4.3. Location (L) Advantages: India’s Strategic Attractiveness</w:t>
            </w:r>
            <w:r>
              <w:rPr>
                <w:noProof/>
                <w:webHidden/>
              </w:rPr>
              <w:tab/>
            </w:r>
            <w:r>
              <w:rPr>
                <w:noProof/>
                <w:webHidden/>
              </w:rPr>
              <w:fldChar w:fldCharType="begin"/>
            </w:r>
            <w:r>
              <w:rPr>
                <w:noProof/>
                <w:webHidden/>
              </w:rPr>
              <w:instrText xml:space="preserve"> PAGEREF _Toc215208568 \h </w:instrText>
            </w:r>
            <w:r>
              <w:rPr>
                <w:noProof/>
                <w:webHidden/>
              </w:rPr>
            </w:r>
            <w:r>
              <w:rPr>
                <w:noProof/>
                <w:webHidden/>
              </w:rPr>
              <w:fldChar w:fldCharType="separate"/>
            </w:r>
            <w:r>
              <w:rPr>
                <w:noProof/>
                <w:webHidden/>
              </w:rPr>
              <w:t>13</w:t>
            </w:r>
            <w:r>
              <w:rPr>
                <w:noProof/>
                <w:webHidden/>
              </w:rPr>
              <w:fldChar w:fldCharType="end"/>
            </w:r>
          </w:hyperlink>
        </w:p>
        <w:p w14:paraId="20DFC8CE" w14:textId="69E95D52" w:rsidR="00AD72DF" w:rsidRDefault="00AD72DF">
          <w:pPr>
            <w:pStyle w:val="TOC2"/>
            <w:tabs>
              <w:tab w:val="right" w:leader="dot" w:pos="9016"/>
            </w:tabs>
            <w:rPr>
              <w:noProof/>
            </w:rPr>
          </w:pPr>
          <w:hyperlink w:anchor="_Toc215208569" w:history="1">
            <w:r w:rsidRPr="001E0818">
              <w:rPr>
                <w:rStyle w:val="Hyperlink"/>
                <w:rFonts w:ascii="Arial" w:eastAsia="Times New Roman" w:hAnsi="Arial" w:cs="Arial"/>
                <w:noProof/>
              </w:rPr>
              <w:t>4.4. Internalisation (I) Advantages: Justifying Maximum Control (WOS)</w:t>
            </w:r>
            <w:r>
              <w:rPr>
                <w:noProof/>
                <w:webHidden/>
              </w:rPr>
              <w:tab/>
            </w:r>
            <w:r>
              <w:rPr>
                <w:noProof/>
                <w:webHidden/>
              </w:rPr>
              <w:fldChar w:fldCharType="begin"/>
            </w:r>
            <w:r>
              <w:rPr>
                <w:noProof/>
                <w:webHidden/>
              </w:rPr>
              <w:instrText xml:space="preserve"> PAGEREF _Toc215208569 \h </w:instrText>
            </w:r>
            <w:r>
              <w:rPr>
                <w:noProof/>
                <w:webHidden/>
              </w:rPr>
            </w:r>
            <w:r>
              <w:rPr>
                <w:noProof/>
                <w:webHidden/>
              </w:rPr>
              <w:fldChar w:fldCharType="separate"/>
            </w:r>
            <w:r>
              <w:rPr>
                <w:noProof/>
                <w:webHidden/>
              </w:rPr>
              <w:t>14</w:t>
            </w:r>
            <w:r>
              <w:rPr>
                <w:noProof/>
                <w:webHidden/>
              </w:rPr>
              <w:fldChar w:fldCharType="end"/>
            </w:r>
          </w:hyperlink>
        </w:p>
        <w:p w14:paraId="44274D91" w14:textId="053E9870" w:rsidR="00AD72DF" w:rsidRDefault="00AD72DF">
          <w:pPr>
            <w:pStyle w:val="TOC2"/>
            <w:tabs>
              <w:tab w:val="right" w:leader="dot" w:pos="9016"/>
            </w:tabs>
            <w:rPr>
              <w:noProof/>
            </w:rPr>
          </w:pPr>
          <w:hyperlink w:anchor="_Toc215208570" w:history="1">
            <w:r w:rsidRPr="001E0818">
              <w:rPr>
                <w:rStyle w:val="Hyperlink"/>
                <w:rFonts w:ascii="Arial" w:eastAsia="Times New Roman" w:hAnsi="Arial" w:cs="Arial"/>
                <w:noProof/>
              </w:rPr>
              <w:t>4.5. Synthesis: OLI Impact on WOS Selection for Nestlé India</w:t>
            </w:r>
            <w:r>
              <w:rPr>
                <w:noProof/>
                <w:webHidden/>
              </w:rPr>
              <w:tab/>
            </w:r>
            <w:r>
              <w:rPr>
                <w:noProof/>
                <w:webHidden/>
              </w:rPr>
              <w:fldChar w:fldCharType="begin"/>
            </w:r>
            <w:r>
              <w:rPr>
                <w:noProof/>
                <w:webHidden/>
              </w:rPr>
              <w:instrText xml:space="preserve"> PAGEREF _Toc215208570 \h </w:instrText>
            </w:r>
            <w:r>
              <w:rPr>
                <w:noProof/>
                <w:webHidden/>
              </w:rPr>
            </w:r>
            <w:r>
              <w:rPr>
                <w:noProof/>
                <w:webHidden/>
              </w:rPr>
              <w:fldChar w:fldCharType="separate"/>
            </w:r>
            <w:r>
              <w:rPr>
                <w:noProof/>
                <w:webHidden/>
              </w:rPr>
              <w:t>14</w:t>
            </w:r>
            <w:r>
              <w:rPr>
                <w:noProof/>
                <w:webHidden/>
              </w:rPr>
              <w:fldChar w:fldCharType="end"/>
            </w:r>
          </w:hyperlink>
        </w:p>
        <w:p w14:paraId="32D79F80" w14:textId="113844D0" w:rsidR="00AD72DF" w:rsidRDefault="00AD72DF">
          <w:pPr>
            <w:pStyle w:val="TOC3"/>
            <w:tabs>
              <w:tab w:val="right" w:leader="dot" w:pos="9016"/>
            </w:tabs>
            <w:rPr>
              <w:noProof/>
            </w:rPr>
          </w:pPr>
          <w:hyperlink w:anchor="_Toc215208571" w:history="1">
            <w:r w:rsidRPr="001E0818">
              <w:rPr>
                <w:rStyle w:val="Hyperlink"/>
                <w:rFonts w:eastAsia="Times New Roman"/>
                <w:noProof/>
              </w:rPr>
              <w:t>The Eclectic Paradigm</w:t>
            </w:r>
            <w:r w:rsidRPr="001E0818">
              <w:rPr>
                <w:rStyle w:val="Hyperlink"/>
                <w:noProof/>
              </w:rPr>
              <w:t xml:space="preserve"> An "OLI Triad" Diagram visually summarizing the O, L, and I factor specific to Nestlé India</w:t>
            </w:r>
            <w:r>
              <w:rPr>
                <w:noProof/>
                <w:webHidden/>
              </w:rPr>
              <w:tab/>
            </w:r>
            <w:r>
              <w:rPr>
                <w:noProof/>
                <w:webHidden/>
              </w:rPr>
              <w:fldChar w:fldCharType="begin"/>
            </w:r>
            <w:r>
              <w:rPr>
                <w:noProof/>
                <w:webHidden/>
              </w:rPr>
              <w:instrText xml:space="preserve"> PAGEREF _Toc215208571 \h </w:instrText>
            </w:r>
            <w:r>
              <w:rPr>
                <w:noProof/>
                <w:webHidden/>
              </w:rPr>
            </w:r>
            <w:r>
              <w:rPr>
                <w:noProof/>
                <w:webHidden/>
              </w:rPr>
              <w:fldChar w:fldCharType="separate"/>
            </w:r>
            <w:r>
              <w:rPr>
                <w:noProof/>
                <w:webHidden/>
              </w:rPr>
              <w:t>15</w:t>
            </w:r>
            <w:r>
              <w:rPr>
                <w:noProof/>
                <w:webHidden/>
              </w:rPr>
              <w:fldChar w:fldCharType="end"/>
            </w:r>
          </w:hyperlink>
        </w:p>
        <w:p w14:paraId="150EB397" w14:textId="49B02A56" w:rsidR="00AD72DF" w:rsidRDefault="00AD72DF">
          <w:pPr>
            <w:pStyle w:val="TOC3"/>
            <w:tabs>
              <w:tab w:val="right" w:leader="dot" w:pos="9016"/>
            </w:tabs>
            <w:rPr>
              <w:noProof/>
            </w:rPr>
          </w:pPr>
          <w:hyperlink w:anchor="_Toc215208572" w:history="1">
            <w:r w:rsidRPr="001E0818">
              <w:rPr>
                <w:rStyle w:val="Hyperlink"/>
                <w:rFonts w:ascii="Arial" w:hAnsi="Arial" w:cs="Arial"/>
                <w:noProof/>
              </w:rPr>
              <w:t>Table 4.1: OLI Justification for Nestlé’s Wholly Owned Subsidiary (WOS) in India</w:t>
            </w:r>
            <w:r>
              <w:rPr>
                <w:noProof/>
                <w:webHidden/>
              </w:rPr>
              <w:tab/>
            </w:r>
            <w:r>
              <w:rPr>
                <w:noProof/>
                <w:webHidden/>
              </w:rPr>
              <w:fldChar w:fldCharType="begin"/>
            </w:r>
            <w:r>
              <w:rPr>
                <w:noProof/>
                <w:webHidden/>
              </w:rPr>
              <w:instrText xml:space="preserve"> PAGEREF _Toc215208572 \h </w:instrText>
            </w:r>
            <w:r>
              <w:rPr>
                <w:noProof/>
                <w:webHidden/>
              </w:rPr>
            </w:r>
            <w:r>
              <w:rPr>
                <w:noProof/>
                <w:webHidden/>
              </w:rPr>
              <w:fldChar w:fldCharType="separate"/>
            </w:r>
            <w:r>
              <w:rPr>
                <w:noProof/>
                <w:webHidden/>
              </w:rPr>
              <w:t>0</w:t>
            </w:r>
            <w:r>
              <w:rPr>
                <w:noProof/>
                <w:webHidden/>
              </w:rPr>
              <w:fldChar w:fldCharType="end"/>
            </w:r>
          </w:hyperlink>
        </w:p>
        <w:p w14:paraId="700C6345" w14:textId="0803C0B3" w:rsidR="00AD72DF" w:rsidRDefault="00AD72DF">
          <w:pPr>
            <w:pStyle w:val="TOC2"/>
            <w:tabs>
              <w:tab w:val="right" w:leader="dot" w:pos="9016"/>
            </w:tabs>
            <w:rPr>
              <w:noProof/>
            </w:rPr>
          </w:pPr>
          <w:hyperlink w:anchor="_Toc215208573" w:history="1">
            <w:r w:rsidRPr="001E0818">
              <w:rPr>
                <w:rStyle w:val="Hyperlink"/>
                <w:rFonts w:ascii="Arial" w:hAnsi="Arial" w:cs="Arial"/>
                <w:noProof/>
              </w:rPr>
              <w:t>5. Cultural Differences and Impact on Strategy</w:t>
            </w:r>
            <w:r>
              <w:rPr>
                <w:noProof/>
                <w:webHidden/>
              </w:rPr>
              <w:tab/>
            </w:r>
            <w:r>
              <w:rPr>
                <w:noProof/>
                <w:webHidden/>
              </w:rPr>
              <w:fldChar w:fldCharType="begin"/>
            </w:r>
            <w:r>
              <w:rPr>
                <w:noProof/>
                <w:webHidden/>
              </w:rPr>
              <w:instrText xml:space="preserve"> PAGEREF _Toc215208573 \h </w:instrText>
            </w:r>
            <w:r>
              <w:rPr>
                <w:noProof/>
                <w:webHidden/>
              </w:rPr>
            </w:r>
            <w:r>
              <w:rPr>
                <w:noProof/>
                <w:webHidden/>
              </w:rPr>
              <w:fldChar w:fldCharType="separate"/>
            </w:r>
            <w:r>
              <w:rPr>
                <w:noProof/>
                <w:webHidden/>
              </w:rPr>
              <w:t>1</w:t>
            </w:r>
            <w:r>
              <w:rPr>
                <w:noProof/>
                <w:webHidden/>
              </w:rPr>
              <w:fldChar w:fldCharType="end"/>
            </w:r>
          </w:hyperlink>
        </w:p>
        <w:p w14:paraId="26494FD8" w14:textId="2473A729" w:rsidR="00AD72DF" w:rsidRDefault="00AD72DF">
          <w:pPr>
            <w:pStyle w:val="TOC3"/>
            <w:tabs>
              <w:tab w:val="right" w:leader="dot" w:pos="9016"/>
            </w:tabs>
            <w:rPr>
              <w:noProof/>
            </w:rPr>
          </w:pPr>
          <w:hyperlink w:anchor="_Toc215208574" w:history="1">
            <w:r w:rsidRPr="001E0818">
              <w:rPr>
                <w:rStyle w:val="Hyperlink"/>
                <w:rFonts w:ascii="Arial" w:hAnsi="Arial" w:cs="Arial"/>
                <w:noProof/>
              </w:rPr>
              <w:t>Table 5.1: Comparative Cultural Dimensions: Switzerland (Home) vs. India (Host).</w:t>
            </w:r>
            <w:r>
              <w:rPr>
                <w:noProof/>
                <w:webHidden/>
              </w:rPr>
              <w:tab/>
            </w:r>
            <w:r>
              <w:rPr>
                <w:noProof/>
                <w:webHidden/>
              </w:rPr>
              <w:fldChar w:fldCharType="begin"/>
            </w:r>
            <w:r>
              <w:rPr>
                <w:noProof/>
                <w:webHidden/>
              </w:rPr>
              <w:instrText xml:space="preserve"> PAGEREF _Toc215208574 \h </w:instrText>
            </w:r>
            <w:r>
              <w:rPr>
                <w:noProof/>
                <w:webHidden/>
              </w:rPr>
            </w:r>
            <w:r>
              <w:rPr>
                <w:noProof/>
                <w:webHidden/>
              </w:rPr>
              <w:fldChar w:fldCharType="separate"/>
            </w:r>
            <w:r>
              <w:rPr>
                <w:noProof/>
                <w:webHidden/>
              </w:rPr>
              <w:t>1</w:t>
            </w:r>
            <w:r>
              <w:rPr>
                <w:noProof/>
                <w:webHidden/>
              </w:rPr>
              <w:fldChar w:fldCharType="end"/>
            </w:r>
          </w:hyperlink>
        </w:p>
        <w:p w14:paraId="6588DC05" w14:textId="59BD46EC" w:rsidR="00AD72DF" w:rsidRDefault="00AD72DF">
          <w:pPr>
            <w:pStyle w:val="TOC2"/>
            <w:tabs>
              <w:tab w:val="right" w:leader="dot" w:pos="9016"/>
            </w:tabs>
            <w:rPr>
              <w:noProof/>
            </w:rPr>
          </w:pPr>
          <w:hyperlink w:anchor="_Toc215208575" w:history="1">
            <w:r w:rsidRPr="001E0818">
              <w:rPr>
                <w:rStyle w:val="Hyperlink"/>
                <w:rFonts w:ascii="Arial" w:eastAsia="Times New Roman" w:hAnsi="Arial" w:cs="Arial"/>
                <w:noProof/>
              </w:rPr>
              <w:t>5.1. Switzerland vs. India: A Hofstede Comparison</w:t>
            </w:r>
            <w:r>
              <w:rPr>
                <w:noProof/>
                <w:webHidden/>
              </w:rPr>
              <w:tab/>
            </w:r>
            <w:r>
              <w:rPr>
                <w:noProof/>
                <w:webHidden/>
              </w:rPr>
              <w:fldChar w:fldCharType="begin"/>
            </w:r>
            <w:r>
              <w:rPr>
                <w:noProof/>
                <w:webHidden/>
              </w:rPr>
              <w:instrText xml:space="preserve"> PAGEREF _Toc215208575 \h </w:instrText>
            </w:r>
            <w:r>
              <w:rPr>
                <w:noProof/>
                <w:webHidden/>
              </w:rPr>
            </w:r>
            <w:r>
              <w:rPr>
                <w:noProof/>
                <w:webHidden/>
              </w:rPr>
              <w:fldChar w:fldCharType="separate"/>
            </w:r>
            <w:r>
              <w:rPr>
                <w:noProof/>
                <w:webHidden/>
              </w:rPr>
              <w:t>1</w:t>
            </w:r>
            <w:r>
              <w:rPr>
                <w:noProof/>
                <w:webHidden/>
              </w:rPr>
              <w:fldChar w:fldCharType="end"/>
            </w:r>
          </w:hyperlink>
        </w:p>
        <w:p w14:paraId="4E6DA1C1" w14:textId="0F4053E8" w:rsidR="00AD72DF" w:rsidRDefault="00AD72DF">
          <w:pPr>
            <w:pStyle w:val="TOC3"/>
            <w:tabs>
              <w:tab w:val="right" w:leader="dot" w:pos="9016"/>
            </w:tabs>
            <w:rPr>
              <w:noProof/>
            </w:rPr>
          </w:pPr>
          <w:hyperlink w:anchor="_Toc215208576" w:history="1">
            <w:r w:rsidRPr="001E0818">
              <w:rPr>
                <w:rStyle w:val="Hyperlink"/>
                <w:rFonts w:ascii="Arial" w:eastAsia="Times New Roman" w:hAnsi="Arial" w:cs="Arial"/>
                <w:noProof/>
              </w:rPr>
              <w:t>5.1.1. Power Distance Index (PDI): The Hierarchy Conflict</w:t>
            </w:r>
            <w:r>
              <w:rPr>
                <w:noProof/>
                <w:webHidden/>
              </w:rPr>
              <w:tab/>
            </w:r>
            <w:r>
              <w:rPr>
                <w:noProof/>
                <w:webHidden/>
              </w:rPr>
              <w:fldChar w:fldCharType="begin"/>
            </w:r>
            <w:r>
              <w:rPr>
                <w:noProof/>
                <w:webHidden/>
              </w:rPr>
              <w:instrText xml:space="preserve"> PAGEREF _Toc215208576 \h </w:instrText>
            </w:r>
            <w:r>
              <w:rPr>
                <w:noProof/>
                <w:webHidden/>
              </w:rPr>
            </w:r>
            <w:r>
              <w:rPr>
                <w:noProof/>
                <w:webHidden/>
              </w:rPr>
              <w:fldChar w:fldCharType="separate"/>
            </w:r>
            <w:r>
              <w:rPr>
                <w:noProof/>
                <w:webHidden/>
              </w:rPr>
              <w:t>1</w:t>
            </w:r>
            <w:r>
              <w:rPr>
                <w:noProof/>
                <w:webHidden/>
              </w:rPr>
              <w:fldChar w:fldCharType="end"/>
            </w:r>
          </w:hyperlink>
        </w:p>
        <w:p w14:paraId="5EE33F34" w14:textId="6BBA800F" w:rsidR="00AD72DF" w:rsidRDefault="00AD72DF">
          <w:pPr>
            <w:pStyle w:val="TOC3"/>
            <w:tabs>
              <w:tab w:val="right" w:leader="dot" w:pos="9016"/>
            </w:tabs>
            <w:rPr>
              <w:noProof/>
            </w:rPr>
          </w:pPr>
          <w:hyperlink w:anchor="_Toc215208577" w:history="1">
            <w:r w:rsidRPr="001E0818">
              <w:rPr>
                <w:rStyle w:val="Hyperlink"/>
                <w:rFonts w:ascii="Arial" w:eastAsia="Times New Roman" w:hAnsi="Arial" w:cs="Arial"/>
                <w:noProof/>
              </w:rPr>
              <w:t>5.1.2. Individualism versus Collectivism (IDV): Relationships Over Contract</w:t>
            </w:r>
            <w:r>
              <w:rPr>
                <w:noProof/>
                <w:webHidden/>
              </w:rPr>
              <w:tab/>
            </w:r>
            <w:r>
              <w:rPr>
                <w:noProof/>
                <w:webHidden/>
              </w:rPr>
              <w:fldChar w:fldCharType="begin"/>
            </w:r>
            <w:r>
              <w:rPr>
                <w:noProof/>
                <w:webHidden/>
              </w:rPr>
              <w:instrText xml:space="preserve"> PAGEREF _Toc215208577 \h </w:instrText>
            </w:r>
            <w:r>
              <w:rPr>
                <w:noProof/>
                <w:webHidden/>
              </w:rPr>
            </w:r>
            <w:r>
              <w:rPr>
                <w:noProof/>
                <w:webHidden/>
              </w:rPr>
              <w:fldChar w:fldCharType="separate"/>
            </w:r>
            <w:r>
              <w:rPr>
                <w:noProof/>
                <w:webHidden/>
              </w:rPr>
              <w:t>1</w:t>
            </w:r>
            <w:r>
              <w:rPr>
                <w:noProof/>
                <w:webHidden/>
              </w:rPr>
              <w:fldChar w:fldCharType="end"/>
            </w:r>
          </w:hyperlink>
        </w:p>
        <w:p w14:paraId="4EFCA2C7" w14:textId="76B95547" w:rsidR="00AD72DF" w:rsidRDefault="00AD72DF">
          <w:pPr>
            <w:pStyle w:val="TOC2"/>
            <w:tabs>
              <w:tab w:val="right" w:leader="dot" w:pos="9016"/>
            </w:tabs>
            <w:rPr>
              <w:noProof/>
            </w:rPr>
          </w:pPr>
          <w:hyperlink w:anchor="_Toc215208578" w:history="1">
            <w:r w:rsidRPr="001E0818">
              <w:rPr>
                <w:rStyle w:val="Hyperlink"/>
                <w:rFonts w:ascii="Arial" w:eastAsia="Times New Roman" w:hAnsi="Arial" w:cs="Arial"/>
                <w:noProof/>
              </w:rPr>
              <w:t>5.2. Impact on Market Entry Strategy</w:t>
            </w:r>
            <w:r>
              <w:rPr>
                <w:noProof/>
                <w:webHidden/>
              </w:rPr>
              <w:tab/>
            </w:r>
            <w:r>
              <w:rPr>
                <w:noProof/>
                <w:webHidden/>
              </w:rPr>
              <w:fldChar w:fldCharType="begin"/>
            </w:r>
            <w:r>
              <w:rPr>
                <w:noProof/>
                <w:webHidden/>
              </w:rPr>
              <w:instrText xml:space="preserve"> PAGEREF _Toc215208578 \h </w:instrText>
            </w:r>
            <w:r>
              <w:rPr>
                <w:noProof/>
                <w:webHidden/>
              </w:rPr>
            </w:r>
            <w:r>
              <w:rPr>
                <w:noProof/>
                <w:webHidden/>
              </w:rPr>
              <w:fldChar w:fldCharType="separate"/>
            </w:r>
            <w:r>
              <w:rPr>
                <w:noProof/>
                <w:webHidden/>
              </w:rPr>
              <w:t>2</w:t>
            </w:r>
            <w:r>
              <w:rPr>
                <w:noProof/>
                <w:webHidden/>
              </w:rPr>
              <w:fldChar w:fldCharType="end"/>
            </w:r>
          </w:hyperlink>
        </w:p>
        <w:p w14:paraId="4CFD93EB" w14:textId="69461325" w:rsidR="00AD72DF" w:rsidRDefault="00AD72DF">
          <w:pPr>
            <w:pStyle w:val="TOC3"/>
            <w:tabs>
              <w:tab w:val="right" w:leader="dot" w:pos="9016"/>
            </w:tabs>
            <w:rPr>
              <w:noProof/>
            </w:rPr>
          </w:pPr>
          <w:hyperlink w:anchor="_Toc215208579" w:history="1">
            <w:r w:rsidRPr="001E0818">
              <w:rPr>
                <w:rStyle w:val="Hyperlink"/>
                <w:noProof/>
              </w:rPr>
              <w:t>The high PDI and collectivist culture directly shape how Nestlé must operate in the market.</w:t>
            </w:r>
            <w:r>
              <w:rPr>
                <w:noProof/>
                <w:webHidden/>
              </w:rPr>
              <w:tab/>
            </w:r>
            <w:r>
              <w:rPr>
                <w:noProof/>
                <w:webHidden/>
              </w:rPr>
              <w:fldChar w:fldCharType="begin"/>
            </w:r>
            <w:r>
              <w:rPr>
                <w:noProof/>
                <w:webHidden/>
              </w:rPr>
              <w:instrText xml:space="preserve"> PAGEREF _Toc215208579 \h </w:instrText>
            </w:r>
            <w:r>
              <w:rPr>
                <w:noProof/>
                <w:webHidden/>
              </w:rPr>
            </w:r>
            <w:r>
              <w:rPr>
                <w:noProof/>
                <w:webHidden/>
              </w:rPr>
              <w:fldChar w:fldCharType="separate"/>
            </w:r>
            <w:r>
              <w:rPr>
                <w:noProof/>
                <w:webHidden/>
              </w:rPr>
              <w:t>2</w:t>
            </w:r>
            <w:r>
              <w:rPr>
                <w:noProof/>
                <w:webHidden/>
              </w:rPr>
              <w:fldChar w:fldCharType="end"/>
            </w:r>
          </w:hyperlink>
        </w:p>
        <w:p w14:paraId="3720803A" w14:textId="3D4052C9" w:rsidR="00AD72DF" w:rsidRDefault="00AD72DF">
          <w:pPr>
            <w:pStyle w:val="TOC3"/>
            <w:tabs>
              <w:tab w:val="right" w:leader="dot" w:pos="9016"/>
            </w:tabs>
            <w:rPr>
              <w:noProof/>
            </w:rPr>
          </w:pPr>
          <w:hyperlink w:anchor="_Toc215208580" w:history="1">
            <w:r w:rsidRPr="001E0818">
              <w:rPr>
                <w:rStyle w:val="Hyperlink"/>
                <w:rFonts w:eastAsia="Times New Roman"/>
                <w:noProof/>
              </w:rPr>
              <w:t>5.2.1. Trust and Partnership Formation</w:t>
            </w:r>
            <w:r>
              <w:rPr>
                <w:noProof/>
                <w:webHidden/>
              </w:rPr>
              <w:tab/>
            </w:r>
            <w:r>
              <w:rPr>
                <w:noProof/>
                <w:webHidden/>
              </w:rPr>
              <w:fldChar w:fldCharType="begin"/>
            </w:r>
            <w:r>
              <w:rPr>
                <w:noProof/>
                <w:webHidden/>
              </w:rPr>
              <w:instrText xml:space="preserve"> PAGEREF _Toc215208580 \h </w:instrText>
            </w:r>
            <w:r>
              <w:rPr>
                <w:noProof/>
                <w:webHidden/>
              </w:rPr>
            </w:r>
            <w:r>
              <w:rPr>
                <w:noProof/>
                <w:webHidden/>
              </w:rPr>
              <w:fldChar w:fldCharType="separate"/>
            </w:r>
            <w:r>
              <w:rPr>
                <w:noProof/>
                <w:webHidden/>
              </w:rPr>
              <w:t>2</w:t>
            </w:r>
            <w:r>
              <w:rPr>
                <w:noProof/>
                <w:webHidden/>
              </w:rPr>
              <w:fldChar w:fldCharType="end"/>
            </w:r>
          </w:hyperlink>
        </w:p>
        <w:p w14:paraId="74E41373" w14:textId="1B7C30EB" w:rsidR="00AD72DF" w:rsidRDefault="00AD72DF">
          <w:pPr>
            <w:pStyle w:val="TOC3"/>
            <w:tabs>
              <w:tab w:val="right" w:leader="dot" w:pos="9016"/>
            </w:tabs>
            <w:rPr>
              <w:noProof/>
            </w:rPr>
          </w:pPr>
          <w:hyperlink w:anchor="_Toc215208581" w:history="1">
            <w:r w:rsidRPr="001E0818">
              <w:rPr>
                <w:rStyle w:val="Hyperlink"/>
                <w:rFonts w:ascii="Arial" w:eastAsia="Times New Roman" w:hAnsi="Arial" w:cs="Arial"/>
                <w:noProof/>
              </w:rPr>
              <w:t>5.2.2. Marketing and Product Adaptation</w:t>
            </w:r>
            <w:r>
              <w:rPr>
                <w:noProof/>
                <w:webHidden/>
              </w:rPr>
              <w:tab/>
            </w:r>
            <w:r>
              <w:rPr>
                <w:noProof/>
                <w:webHidden/>
              </w:rPr>
              <w:fldChar w:fldCharType="begin"/>
            </w:r>
            <w:r>
              <w:rPr>
                <w:noProof/>
                <w:webHidden/>
              </w:rPr>
              <w:instrText xml:space="preserve"> PAGEREF _Toc215208581 \h </w:instrText>
            </w:r>
            <w:r>
              <w:rPr>
                <w:noProof/>
                <w:webHidden/>
              </w:rPr>
            </w:r>
            <w:r>
              <w:rPr>
                <w:noProof/>
                <w:webHidden/>
              </w:rPr>
              <w:fldChar w:fldCharType="separate"/>
            </w:r>
            <w:r>
              <w:rPr>
                <w:noProof/>
                <w:webHidden/>
              </w:rPr>
              <w:t>2</w:t>
            </w:r>
            <w:r>
              <w:rPr>
                <w:noProof/>
                <w:webHidden/>
              </w:rPr>
              <w:fldChar w:fldCharType="end"/>
            </w:r>
          </w:hyperlink>
        </w:p>
        <w:p w14:paraId="6CCB0F92" w14:textId="2C90A503" w:rsidR="00AD72DF" w:rsidRDefault="00AD72DF">
          <w:pPr>
            <w:pStyle w:val="TOC2"/>
            <w:tabs>
              <w:tab w:val="right" w:leader="dot" w:pos="9016"/>
            </w:tabs>
            <w:rPr>
              <w:noProof/>
            </w:rPr>
          </w:pPr>
          <w:hyperlink w:anchor="_Toc215208582" w:history="1">
            <w:r w:rsidRPr="001E0818">
              <w:rPr>
                <w:rStyle w:val="Hyperlink"/>
                <w:rFonts w:ascii="Arial" w:eastAsia="Times New Roman" w:hAnsi="Arial" w:cs="Arial"/>
                <w:noProof/>
              </w:rPr>
              <w:t>5.3. Impact on Organizational Success and Internal Management</w:t>
            </w:r>
            <w:r>
              <w:rPr>
                <w:noProof/>
                <w:webHidden/>
              </w:rPr>
              <w:tab/>
            </w:r>
            <w:r>
              <w:rPr>
                <w:noProof/>
                <w:webHidden/>
              </w:rPr>
              <w:fldChar w:fldCharType="begin"/>
            </w:r>
            <w:r>
              <w:rPr>
                <w:noProof/>
                <w:webHidden/>
              </w:rPr>
              <w:instrText xml:space="preserve"> PAGEREF _Toc215208582 \h </w:instrText>
            </w:r>
            <w:r>
              <w:rPr>
                <w:noProof/>
                <w:webHidden/>
              </w:rPr>
            </w:r>
            <w:r>
              <w:rPr>
                <w:noProof/>
                <w:webHidden/>
              </w:rPr>
              <w:fldChar w:fldCharType="separate"/>
            </w:r>
            <w:r>
              <w:rPr>
                <w:noProof/>
                <w:webHidden/>
              </w:rPr>
              <w:t>3</w:t>
            </w:r>
            <w:r>
              <w:rPr>
                <w:noProof/>
                <w:webHidden/>
              </w:rPr>
              <w:fldChar w:fldCharType="end"/>
            </w:r>
          </w:hyperlink>
        </w:p>
        <w:p w14:paraId="45214A5A" w14:textId="4B30FF50" w:rsidR="00AD72DF" w:rsidRDefault="00AD72DF">
          <w:pPr>
            <w:pStyle w:val="TOC3"/>
            <w:tabs>
              <w:tab w:val="right" w:leader="dot" w:pos="9016"/>
            </w:tabs>
            <w:rPr>
              <w:noProof/>
            </w:rPr>
          </w:pPr>
          <w:hyperlink w:anchor="_Toc215208583" w:history="1">
            <w:r w:rsidRPr="001E0818">
              <w:rPr>
                <w:rStyle w:val="Hyperlink"/>
                <w:rFonts w:ascii="Arial" w:eastAsia="Times New Roman" w:hAnsi="Arial" w:cs="Arial"/>
                <w:noProof/>
              </w:rPr>
              <w:t>5.3.1. Leadership Style and Communication</w:t>
            </w:r>
            <w:r>
              <w:rPr>
                <w:noProof/>
                <w:webHidden/>
              </w:rPr>
              <w:tab/>
            </w:r>
            <w:r>
              <w:rPr>
                <w:noProof/>
                <w:webHidden/>
              </w:rPr>
              <w:fldChar w:fldCharType="begin"/>
            </w:r>
            <w:r>
              <w:rPr>
                <w:noProof/>
                <w:webHidden/>
              </w:rPr>
              <w:instrText xml:space="preserve"> PAGEREF _Toc215208583 \h </w:instrText>
            </w:r>
            <w:r>
              <w:rPr>
                <w:noProof/>
                <w:webHidden/>
              </w:rPr>
            </w:r>
            <w:r>
              <w:rPr>
                <w:noProof/>
                <w:webHidden/>
              </w:rPr>
              <w:fldChar w:fldCharType="separate"/>
            </w:r>
            <w:r>
              <w:rPr>
                <w:noProof/>
                <w:webHidden/>
              </w:rPr>
              <w:t>3</w:t>
            </w:r>
            <w:r>
              <w:rPr>
                <w:noProof/>
                <w:webHidden/>
              </w:rPr>
              <w:fldChar w:fldCharType="end"/>
            </w:r>
          </w:hyperlink>
        </w:p>
        <w:p w14:paraId="292E3158" w14:textId="1A977A60" w:rsidR="00AD72DF" w:rsidRDefault="00AD72DF">
          <w:pPr>
            <w:pStyle w:val="TOC3"/>
            <w:tabs>
              <w:tab w:val="right" w:leader="dot" w:pos="9016"/>
            </w:tabs>
            <w:rPr>
              <w:noProof/>
            </w:rPr>
          </w:pPr>
          <w:hyperlink w:anchor="_Toc215208584" w:history="1">
            <w:r w:rsidRPr="001E0818">
              <w:rPr>
                <w:rStyle w:val="Hyperlink"/>
                <w:rFonts w:ascii="Arial" w:eastAsia="Times New Roman" w:hAnsi="Arial" w:cs="Arial"/>
                <w:noProof/>
              </w:rPr>
              <w:t>5.3.2. Crisis Communication Failure (Cultural Insight)</w:t>
            </w:r>
            <w:r>
              <w:rPr>
                <w:noProof/>
                <w:webHidden/>
              </w:rPr>
              <w:tab/>
            </w:r>
            <w:r>
              <w:rPr>
                <w:noProof/>
                <w:webHidden/>
              </w:rPr>
              <w:fldChar w:fldCharType="begin"/>
            </w:r>
            <w:r>
              <w:rPr>
                <w:noProof/>
                <w:webHidden/>
              </w:rPr>
              <w:instrText xml:space="preserve"> PAGEREF _Toc215208584 \h </w:instrText>
            </w:r>
            <w:r>
              <w:rPr>
                <w:noProof/>
                <w:webHidden/>
              </w:rPr>
            </w:r>
            <w:r>
              <w:rPr>
                <w:noProof/>
                <w:webHidden/>
              </w:rPr>
              <w:fldChar w:fldCharType="separate"/>
            </w:r>
            <w:r>
              <w:rPr>
                <w:noProof/>
                <w:webHidden/>
              </w:rPr>
              <w:t>3</w:t>
            </w:r>
            <w:r>
              <w:rPr>
                <w:noProof/>
                <w:webHidden/>
              </w:rPr>
              <w:fldChar w:fldCharType="end"/>
            </w:r>
          </w:hyperlink>
        </w:p>
        <w:p w14:paraId="6C27BDDB" w14:textId="3818D522" w:rsidR="00AD72DF" w:rsidRDefault="00AD72DF">
          <w:pPr>
            <w:pStyle w:val="TOC1"/>
            <w:tabs>
              <w:tab w:val="right" w:leader="dot" w:pos="9016"/>
            </w:tabs>
            <w:rPr>
              <w:noProof/>
            </w:rPr>
          </w:pPr>
          <w:hyperlink w:anchor="_Toc215208585" w:history="1">
            <w:r w:rsidRPr="001E0818">
              <w:rPr>
                <w:rStyle w:val="Hyperlink"/>
                <w:rFonts w:ascii="Arial" w:eastAsia="Times New Roman" w:hAnsi="Arial" w:cs="Arial"/>
                <w:noProof/>
              </w:rPr>
              <w:t>6. Recommended Adjustments to Standard Operating Procedures (SOPs)</w:t>
            </w:r>
            <w:r>
              <w:rPr>
                <w:noProof/>
                <w:webHidden/>
              </w:rPr>
              <w:tab/>
            </w:r>
            <w:r>
              <w:rPr>
                <w:noProof/>
                <w:webHidden/>
              </w:rPr>
              <w:fldChar w:fldCharType="begin"/>
            </w:r>
            <w:r>
              <w:rPr>
                <w:noProof/>
                <w:webHidden/>
              </w:rPr>
              <w:instrText xml:space="preserve"> PAGEREF _Toc215208585 \h </w:instrText>
            </w:r>
            <w:r>
              <w:rPr>
                <w:noProof/>
                <w:webHidden/>
              </w:rPr>
            </w:r>
            <w:r>
              <w:rPr>
                <w:noProof/>
                <w:webHidden/>
              </w:rPr>
              <w:fldChar w:fldCharType="separate"/>
            </w:r>
            <w:r>
              <w:rPr>
                <w:noProof/>
                <w:webHidden/>
              </w:rPr>
              <w:t>4</w:t>
            </w:r>
            <w:r>
              <w:rPr>
                <w:noProof/>
                <w:webHidden/>
              </w:rPr>
              <w:fldChar w:fldCharType="end"/>
            </w:r>
          </w:hyperlink>
        </w:p>
        <w:p w14:paraId="4BAB5FF0" w14:textId="62B61978" w:rsidR="00AD72DF" w:rsidRDefault="00AD72DF">
          <w:pPr>
            <w:pStyle w:val="TOC2"/>
            <w:tabs>
              <w:tab w:val="right" w:leader="dot" w:pos="9016"/>
            </w:tabs>
            <w:rPr>
              <w:noProof/>
            </w:rPr>
          </w:pPr>
          <w:hyperlink w:anchor="_Toc215208586" w:history="1">
            <w:r w:rsidRPr="001E0818">
              <w:rPr>
                <w:rStyle w:val="Hyperlink"/>
                <w:rFonts w:ascii="Arial" w:eastAsia="Times New Roman" w:hAnsi="Arial" w:cs="Arial"/>
                <w:noProof/>
              </w:rPr>
              <w:t>6.1. Recommendation 1: Enhanced and Localized Quality Control and Compliance SOPs</w:t>
            </w:r>
            <w:r>
              <w:rPr>
                <w:noProof/>
                <w:webHidden/>
              </w:rPr>
              <w:tab/>
            </w:r>
            <w:r>
              <w:rPr>
                <w:noProof/>
                <w:webHidden/>
              </w:rPr>
              <w:fldChar w:fldCharType="begin"/>
            </w:r>
            <w:r>
              <w:rPr>
                <w:noProof/>
                <w:webHidden/>
              </w:rPr>
              <w:instrText xml:space="preserve"> PAGEREF _Toc215208586 \h </w:instrText>
            </w:r>
            <w:r>
              <w:rPr>
                <w:noProof/>
                <w:webHidden/>
              </w:rPr>
            </w:r>
            <w:r>
              <w:rPr>
                <w:noProof/>
                <w:webHidden/>
              </w:rPr>
              <w:fldChar w:fldCharType="separate"/>
            </w:r>
            <w:r>
              <w:rPr>
                <w:noProof/>
                <w:webHidden/>
              </w:rPr>
              <w:t>4</w:t>
            </w:r>
            <w:r>
              <w:rPr>
                <w:noProof/>
                <w:webHidden/>
              </w:rPr>
              <w:fldChar w:fldCharType="end"/>
            </w:r>
          </w:hyperlink>
        </w:p>
        <w:p w14:paraId="088C4AE4" w14:textId="2199D348" w:rsidR="00AD72DF" w:rsidRDefault="00AD72DF">
          <w:pPr>
            <w:pStyle w:val="TOC3"/>
            <w:tabs>
              <w:tab w:val="right" w:leader="dot" w:pos="9016"/>
            </w:tabs>
            <w:rPr>
              <w:noProof/>
            </w:rPr>
          </w:pPr>
          <w:hyperlink w:anchor="_Toc215208587" w:history="1">
            <w:r w:rsidRPr="001E0818">
              <w:rPr>
                <w:rStyle w:val="Hyperlink"/>
                <w:rFonts w:ascii="Arial" w:eastAsia="Times New Roman" w:hAnsi="Arial" w:cs="Arial"/>
                <w:noProof/>
              </w:rPr>
              <w:t>6.1.1. Justification (I-Advantage Protection and Regulatory Risk Mitigation)</w:t>
            </w:r>
            <w:r>
              <w:rPr>
                <w:noProof/>
                <w:webHidden/>
              </w:rPr>
              <w:tab/>
            </w:r>
            <w:r>
              <w:rPr>
                <w:noProof/>
                <w:webHidden/>
              </w:rPr>
              <w:fldChar w:fldCharType="begin"/>
            </w:r>
            <w:r>
              <w:rPr>
                <w:noProof/>
                <w:webHidden/>
              </w:rPr>
              <w:instrText xml:space="preserve"> PAGEREF _Toc215208587 \h </w:instrText>
            </w:r>
            <w:r>
              <w:rPr>
                <w:noProof/>
                <w:webHidden/>
              </w:rPr>
            </w:r>
            <w:r>
              <w:rPr>
                <w:noProof/>
                <w:webHidden/>
              </w:rPr>
              <w:fldChar w:fldCharType="separate"/>
            </w:r>
            <w:r>
              <w:rPr>
                <w:noProof/>
                <w:webHidden/>
              </w:rPr>
              <w:t>4</w:t>
            </w:r>
            <w:r>
              <w:rPr>
                <w:noProof/>
                <w:webHidden/>
              </w:rPr>
              <w:fldChar w:fldCharType="end"/>
            </w:r>
          </w:hyperlink>
        </w:p>
        <w:p w14:paraId="0921B1FF" w14:textId="5301FBE5" w:rsidR="00AD72DF" w:rsidRDefault="00AD72DF">
          <w:pPr>
            <w:pStyle w:val="TOC3"/>
            <w:tabs>
              <w:tab w:val="right" w:leader="dot" w:pos="9016"/>
            </w:tabs>
            <w:rPr>
              <w:noProof/>
            </w:rPr>
          </w:pPr>
          <w:hyperlink w:anchor="_Toc215208588" w:history="1">
            <w:r w:rsidRPr="001E0818">
              <w:rPr>
                <w:rStyle w:val="Hyperlink"/>
                <w:rFonts w:ascii="Arial" w:eastAsia="Times New Roman" w:hAnsi="Arial" w:cs="Arial"/>
                <w:noProof/>
              </w:rPr>
              <w:t>6.1.2. Proposed Adjustment: Institutionalization of a Regulatory Foresight SOP</w:t>
            </w:r>
            <w:r>
              <w:rPr>
                <w:noProof/>
                <w:webHidden/>
              </w:rPr>
              <w:tab/>
            </w:r>
            <w:r>
              <w:rPr>
                <w:noProof/>
                <w:webHidden/>
              </w:rPr>
              <w:fldChar w:fldCharType="begin"/>
            </w:r>
            <w:r>
              <w:rPr>
                <w:noProof/>
                <w:webHidden/>
              </w:rPr>
              <w:instrText xml:space="preserve"> PAGEREF _Toc215208588 \h </w:instrText>
            </w:r>
            <w:r>
              <w:rPr>
                <w:noProof/>
                <w:webHidden/>
              </w:rPr>
            </w:r>
            <w:r>
              <w:rPr>
                <w:noProof/>
                <w:webHidden/>
              </w:rPr>
              <w:fldChar w:fldCharType="separate"/>
            </w:r>
            <w:r>
              <w:rPr>
                <w:noProof/>
                <w:webHidden/>
              </w:rPr>
              <w:t>4</w:t>
            </w:r>
            <w:r>
              <w:rPr>
                <w:noProof/>
                <w:webHidden/>
              </w:rPr>
              <w:fldChar w:fldCharType="end"/>
            </w:r>
          </w:hyperlink>
        </w:p>
        <w:p w14:paraId="6CB63AB5" w14:textId="66DF4F01" w:rsidR="00AD72DF" w:rsidRDefault="00AD72DF">
          <w:pPr>
            <w:pStyle w:val="TOC2"/>
            <w:tabs>
              <w:tab w:val="right" w:leader="dot" w:pos="9016"/>
            </w:tabs>
            <w:rPr>
              <w:noProof/>
            </w:rPr>
          </w:pPr>
          <w:hyperlink w:anchor="_Toc215208589" w:history="1">
            <w:r w:rsidRPr="001E0818">
              <w:rPr>
                <w:rStyle w:val="Hyperlink"/>
                <w:rFonts w:ascii="Arial" w:eastAsia="Times New Roman" w:hAnsi="Arial" w:cs="Arial"/>
                <w:noProof/>
              </w:rPr>
              <w:t>6.2. Recommendation 2: Restructuring Internal Communication and Decision-Making SOPs</w:t>
            </w:r>
            <w:r>
              <w:rPr>
                <w:noProof/>
                <w:webHidden/>
              </w:rPr>
              <w:tab/>
            </w:r>
            <w:r>
              <w:rPr>
                <w:noProof/>
                <w:webHidden/>
              </w:rPr>
              <w:fldChar w:fldCharType="begin"/>
            </w:r>
            <w:r>
              <w:rPr>
                <w:noProof/>
                <w:webHidden/>
              </w:rPr>
              <w:instrText xml:space="preserve"> PAGEREF _Toc215208589 \h </w:instrText>
            </w:r>
            <w:r>
              <w:rPr>
                <w:noProof/>
                <w:webHidden/>
              </w:rPr>
            </w:r>
            <w:r>
              <w:rPr>
                <w:noProof/>
                <w:webHidden/>
              </w:rPr>
              <w:fldChar w:fldCharType="separate"/>
            </w:r>
            <w:r>
              <w:rPr>
                <w:noProof/>
                <w:webHidden/>
              </w:rPr>
              <w:t>5</w:t>
            </w:r>
            <w:r>
              <w:rPr>
                <w:noProof/>
                <w:webHidden/>
              </w:rPr>
              <w:fldChar w:fldCharType="end"/>
            </w:r>
          </w:hyperlink>
        </w:p>
        <w:p w14:paraId="25F71F00" w14:textId="71221BCD" w:rsidR="00AD72DF" w:rsidRDefault="00AD72DF">
          <w:pPr>
            <w:pStyle w:val="TOC3"/>
            <w:tabs>
              <w:tab w:val="right" w:leader="dot" w:pos="9016"/>
            </w:tabs>
            <w:rPr>
              <w:noProof/>
            </w:rPr>
          </w:pPr>
          <w:hyperlink w:anchor="_Toc215208590" w:history="1">
            <w:r w:rsidRPr="001E0818">
              <w:rPr>
                <w:rStyle w:val="Hyperlink"/>
                <w:rFonts w:ascii="Arial" w:eastAsia="Times New Roman" w:hAnsi="Arial" w:cs="Arial"/>
                <w:noProof/>
              </w:rPr>
              <w:t>6.2.1. Justification (PDI and Crisis Response)</w:t>
            </w:r>
            <w:r>
              <w:rPr>
                <w:noProof/>
                <w:webHidden/>
              </w:rPr>
              <w:tab/>
            </w:r>
            <w:r>
              <w:rPr>
                <w:noProof/>
                <w:webHidden/>
              </w:rPr>
              <w:fldChar w:fldCharType="begin"/>
            </w:r>
            <w:r>
              <w:rPr>
                <w:noProof/>
                <w:webHidden/>
              </w:rPr>
              <w:instrText xml:space="preserve"> PAGEREF _Toc215208590 \h </w:instrText>
            </w:r>
            <w:r>
              <w:rPr>
                <w:noProof/>
                <w:webHidden/>
              </w:rPr>
            </w:r>
            <w:r>
              <w:rPr>
                <w:noProof/>
                <w:webHidden/>
              </w:rPr>
              <w:fldChar w:fldCharType="separate"/>
            </w:r>
            <w:r>
              <w:rPr>
                <w:noProof/>
                <w:webHidden/>
              </w:rPr>
              <w:t>5</w:t>
            </w:r>
            <w:r>
              <w:rPr>
                <w:noProof/>
                <w:webHidden/>
              </w:rPr>
              <w:fldChar w:fldCharType="end"/>
            </w:r>
          </w:hyperlink>
        </w:p>
        <w:p w14:paraId="146D168C" w14:textId="1B6E27DC" w:rsidR="00AD72DF" w:rsidRDefault="00AD72DF">
          <w:pPr>
            <w:pStyle w:val="TOC3"/>
            <w:tabs>
              <w:tab w:val="right" w:leader="dot" w:pos="9016"/>
            </w:tabs>
            <w:rPr>
              <w:noProof/>
            </w:rPr>
          </w:pPr>
          <w:hyperlink w:anchor="_Toc215208591" w:history="1">
            <w:r w:rsidRPr="001E0818">
              <w:rPr>
                <w:rStyle w:val="Hyperlink"/>
                <w:rFonts w:ascii="Arial" w:eastAsia="Times New Roman" w:hAnsi="Arial" w:cs="Arial"/>
                <w:noProof/>
              </w:rPr>
              <w:t>6.2.2. Proposed Adjustment: Formalized Consultative Authority and Triage SOPs</w:t>
            </w:r>
            <w:r>
              <w:rPr>
                <w:noProof/>
                <w:webHidden/>
              </w:rPr>
              <w:tab/>
            </w:r>
            <w:r>
              <w:rPr>
                <w:noProof/>
                <w:webHidden/>
              </w:rPr>
              <w:fldChar w:fldCharType="begin"/>
            </w:r>
            <w:r>
              <w:rPr>
                <w:noProof/>
                <w:webHidden/>
              </w:rPr>
              <w:instrText xml:space="preserve"> PAGEREF _Toc215208591 \h </w:instrText>
            </w:r>
            <w:r>
              <w:rPr>
                <w:noProof/>
                <w:webHidden/>
              </w:rPr>
            </w:r>
            <w:r>
              <w:rPr>
                <w:noProof/>
                <w:webHidden/>
              </w:rPr>
              <w:fldChar w:fldCharType="separate"/>
            </w:r>
            <w:r>
              <w:rPr>
                <w:noProof/>
                <w:webHidden/>
              </w:rPr>
              <w:t>5</w:t>
            </w:r>
            <w:r>
              <w:rPr>
                <w:noProof/>
                <w:webHidden/>
              </w:rPr>
              <w:fldChar w:fldCharType="end"/>
            </w:r>
          </w:hyperlink>
        </w:p>
        <w:p w14:paraId="3806C0A4" w14:textId="3920246C" w:rsidR="00AD72DF" w:rsidRDefault="00AD72DF">
          <w:pPr>
            <w:pStyle w:val="TOC2"/>
            <w:tabs>
              <w:tab w:val="right" w:leader="dot" w:pos="9016"/>
            </w:tabs>
            <w:rPr>
              <w:noProof/>
            </w:rPr>
          </w:pPr>
          <w:hyperlink w:anchor="_Toc215208592" w:history="1">
            <w:r w:rsidRPr="001E0818">
              <w:rPr>
                <w:rStyle w:val="Hyperlink"/>
                <w:rFonts w:ascii="Arial" w:eastAsia="Times New Roman" w:hAnsi="Arial" w:cs="Arial"/>
                <w:noProof/>
              </w:rPr>
              <w:t>6.3. Recommendation 3: Localizing Human Resource Management (HRM) SOPs and Training</w:t>
            </w:r>
            <w:r>
              <w:rPr>
                <w:noProof/>
                <w:webHidden/>
              </w:rPr>
              <w:tab/>
            </w:r>
            <w:r>
              <w:rPr>
                <w:noProof/>
                <w:webHidden/>
              </w:rPr>
              <w:fldChar w:fldCharType="begin"/>
            </w:r>
            <w:r>
              <w:rPr>
                <w:noProof/>
                <w:webHidden/>
              </w:rPr>
              <w:instrText xml:space="preserve"> PAGEREF _Toc215208592 \h </w:instrText>
            </w:r>
            <w:r>
              <w:rPr>
                <w:noProof/>
                <w:webHidden/>
              </w:rPr>
            </w:r>
            <w:r>
              <w:rPr>
                <w:noProof/>
                <w:webHidden/>
              </w:rPr>
              <w:fldChar w:fldCharType="separate"/>
            </w:r>
            <w:r>
              <w:rPr>
                <w:noProof/>
                <w:webHidden/>
              </w:rPr>
              <w:t>6</w:t>
            </w:r>
            <w:r>
              <w:rPr>
                <w:noProof/>
                <w:webHidden/>
              </w:rPr>
              <w:fldChar w:fldCharType="end"/>
            </w:r>
          </w:hyperlink>
        </w:p>
        <w:p w14:paraId="76192DDD" w14:textId="357A2B4C" w:rsidR="00AD72DF" w:rsidRDefault="00AD72DF">
          <w:pPr>
            <w:pStyle w:val="TOC3"/>
            <w:tabs>
              <w:tab w:val="right" w:leader="dot" w:pos="9016"/>
            </w:tabs>
            <w:rPr>
              <w:noProof/>
            </w:rPr>
          </w:pPr>
          <w:hyperlink w:anchor="_Toc215208593" w:history="1">
            <w:r w:rsidRPr="001E0818">
              <w:rPr>
                <w:rStyle w:val="Hyperlink"/>
                <w:rFonts w:ascii="Arial" w:eastAsia="Times New Roman" w:hAnsi="Arial" w:cs="Arial"/>
                <w:noProof/>
              </w:rPr>
              <w:t>6.3.1. Justification (Collectivism and Talent Retention)</w:t>
            </w:r>
            <w:r>
              <w:rPr>
                <w:noProof/>
                <w:webHidden/>
              </w:rPr>
              <w:tab/>
            </w:r>
            <w:r>
              <w:rPr>
                <w:noProof/>
                <w:webHidden/>
              </w:rPr>
              <w:fldChar w:fldCharType="begin"/>
            </w:r>
            <w:r>
              <w:rPr>
                <w:noProof/>
                <w:webHidden/>
              </w:rPr>
              <w:instrText xml:space="preserve"> PAGEREF _Toc215208593 \h </w:instrText>
            </w:r>
            <w:r>
              <w:rPr>
                <w:noProof/>
                <w:webHidden/>
              </w:rPr>
            </w:r>
            <w:r>
              <w:rPr>
                <w:noProof/>
                <w:webHidden/>
              </w:rPr>
              <w:fldChar w:fldCharType="separate"/>
            </w:r>
            <w:r>
              <w:rPr>
                <w:noProof/>
                <w:webHidden/>
              </w:rPr>
              <w:t>6</w:t>
            </w:r>
            <w:r>
              <w:rPr>
                <w:noProof/>
                <w:webHidden/>
              </w:rPr>
              <w:fldChar w:fldCharType="end"/>
            </w:r>
          </w:hyperlink>
        </w:p>
        <w:p w14:paraId="3F0172C4" w14:textId="504BB1F3" w:rsidR="00AD72DF" w:rsidRDefault="00AD72DF">
          <w:pPr>
            <w:pStyle w:val="TOC3"/>
            <w:tabs>
              <w:tab w:val="right" w:leader="dot" w:pos="9016"/>
            </w:tabs>
            <w:rPr>
              <w:noProof/>
            </w:rPr>
          </w:pPr>
          <w:hyperlink w:anchor="_Toc215208594" w:history="1">
            <w:r w:rsidRPr="001E0818">
              <w:rPr>
                <w:rStyle w:val="Hyperlink"/>
                <w:rFonts w:ascii="Arial" w:eastAsia="Times New Roman" w:hAnsi="Arial" w:cs="Arial"/>
                <w:noProof/>
              </w:rPr>
              <w:t>6.3.2. Proposed Adjustment: Culturally Adaptive Performance and Development SOPs.</w:t>
            </w:r>
            <w:r>
              <w:rPr>
                <w:noProof/>
                <w:webHidden/>
              </w:rPr>
              <w:tab/>
            </w:r>
            <w:r>
              <w:rPr>
                <w:noProof/>
                <w:webHidden/>
              </w:rPr>
              <w:fldChar w:fldCharType="begin"/>
            </w:r>
            <w:r>
              <w:rPr>
                <w:noProof/>
                <w:webHidden/>
              </w:rPr>
              <w:instrText xml:space="preserve"> PAGEREF _Toc215208594 \h </w:instrText>
            </w:r>
            <w:r>
              <w:rPr>
                <w:noProof/>
                <w:webHidden/>
              </w:rPr>
            </w:r>
            <w:r>
              <w:rPr>
                <w:noProof/>
                <w:webHidden/>
              </w:rPr>
              <w:fldChar w:fldCharType="separate"/>
            </w:r>
            <w:r>
              <w:rPr>
                <w:noProof/>
                <w:webHidden/>
              </w:rPr>
              <w:t>7</w:t>
            </w:r>
            <w:r>
              <w:rPr>
                <w:noProof/>
                <w:webHidden/>
              </w:rPr>
              <w:fldChar w:fldCharType="end"/>
            </w:r>
          </w:hyperlink>
        </w:p>
        <w:p w14:paraId="359CB03B" w14:textId="46C58D9B" w:rsidR="00AD72DF" w:rsidRDefault="00AD72DF">
          <w:pPr>
            <w:pStyle w:val="TOC1"/>
            <w:tabs>
              <w:tab w:val="right" w:leader="dot" w:pos="9016"/>
            </w:tabs>
            <w:rPr>
              <w:noProof/>
            </w:rPr>
          </w:pPr>
          <w:hyperlink w:anchor="_Toc215208595" w:history="1">
            <w:r w:rsidRPr="001E0818">
              <w:rPr>
                <w:rStyle w:val="Hyperlink"/>
                <w:rFonts w:ascii="Arial" w:eastAsia="Times New Roman" w:hAnsi="Arial" w:cs="Arial"/>
                <w:noProof/>
              </w:rPr>
              <w:t>7. Conclusion</w:t>
            </w:r>
            <w:r>
              <w:rPr>
                <w:noProof/>
                <w:webHidden/>
              </w:rPr>
              <w:tab/>
            </w:r>
            <w:r>
              <w:rPr>
                <w:noProof/>
                <w:webHidden/>
              </w:rPr>
              <w:fldChar w:fldCharType="begin"/>
            </w:r>
            <w:r>
              <w:rPr>
                <w:noProof/>
                <w:webHidden/>
              </w:rPr>
              <w:instrText xml:space="preserve"> PAGEREF _Toc215208595 \h </w:instrText>
            </w:r>
            <w:r>
              <w:rPr>
                <w:noProof/>
                <w:webHidden/>
              </w:rPr>
            </w:r>
            <w:r>
              <w:rPr>
                <w:noProof/>
                <w:webHidden/>
              </w:rPr>
              <w:fldChar w:fldCharType="separate"/>
            </w:r>
            <w:r>
              <w:rPr>
                <w:noProof/>
                <w:webHidden/>
              </w:rPr>
              <w:t>8</w:t>
            </w:r>
            <w:r>
              <w:rPr>
                <w:noProof/>
                <w:webHidden/>
              </w:rPr>
              <w:fldChar w:fldCharType="end"/>
            </w:r>
          </w:hyperlink>
        </w:p>
        <w:p w14:paraId="572197E8" w14:textId="7120BF0B" w:rsidR="00AD72DF" w:rsidRDefault="00AD72DF">
          <w:pPr>
            <w:pStyle w:val="TOC2"/>
            <w:tabs>
              <w:tab w:val="right" w:leader="dot" w:pos="9016"/>
            </w:tabs>
            <w:rPr>
              <w:noProof/>
            </w:rPr>
          </w:pPr>
          <w:hyperlink w:anchor="_Toc215208596" w:history="1">
            <w:r w:rsidRPr="001E0818">
              <w:rPr>
                <w:rStyle w:val="Hyperlink"/>
                <w:rFonts w:ascii="Arial" w:eastAsia="Times New Roman" w:hAnsi="Arial" w:cs="Arial"/>
                <w:noProof/>
              </w:rPr>
              <w:t>7.1. Summary of Key Findings</w:t>
            </w:r>
            <w:r>
              <w:rPr>
                <w:noProof/>
                <w:webHidden/>
              </w:rPr>
              <w:tab/>
            </w:r>
            <w:r>
              <w:rPr>
                <w:noProof/>
                <w:webHidden/>
              </w:rPr>
              <w:fldChar w:fldCharType="begin"/>
            </w:r>
            <w:r>
              <w:rPr>
                <w:noProof/>
                <w:webHidden/>
              </w:rPr>
              <w:instrText xml:space="preserve"> PAGEREF _Toc215208596 \h </w:instrText>
            </w:r>
            <w:r>
              <w:rPr>
                <w:noProof/>
                <w:webHidden/>
              </w:rPr>
            </w:r>
            <w:r>
              <w:rPr>
                <w:noProof/>
                <w:webHidden/>
              </w:rPr>
              <w:fldChar w:fldCharType="separate"/>
            </w:r>
            <w:r>
              <w:rPr>
                <w:noProof/>
                <w:webHidden/>
              </w:rPr>
              <w:t>8</w:t>
            </w:r>
            <w:r>
              <w:rPr>
                <w:noProof/>
                <w:webHidden/>
              </w:rPr>
              <w:fldChar w:fldCharType="end"/>
            </w:r>
          </w:hyperlink>
        </w:p>
        <w:p w14:paraId="3ECD7C45" w14:textId="1B7EE9F7" w:rsidR="00AD72DF" w:rsidRDefault="00AD72DF">
          <w:pPr>
            <w:pStyle w:val="TOC1"/>
            <w:tabs>
              <w:tab w:val="right" w:leader="dot" w:pos="9016"/>
            </w:tabs>
            <w:rPr>
              <w:noProof/>
            </w:rPr>
          </w:pPr>
          <w:hyperlink w:anchor="_Toc215208597" w:history="1">
            <w:r w:rsidRPr="001E0818">
              <w:rPr>
                <w:rStyle w:val="Hyperlink"/>
                <w:rFonts w:eastAsia="Times New Roman"/>
                <w:noProof/>
              </w:rPr>
              <w:t>8. Harvard Reference List</w:t>
            </w:r>
            <w:r>
              <w:rPr>
                <w:noProof/>
                <w:webHidden/>
              </w:rPr>
              <w:tab/>
            </w:r>
            <w:r>
              <w:rPr>
                <w:noProof/>
                <w:webHidden/>
              </w:rPr>
              <w:fldChar w:fldCharType="begin"/>
            </w:r>
            <w:r>
              <w:rPr>
                <w:noProof/>
                <w:webHidden/>
              </w:rPr>
              <w:instrText xml:space="preserve"> PAGEREF _Toc215208597 \h </w:instrText>
            </w:r>
            <w:r>
              <w:rPr>
                <w:noProof/>
                <w:webHidden/>
              </w:rPr>
            </w:r>
            <w:r>
              <w:rPr>
                <w:noProof/>
                <w:webHidden/>
              </w:rPr>
              <w:fldChar w:fldCharType="separate"/>
            </w:r>
            <w:r>
              <w:rPr>
                <w:noProof/>
                <w:webHidden/>
              </w:rPr>
              <w:t>9</w:t>
            </w:r>
            <w:r>
              <w:rPr>
                <w:noProof/>
                <w:webHidden/>
              </w:rPr>
              <w:fldChar w:fldCharType="end"/>
            </w:r>
          </w:hyperlink>
        </w:p>
        <w:p w14:paraId="3287C87B" w14:textId="6C252680" w:rsidR="000F222F" w:rsidRPr="009A224F" w:rsidRDefault="000F222F" w:rsidP="009A224F">
          <w:pPr>
            <w:spacing w:line="360" w:lineRule="auto"/>
            <w:rPr>
              <w:rFonts w:ascii="Arial" w:hAnsi="Arial" w:cs="Arial"/>
            </w:rPr>
          </w:pPr>
          <w:r w:rsidRPr="009A224F">
            <w:rPr>
              <w:rFonts w:ascii="Arial" w:hAnsi="Arial" w:cs="Arial"/>
              <w:b/>
              <w:bCs/>
              <w:noProof/>
            </w:rPr>
            <w:fldChar w:fldCharType="end"/>
          </w:r>
        </w:p>
      </w:sdtContent>
    </w:sdt>
    <w:p w14:paraId="11D83AA6" w14:textId="77777777" w:rsidR="000F222F" w:rsidRDefault="000F222F" w:rsidP="009A224F">
      <w:pPr>
        <w:pStyle w:val="Heading1"/>
        <w:spacing w:line="360" w:lineRule="auto"/>
        <w:rPr>
          <w:rFonts w:ascii="Arial" w:eastAsia="Times New Roman" w:hAnsi="Arial" w:cs="Arial"/>
        </w:rPr>
      </w:pPr>
    </w:p>
    <w:p w14:paraId="3D1BAA76" w14:textId="77777777" w:rsidR="009A224F" w:rsidRDefault="009A224F" w:rsidP="009A224F"/>
    <w:p w14:paraId="3B8CE936" w14:textId="77777777" w:rsidR="009A224F" w:rsidRDefault="009A224F" w:rsidP="009A224F"/>
    <w:p w14:paraId="2B4AD928" w14:textId="77777777" w:rsidR="009A224F" w:rsidRDefault="009A224F" w:rsidP="009A224F"/>
    <w:p w14:paraId="606DB02E" w14:textId="77777777" w:rsidR="009A224F" w:rsidRDefault="009A224F" w:rsidP="009A224F"/>
    <w:p w14:paraId="60D0660C" w14:textId="77777777" w:rsidR="009A224F" w:rsidRDefault="009A224F" w:rsidP="009A224F"/>
    <w:p w14:paraId="1890B0D1" w14:textId="77777777" w:rsidR="009A224F" w:rsidRDefault="009A224F" w:rsidP="009A224F"/>
    <w:p w14:paraId="71E8D97B" w14:textId="77777777" w:rsidR="009A224F" w:rsidRDefault="009A224F" w:rsidP="009A224F"/>
    <w:p w14:paraId="5AB0F548" w14:textId="77777777" w:rsidR="009A224F" w:rsidRDefault="009A224F" w:rsidP="009A224F"/>
    <w:p w14:paraId="1D16D66B" w14:textId="77777777" w:rsidR="009A224F" w:rsidRDefault="009A224F" w:rsidP="009A224F"/>
    <w:p w14:paraId="185277FE" w14:textId="77777777" w:rsidR="009A224F" w:rsidRDefault="009A224F" w:rsidP="009A224F"/>
    <w:p w14:paraId="4D628CAA" w14:textId="77777777" w:rsidR="009A224F" w:rsidRDefault="009A224F" w:rsidP="009A224F"/>
    <w:p w14:paraId="22EF51CC" w14:textId="77777777" w:rsidR="009A224F" w:rsidRDefault="009A224F" w:rsidP="009A224F"/>
    <w:p w14:paraId="71F2547B" w14:textId="77777777" w:rsidR="009A224F" w:rsidRPr="009A224F" w:rsidRDefault="009A224F" w:rsidP="009A224F"/>
    <w:p w14:paraId="470808BB" w14:textId="77777777" w:rsidR="000F222F" w:rsidRDefault="000F222F" w:rsidP="009A224F">
      <w:pPr>
        <w:pStyle w:val="Heading1"/>
        <w:spacing w:line="360" w:lineRule="auto"/>
        <w:rPr>
          <w:rFonts w:ascii="Arial" w:eastAsia="Times New Roman" w:hAnsi="Arial" w:cs="Arial"/>
        </w:rPr>
      </w:pPr>
    </w:p>
    <w:p w14:paraId="18A7B05C" w14:textId="77777777" w:rsidR="006B0C0C" w:rsidRDefault="006B0C0C" w:rsidP="006B0C0C"/>
    <w:p w14:paraId="5B707DFC" w14:textId="77777777" w:rsidR="006B0C0C" w:rsidRDefault="006B0C0C" w:rsidP="006B0C0C"/>
    <w:p w14:paraId="1A455731" w14:textId="77777777" w:rsidR="006B0C0C" w:rsidRPr="006B0C0C" w:rsidRDefault="006B0C0C" w:rsidP="006B0C0C"/>
    <w:p w14:paraId="352B8A6A" w14:textId="77777777" w:rsidR="000F222F" w:rsidRPr="009A224F" w:rsidRDefault="000F222F" w:rsidP="009A224F">
      <w:pPr>
        <w:spacing w:line="360" w:lineRule="auto"/>
        <w:rPr>
          <w:rFonts w:ascii="Arial" w:hAnsi="Arial" w:cs="Arial"/>
        </w:rPr>
      </w:pPr>
    </w:p>
    <w:p w14:paraId="258A6749" w14:textId="1BB1B96F" w:rsidR="009504B0" w:rsidRDefault="009504B0" w:rsidP="009A224F">
      <w:pPr>
        <w:pStyle w:val="Heading1"/>
        <w:spacing w:line="360" w:lineRule="auto"/>
        <w:rPr>
          <w:rFonts w:ascii="Arial" w:eastAsia="Times New Roman" w:hAnsi="Arial" w:cs="Arial"/>
        </w:rPr>
      </w:pPr>
      <w:bookmarkStart w:id="0" w:name="_Toc215208544"/>
      <w:r w:rsidRPr="009A224F">
        <w:rPr>
          <w:rFonts w:ascii="Arial" w:eastAsia="Times New Roman" w:hAnsi="Arial" w:cs="Arial"/>
        </w:rPr>
        <w:lastRenderedPageBreak/>
        <w:t>1.Executive Summary</w:t>
      </w:r>
      <w:r w:rsidR="0040317C">
        <w:rPr>
          <w:rFonts w:ascii="Arial" w:eastAsia="Times New Roman" w:hAnsi="Arial" w:cs="Arial"/>
        </w:rPr>
        <w:t>.</w:t>
      </w:r>
      <w:bookmarkEnd w:id="0"/>
    </w:p>
    <w:p w14:paraId="4D736AE8" w14:textId="77777777" w:rsidR="0040317C" w:rsidRPr="0040317C" w:rsidRDefault="0040317C" w:rsidP="0040317C"/>
    <w:p w14:paraId="49A91451" w14:textId="2AD12805"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This report assesses the international business strategy of Nestlé S.A., a Transnational Corporation (TNC) headquartered in Switzerland, focusing on its market operations in the emerging economy of India. Nestlé’s status as a TNC is confirmed by its vast global footprint and highly decentralized, polycentric management structure (Bartlett &amp; Ghoshal 1989; Hill 2020). The selection of a Wholly Owned Subsidiary (WOS) as the dominant entry mode into India is justified by Dunning’s Eclectic Paradigm (OLI), driven primarily by the need for maximal control (Internalization advantage) to protect proprietary technology and enforce stringent quality standards (Ownership advantage) in a high-growth market (Location advantage). Critical analysis reveals significant cultural gaps between Switzerland and India, particularly in high Power Distance (PDI 77) and Collectivism (IDV 48) (Hofstede 2010; The Hofstede Centre n.d.). These differences directly impact </w:t>
      </w:r>
      <w:r w:rsidR="6CEABA51" w:rsidRPr="009A224F">
        <w:rPr>
          <w:rFonts w:ascii="Arial" w:hAnsi="Arial" w:cs="Arial"/>
          <w:color w:val="1F1F1F"/>
        </w:rPr>
        <w:t>organisational</w:t>
      </w:r>
      <w:r w:rsidRPr="009A224F">
        <w:rPr>
          <w:rFonts w:ascii="Arial" w:hAnsi="Arial" w:cs="Arial"/>
          <w:color w:val="1F1F1F"/>
        </w:rPr>
        <w:t xml:space="preserve"> success, as evidenced by the challenges faced during the 2015 Maggi crisis, where communication and regulatory SOPs proved inadequate (Singh &amp; Gupta 2016). To ensure sustained success, three major adjustments to Standard Operating Procedures (SOPs) are recommended: instituting </w:t>
      </w:r>
      <w:r w:rsidRPr="00BD0DC4">
        <w:rPr>
          <w:rFonts w:ascii="Arial" w:hAnsi="Arial" w:cs="Arial"/>
          <w:color w:val="1F1F1F"/>
        </w:rPr>
        <w:t>a</w:t>
      </w:r>
      <w:r w:rsidRPr="00BD0DC4">
        <w:rPr>
          <w:rFonts w:ascii="Arial" w:hAnsi="Arial" w:cs="Arial"/>
          <w:b/>
          <w:bCs/>
          <w:color w:val="1F1F1F"/>
        </w:rPr>
        <w:t xml:space="preserve"> </w:t>
      </w:r>
      <w:r w:rsidRPr="00BD0DC4">
        <w:rPr>
          <w:rStyle w:val="Strong"/>
          <w:rFonts w:ascii="Arial" w:hAnsi="Arial" w:cs="Arial"/>
          <w:b w:val="0"/>
          <w:bCs w:val="0"/>
          <w:color w:val="1F1F1F"/>
          <w:bdr w:val="none" w:sz="0" w:space="0" w:color="auto" w:frame="1"/>
        </w:rPr>
        <w:t>Regulatory Foresight Unit</w:t>
      </w:r>
      <w:r w:rsidRPr="00BD0DC4">
        <w:rPr>
          <w:rFonts w:ascii="Arial" w:hAnsi="Arial" w:cs="Arial"/>
          <w:b/>
          <w:bCs/>
          <w:color w:val="1F1F1F"/>
        </w:rPr>
        <w:t xml:space="preserve"> </w:t>
      </w:r>
      <w:r w:rsidRPr="00BD0DC4">
        <w:rPr>
          <w:rFonts w:ascii="Arial" w:hAnsi="Arial" w:cs="Arial"/>
          <w:color w:val="1F1F1F"/>
        </w:rPr>
        <w:t xml:space="preserve">to proactively manage compliance, establishing a </w:t>
      </w:r>
      <w:r w:rsidR="571E4190" w:rsidRPr="00BD0DC4">
        <w:rPr>
          <w:rFonts w:ascii="Arial" w:hAnsi="Arial" w:cs="Arial"/>
          <w:color w:val="1F1F1F"/>
        </w:rPr>
        <w:t>Formalised</w:t>
      </w:r>
      <w:r w:rsidRPr="00BD0DC4">
        <w:rPr>
          <w:rStyle w:val="Strong"/>
          <w:rFonts w:ascii="Arial" w:hAnsi="Arial" w:cs="Arial"/>
          <w:b w:val="0"/>
          <w:bCs w:val="0"/>
          <w:color w:val="1F1F1F"/>
          <w:bdr w:val="none" w:sz="0" w:space="0" w:color="auto" w:frame="1"/>
        </w:rPr>
        <w:t xml:space="preserve"> Consultative Authority and Triage SOP</w:t>
      </w:r>
      <w:r w:rsidRPr="00BD0DC4">
        <w:rPr>
          <w:rFonts w:ascii="Arial" w:hAnsi="Arial" w:cs="Arial"/>
          <w:b/>
          <w:bCs/>
          <w:color w:val="1F1F1F"/>
        </w:rPr>
        <w:t xml:space="preserve"> </w:t>
      </w:r>
      <w:r w:rsidRPr="00BD0DC4">
        <w:rPr>
          <w:rFonts w:ascii="Arial" w:hAnsi="Arial" w:cs="Arial"/>
          <w:color w:val="1F1F1F"/>
        </w:rPr>
        <w:t xml:space="preserve">for improved crisis leadership and communication, and </w:t>
      </w:r>
      <w:r w:rsidR="22D29A2C" w:rsidRPr="00BD0DC4">
        <w:rPr>
          <w:rFonts w:ascii="Arial" w:hAnsi="Arial" w:cs="Arial"/>
          <w:color w:val="1F1F1F"/>
        </w:rPr>
        <w:t>localising</w:t>
      </w:r>
      <w:r w:rsidRPr="00BD0DC4">
        <w:rPr>
          <w:rFonts w:ascii="Arial" w:hAnsi="Arial" w:cs="Arial"/>
          <w:color w:val="1F1F1F"/>
        </w:rPr>
        <w:t xml:space="preserve"> </w:t>
      </w:r>
      <w:r w:rsidRPr="00BD0DC4">
        <w:rPr>
          <w:rStyle w:val="Strong"/>
          <w:rFonts w:ascii="Arial" w:hAnsi="Arial" w:cs="Arial"/>
          <w:b w:val="0"/>
          <w:bCs w:val="0"/>
          <w:color w:val="1F1F1F"/>
          <w:bdr w:val="none" w:sz="0" w:space="0" w:color="auto" w:frame="1"/>
        </w:rPr>
        <w:t>Human Resource Management (HRM) SOPs</w:t>
      </w:r>
      <w:r w:rsidRPr="009A224F">
        <w:rPr>
          <w:rFonts w:ascii="Arial" w:hAnsi="Arial" w:cs="Arial"/>
          <w:color w:val="1F1F1F"/>
        </w:rPr>
        <w:t xml:space="preserve"> to </w:t>
      </w:r>
      <w:r w:rsidR="409FC141" w:rsidRPr="009A224F">
        <w:rPr>
          <w:rFonts w:ascii="Arial" w:hAnsi="Arial" w:cs="Arial"/>
          <w:color w:val="1F1F1F"/>
        </w:rPr>
        <w:t>prioritise</w:t>
      </w:r>
      <w:r w:rsidRPr="009A224F">
        <w:rPr>
          <w:rFonts w:ascii="Arial" w:hAnsi="Arial" w:cs="Arial"/>
          <w:color w:val="1F1F1F"/>
        </w:rPr>
        <w:t xml:space="preserve"> relational capital and collective development.</w:t>
      </w:r>
    </w:p>
    <w:p w14:paraId="6F908C23"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6A3A76FA"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1387CA92"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6875A8F0"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756C4560"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1DBF766F"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138BFB7A"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073E6AC2"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767D3520" w14:textId="1AF4D118" w:rsidR="009504B0" w:rsidRDefault="009504B0" w:rsidP="009A224F">
      <w:pPr>
        <w:pStyle w:val="Heading1"/>
        <w:spacing w:line="360" w:lineRule="auto"/>
        <w:rPr>
          <w:rFonts w:ascii="Arial" w:eastAsia="Times New Roman" w:hAnsi="Arial" w:cs="Arial"/>
        </w:rPr>
      </w:pPr>
      <w:bookmarkStart w:id="1" w:name="_Toc215208545"/>
      <w:r w:rsidRPr="009A224F">
        <w:rPr>
          <w:rFonts w:ascii="Arial" w:eastAsia="Times New Roman" w:hAnsi="Arial" w:cs="Arial"/>
        </w:rPr>
        <w:lastRenderedPageBreak/>
        <w:t>2. Introduction</w:t>
      </w:r>
      <w:r w:rsidR="1493F08B" w:rsidRPr="009A224F">
        <w:rPr>
          <w:rFonts w:ascii="Arial" w:eastAsia="Times New Roman" w:hAnsi="Arial" w:cs="Arial"/>
        </w:rPr>
        <w:t>.</w:t>
      </w:r>
      <w:bookmarkEnd w:id="1"/>
    </w:p>
    <w:p w14:paraId="29E29DB7" w14:textId="77777777" w:rsidR="0040317C" w:rsidRPr="0040317C" w:rsidRDefault="0040317C" w:rsidP="0040317C"/>
    <w:p w14:paraId="3C6BF454" w14:textId="77777777" w:rsidR="009504B0" w:rsidRPr="009A224F" w:rsidRDefault="009504B0" w:rsidP="009A224F">
      <w:pPr>
        <w:pStyle w:val="Heading2"/>
        <w:spacing w:line="360" w:lineRule="auto"/>
        <w:rPr>
          <w:rFonts w:ascii="Arial" w:eastAsia="Times New Roman" w:hAnsi="Arial" w:cs="Arial"/>
        </w:rPr>
      </w:pPr>
      <w:bookmarkStart w:id="2" w:name="_Toc215208546"/>
      <w:r w:rsidRPr="009A224F">
        <w:rPr>
          <w:rFonts w:ascii="Arial" w:eastAsia="Times New Roman" w:hAnsi="Arial" w:cs="Arial"/>
        </w:rPr>
        <w:t>2.1. Background on Nestlé S.A. and Global Scope</w:t>
      </w:r>
      <w:bookmarkEnd w:id="2"/>
    </w:p>
    <w:p w14:paraId="1488FCFB" w14:textId="77777777" w:rsidR="009504B0"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Nestlé S.A., headquartered in Vevey, Switzerland (Nestlé S.A. 2024a, 2024b), is recognized globally as the world's largest food company, specializing in coffee, chocolate, bottled water, dairy, and infant formula products (Nestlé S.A. 2024a). Since its founding in 1867, the corporation has expanded far beyond its European roots, now selling products in 185 countries and operating over 337 factories across 75 nations (Nestlé S.A. 2024b). This immense scale and geographic dispersion affirm its status as a major global economic force. The company maintains an active corporate presence and publicly available financial information, including annual reports, which further supports its suitability for this detailed analysis (Nestlé S.A. 2023a, 2023b).</w:t>
      </w:r>
    </w:p>
    <w:p w14:paraId="47312BBF" w14:textId="77777777" w:rsidR="0040317C" w:rsidRPr="009A224F" w:rsidRDefault="0040317C" w:rsidP="009A224F">
      <w:pPr>
        <w:pStyle w:val="NormalWeb"/>
        <w:spacing w:before="0" w:beforeAutospacing="0" w:after="240" w:afterAutospacing="0" w:line="360" w:lineRule="auto"/>
        <w:rPr>
          <w:rFonts w:ascii="Arial" w:hAnsi="Arial" w:cs="Arial"/>
          <w:color w:val="1F1F1F"/>
        </w:rPr>
      </w:pPr>
    </w:p>
    <w:p w14:paraId="665DE114" w14:textId="77777777" w:rsidR="009504B0" w:rsidRPr="009A224F" w:rsidRDefault="009504B0" w:rsidP="009A224F">
      <w:pPr>
        <w:pStyle w:val="Heading2"/>
        <w:spacing w:line="360" w:lineRule="auto"/>
        <w:rPr>
          <w:rFonts w:ascii="Arial" w:eastAsia="Times New Roman" w:hAnsi="Arial" w:cs="Arial"/>
        </w:rPr>
      </w:pPr>
      <w:bookmarkStart w:id="3" w:name="_Toc215208547"/>
      <w:r w:rsidRPr="009A224F">
        <w:rPr>
          <w:rFonts w:ascii="Arial" w:eastAsia="Times New Roman" w:hAnsi="Arial" w:cs="Arial"/>
        </w:rPr>
        <w:t>2.2. Selection Rationale (Nestlé &amp; India)</w:t>
      </w:r>
      <w:bookmarkEnd w:id="3"/>
    </w:p>
    <w:p w14:paraId="3A90A970"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Nestlé was selected as the multinational corporation (MNC)/Transnational Corporation (TNC) due to its comprehensive global reach and complex operational model across diverse markets. India has been chosen as the focus emerging economy because it is one of the fastest-growing markets for Nestlé globally (Sharma 2022) and represents a crucial case</w:t>
      </w:r>
    </w:p>
    <w:p w14:paraId="5AC0FA1D" w14:textId="77777777" w:rsidR="009504B0"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study in balancing global standards with intense local responsiveness. India presents both significant opportunities, such as robust growth potential in the processed food sector (KPMG India 2021), and profound challenges relating to regulatory compliance, supply chain complexity, and cultural adaptation.</w:t>
      </w:r>
    </w:p>
    <w:p w14:paraId="0A4A75E2" w14:textId="77777777" w:rsidR="008565D9" w:rsidRPr="009A224F" w:rsidRDefault="008565D9" w:rsidP="009A224F">
      <w:pPr>
        <w:pStyle w:val="NormalWeb"/>
        <w:spacing w:before="0" w:beforeAutospacing="0" w:after="240" w:afterAutospacing="0" w:line="360" w:lineRule="auto"/>
        <w:rPr>
          <w:rFonts w:ascii="Arial" w:hAnsi="Arial" w:cs="Arial"/>
          <w:color w:val="1F1F1F"/>
        </w:rPr>
      </w:pPr>
    </w:p>
    <w:p w14:paraId="38480EDD" w14:textId="77777777" w:rsidR="009504B0" w:rsidRPr="009A224F" w:rsidRDefault="009504B0" w:rsidP="009A224F">
      <w:pPr>
        <w:pStyle w:val="Heading2"/>
        <w:spacing w:line="360" w:lineRule="auto"/>
        <w:rPr>
          <w:rFonts w:ascii="Arial" w:eastAsia="Times New Roman" w:hAnsi="Arial" w:cs="Arial"/>
        </w:rPr>
      </w:pPr>
      <w:bookmarkStart w:id="4" w:name="_Toc215208548"/>
      <w:r w:rsidRPr="009A224F">
        <w:rPr>
          <w:rFonts w:ascii="Arial" w:eastAsia="Times New Roman" w:hAnsi="Arial" w:cs="Arial"/>
        </w:rPr>
        <w:t>2.3. Report Structure and Objectives</w:t>
      </w:r>
      <w:bookmarkEnd w:id="4"/>
    </w:p>
    <w:p w14:paraId="3F6F1671" w14:textId="65B4DF78" w:rsidR="009504B0"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This consultancy report aims to provide a critical evaluation of Nestlé's international strategy. The analysis begins by establishing Nestlé’s TNC structure and mapping its </w:t>
      </w:r>
      <w:r w:rsidRPr="009A224F">
        <w:rPr>
          <w:rFonts w:ascii="Arial" w:hAnsi="Arial" w:cs="Arial"/>
          <w:color w:val="1F1F1F"/>
        </w:rPr>
        <w:lastRenderedPageBreak/>
        <w:t xml:space="preserve">global value chain. Subsequently, the report employs Dunning’s OLI paradigm to dissect the strategic rationale behind the choice of a Wholly Owned Subsidiary (WOS) in India. A critical evaluation follows, </w:t>
      </w:r>
      <w:r w:rsidR="29A400A2" w:rsidRPr="009A224F">
        <w:rPr>
          <w:rFonts w:ascii="Arial" w:hAnsi="Arial" w:cs="Arial"/>
          <w:color w:val="1F1F1F"/>
        </w:rPr>
        <w:t>analysing</w:t>
      </w:r>
      <w:r w:rsidRPr="009A224F">
        <w:rPr>
          <w:rFonts w:ascii="Arial" w:hAnsi="Arial" w:cs="Arial"/>
          <w:color w:val="1F1F1F"/>
        </w:rPr>
        <w:t xml:space="preserve"> how cultural distance (Switzerland vs. India) impacts strategy and management. Finally, the report concludes by proposing three concrete adjustments to Nestlé's Standard Operating Procedures (SOPs) necessary to enhance success and resilience in the Indian market, particularly </w:t>
      </w:r>
      <w:proofErr w:type="gramStart"/>
      <w:r w:rsidRPr="009A224F">
        <w:rPr>
          <w:rFonts w:ascii="Arial" w:hAnsi="Arial" w:cs="Arial"/>
          <w:color w:val="1F1F1F"/>
        </w:rPr>
        <w:t>in light of</w:t>
      </w:r>
      <w:proofErr w:type="gramEnd"/>
      <w:r w:rsidRPr="009A224F">
        <w:rPr>
          <w:rFonts w:ascii="Arial" w:hAnsi="Arial" w:cs="Arial"/>
          <w:color w:val="1F1F1F"/>
        </w:rPr>
        <w:t xml:space="preserve"> historical operational crises.</w:t>
      </w:r>
    </w:p>
    <w:p w14:paraId="0D36E0FF" w14:textId="77777777" w:rsidR="00152F39" w:rsidRPr="009A224F" w:rsidRDefault="00152F39" w:rsidP="009A224F">
      <w:pPr>
        <w:pStyle w:val="NormalWeb"/>
        <w:spacing w:before="0" w:beforeAutospacing="0" w:after="240" w:afterAutospacing="0" w:line="360" w:lineRule="auto"/>
        <w:rPr>
          <w:rFonts w:ascii="Arial" w:hAnsi="Arial" w:cs="Arial"/>
          <w:color w:val="1F1F1F"/>
        </w:rPr>
      </w:pPr>
    </w:p>
    <w:p w14:paraId="23BCC4F2" w14:textId="44CB6249" w:rsidR="009504B0" w:rsidRDefault="009504B0" w:rsidP="009A224F">
      <w:pPr>
        <w:pStyle w:val="Heading2"/>
        <w:spacing w:before="0" w:after="120" w:line="360" w:lineRule="auto"/>
        <w:rPr>
          <w:rStyle w:val="Heading1Char"/>
          <w:rFonts w:ascii="Arial" w:hAnsi="Arial" w:cs="Arial"/>
        </w:rPr>
      </w:pPr>
      <w:bookmarkStart w:id="5" w:name="_Toc215208549"/>
      <w:r w:rsidRPr="009A224F">
        <w:rPr>
          <w:rStyle w:val="Heading1Char"/>
          <w:rFonts w:ascii="Arial" w:hAnsi="Arial" w:cs="Arial"/>
        </w:rPr>
        <w:t>3. Global Operations: Benefits, Challenges, and Entry Modes</w:t>
      </w:r>
      <w:bookmarkEnd w:id="5"/>
    </w:p>
    <w:p w14:paraId="6C02527D" w14:textId="77777777" w:rsidR="008565D9" w:rsidRPr="008565D9" w:rsidRDefault="008565D9" w:rsidP="008565D9"/>
    <w:p w14:paraId="1BDC2DDD" w14:textId="77777777" w:rsidR="009504B0" w:rsidRPr="009A224F" w:rsidRDefault="009504B0" w:rsidP="009A224F">
      <w:pPr>
        <w:pStyle w:val="Heading2"/>
        <w:spacing w:line="360" w:lineRule="auto"/>
        <w:rPr>
          <w:rFonts w:ascii="Arial" w:eastAsia="Times New Roman" w:hAnsi="Arial" w:cs="Arial"/>
        </w:rPr>
      </w:pPr>
      <w:bookmarkStart w:id="6" w:name="_Toc215208550"/>
      <w:r w:rsidRPr="009A224F">
        <w:rPr>
          <w:rFonts w:ascii="Arial" w:eastAsia="Times New Roman" w:hAnsi="Arial" w:cs="Arial"/>
        </w:rPr>
        <w:t>3.1. MNC/TNC Designation of Nestlé</w:t>
      </w:r>
      <w:bookmarkEnd w:id="6"/>
    </w:p>
    <w:p w14:paraId="68D848BB" w14:textId="77777777" w:rsidR="009504B0" w:rsidRPr="009A224F" w:rsidRDefault="009504B0" w:rsidP="009A224F">
      <w:pPr>
        <w:pStyle w:val="Heading3"/>
        <w:spacing w:line="360" w:lineRule="auto"/>
        <w:rPr>
          <w:rFonts w:ascii="Arial" w:eastAsia="Times New Roman" w:hAnsi="Arial" w:cs="Arial"/>
        </w:rPr>
      </w:pPr>
      <w:bookmarkStart w:id="7" w:name="_Toc215208551"/>
      <w:r w:rsidRPr="009A224F">
        <w:rPr>
          <w:rFonts w:ascii="Arial" w:eastAsia="Times New Roman" w:hAnsi="Arial" w:cs="Arial"/>
        </w:rPr>
        <w:t>3.1.1. TNC Status Defined by Decentralization and Local Responsiveness</w:t>
      </w:r>
      <w:bookmarkEnd w:id="7"/>
    </w:p>
    <w:p w14:paraId="4C6B18C8" w14:textId="6AF88B0C"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While frequently classified as a multinational corporation (MNC), Nestlé aligns more precisely with the definition of a Transnational Corporation (TNC) (Bartlett &amp; Ghoshal 1989). A key distinction between the two lies in management structure: MNCs traditionally feature centralized management, whereas TNCs exhibit a decentralized approach to operations (Bartlett &amp; Ghoshal 1989). Nestlé</w:t>
      </w:r>
      <w:r w:rsidR="00867C0D">
        <w:rPr>
          <w:rFonts w:ascii="Arial" w:hAnsi="Arial" w:cs="Arial"/>
          <w:color w:val="1F1F1F"/>
        </w:rPr>
        <w:t xml:space="preserve"> is</w:t>
      </w:r>
      <w:r w:rsidR="00BF68AA" w:rsidRPr="00BF68AA">
        <w:rPr>
          <w:rFonts w:ascii="Arial" w:hAnsi="Arial" w:cs="Arial"/>
          <w:color w:val="1F1F1F"/>
        </w:rPr>
        <w:t xml:space="preserve"> a perfect example </w:t>
      </w:r>
      <w:r w:rsidR="00BF68AA">
        <w:rPr>
          <w:rFonts w:ascii="Arial" w:hAnsi="Arial" w:cs="Arial"/>
          <w:color w:val="1F1F1F"/>
        </w:rPr>
        <w:t xml:space="preserve">of </w:t>
      </w:r>
      <w:r w:rsidRPr="009A224F">
        <w:rPr>
          <w:rFonts w:ascii="Arial" w:hAnsi="Arial" w:cs="Arial"/>
          <w:color w:val="1F1F1F"/>
        </w:rPr>
        <w:t>decentralized model, where the responsibility for day-to-day operating decisions—including crucial functions such as pricing, distribution, and marketing—is largely delegated to local units (Ohmae 1985). This autonomy is designed to create flexible and fast organizations with minimal management layers (Johnson &amp; Davies 1998). This high degree of local responsiveness allows Nestlé to adapt rapidly to the varied local markets where it maintains substantial operational facilities (Bartlett &amp; Ghoshal 1989).</w:t>
      </w:r>
    </w:p>
    <w:p w14:paraId="43A28B3F" w14:textId="77777777" w:rsidR="009504B0" w:rsidRPr="009A224F" w:rsidRDefault="009504B0" w:rsidP="009A224F">
      <w:pPr>
        <w:pStyle w:val="Heading3"/>
        <w:spacing w:line="360" w:lineRule="auto"/>
        <w:rPr>
          <w:rFonts w:ascii="Arial" w:eastAsia="Times New Roman" w:hAnsi="Arial" w:cs="Arial"/>
        </w:rPr>
      </w:pPr>
      <w:bookmarkStart w:id="8" w:name="_Toc215208552"/>
      <w:r w:rsidRPr="009A224F">
        <w:rPr>
          <w:rFonts w:ascii="Arial" w:eastAsia="Times New Roman" w:hAnsi="Arial" w:cs="Arial"/>
        </w:rPr>
        <w:lastRenderedPageBreak/>
        <w:t>3.1.2. Empirical Evidence of Global Scale and Integration</w:t>
      </w:r>
      <w:bookmarkEnd w:id="8"/>
    </w:p>
    <w:p w14:paraId="4DC4BA84" w14:textId="77777777" w:rsidR="009504B0"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The TNC model is further evidenced by Nestlé’s commitment to a global perspective in decision-making, utilizing senior executives from multiple countries (Bartlett &amp; Ghoshal 1989). The company’s immense scale, operating factories in 75 countries and selling products in 185 (Nestlé S.A. 2024b), demonstrates a profound internationalization of production and value creation activities. This trans-nationality ensures that the firm is embedded across numerous markets, rather than simply being a national company with foreign subsidiaries (Bartlett &amp; Ghoshal 1989).</w:t>
      </w:r>
    </w:p>
    <w:p w14:paraId="5E1D05F4" w14:textId="77777777" w:rsidR="008565D9" w:rsidRPr="009A224F" w:rsidRDefault="008565D9" w:rsidP="009A224F">
      <w:pPr>
        <w:pStyle w:val="NormalWeb"/>
        <w:spacing w:before="0" w:beforeAutospacing="0" w:after="240" w:afterAutospacing="0" w:line="360" w:lineRule="auto"/>
        <w:rPr>
          <w:rFonts w:ascii="Arial" w:hAnsi="Arial" w:cs="Arial"/>
          <w:color w:val="1F1F1F"/>
        </w:rPr>
      </w:pPr>
    </w:p>
    <w:p w14:paraId="0F343080" w14:textId="77777777" w:rsidR="009504B0" w:rsidRDefault="009504B0" w:rsidP="009A224F">
      <w:pPr>
        <w:pStyle w:val="Heading2"/>
        <w:spacing w:line="360" w:lineRule="auto"/>
        <w:rPr>
          <w:rFonts w:ascii="Arial" w:eastAsia="Times New Roman" w:hAnsi="Arial" w:cs="Arial"/>
        </w:rPr>
      </w:pPr>
      <w:bookmarkStart w:id="9" w:name="_Toc215208553"/>
      <w:r w:rsidRPr="009A224F">
        <w:rPr>
          <w:rFonts w:ascii="Arial" w:eastAsia="Times New Roman" w:hAnsi="Arial" w:cs="Arial"/>
        </w:rPr>
        <w:t>3.2. Mapping the Global Value Chain</w:t>
      </w:r>
      <w:bookmarkEnd w:id="9"/>
    </w:p>
    <w:p w14:paraId="17790FFA" w14:textId="73807916" w:rsidR="00511E41" w:rsidRDefault="00511E41" w:rsidP="00511E41">
      <w:pPr>
        <w:spacing w:line="360" w:lineRule="auto"/>
        <w:jc w:val="both"/>
        <w:rPr>
          <w:rFonts w:ascii="Arial" w:hAnsi="Arial" w:cs="Arial"/>
        </w:rPr>
      </w:pPr>
      <w:r w:rsidRPr="00511E41">
        <w:rPr>
          <w:rFonts w:ascii="Arial" w:hAnsi="Arial" w:cs="Arial"/>
        </w:rPr>
        <w:t>The Value Chain, a concept introduced by Porter (1985), disaggregates a firm into its strategically relevant activities—such as inbound logistics, operations, and service—to understand the behaviour of costs and the existing and potential sources of differentiation.</w:t>
      </w:r>
    </w:p>
    <w:p w14:paraId="40F49AAB" w14:textId="77777777" w:rsidR="00A134D0" w:rsidRPr="00511E41" w:rsidRDefault="00A134D0" w:rsidP="00511E41">
      <w:pPr>
        <w:spacing w:line="360" w:lineRule="auto"/>
        <w:jc w:val="both"/>
        <w:rPr>
          <w:rFonts w:ascii="Arial" w:hAnsi="Arial" w:cs="Arial"/>
        </w:rPr>
      </w:pPr>
    </w:p>
    <w:p w14:paraId="60354A1B" w14:textId="77777777" w:rsidR="009504B0" w:rsidRPr="009A224F" w:rsidRDefault="009504B0" w:rsidP="009A224F">
      <w:pPr>
        <w:pStyle w:val="Heading3"/>
        <w:spacing w:line="360" w:lineRule="auto"/>
        <w:rPr>
          <w:rFonts w:ascii="Arial" w:eastAsia="Times New Roman" w:hAnsi="Arial" w:cs="Arial"/>
        </w:rPr>
      </w:pPr>
      <w:bookmarkStart w:id="10" w:name="_Toc215208554"/>
      <w:r w:rsidRPr="009A224F">
        <w:rPr>
          <w:rFonts w:ascii="Arial" w:eastAsia="Times New Roman" w:hAnsi="Arial" w:cs="Arial"/>
        </w:rPr>
        <w:t>3.2.1. Research and Development (R&amp;D): The Shift to Localized Innovation Hubs</w:t>
      </w:r>
      <w:bookmarkEnd w:id="10"/>
    </w:p>
    <w:p w14:paraId="24D43F33" w14:textId="1E679AAB" w:rsidR="00757F8A" w:rsidRPr="00D44CDE" w:rsidRDefault="009504B0" w:rsidP="00D44CDE">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Nestlé maintains the most advanced science and innovation network in the food industry, supporting this advantage with an annual investment of CHF 1.7 billion in R&amp;D (Nestlé R&amp;D 2024). While the central Research Centre remains in Switzerland (Nestlé S.A. 2024b), Nestlé leverages a global network of R&amp;D </w:t>
      </w:r>
      <w:r w:rsidR="00F42D5F" w:rsidRPr="009A224F">
        <w:rPr>
          <w:rFonts w:ascii="Arial" w:hAnsi="Arial" w:cs="Arial"/>
          <w:color w:val="1F1F1F"/>
        </w:rPr>
        <w:t>centres</w:t>
      </w:r>
      <w:r w:rsidRPr="009A224F">
        <w:rPr>
          <w:rFonts w:ascii="Arial" w:hAnsi="Arial" w:cs="Arial"/>
          <w:color w:val="1F1F1F"/>
        </w:rPr>
        <w:t xml:space="preserve"> to drive growth. The strategic importance of India is highlighted by the establishment of the Nestlé R&amp;D Centre in Manesar, Gurgaon, in 2012 (Sharma 2022; Smith 2020). This Indian facility functions as a </w:t>
      </w:r>
      <w:r w:rsidRPr="00F42D5F">
        <w:rPr>
          <w:rStyle w:val="Strong"/>
          <w:rFonts w:ascii="Arial" w:hAnsi="Arial" w:cs="Arial"/>
          <w:b w:val="0"/>
          <w:bCs w:val="0"/>
          <w:color w:val="1F1F1F"/>
          <w:bdr w:val="none" w:sz="0" w:space="0" w:color="auto" w:frame="1"/>
        </w:rPr>
        <w:t>Global Innovation Hub for noodles and spices</w:t>
      </w:r>
      <w:r w:rsidRPr="009A224F">
        <w:rPr>
          <w:rFonts w:ascii="Arial" w:hAnsi="Arial" w:cs="Arial"/>
          <w:color w:val="1F1F1F"/>
        </w:rPr>
        <w:t xml:space="preserve"> (Smith 2020). The locali</w:t>
      </w:r>
      <w:r w:rsidR="00511E41">
        <w:rPr>
          <w:rFonts w:ascii="Arial" w:hAnsi="Arial" w:cs="Arial"/>
          <w:color w:val="1F1F1F"/>
        </w:rPr>
        <w:t>s</w:t>
      </w:r>
      <w:r w:rsidRPr="009A224F">
        <w:rPr>
          <w:rFonts w:ascii="Arial" w:hAnsi="Arial" w:cs="Arial"/>
          <w:color w:val="1F1F1F"/>
        </w:rPr>
        <w:t>ation of R&amp;D at this scale converts specific market knowledge regarding local culinary traditions (a Location advantage) into proprietary, scalable knowledge assets (an Ownership advantage) (Smith 2020; Prahalad 2004). The goal is to develop tasty, nutritious, and affordable products that support both local demand and the broader global market strategy for low-cost product formulation (Smith 2020).</w:t>
      </w:r>
    </w:p>
    <w:p w14:paraId="5E439F34" w14:textId="159739A9" w:rsidR="00E80239" w:rsidRPr="00B72324" w:rsidRDefault="00757F8A" w:rsidP="00AD72DF">
      <w:pPr>
        <w:pStyle w:val="Heading3"/>
      </w:pPr>
      <w:bookmarkStart w:id="11" w:name="_Toc215208555"/>
      <w:r w:rsidRPr="00B72324">
        <w:lastRenderedPageBreak/>
        <w:t>Diagram of Porter’s Value Chain adapted for Nestlé, showing Primary Activities (Sourcing, Production) and Support Activities (R&amp;D, HR)</w:t>
      </w:r>
      <w:bookmarkEnd w:id="11"/>
    </w:p>
    <w:p w14:paraId="4F9EC422" w14:textId="69B44939" w:rsidR="004779B3" w:rsidRPr="009A224F" w:rsidRDefault="004779B3" w:rsidP="004779B3">
      <w:pPr>
        <w:pStyle w:val="NormalWeb"/>
        <w:shd w:val="clear" w:color="auto" w:fill="FFFFFF"/>
        <w:spacing w:before="0" w:beforeAutospacing="0" w:after="240" w:afterAutospacing="0" w:line="390" w:lineRule="atLeast"/>
        <w:rPr>
          <w:rFonts w:ascii="Arial" w:hAnsi="Arial" w:cs="Arial"/>
          <w:color w:val="1F1F1F"/>
        </w:rPr>
      </w:pPr>
      <w:r>
        <w:rPr>
          <w:noProof/>
        </w:rPr>
        <w:drawing>
          <wp:inline distT="0" distB="0" distL="0" distR="0" wp14:anchorId="446A100F" wp14:editId="21665187">
            <wp:extent cx="5731510" cy="3820795"/>
            <wp:effectExtent l="0" t="0" r="2540" b="8255"/>
            <wp:docPr id="3" name="Picture 2" descr="Diagram of Porter’s Value Chain adapted for Nestlé in India. Primary Activities: Sourcing and Production. Support Activities: Research &amp; Development (R&amp;D) and Human Resources (HR). Visualize as a structured flow chart with two main sections: Primary Activities at the bottom (Sourcing, Production) and Support Activities at the top (R&amp;D, HR). Include subtle Indian cultural motifs or color accents (e.g., saffron, green) blended with Nestlé branding colors (blue, white) for regional relev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Porter’s Value Chain adapted for Nestlé in India. Primary Activities: Sourcing and Production. Support Activities: Research &amp; Development (R&amp;D) and Human Resources (HR). Visualize as a structured flow chart with two main sections: Primary Activities at the bottom (Sourcing, Production) and Support Activities at the top (R&amp;D, HR). Include subtle Indian cultural motifs or color accents (e.g., saffron, green) blended with Nestlé branding colors (blue, white) for regional releva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DDC0DA6" w14:textId="77777777" w:rsidR="009504B0" w:rsidRPr="009A224F" w:rsidRDefault="009504B0" w:rsidP="009A224F">
      <w:pPr>
        <w:pStyle w:val="Heading3"/>
        <w:spacing w:line="360" w:lineRule="auto"/>
        <w:rPr>
          <w:rFonts w:ascii="Arial" w:eastAsia="Times New Roman" w:hAnsi="Arial" w:cs="Arial"/>
        </w:rPr>
      </w:pPr>
      <w:bookmarkStart w:id="12" w:name="_Toc215208556"/>
      <w:r w:rsidRPr="009A224F">
        <w:rPr>
          <w:rFonts w:ascii="Arial" w:eastAsia="Times New Roman" w:hAnsi="Arial" w:cs="Arial"/>
        </w:rPr>
        <w:t>3.2.2. Sourcing and Procurement: Deep Integration and Supplier Development</w:t>
      </w:r>
      <w:bookmarkEnd w:id="12"/>
    </w:p>
    <w:p w14:paraId="4E044031"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Nestlé’s sourcing strategy balances adherence to global guidelines, such as the Responsible Sourcing Core Requirements covering human rights and environmental due diligence (Nestlé S.A. 2023c), with deep local integration. In India, the company has internalized its supply chain extensively. This includes working directly with farmers and NGOs to procure raw materials (Kotler 2019), exemplified by the development of the dairy supply chain in Moga, Punjab (Business Standard 2015; Jain 2020). Critically, Nestlé actively develops local suppliers, providing technical assistance to close safety and quality gaps and secure local sources for previously imported raw materials (UN Global Compact 2018). This intensive, internalized supply chain management is essential for enforcing the strict quality standards (O-advantage) required in the food sector and ensures continuous supply (Kotler 2019).</w:t>
      </w:r>
    </w:p>
    <w:p w14:paraId="141F7C0F" w14:textId="77777777" w:rsidR="009504B0" w:rsidRPr="009A224F" w:rsidRDefault="009504B0" w:rsidP="009A224F">
      <w:pPr>
        <w:pStyle w:val="Heading3"/>
        <w:spacing w:line="360" w:lineRule="auto"/>
        <w:rPr>
          <w:rFonts w:ascii="Arial" w:eastAsia="Times New Roman" w:hAnsi="Arial" w:cs="Arial"/>
        </w:rPr>
      </w:pPr>
      <w:bookmarkStart w:id="13" w:name="_Toc215208557"/>
      <w:r w:rsidRPr="009A224F">
        <w:rPr>
          <w:rFonts w:ascii="Arial" w:eastAsia="Times New Roman" w:hAnsi="Arial" w:cs="Arial"/>
        </w:rPr>
        <w:lastRenderedPageBreak/>
        <w:t>3.2.3. Production, Logistics, and Decentralized Efficiency</w:t>
      </w:r>
      <w:bookmarkEnd w:id="13"/>
    </w:p>
    <w:p w14:paraId="2CBA0C69" w14:textId="3A37A140" w:rsidR="00314103"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The decentralized TNC structure is fundamentally linked to production and logistics efficiency. Nestlé operates nine factories in India, with a tenth facility under development (Sharma 2022). This local production minimizes logistical costs and tariff barriers, allowing for swift response to market demands. Local units are granted control over materials and logistics (Johnson &amp; Davies 1998). Nestlé India leverages a strong and intensive distribution network, reaching over 5.2 million outlets and supported by over 10,000 distributors (Sharma 2022). This system is managed using sophisticated software (ERP, SAP-SCM) and practices (Good Warehouse/Manufacturing Practices) to ensure seamless information flow, safety, and operational efficiency, providing a definitive cost advantage (Kotler 2019).</w:t>
      </w:r>
    </w:p>
    <w:p w14:paraId="37025971" w14:textId="77777777" w:rsidR="009504B0" w:rsidRPr="009A224F" w:rsidRDefault="009504B0" w:rsidP="009A224F">
      <w:pPr>
        <w:pStyle w:val="Heading3"/>
        <w:spacing w:line="360" w:lineRule="auto"/>
        <w:rPr>
          <w:rFonts w:ascii="Arial" w:eastAsia="Times New Roman" w:hAnsi="Arial" w:cs="Arial"/>
        </w:rPr>
      </w:pPr>
      <w:bookmarkStart w:id="14" w:name="_Toc215208558"/>
      <w:r w:rsidRPr="009A224F">
        <w:rPr>
          <w:rFonts w:ascii="Arial" w:eastAsia="Times New Roman" w:hAnsi="Arial" w:cs="Arial"/>
        </w:rPr>
        <w:t>3.2.4. Sales, Marketing, and Financing</w:t>
      </w:r>
      <w:bookmarkEnd w:id="14"/>
    </w:p>
    <w:p w14:paraId="702E1FFC" w14:textId="77777777" w:rsidR="009504B0"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The decentralized structure translates directly into a </w:t>
      </w:r>
      <w:r w:rsidRPr="00543C7A">
        <w:rPr>
          <w:rStyle w:val="Strong"/>
          <w:rFonts w:ascii="Arial" w:hAnsi="Arial" w:cs="Arial"/>
          <w:b w:val="0"/>
          <w:bCs w:val="0"/>
          <w:color w:val="1F1F1F"/>
          <w:bdr w:val="none" w:sz="0" w:space="0" w:color="auto" w:frame="1"/>
        </w:rPr>
        <w:t>polycentric orientation</w:t>
      </w:r>
      <w:r w:rsidRPr="009A224F">
        <w:rPr>
          <w:rFonts w:ascii="Arial" w:hAnsi="Arial" w:cs="Arial"/>
          <w:color w:val="1F1F1F"/>
        </w:rPr>
        <w:t xml:space="preserve"> for sales and marketing (Hill 2020). Subsidiaries develop unique strategies and product ranges tailored to specific national contexts; for instance, offering tea (Nestea) in India where only coffee might be present in Switzerland (Hill 2020). Marketing strategies are localized to cultural contexts, such as partnering with social media celebrities in India and utilizing local festivals like Diwali and Holi for promotional offers (Grant 2016). Corporate financing, conversely, is highly centralized. Specialized internal entities, such as Nestlé Finance International Ltd., manage the structure of capital, debt securities, and inter-company loans, providing a centralized capital control mechanism to support the decentralized operational units globally (Nestlé Finance 2023; Economist 2021).</w:t>
      </w:r>
    </w:p>
    <w:p w14:paraId="195CF713" w14:textId="77777777" w:rsidR="00D44CDE" w:rsidRPr="009A224F" w:rsidRDefault="00D44CDE" w:rsidP="009A224F">
      <w:pPr>
        <w:pStyle w:val="NormalWeb"/>
        <w:spacing w:before="0" w:beforeAutospacing="0" w:after="0" w:afterAutospacing="0" w:line="360" w:lineRule="auto"/>
        <w:rPr>
          <w:rFonts w:ascii="Arial" w:hAnsi="Arial" w:cs="Arial"/>
          <w:color w:val="1F1F1F"/>
        </w:rPr>
      </w:pPr>
    </w:p>
    <w:p w14:paraId="348E01E1" w14:textId="77777777" w:rsidR="009504B0" w:rsidRPr="009A224F" w:rsidRDefault="009504B0" w:rsidP="009A224F">
      <w:pPr>
        <w:pStyle w:val="Heading2"/>
        <w:spacing w:line="360" w:lineRule="auto"/>
        <w:rPr>
          <w:rFonts w:ascii="Arial" w:eastAsia="Times New Roman" w:hAnsi="Arial" w:cs="Arial"/>
        </w:rPr>
      </w:pPr>
      <w:bookmarkStart w:id="15" w:name="_Toc215208559"/>
      <w:r w:rsidRPr="009A224F">
        <w:rPr>
          <w:rFonts w:ascii="Arial" w:eastAsia="Times New Roman" w:hAnsi="Arial" w:cs="Arial"/>
        </w:rPr>
        <w:t>3.3. International Market Entry Modes</w:t>
      </w:r>
      <w:bookmarkEnd w:id="15"/>
    </w:p>
    <w:p w14:paraId="78BBD30F" w14:textId="49768441" w:rsidR="00D44CDE"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Nestlé has historically employed a range of market entry modes, reflecting a gradual internationalization process that often involves mergers and acquisitions to achieve economies of scale and speed of entry (Caves 1996). Other modes include exports, strategic partnerships (e.g., with Coca-Cola for ready-to-drink beverages) (Ohmae 1985), and joint ventures (JVs), such as the use of a JV to enter the UK market (Grant 2016).</w:t>
      </w:r>
    </w:p>
    <w:p w14:paraId="3DB2B6BB" w14:textId="77777777" w:rsidR="009504B0" w:rsidRPr="009A224F" w:rsidRDefault="009504B0" w:rsidP="009A224F">
      <w:pPr>
        <w:pStyle w:val="Heading2"/>
        <w:spacing w:line="360" w:lineRule="auto"/>
        <w:rPr>
          <w:rFonts w:ascii="Arial" w:eastAsia="Times New Roman" w:hAnsi="Arial" w:cs="Arial"/>
          <w:color w:val="1F1F1F"/>
        </w:rPr>
      </w:pPr>
      <w:bookmarkStart w:id="16" w:name="_Toc215208560"/>
      <w:r w:rsidRPr="009A224F">
        <w:rPr>
          <w:rStyle w:val="Heading2Char"/>
          <w:rFonts w:ascii="Arial" w:hAnsi="Arial" w:cs="Arial"/>
        </w:rPr>
        <w:lastRenderedPageBreak/>
        <w:t>3.3.1. Identification of Dominant Entry Mode in India: Wholly Owned Subsidiary (WOS</w:t>
      </w:r>
      <w:r w:rsidRPr="009A224F">
        <w:rPr>
          <w:rFonts w:ascii="Arial" w:eastAsia="Times New Roman" w:hAnsi="Arial" w:cs="Arial"/>
          <w:color w:val="1F1F1F"/>
        </w:rPr>
        <w:t>)</w:t>
      </w:r>
      <w:bookmarkEnd w:id="16"/>
    </w:p>
    <w:p w14:paraId="7FDEA638" w14:textId="6CE8FCF6" w:rsidR="00F94BAD" w:rsidRPr="00B72324" w:rsidRDefault="00CC55C8" w:rsidP="00B72324">
      <w:pPr>
        <w:pStyle w:val="NormalWeb"/>
        <w:spacing w:line="360" w:lineRule="auto"/>
        <w:rPr>
          <w:rFonts w:ascii="Arial" w:hAnsi="Arial" w:cs="Arial"/>
          <w:color w:val="1F1F1F"/>
        </w:rPr>
      </w:pPr>
      <w:r w:rsidRPr="00CC55C8">
        <w:rPr>
          <w:rFonts w:ascii="Arial" w:hAnsi="Arial" w:cs="Arial"/>
          <w:color w:val="1F1F1F"/>
        </w:rPr>
        <w:t>While Nestlé utilizes Joint Ventures (JVs) for specific categories globally (e.g., Cereal Partners), the Wholly Owned Subsidiary (WOS) is the explicitly dominant entry mode in India.</w:t>
      </w:r>
      <w:r w:rsidR="00C8054B">
        <w:rPr>
          <w:rFonts w:ascii="Arial" w:hAnsi="Arial" w:cs="Arial"/>
          <w:color w:val="1F1F1F"/>
        </w:rPr>
        <w:t xml:space="preserve"> </w:t>
      </w:r>
      <w:r w:rsidR="009504B0" w:rsidRPr="009A224F">
        <w:rPr>
          <w:rFonts w:ascii="Arial" w:hAnsi="Arial" w:cs="Arial"/>
          <w:color w:val="1F1F1F"/>
        </w:rPr>
        <w:t>For the Indian market, the Wholly Owned Subsidiary (WOS) model is the dominant strategic choice, established early through the subsidiary Nestlé Holdings Ltd. (NHL) (Business Standard 2015). This approach facilitated the establishment of the first manufacturing facility in Moga, Punjab (Business Standard 2015). While low-cost entries and partnerships are utilized to secure suppliers and deploy skills (Hitt 2017), the overall strategic presence is maintained through the WOS (Contractor 2013). The WOS model provides maximum strategic and operational control, which is essential for a firm like Nestlé whose competitive advantage rests heavily on the consistency and quality of its global brand (</w:t>
      </w:r>
      <w:proofErr w:type="spellStart"/>
      <w:r w:rsidR="009504B0" w:rsidRPr="009A224F">
        <w:rPr>
          <w:rFonts w:ascii="Arial" w:hAnsi="Arial" w:cs="Arial"/>
          <w:color w:val="1F1F1F"/>
        </w:rPr>
        <w:t>Hennart</w:t>
      </w:r>
      <w:proofErr w:type="spellEnd"/>
      <w:r w:rsidR="009504B0" w:rsidRPr="009A224F">
        <w:rPr>
          <w:rFonts w:ascii="Arial" w:hAnsi="Arial" w:cs="Arial"/>
          <w:color w:val="1F1F1F"/>
        </w:rPr>
        <w:t xml:space="preserve"> 1982).</w:t>
      </w:r>
      <w:r w:rsidR="00044168" w:rsidRPr="00044168">
        <w:rPr>
          <w:rFonts w:ascii="Arial" w:hAnsi="Arial" w:cs="Arial"/>
          <w:color w:val="C00000"/>
        </w:rPr>
        <w:t xml:space="preserve"> </w:t>
      </w:r>
      <w:r w:rsidR="00044168" w:rsidRPr="00044168">
        <w:rPr>
          <w:rFonts w:ascii="Arial" w:hAnsi="Arial" w:cs="Arial"/>
          <w:color w:val="1F1F1F"/>
        </w:rPr>
        <w:t>The Asset Concentration of The WOS model controls the core infrastructure, including the first manufacturing facility in Moga and the subsequent eight factories.</w:t>
      </w:r>
      <w:r w:rsidR="00044168">
        <w:rPr>
          <w:rFonts w:ascii="Arial" w:hAnsi="Arial" w:cs="Arial"/>
          <w:color w:val="1F1F1F"/>
        </w:rPr>
        <w:t xml:space="preserve"> </w:t>
      </w:r>
      <w:r w:rsidR="007A3E9D" w:rsidRPr="00D44CDE">
        <w:rPr>
          <w:rStyle w:val="citation-28"/>
          <w:rFonts w:ascii="Arial" w:hAnsi="Arial" w:cs="Arial"/>
        </w:rPr>
        <w:t>While partnerships are used for specific tasks (like securing suppliers), the overall strategic presence—including the ownership of within the WOS to ensure maximum strategic and operational control</w:t>
      </w:r>
      <w:r w:rsidR="007A3E9D" w:rsidRPr="00D44CDE">
        <w:rPr>
          <w:rFonts w:ascii="Arial" w:hAnsi="Arial" w:cs="Arial"/>
        </w:rPr>
        <w:t>.</w:t>
      </w:r>
    </w:p>
    <w:p w14:paraId="65564850" w14:textId="413D51DB" w:rsidR="00F30490" w:rsidRDefault="00F30490" w:rsidP="00AD72DF">
      <w:pPr>
        <w:pStyle w:val="Heading3"/>
      </w:pPr>
      <w:bookmarkStart w:id="17" w:name="_Toc215208561"/>
      <w:r w:rsidRPr="00B847F2">
        <w:t>A Pie Chart the "Revenue Contribution by Entry Mode," showing WOS (Nestlé India Ltd) holding the majority share vs. JVs]</w:t>
      </w:r>
      <w:r w:rsidR="00B72324">
        <w:t>.</w:t>
      </w:r>
      <w:bookmarkEnd w:id="17"/>
    </w:p>
    <w:p w14:paraId="67A236E7" w14:textId="77777777" w:rsidR="00B72324" w:rsidRDefault="00B72324" w:rsidP="007A3E9D">
      <w:pPr>
        <w:pStyle w:val="NormalWeb"/>
        <w:shd w:val="clear" w:color="auto" w:fill="FFFFFF"/>
        <w:spacing w:before="0" w:beforeAutospacing="0" w:after="240" w:afterAutospacing="0" w:line="390" w:lineRule="atLeast"/>
        <w:rPr>
          <w:rFonts w:ascii="Arial" w:hAnsi="Arial" w:cs="Arial"/>
          <w:b/>
          <w:bCs/>
        </w:rPr>
      </w:pPr>
    </w:p>
    <w:tbl>
      <w:tblPr>
        <w:tblW w:w="8505" w:type="dxa"/>
        <w:tblCellSpacing w:w="15" w:type="dxa"/>
        <w:shd w:val="clear" w:color="auto" w:fill="F0F4F9"/>
        <w:tblCellMar>
          <w:top w:w="15" w:type="dxa"/>
          <w:left w:w="15" w:type="dxa"/>
          <w:bottom w:w="15" w:type="dxa"/>
          <w:right w:w="15" w:type="dxa"/>
        </w:tblCellMar>
        <w:tblLook w:val="04A0" w:firstRow="1" w:lastRow="0" w:firstColumn="1" w:lastColumn="0" w:noHBand="0" w:noVBand="1"/>
      </w:tblPr>
      <w:tblGrid>
        <w:gridCol w:w="4111"/>
        <w:gridCol w:w="4394"/>
      </w:tblGrid>
      <w:tr w:rsidR="00B72324" w14:paraId="1AC64E5A" w14:textId="77777777" w:rsidTr="00230D27">
        <w:trPr>
          <w:tblHeader/>
          <w:tblCellSpacing w:w="15" w:type="dxa"/>
        </w:trPr>
        <w:tc>
          <w:tcPr>
            <w:tcW w:w="4066" w:type="dxa"/>
            <w:shd w:val="clear" w:color="auto" w:fill="F8FAFD"/>
            <w:tcMar>
              <w:top w:w="120" w:type="dxa"/>
              <w:left w:w="180" w:type="dxa"/>
              <w:bottom w:w="120" w:type="dxa"/>
              <w:right w:w="180" w:type="dxa"/>
            </w:tcMar>
            <w:hideMark/>
          </w:tcPr>
          <w:p w14:paraId="2E684F11" w14:textId="77777777" w:rsidR="00B72324" w:rsidRDefault="00B72324" w:rsidP="00230D27">
            <w:pPr>
              <w:spacing w:line="300" w:lineRule="atLeast"/>
              <w:rPr>
                <w:rFonts w:ascii="Arial" w:eastAsia="Times New Roman" w:hAnsi="Arial" w:cs="Arial"/>
                <w:sz w:val="21"/>
                <w:szCs w:val="21"/>
              </w:rPr>
            </w:pPr>
            <w:r>
              <w:rPr>
                <w:rFonts w:ascii="Arial" w:eastAsia="Times New Roman" w:hAnsi="Arial" w:cs="Arial"/>
                <w:sz w:val="21"/>
                <w:szCs w:val="21"/>
              </w:rPr>
              <w:t>Entry Mode Category</w:t>
            </w:r>
          </w:p>
        </w:tc>
        <w:tc>
          <w:tcPr>
            <w:tcW w:w="4349" w:type="dxa"/>
            <w:shd w:val="clear" w:color="auto" w:fill="F8FAFD"/>
            <w:tcMar>
              <w:top w:w="120" w:type="dxa"/>
              <w:left w:w="180" w:type="dxa"/>
              <w:bottom w:w="120" w:type="dxa"/>
              <w:right w:w="180" w:type="dxa"/>
            </w:tcMar>
            <w:hideMark/>
          </w:tcPr>
          <w:p w14:paraId="72AE10C5" w14:textId="77777777" w:rsidR="00B72324" w:rsidRDefault="00B72324" w:rsidP="00230D27">
            <w:pPr>
              <w:spacing w:line="300" w:lineRule="atLeast"/>
              <w:rPr>
                <w:rFonts w:ascii="Arial" w:eastAsia="Times New Roman" w:hAnsi="Arial" w:cs="Arial"/>
                <w:sz w:val="21"/>
                <w:szCs w:val="21"/>
              </w:rPr>
            </w:pPr>
            <w:r>
              <w:rPr>
                <w:rFonts w:ascii="Arial" w:eastAsia="Times New Roman" w:hAnsi="Arial" w:cs="Arial"/>
                <w:sz w:val="21"/>
                <w:szCs w:val="21"/>
              </w:rPr>
              <w:t>Revenue Contribution</w:t>
            </w:r>
          </w:p>
        </w:tc>
      </w:tr>
      <w:tr w:rsidR="00B72324" w14:paraId="75EACC5F" w14:textId="77777777" w:rsidTr="00230D27">
        <w:trPr>
          <w:tblCellSpacing w:w="15" w:type="dxa"/>
        </w:trPr>
        <w:tc>
          <w:tcPr>
            <w:tcW w:w="4066" w:type="dxa"/>
            <w:shd w:val="clear" w:color="auto" w:fill="F8FAFD"/>
            <w:tcMar>
              <w:top w:w="120" w:type="dxa"/>
              <w:left w:w="180" w:type="dxa"/>
              <w:bottom w:w="120" w:type="dxa"/>
              <w:right w:w="180" w:type="dxa"/>
            </w:tcMar>
            <w:hideMark/>
          </w:tcPr>
          <w:p w14:paraId="44B8A50B" w14:textId="77777777" w:rsidR="00B72324" w:rsidRDefault="00B72324" w:rsidP="00230D27">
            <w:pPr>
              <w:spacing w:line="300" w:lineRule="atLeast"/>
              <w:rPr>
                <w:rFonts w:ascii="Arial" w:eastAsia="Times New Roman" w:hAnsi="Arial" w:cs="Arial"/>
                <w:sz w:val="21"/>
                <w:szCs w:val="21"/>
              </w:rPr>
            </w:pPr>
            <w:r>
              <w:rPr>
                <w:rFonts w:ascii="Arial" w:eastAsia="Times New Roman" w:hAnsi="Arial" w:cs="Arial"/>
                <w:b/>
                <w:bCs/>
                <w:sz w:val="21"/>
                <w:szCs w:val="21"/>
              </w:rPr>
              <w:t>Wholly Owned Subsidiary (WOS)</w:t>
            </w:r>
          </w:p>
        </w:tc>
        <w:tc>
          <w:tcPr>
            <w:tcW w:w="4349" w:type="dxa"/>
            <w:shd w:val="clear" w:color="auto" w:fill="F8FAFD"/>
            <w:tcMar>
              <w:top w:w="120" w:type="dxa"/>
              <w:left w:w="180" w:type="dxa"/>
              <w:bottom w:w="120" w:type="dxa"/>
              <w:right w:w="180" w:type="dxa"/>
            </w:tcMar>
            <w:hideMark/>
          </w:tcPr>
          <w:p w14:paraId="7AA0625F" w14:textId="77777777" w:rsidR="00B72324" w:rsidRDefault="00B72324" w:rsidP="00230D27">
            <w:pPr>
              <w:spacing w:line="300" w:lineRule="atLeast"/>
              <w:rPr>
                <w:rFonts w:ascii="Arial" w:eastAsia="Times New Roman" w:hAnsi="Arial" w:cs="Arial"/>
                <w:sz w:val="21"/>
                <w:szCs w:val="21"/>
              </w:rPr>
            </w:pPr>
            <w:r>
              <w:rPr>
                <w:rFonts w:ascii="Arial" w:eastAsia="Times New Roman" w:hAnsi="Arial" w:cs="Arial"/>
                <w:b/>
                <w:bCs/>
                <w:sz w:val="21"/>
                <w:szCs w:val="21"/>
              </w:rPr>
              <w:t>95%</w:t>
            </w:r>
          </w:p>
        </w:tc>
      </w:tr>
      <w:tr w:rsidR="00B72324" w14:paraId="4F7D72F4" w14:textId="77777777" w:rsidTr="00230D27">
        <w:trPr>
          <w:tblCellSpacing w:w="15" w:type="dxa"/>
        </w:trPr>
        <w:tc>
          <w:tcPr>
            <w:tcW w:w="4066" w:type="dxa"/>
            <w:shd w:val="clear" w:color="auto" w:fill="F8FAFD"/>
            <w:tcMar>
              <w:top w:w="120" w:type="dxa"/>
              <w:left w:w="180" w:type="dxa"/>
              <w:bottom w:w="120" w:type="dxa"/>
              <w:right w:w="180" w:type="dxa"/>
            </w:tcMar>
            <w:hideMark/>
          </w:tcPr>
          <w:p w14:paraId="4BAF4E13" w14:textId="77777777" w:rsidR="00B72324" w:rsidRDefault="00B72324" w:rsidP="00230D27">
            <w:pPr>
              <w:spacing w:line="300" w:lineRule="atLeast"/>
              <w:rPr>
                <w:rFonts w:ascii="Arial" w:eastAsia="Times New Roman" w:hAnsi="Arial" w:cs="Arial"/>
                <w:sz w:val="21"/>
                <w:szCs w:val="21"/>
              </w:rPr>
            </w:pPr>
            <w:r>
              <w:rPr>
                <w:rFonts w:ascii="Arial" w:eastAsia="Times New Roman" w:hAnsi="Arial" w:cs="Arial"/>
                <w:b/>
                <w:bCs/>
                <w:sz w:val="21"/>
                <w:szCs w:val="21"/>
              </w:rPr>
              <w:t>Other (Joint Ventures, Licensing, Exports)</w:t>
            </w:r>
          </w:p>
        </w:tc>
        <w:tc>
          <w:tcPr>
            <w:tcW w:w="4349" w:type="dxa"/>
            <w:shd w:val="clear" w:color="auto" w:fill="F8FAFD"/>
            <w:tcMar>
              <w:top w:w="120" w:type="dxa"/>
              <w:left w:w="180" w:type="dxa"/>
              <w:bottom w:w="120" w:type="dxa"/>
              <w:right w:w="180" w:type="dxa"/>
            </w:tcMar>
            <w:hideMark/>
          </w:tcPr>
          <w:p w14:paraId="1F530898" w14:textId="77777777" w:rsidR="00B72324" w:rsidRDefault="00B72324" w:rsidP="00230D27">
            <w:pPr>
              <w:spacing w:line="300" w:lineRule="atLeast"/>
              <w:rPr>
                <w:rFonts w:ascii="Arial" w:eastAsia="Times New Roman" w:hAnsi="Arial" w:cs="Arial"/>
                <w:sz w:val="21"/>
                <w:szCs w:val="21"/>
              </w:rPr>
            </w:pPr>
            <w:r>
              <w:rPr>
                <w:rFonts w:ascii="Arial" w:eastAsia="Times New Roman" w:hAnsi="Arial" w:cs="Arial"/>
                <w:b/>
                <w:bCs/>
                <w:sz w:val="21"/>
                <w:szCs w:val="21"/>
              </w:rPr>
              <w:t>5%</w:t>
            </w:r>
          </w:p>
        </w:tc>
      </w:tr>
    </w:tbl>
    <w:p w14:paraId="2DE19FEB" w14:textId="77777777" w:rsidR="00B72324" w:rsidRDefault="00B72324" w:rsidP="007A3E9D">
      <w:pPr>
        <w:pStyle w:val="NormalWeb"/>
        <w:shd w:val="clear" w:color="auto" w:fill="FFFFFF"/>
        <w:spacing w:before="0" w:beforeAutospacing="0" w:after="240" w:afterAutospacing="0" w:line="390" w:lineRule="atLeast"/>
        <w:rPr>
          <w:rFonts w:ascii="Arial" w:hAnsi="Arial" w:cs="Arial"/>
          <w:b/>
          <w:bCs/>
        </w:rPr>
      </w:pPr>
    </w:p>
    <w:p w14:paraId="4579DA88" w14:textId="77777777" w:rsidR="00B847F2" w:rsidRPr="00B847F2" w:rsidRDefault="00B847F2" w:rsidP="007A3E9D">
      <w:pPr>
        <w:pStyle w:val="NormalWeb"/>
        <w:shd w:val="clear" w:color="auto" w:fill="FFFFFF"/>
        <w:spacing w:before="0" w:beforeAutospacing="0" w:after="240" w:afterAutospacing="0" w:line="390" w:lineRule="atLeast"/>
        <w:rPr>
          <w:rFonts w:ascii="Arial" w:hAnsi="Arial" w:cs="Arial"/>
          <w:b/>
          <w:bCs/>
        </w:rPr>
      </w:pPr>
    </w:p>
    <w:p w14:paraId="4DD85BF8" w14:textId="70401ABF" w:rsidR="009D0ED3" w:rsidRPr="00696550" w:rsidRDefault="009D0ED3" w:rsidP="007A3E9D">
      <w:pPr>
        <w:pStyle w:val="NormalWeb"/>
        <w:shd w:val="clear" w:color="auto" w:fill="FFFFFF"/>
        <w:spacing w:before="0" w:beforeAutospacing="0" w:after="240" w:afterAutospacing="0" w:line="390" w:lineRule="atLeast"/>
        <w:rPr>
          <w:rFonts w:ascii="Arial" w:hAnsi="Arial" w:cs="Arial"/>
          <w:b/>
          <w:bCs/>
          <w:color w:val="C00000"/>
        </w:rPr>
      </w:pPr>
      <w:r>
        <w:rPr>
          <w:rFonts w:ascii="Arial" w:hAnsi="Arial" w:cs="Arial"/>
          <w:noProof/>
          <w:color w:val="1F1F1F"/>
          <w14:ligatures w14:val="standardContextual"/>
        </w:rPr>
        <w:lastRenderedPageBreak/>
        <w:drawing>
          <wp:inline distT="0" distB="0" distL="0" distR="0" wp14:anchorId="664F0F57" wp14:editId="6BE8DA5D">
            <wp:extent cx="5120640" cy="3756660"/>
            <wp:effectExtent l="0" t="0" r="3810" b="15240"/>
            <wp:docPr id="890825930"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799BEDC" w14:textId="77777777" w:rsidR="00F30490" w:rsidRPr="009A224F" w:rsidRDefault="00F30490" w:rsidP="009A224F">
      <w:pPr>
        <w:pStyle w:val="NormalWeb"/>
        <w:spacing w:before="0" w:beforeAutospacing="0" w:after="240" w:afterAutospacing="0" w:line="360" w:lineRule="auto"/>
        <w:rPr>
          <w:rFonts w:ascii="Arial" w:hAnsi="Arial" w:cs="Arial"/>
          <w:color w:val="1F1F1F"/>
        </w:rPr>
      </w:pPr>
    </w:p>
    <w:p w14:paraId="36286277" w14:textId="77777777" w:rsidR="009504B0" w:rsidRDefault="009504B0" w:rsidP="009A224F">
      <w:pPr>
        <w:pStyle w:val="Heading2"/>
        <w:spacing w:line="360" w:lineRule="auto"/>
        <w:rPr>
          <w:rFonts w:ascii="Arial" w:eastAsia="Times New Roman" w:hAnsi="Arial" w:cs="Arial"/>
        </w:rPr>
      </w:pPr>
      <w:bookmarkStart w:id="18" w:name="_Toc215208562"/>
      <w:r w:rsidRPr="009A224F">
        <w:rPr>
          <w:rFonts w:ascii="Arial" w:eastAsia="Times New Roman" w:hAnsi="Arial" w:cs="Arial"/>
        </w:rPr>
        <w:t>3.4. Key Benefits and Challenges of International Operations</w:t>
      </w:r>
      <w:bookmarkEnd w:id="18"/>
    </w:p>
    <w:p w14:paraId="77E81FAB" w14:textId="77777777" w:rsidR="00D44CDE" w:rsidRPr="00D44CDE" w:rsidRDefault="00D44CDE" w:rsidP="00D44CDE"/>
    <w:p w14:paraId="465637D6" w14:textId="77777777" w:rsidR="009504B0" w:rsidRPr="009A224F" w:rsidRDefault="009504B0" w:rsidP="009A224F">
      <w:pPr>
        <w:pStyle w:val="Heading3"/>
        <w:spacing w:line="360" w:lineRule="auto"/>
        <w:rPr>
          <w:rFonts w:ascii="Arial" w:eastAsia="Times New Roman" w:hAnsi="Arial" w:cs="Arial"/>
        </w:rPr>
      </w:pPr>
      <w:bookmarkStart w:id="19" w:name="_Toc215208563"/>
      <w:r w:rsidRPr="009A224F">
        <w:rPr>
          <w:rFonts w:ascii="Arial" w:eastAsia="Times New Roman" w:hAnsi="Arial" w:cs="Arial"/>
        </w:rPr>
        <w:t>3.4.1. Benefits</w:t>
      </w:r>
      <w:bookmarkEnd w:id="19"/>
    </w:p>
    <w:p w14:paraId="74A8E6F4" w14:textId="77777777" w:rsidR="009504B0"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International operations provide Nestlé with several critical advantages. Foremost among these is the exploitation of </w:t>
      </w:r>
      <w:r w:rsidRPr="0087514D">
        <w:rPr>
          <w:rStyle w:val="Strong"/>
          <w:rFonts w:ascii="Arial" w:hAnsi="Arial" w:cs="Arial"/>
          <w:b w:val="0"/>
          <w:bCs w:val="0"/>
          <w:color w:val="1F1F1F"/>
          <w:bdr w:val="none" w:sz="0" w:space="0" w:color="auto" w:frame="1"/>
        </w:rPr>
        <w:t>economies of scale</w:t>
      </w:r>
      <w:r w:rsidRPr="009A224F">
        <w:rPr>
          <w:rFonts w:ascii="Arial" w:hAnsi="Arial" w:cs="Arial"/>
          <w:color w:val="1F1F1F"/>
        </w:rPr>
        <w:t xml:space="preserve"> through mass production and global distribution, leading to significant cost efficiencies (Kotler 2019; Porter 1985). Furthermore, access to high-growth emerging economies, like India, provides necessary expansion opportunities, especially since traditional European and American food markets are considered flat and intensely competitive (KPMG India 2021; Ohmae 1985). Finally, the global R&amp;D network facilitates unparalleled </w:t>
      </w:r>
      <w:r w:rsidRPr="0087514D">
        <w:rPr>
          <w:rStyle w:val="Strong"/>
          <w:rFonts w:ascii="Arial" w:hAnsi="Arial" w:cs="Arial"/>
          <w:b w:val="0"/>
          <w:bCs w:val="0"/>
          <w:color w:val="1F1F1F"/>
          <w:bdr w:val="none" w:sz="0" w:space="0" w:color="auto" w:frame="1"/>
        </w:rPr>
        <w:t>knowledge acquisition and sharing</w:t>
      </w:r>
      <w:r w:rsidRPr="009A224F">
        <w:rPr>
          <w:rFonts w:ascii="Arial" w:hAnsi="Arial" w:cs="Arial"/>
          <w:color w:val="1F1F1F"/>
        </w:rPr>
        <w:t>, leveraging scientific expertise across different regions to drive new product development (Nestlé R&amp;D 2024; Smith 2020).</w:t>
      </w:r>
    </w:p>
    <w:p w14:paraId="5988F2F3" w14:textId="77777777" w:rsidR="00D44CDE" w:rsidRPr="009A224F" w:rsidRDefault="00D44CDE" w:rsidP="009A224F">
      <w:pPr>
        <w:pStyle w:val="NormalWeb"/>
        <w:spacing w:before="0" w:beforeAutospacing="0" w:after="0" w:afterAutospacing="0" w:line="360" w:lineRule="auto"/>
        <w:rPr>
          <w:rFonts w:ascii="Arial" w:hAnsi="Arial" w:cs="Arial"/>
          <w:color w:val="1F1F1F"/>
        </w:rPr>
      </w:pPr>
    </w:p>
    <w:p w14:paraId="0EB11328" w14:textId="77777777" w:rsidR="009504B0" w:rsidRPr="009A224F" w:rsidRDefault="009504B0" w:rsidP="009A224F">
      <w:pPr>
        <w:pStyle w:val="Heading3"/>
        <w:spacing w:line="360" w:lineRule="auto"/>
        <w:rPr>
          <w:rFonts w:ascii="Arial" w:eastAsia="Times New Roman" w:hAnsi="Arial" w:cs="Arial"/>
        </w:rPr>
      </w:pPr>
      <w:bookmarkStart w:id="20" w:name="_Toc215208564"/>
      <w:r w:rsidRPr="009A224F">
        <w:rPr>
          <w:rFonts w:ascii="Arial" w:eastAsia="Times New Roman" w:hAnsi="Arial" w:cs="Arial"/>
        </w:rPr>
        <w:lastRenderedPageBreak/>
        <w:t>3.4.2. Challenges</w:t>
      </w:r>
      <w:bookmarkEnd w:id="20"/>
    </w:p>
    <w:p w14:paraId="3A38AA64" w14:textId="77777777" w:rsidR="009504B0"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The primary challenge of operating internationally is exposure to economic and political variables, including currency fluctuations and economic instability, which can directly impact profitability (Porter 1985; Rugman 2009). However, the most acute challenge, particularly relevant to India, is the </w:t>
      </w:r>
      <w:r w:rsidRPr="0087514D">
        <w:rPr>
          <w:rStyle w:val="Strong"/>
          <w:rFonts w:ascii="Arial" w:hAnsi="Arial" w:cs="Arial"/>
          <w:b w:val="0"/>
          <w:bCs w:val="0"/>
          <w:color w:val="1F1F1F"/>
          <w:bdr w:val="none" w:sz="0" w:space="0" w:color="auto" w:frame="1"/>
        </w:rPr>
        <w:t>Regulatory Imperative</w:t>
      </w:r>
      <w:r w:rsidRPr="009A224F">
        <w:rPr>
          <w:rFonts w:ascii="Arial" w:hAnsi="Arial" w:cs="Arial"/>
          <w:color w:val="1F1F1F"/>
        </w:rPr>
        <w:t>. Navigating diverse and stringent local regulatory environments, such as those governed by India’s Food Safety and Standards Authority (FSSAI), poses an existential threat (Singh &amp; Gupta 2016; Iyer 2017). This difficulty is compounded by the challenge of maintaining globally consistent quality standards across a highly decentralized production and sourcing structure, requiring constant vigilance and rigorous process controls (Johnson &amp; Davies 1998).</w:t>
      </w:r>
    </w:p>
    <w:p w14:paraId="252B0B20" w14:textId="77777777" w:rsidR="00F9646F" w:rsidRPr="009A224F" w:rsidRDefault="00F9646F" w:rsidP="009A224F">
      <w:pPr>
        <w:pStyle w:val="NormalWeb"/>
        <w:spacing w:before="0" w:beforeAutospacing="0" w:after="0" w:afterAutospacing="0" w:line="360" w:lineRule="auto"/>
        <w:rPr>
          <w:rFonts w:ascii="Arial" w:hAnsi="Arial" w:cs="Arial"/>
          <w:color w:val="1F1F1F"/>
        </w:rPr>
      </w:pPr>
    </w:p>
    <w:p w14:paraId="2AED9565" w14:textId="3A772064" w:rsidR="009504B0" w:rsidRPr="009A224F" w:rsidRDefault="009504B0" w:rsidP="009A224F">
      <w:pPr>
        <w:pStyle w:val="Heading2"/>
        <w:spacing w:before="0" w:after="120" w:line="360" w:lineRule="auto"/>
        <w:rPr>
          <w:rFonts w:ascii="Arial" w:eastAsia="Times New Roman" w:hAnsi="Arial" w:cs="Arial"/>
          <w:color w:val="1F1F1F"/>
        </w:rPr>
      </w:pPr>
      <w:bookmarkStart w:id="21" w:name="_Toc215208565"/>
      <w:r w:rsidRPr="009A224F">
        <w:rPr>
          <w:rStyle w:val="Heading1Char"/>
          <w:rFonts w:ascii="Arial" w:hAnsi="Arial" w:cs="Arial"/>
        </w:rPr>
        <w:t>4. The Eclectic Paradigm (OLI) and Market Entry Mode in India</w:t>
      </w:r>
      <w:bookmarkEnd w:id="21"/>
    </w:p>
    <w:p w14:paraId="77892013" w14:textId="77777777" w:rsidR="009504B0" w:rsidRPr="009A224F" w:rsidRDefault="009504B0" w:rsidP="009A224F">
      <w:pPr>
        <w:pStyle w:val="Heading2"/>
        <w:spacing w:line="360" w:lineRule="auto"/>
        <w:rPr>
          <w:rFonts w:ascii="Arial" w:eastAsia="Times New Roman" w:hAnsi="Arial" w:cs="Arial"/>
        </w:rPr>
      </w:pPr>
      <w:bookmarkStart w:id="22" w:name="_Toc215208566"/>
      <w:r w:rsidRPr="009A224F">
        <w:rPr>
          <w:rFonts w:ascii="Arial" w:eastAsia="Times New Roman" w:hAnsi="Arial" w:cs="Arial"/>
        </w:rPr>
        <w:t>4.1. Critical Introduction to Dunning’s OLI Framework</w:t>
      </w:r>
      <w:bookmarkEnd w:id="22"/>
    </w:p>
    <w:p w14:paraId="62A077AE" w14:textId="3EAFB991" w:rsidR="009504B0" w:rsidRPr="00F9646F" w:rsidRDefault="00072F41" w:rsidP="00F9646F">
      <w:pPr>
        <w:pStyle w:val="NormalWeb"/>
        <w:shd w:val="clear" w:color="auto" w:fill="FFFFFF"/>
        <w:spacing w:before="0" w:beforeAutospacing="0" w:after="240" w:afterAutospacing="0" w:line="360" w:lineRule="auto"/>
        <w:rPr>
          <w:rFonts w:ascii="Arial" w:hAnsi="Arial" w:cs="Arial"/>
        </w:rPr>
      </w:pPr>
      <w:r w:rsidRPr="00F9646F">
        <w:rPr>
          <w:rStyle w:val="citation-25"/>
          <w:rFonts w:ascii="Arial" w:hAnsi="Arial" w:cs="Arial"/>
        </w:rPr>
        <w:t>Dunning’s Eclectic Paradigm (OLI) explains the choice of Foreign Direct Investment (FDI) over export or licensing based on Ownership, Location, and Internalization advantages</w:t>
      </w:r>
      <w:r w:rsidRPr="00F9646F">
        <w:rPr>
          <w:rFonts w:ascii="Arial" w:hAnsi="Arial" w:cs="Arial"/>
        </w:rPr>
        <w:t>.</w:t>
      </w:r>
      <w:r w:rsidR="009504B0" w:rsidRPr="00F9646F">
        <w:rPr>
          <w:rFonts w:ascii="Arial" w:hAnsi="Arial" w:cs="Arial"/>
        </w:rPr>
        <w:t xml:space="preserve"> (OLI) provides a robust framework for explaining why a firm chooses Foreign Direct Investment (FDI) over non-equity modes like exporting or licensing. For Nestlé, an FDI-intensive organization, the OLI framework is essential in critically evaluating the decision to utilize the high-commitment, high-control </w:t>
      </w:r>
      <w:r w:rsidR="009504B0" w:rsidRPr="00F9646F">
        <w:rPr>
          <w:rStyle w:val="Strong"/>
          <w:rFonts w:ascii="Arial" w:hAnsi="Arial" w:cs="Arial"/>
          <w:b w:val="0"/>
          <w:bCs w:val="0"/>
          <w:bdr w:val="none" w:sz="0" w:space="0" w:color="auto" w:frame="1"/>
        </w:rPr>
        <w:t>Wholly Owned Subsidiary (WOS)</w:t>
      </w:r>
      <w:r w:rsidR="009504B0" w:rsidRPr="00F9646F">
        <w:rPr>
          <w:rFonts w:ascii="Arial" w:hAnsi="Arial" w:cs="Arial"/>
        </w:rPr>
        <w:t xml:space="preserve"> structure for entry into the Indian market (Dunning 1980).</w:t>
      </w:r>
    </w:p>
    <w:p w14:paraId="2C0BD138" w14:textId="77777777" w:rsidR="00F9646F" w:rsidRPr="005D6B24" w:rsidRDefault="00F9646F" w:rsidP="005D6B24">
      <w:pPr>
        <w:pStyle w:val="NormalWeb"/>
        <w:shd w:val="clear" w:color="auto" w:fill="FFFFFF"/>
        <w:spacing w:before="0" w:beforeAutospacing="0" w:after="240" w:afterAutospacing="0" w:line="390" w:lineRule="atLeast"/>
        <w:rPr>
          <w:rFonts w:ascii="Arial" w:hAnsi="Arial" w:cs="Arial"/>
          <w:color w:val="196B24" w:themeColor="accent3"/>
        </w:rPr>
      </w:pPr>
    </w:p>
    <w:p w14:paraId="411C34F0" w14:textId="77777777" w:rsidR="009504B0" w:rsidRPr="009A224F" w:rsidRDefault="009504B0" w:rsidP="009A224F">
      <w:pPr>
        <w:pStyle w:val="Heading2"/>
        <w:spacing w:line="360" w:lineRule="auto"/>
        <w:rPr>
          <w:rFonts w:ascii="Arial" w:eastAsia="Times New Roman" w:hAnsi="Arial" w:cs="Arial"/>
        </w:rPr>
      </w:pPr>
      <w:bookmarkStart w:id="23" w:name="_Toc215208567"/>
      <w:r w:rsidRPr="009A224F">
        <w:rPr>
          <w:rFonts w:ascii="Arial" w:eastAsia="Times New Roman" w:hAnsi="Arial" w:cs="Arial"/>
        </w:rPr>
        <w:t>4.2. Ownership (O) Advantages: Nestlé’s Non-Transferable Strengths</w:t>
      </w:r>
      <w:bookmarkEnd w:id="23"/>
    </w:p>
    <w:p w14:paraId="6761D33B" w14:textId="4A410555" w:rsidR="005D6B24" w:rsidRPr="009A224F" w:rsidRDefault="009504B0" w:rsidP="009A224F">
      <w:pPr>
        <w:pStyle w:val="NormalWeb"/>
        <w:spacing w:before="0" w:beforeAutospacing="0" w:after="120" w:afterAutospacing="0" w:line="360" w:lineRule="auto"/>
        <w:rPr>
          <w:rFonts w:ascii="Arial" w:hAnsi="Arial" w:cs="Arial"/>
          <w:color w:val="1F1F1F"/>
        </w:rPr>
      </w:pPr>
      <w:r w:rsidRPr="009A224F">
        <w:rPr>
          <w:rFonts w:ascii="Arial" w:hAnsi="Arial" w:cs="Arial"/>
          <w:color w:val="1F1F1F"/>
        </w:rPr>
        <w:t>Ownership advantages refer to the proprietary assets or firm-specific skills that provide a competitive edge over local firms.</w:t>
      </w:r>
    </w:p>
    <w:p w14:paraId="7883BD46" w14:textId="77777777" w:rsidR="009504B0" w:rsidRDefault="009504B0" w:rsidP="00F9646F">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Technology, R&amp;D, and Scientific Expertise:</w:t>
      </w:r>
      <w:r w:rsidRPr="009A224F">
        <w:rPr>
          <w:rFonts w:ascii="Arial" w:hAnsi="Arial" w:cs="Arial"/>
          <w:color w:val="1F1F1F"/>
        </w:rPr>
        <w:t xml:space="preserve"> Nestlé’s core advantage lies in its deep scientific know-how and over 140 years of R&amp;D experience in food science </w:t>
      </w:r>
      <w:r w:rsidRPr="009A224F">
        <w:rPr>
          <w:rFonts w:ascii="Arial" w:hAnsi="Arial" w:cs="Arial"/>
          <w:color w:val="1F1F1F"/>
        </w:rPr>
        <w:lastRenderedPageBreak/>
        <w:t>(Nestlé R&amp;D 2024; Kotler 2019). These proprietary food formulations and production technologies are highly specialized and constitute crucial Ownership advantages that local competitors cannot easily replicate.</w:t>
      </w:r>
    </w:p>
    <w:p w14:paraId="3A692FA8" w14:textId="77777777" w:rsidR="00F9646F" w:rsidRDefault="00F9646F" w:rsidP="00F9646F">
      <w:pPr>
        <w:pStyle w:val="NormalWeb"/>
        <w:spacing w:before="0" w:beforeAutospacing="0" w:after="0" w:afterAutospacing="0" w:line="360" w:lineRule="auto"/>
        <w:rPr>
          <w:rFonts w:ascii="Arial" w:hAnsi="Arial" w:cs="Arial"/>
          <w:color w:val="1F1F1F"/>
        </w:rPr>
      </w:pPr>
    </w:p>
    <w:p w14:paraId="71010ECD" w14:textId="77777777" w:rsidR="009504B0" w:rsidRDefault="009504B0" w:rsidP="00F9646F">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Global Brand Equity and Quality Systems:</w:t>
      </w:r>
      <w:r w:rsidRPr="009A224F">
        <w:rPr>
          <w:rFonts w:ascii="Arial" w:hAnsi="Arial" w:cs="Arial"/>
          <w:color w:val="1F1F1F"/>
        </w:rPr>
        <w:t xml:space="preserve"> Nestlé possesses ownership of some of the most recognizable brands in the world (Interbrand 2024). This brand equity is intrinsically tied to an assurance of quality and safety, enforced by international standards like HACCP and ISO 22000 (WHO 2020). This competitive edge is highly asset-specific; its value relies entirely on the uniform application of quality control across all operations. Erosion of quality in one market—a significant risk in a complex emerging economy—can instantly diminish the global O-advantage.</w:t>
      </w:r>
    </w:p>
    <w:p w14:paraId="39E082DA" w14:textId="77777777" w:rsidR="00D44CDE" w:rsidRPr="009A224F" w:rsidRDefault="00D44CDE" w:rsidP="00F9646F">
      <w:pPr>
        <w:pStyle w:val="NormalWeb"/>
        <w:spacing w:before="0" w:beforeAutospacing="0" w:after="0" w:afterAutospacing="0" w:line="360" w:lineRule="auto"/>
        <w:rPr>
          <w:rFonts w:ascii="Arial" w:hAnsi="Arial" w:cs="Arial"/>
          <w:color w:val="1F1F1F"/>
        </w:rPr>
      </w:pPr>
    </w:p>
    <w:p w14:paraId="50A1CFB9" w14:textId="77777777" w:rsidR="009504B0" w:rsidRPr="009A224F" w:rsidRDefault="009504B0" w:rsidP="009A224F">
      <w:pPr>
        <w:pStyle w:val="Heading2"/>
        <w:spacing w:line="360" w:lineRule="auto"/>
        <w:rPr>
          <w:rFonts w:ascii="Arial" w:eastAsia="Times New Roman" w:hAnsi="Arial" w:cs="Arial"/>
        </w:rPr>
      </w:pPr>
      <w:bookmarkStart w:id="24" w:name="_Toc215208568"/>
      <w:r w:rsidRPr="009A224F">
        <w:rPr>
          <w:rFonts w:ascii="Arial" w:eastAsia="Times New Roman" w:hAnsi="Arial" w:cs="Arial"/>
        </w:rPr>
        <w:t>4.3. Location (L) Advantages: India’s Strategic Attractiveness</w:t>
      </w:r>
      <w:bookmarkEnd w:id="24"/>
    </w:p>
    <w:p w14:paraId="6AAAD2C8" w14:textId="77777777" w:rsidR="009504B0" w:rsidRPr="009A224F" w:rsidRDefault="009504B0" w:rsidP="009A224F">
      <w:pPr>
        <w:pStyle w:val="NormalWeb"/>
        <w:spacing w:before="0" w:beforeAutospacing="0" w:after="120" w:afterAutospacing="0" w:line="360" w:lineRule="auto"/>
        <w:rPr>
          <w:rFonts w:ascii="Arial" w:hAnsi="Arial" w:cs="Arial"/>
          <w:color w:val="1F1F1F"/>
        </w:rPr>
      </w:pPr>
      <w:r w:rsidRPr="009A224F">
        <w:rPr>
          <w:rFonts w:ascii="Arial" w:hAnsi="Arial" w:cs="Arial"/>
          <w:color w:val="1F1F1F"/>
        </w:rPr>
        <w:t>Location advantages relate to the specific economic, political, or cultural characteristics of the host country that make it attractive for FDI.</w:t>
      </w:r>
    </w:p>
    <w:p w14:paraId="3665360C" w14:textId="77777777" w:rsidR="009504B0" w:rsidRDefault="009504B0" w:rsidP="006E3C10">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Market Growth Dynamics and Demographics:</w:t>
      </w:r>
      <w:r w:rsidRPr="009A224F">
        <w:rPr>
          <w:rFonts w:ascii="Arial" w:hAnsi="Arial" w:cs="Arial"/>
          <w:color w:val="1F1F1F"/>
        </w:rPr>
        <w:t xml:space="preserve"> India presents a compelling Location advantage due to its massive, high-growth consumer base (KPMG India 2021). The strong growth forecast for the branded packaged food and beverage (F&amp;B) market, coupled with a large youthful population interested in packaged foods, necessitated direct physical presence (FDI) to fully capitalize on this market size (KPMG India 2021; World Bank 2023).</w:t>
      </w:r>
    </w:p>
    <w:p w14:paraId="275CEAA6" w14:textId="77777777" w:rsidR="006E3C10" w:rsidRPr="009A224F" w:rsidRDefault="006E3C10" w:rsidP="006E3C10">
      <w:pPr>
        <w:pStyle w:val="NormalWeb"/>
        <w:spacing w:before="0" w:beforeAutospacing="0" w:after="0" w:afterAutospacing="0" w:line="360" w:lineRule="auto"/>
        <w:rPr>
          <w:rFonts w:ascii="Arial" w:hAnsi="Arial" w:cs="Arial"/>
          <w:color w:val="1F1F1F"/>
        </w:rPr>
      </w:pPr>
    </w:p>
    <w:p w14:paraId="63D739B5" w14:textId="209AF79B" w:rsidR="009504B0" w:rsidRDefault="009504B0" w:rsidP="006E3C10">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Factor Endowments and Cost Efficiencies:</w:t>
      </w:r>
      <w:r w:rsidRPr="009A224F">
        <w:rPr>
          <w:rFonts w:ascii="Arial" w:hAnsi="Arial" w:cs="Arial"/>
          <w:color w:val="1F1F1F"/>
        </w:rPr>
        <w:t xml:space="preserve"> India offers lower </w:t>
      </w:r>
      <w:r w:rsidR="0087514D" w:rsidRPr="009A224F">
        <w:rPr>
          <w:rFonts w:ascii="Arial" w:hAnsi="Arial" w:cs="Arial"/>
          <w:color w:val="1F1F1F"/>
        </w:rPr>
        <w:t>labour</w:t>
      </w:r>
      <w:r w:rsidRPr="009A224F">
        <w:rPr>
          <w:rFonts w:ascii="Arial" w:hAnsi="Arial" w:cs="Arial"/>
          <w:color w:val="1F1F1F"/>
        </w:rPr>
        <w:t xml:space="preserve"> and land costs compared to Switzerland or other advanced economies (Bartlett &amp; Ghoshal 1989). Nestlé strategically leverages this by locating manufacturing close to raw material sources, as seen in the Moga dairy region (Jain 2020).</w:t>
      </w:r>
    </w:p>
    <w:p w14:paraId="282CC836" w14:textId="77777777" w:rsidR="006E3C10" w:rsidRPr="009A224F" w:rsidRDefault="006E3C10" w:rsidP="006E3C10">
      <w:pPr>
        <w:pStyle w:val="NormalWeb"/>
        <w:spacing w:before="0" w:beforeAutospacing="0" w:after="0" w:afterAutospacing="0" w:line="360" w:lineRule="auto"/>
        <w:rPr>
          <w:rFonts w:ascii="Arial" w:hAnsi="Arial" w:cs="Arial"/>
          <w:color w:val="1F1F1F"/>
        </w:rPr>
      </w:pPr>
    </w:p>
    <w:p w14:paraId="52CDBC4E" w14:textId="77777777" w:rsidR="009504B0" w:rsidRDefault="009504B0" w:rsidP="006E3C10">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Acquisition of Strategic Assets:</w:t>
      </w:r>
      <w:r w:rsidRPr="009A224F">
        <w:rPr>
          <w:rFonts w:ascii="Arial" w:hAnsi="Arial" w:cs="Arial"/>
          <w:color w:val="1F1F1F"/>
        </w:rPr>
        <w:t xml:space="preserve"> The decision to place a Global Innovation Hub for noodles and spices in Manesar (Smith 2020) is a deliberate attempt to acquire and internalize localized culinary expertise and knowledge, transforming an external Location asset (local tastes) into a corporate R&amp;D asset (O-advantage) (Prahalad 2004).</w:t>
      </w:r>
    </w:p>
    <w:p w14:paraId="6B33A7A4" w14:textId="77777777" w:rsidR="00E357A2" w:rsidRPr="00E357A2" w:rsidRDefault="00E357A2" w:rsidP="00E357A2">
      <w:pPr>
        <w:pStyle w:val="NormalWeb"/>
        <w:shd w:val="clear" w:color="auto" w:fill="FFFFFF"/>
        <w:spacing w:before="0" w:beforeAutospacing="0" w:after="240" w:afterAutospacing="0" w:line="390" w:lineRule="atLeast"/>
        <w:ind w:left="720"/>
        <w:rPr>
          <w:rFonts w:ascii="Arial" w:hAnsi="Arial" w:cs="Arial"/>
          <w:b/>
          <w:bCs/>
          <w:color w:val="C00000"/>
        </w:rPr>
      </w:pPr>
    </w:p>
    <w:p w14:paraId="39BDD73A" w14:textId="77777777" w:rsidR="009504B0" w:rsidRPr="009A224F" w:rsidRDefault="009504B0" w:rsidP="009A224F">
      <w:pPr>
        <w:pStyle w:val="Heading2"/>
        <w:spacing w:line="360" w:lineRule="auto"/>
        <w:rPr>
          <w:rFonts w:ascii="Arial" w:eastAsia="Times New Roman" w:hAnsi="Arial" w:cs="Arial"/>
        </w:rPr>
      </w:pPr>
      <w:bookmarkStart w:id="25" w:name="_Toc215208569"/>
      <w:r w:rsidRPr="009A224F">
        <w:rPr>
          <w:rFonts w:ascii="Arial" w:eastAsia="Times New Roman" w:hAnsi="Arial" w:cs="Arial"/>
        </w:rPr>
        <w:t>4.4. Internalisation (I) Advantages: Justifying Maximum Control (WOS)</w:t>
      </w:r>
      <w:bookmarkEnd w:id="25"/>
    </w:p>
    <w:p w14:paraId="42F68C36" w14:textId="77777777" w:rsidR="009504B0" w:rsidRPr="009A224F" w:rsidRDefault="009504B0" w:rsidP="009A224F">
      <w:pPr>
        <w:pStyle w:val="NormalWeb"/>
        <w:spacing w:before="0" w:beforeAutospacing="0" w:after="120" w:afterAutospacing="0" w:line="360" w:lineRule="auto"/>
        <w:rPr>
          <w:rFonts w:ascii="Arial" w:hAnsi="Arial" w:cs="Arial"/>
          <w:color w:val="1F1F1F"/>
        </w:rPr>
      </w:pPr>
      <w:r w:rsidRPr="009A224F">
        <w:rPr>
          <w:rFonts w:ascii="Arial" w:hAnsi="Arial" w:cs="Arial"/>
          <w:color w:val="1F1F1F"/>
        </w:rPr>
        <w:t>Internalization advantages explain why a firm chooses to produce the goods/services internally via FDI rather than contracting with an external partner (e.g., licensing or JV).</w:t>
      </w:r>
    </w:p>
    <w:p w14:paraId="076DB9AE" w14:textId="77777777" w:rsidR="009504B0" w:rsidRPr="009A224F" w:rsidRDefault="009504B0" w:rsidP="006E3C10">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Protection of Proprietary Technology and IP:</w:t>
      </w:r>
      <w:r w:rsidRPr="009A224F">
        <w:rPr>
          <w:rFonts w:ascii="Arial" w:hAnsi="Arial" w:cs="Arial"/>
          <w:color w:val="1F1F1F"/>
        </w:rPr>
        <w:t xml:space="preserve"> The primary driver for internalization is the need to safeguard the highly specific and valuable Ownership advantages (recipes, manufacturing processes, quality systems) (Dunning 1980). Using a WOS minimizes the risk of intellectual property leakage or knowledge diffusion that is inherently associated with licensing or joint venture arrangements (</w:t>
      </w:r>
      <w:proofErr w:type="spellStart"/>
      <w:r w:rsidRPr="009A224F">
        <w:rPr>
          <w:rFonts w:ascii="Arial" w:hAnsi="Arial" w:cs="Arial"/>
          <w:color w:val="1F1F1F"/>
        </w:rPr>
        <w:t>Hennart</w:t>
      </w:r>
      <w:proofErr w:type="spellEnd"/>
      <w:r w:rsidRPr="009A224F">
        <w:rPr>
          <w:rFonts w:ascii="Arial" w:hAnsi="Arial" w:cs="Arial"/>
          <w:color w:val="1F1F1F"/>
        </w:rPr>
        <w:t xml:space="preserve"> 1982).</w:t>
      </w:r>
    </w:p>
    <w:p w14:paraId="68E161CE" w14:textId="591EB6A6" w:rsidR="004C3A3C" w:rsidRPr="00F15147" w:rsidRDefault="009504B0" w:rsidP="00F15147">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Enforcement of Quality and Risk Management:</w:t>
      </w:r>
      <w:r w:rsidRPr="009A224F">
        <w:rPr>
          <w:rFonts w:ascii="Arial" w:hAnsi="Arial" w:cs="Arial"/>
          <w:color w:val="1F1F1F"/>
        </w:rPr>
        <w:t xml:space="preserve"> In the food sector, failure to control quality carries catastrophic financial and reputational risks. The combination of India’s volatile regulatory landscape and the potential for supply chain inconsistency requires absolute, managerial control over every stage of the value chain. The WOS structure ensures that Nestlé can mandate and enforce its global production and quality protocols, from rigorous supplier development programs (UN Global Compact 2018) through to final product testing. The sheer necessity for direct quality control in a market where health and safety controversies (such as the Maggi crisis) can instantly destroy brand equity necessitates the maximum internalization afforded by the WOS structure (Singh &amp; Gupta 2016).</w:t>
      </w:r>
    </w:p>
    <w:p w14:paraId="4A4D98A6" w14:textId="77777777" w:rsidR="00AE63C6" w:rsidRPr="009A224F" w:rsidRDefault="00AE63C6" w:rsidP="00AE63C6">
      <w:pPr>
        <w:pStyle w:val="NormalWeb"/>
        <w:spacing w:before="0" w:beforeAutospacing="0" w:after="0" w:afterAutospacing="0" w:line="360" w:lineRule="auto"/>
        <w:rPr>
          <w:rFonts w:ascii="Arial" w:hAnsi="Arial" w:cs="Arial"/>
          <w:color w:val="1F1F1F"/>
        </w:rPr>
      </w:pPr>
    </w:p>
    <w:p w14:paraId="16680B9B" w14:textId="77777777" w:rsidR="009504B0" w:rsidRPr="009A224F" w:rsidRDefault="009504B0" w:rsidP="009A224F">
      <w:pPr>
        <w:pStyle w:val="Heading2"/>
        <w:spacing w:line="360" w:lineRule="auto"/>
        <w:rPr>
          <w:rFonts w:ascii="Arial" w:eastAsia="Times New Roman" w:hAnsi="Arial" w:cs="Arial"/>
        </w:rPr>
      </w:pPr>
      <w:bookmarkStart w:id="26" w:name="_Toc215208570"/>
      <w:r w:rsidRPr="009A224F">
        <w:rPr>
          <w:rFonts w:ascii="Arial" w:eastAsia="Times New Roman" w:hAnsi="Arial" w:cs="Arial"/>
        </w:rPr>
        <w:t>4.5. Synthesis: OLI Impact on WOS Selection for Nestlé India</w:t>
      </w:r>
      <w:bookmarkEnd w:id="26"/>
    </w:p>
    <w:p w14:paraId="3FC3E2F9" w14:textId="77777777" w:rsidR="00F15147"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The strategic choice of a WOS for Nestlé in India is a classic OLI-justified decision. The strength of Nestlé’s Ownership advantages (brand, R&amp;D) makes FDI necessary, and the attractiveness of India’s Location advantages (growth, cost base) makes it desirable. However, the critical element is the </w:t>
      </w:r>
      <w:r w:rsidRPr="00C72A0E">
        <w:rPr>
          <w:rStyle w:val="Strong"/>
          <w:rFonts w:ascii="Arial" w:hAnsi="Arial" w:cs="Arial"/>
          <w:b w:val="0"/>
          <w:bCs w:val="0"/>
          <w:color w:val="1F1F1F"/>
          <w:bdr w:val="none" w:sz="0" w:space="0" w:color="auto" w:frame="1"/>
        </w:rPr>
        <w:t>Internalization</w:t>
      </w:r>
      <w:r w:rsidRPr="009A224F">
        <w:rPr>
          <w:rFonts w:ascii="Arial" w:hAnsi="Arial" w:cs="Arial"/>
          <w:color w:val="1F1F1F"/>
        </w:rPr>
        <w:t xml:space="preserve"> advantage. Because the company's competitive viability hinges on quality control and brand trust, externalizing production or quality assurance processes via a joint venture presents unacceptable risks to its global reputation. Therefore, the WOS model is deployed to </w:t>
      </w:r>
      <w:r w:rsidRPr="009A224F">
        <w:rPr>
          <w:rFonts w:ascii="Arial" w:hAnsi="Arial" w:cs="Arial"/>
          <w:color w:val="1F1F1F"/>
        </w:rPr>
        <w:lastRenderedPageBreak/>
        <w:t>maximize control and minimize transaction and quality failure costs, justifying the high commitment of capital.</w:t>
      </w:r>
    </w:p>
    <w:p w14:paraId="1F9C10AB" w14:textId="0BB527C8" w:rsidR="001B6914" w:rsidRPr="00F15147" w:rsidRDefault="001B6914" w:rsidP="00C72A0E">
      <w:pPr>
        <w:pStyle w:val="Heading3"/>
        <w:rPr>
          <w:color w:val="1F1F1F"/>
          <w:sz w:val="24"/>
          <w:szCs w:val="24"/>
        </w:rPr>
      </w:pPr>
      <w:bookmarkStart w:id="27" w:name="_Toc215208571"/>
      <w:r w:rsidRPr="000A069B">
        <w:rPr>
          <w:rFonts w:eastAsia="Times New Roman"/>
        </w:rPr>
        <w:t>The Eclectic Paradigm</w:t>
      </w:r>
      <w:r w:rsidRPr="000A069B">
        <w:t xml:space="preserve"> An "OLI Triad" Diagram visually summarizing the O, L, and I factor specific to Nestlé India</w:t>
      </w:r>
      <w:bookmarkEnd w:id="27"/>
    </w:p>
    <w:p w14:paraId="2BF32050" w14:textId="77777777" w:rsidR="000A069B" w:rsidRDefault="000A069B" w:rsidP="009A224F">
      <w:pPr>
        <w:pStyle w:val="NormalWeb"/>
        <w:spacing w:before="0" w:beforeAutospacing="0" w:after="0" w:afterAutospacing="0" w:line="360" w:lineRule="auto"/>
        <w:rPr>
          <w:rFonts w:ascii="Arial" w:hAnsi="Arial" w:cs="Arial"/>
          <w:b/>
          <w:bCs/>
          <w:sz w:val="28"/>
          <w:szCs w:val="28"/>
        </w:rPr>
      </w:pPr>
    </w:p>
    <w:sdt>
      <w:sdtPr>
        <w:rPr>
          <w:rFonts w:ascii="Arial" w:hAnsi="Arial" w:cs="Arial"/>
          <w:b/>
          <w:bCs/>
          <w:sz w:val="28"/>
          <w:szCs w:val="28"/>
        </w:rPr>
        <w:id w:val="1488513452"/>
        <w:lock w:val="contentLocked"/>
        <w:placeholder>
          <w:docPart w:val="DefaultPlaceholder_-1854013440"/>
        </w:placeholder>
        <w:group/>
      </w:sdtPr>
      <w:sdtEndPr>
        <w:rPr>
          <w:b w:val="0"/>
          <w:bCs w:val="0"/>
          <w:color w:val="1F1F1F"/>
          <w:sz w:val="18"/>
          <w:szCs w:val="18"/>
        </w:rPr>
      </w:sdtEndPr>
      <w:sdtContent>
        <w:p w14:paraId="0155666D" w14:textId="3EFA88BD" w:rsidR="000A069B" w:rsidRPr="000A069B" w:rsidRDefault="000A069B" w:rsidP="009A224F">
          <w:pPr>
            <w:pStyle w:val="NormalWeb"/>
            <w:spacing w:before="0" w:beforeAutospacing="0" w:after="0" w:afterAutospacing="0" w:line="360" w:lineRule="auto"/>
            <w:rPr>
              <w:rFonts w:ascii="Arial" w:hAnsi="Arial" w:cs="Arial"/>
              <w:b/>
              <w:bCs/>
              <w:sz w:val="28"/>
              <w:szCs w:val="28"/>
            </w:rPr>
          </w:pPr>
        </w:p>
        <w:p w14:paraId="65F9B65B" w14:textId="5838E344" w:rsidR="00900CEB" w:rsidRDefault="00D121E1" w:rsidP="009A224F">
          <w:pPr>
            <w:pStyle w:val="NormalWeb"/>
            <w:spacing w:before="0" w:beforeAutospacing="0" w:after="0" w:afterAutospacing="0" w:line="360" w:lineRule="auto"/>
            <w:rPr>
              <w:rFonts w:ascii="Arial" w:hAnsi="Arial" w:cs="Arial"/>
              <w:b/>
              <w:bCs/>
              <w:color w:val="C00000"/>
              <w:sz w:val="28"/>
              <w:szCs w:val="28"/>
            </w:rPr>
          </w:pPr>
          <w:r w:rsidRPr="00AE63C6">
            <w:rPr>
              <w:rFonts w:ascii="Arial" w:hAnsi="Arial" w:cs="Arial"/>
              <w:noProof/>
              <w:color w:val="C00000"/>
              <w:sz w:val="28"/>
              <w:szCs w:val="28"/>
              <w14:ligatures w14:val="standardContextual"/>
            </w:rPr>
            <mc:AlternateContent>
              <mc:Choice Requires="wps">
                <w:drawing>
                  <wp:anchor distT="0" distB="0" distL="114300" distR="114300" simplePos="0" relativeHeight="251694083" behindDoc="0" locked="0" layoutInCell="1" allowOverlap="1" wp14:anchorId="79339BCA" wp14:editId="603B05F2">
                    <wp:simplePos x="0" y="0"/>
                    <wp:positionH relativeFrom="margin">
                      <wp:posOffset>3745230</wp:posOffset>
                    </wp:positionH>
                    <wp:positionV relativeFrom="paragraph">
                      <wp:posOffset>163830</wp:posOffset>
                    </wp:positionV>
                    <wp:extent cx="2305050" cy="1520190"/>
                    <wp:effectExtent l="19050" t="19050" r="19050" b="41910"/>
                    <wp:wrapNone/>
                    <wp:docPr id="1399987185" name="Diamond 24"/>
                    <wp:cNvGraphicFramePr/>
                    <a:graphic xmlns:a="http://schemas.openxmlformats.org/drawingml/2006/main">
                      <a:graphicData uri="http://schemas.microsoft.com/office/word/2010/wordprocessingShape">
                        <wps:wsp>
                          <wps:cNvSpPr/>
                          <wps:spPr>
                            <a:xfrm>
                              <a:off x="0" y="0"/>
                              <a:ext cx="2305050" cy="1520190"/>
                            </a:xfrm>
                            <a:prstGeom prst="diamond">
                              <a:avLst/>
                            </a:prstGeom>
                            <a:solidFill>
                              <a:schemeClr val="accent6">
                                <a:lumMod val="60000"/>
                                <a:lumOff val="40000"/>
                              </a:schemeClr>
                            </a:solidFill>
                            <a:ln w="19050" cap="flat" cmpd="sng" algn="ctr">
                              <a:solidFill>
                                <a:srgbClr val="156082">
                                  <a:shade val="15000"/>
                                </a:srgbClr>
                              </a:solidFill>
                              <a:prstDash val="solid"/>
                              <a:miter lim="800000"/>
                            </a:ln>
                            <a:effectLst/>
                          </wps:spPr>
                          <wps:txbx>
                            <w:txbxContent>
                              <w:p w14:paraId="264D4855" w14:textId="77777777" w:rsidR="00900CEB" w:rsidRDefault="00900CEB" w:rsidP="00900CEB">
                                <w:pPr>
                                  <w:jc w:val="center"/>
                                </w:pPr>
                                <w:r>
                                  <w:t>I</w:t>
                                </w:r>
                              </w:p>
                              <w:p w14:paraId="7DDCB56C" w14:textId="77777777" w:rsidR="00900CEB" w:rsidRDefault="00900CEB" w:rsidP="00900CEB">
                                <w:pPr>
                                  <w:jc w:val="center"/>
                                </w:pPr>
                                <w:r w:rsidRPr="00BF53FB">
                                  <w:t>Internalization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339BCA" id="_x0000_t4" coordsize="21600,21600" o:spt="4" path="m10800,l,10800,10800,21600,21600,10800xe">
                    <v:stroke joinstyle="miter"/>
                    <v:path gradientshapeok="t" o:connecttype="rect" textboxrect="5400,5400,16200,16200"/>
                  </v:shapetype>
                  <v:shape id="Diamond 24" o:spid="_x0000_s1030" type="#_x0000_t4" style="position:absolute;margin-left:294.9pt;margin-top:12.9pt;width:181.5pt;height:119.7pt;z-index:25169408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" fillcolor="#8dd873 [1945]" strokecolor="#042433" strokeweight="1.5pt">
                    <v:textbox>
                      <w:txbxContent>
                        <w:p w14:paraId="264D4855" w14:textId="77777777" w:rsidR="00900CEB" w:rsidRDefault="00900CEB" w:rsidP="00900CEB">
                          <w:pPr>
                            <w:jc w:val="center"/>
                          </w:pPr>
                          <w:r>
                            <w:t>I</w:t>
                          </w:r>
                        </w:p>
                        <w:p w14:paraId="7DDCB56C" w14:textId="77777777" w:rsidR="00900CEB" w:rsidRDefault="00900CEB" w:rsidP="00900CEB">
                          <w:pPr>
                            <w:jc w:val="center"/>
                          </w:pPr>
                          <w:r w:rsidRPr="00BF53FB">
                            <w:t>Internalization</w:t>
                          </w:r>
                        </w:p>
                      </w:txbxContent>
                    </v:textbox>
                    <w10:wrap anchorx="margin"/>
                  </v:shape>
                </w:pict>
              </mc:Fallback>
            </mc:AlternateContent>
          </w:r>
          <w:r>
            <w:rPr>
              <w:rFonts w:ascii="Arial" w:hAnsi="Arial" w:cs="Arial"/>
              <w:noProof/>
              <w:color w:val="1F1F1F"/>
              <w14:ligatures w14:val="standardContextual"/>
            </w:rPr>
            <mc:AlternateContent>
              <mc:Choice Requires="wps">
                <w:drawing>
                  <wp:anchor distT="0" distB="0" distL="114300" distR="114300" simplePos="0" relativeHeight="251698179" behindDoc="0" locked="0" layoutInCell="1" allowOverlap="1" wp14:anchorId="233CB004" wp14:editId="1B2A0C4C">
                    <wp:simplePos x="0" y="0"/>
                    <wp:positionH relativeFrom="column">
                      <wp:posOffset>1584960</wp:posOffset>
                    </wp:positionH>
                    <wp:positionV relativeFrom="paragraph">
                      <wp:posOffset>186690</wp:posOffset>
                    </wp:positionV>
                    <wp:extent cx="1943100" cy="1733550"/>
                    <wp:effectExtent l="19050" t="19050" r="38100" b="38100"/>
                    <wp:wrapNone/>
                    <wp:docPr id="741000875" name="Diamond 23"/>
                    <wp:cNvGraphicFramePr/>
                    <a:graphic xmlns:a="http://schemas.openxmlformats.org/drawingml/2006/main">
                      <a:graphicData uri="http://schemas.microsoft.com/office/word/2010/wordprocessingShape">
                        <wps:wsp>
                          <wps:cNvSpPr/>
                          <wps:spPr>
                            <a:xfrm>
                              <a:off x="0" y="0"/>
                              <a:ext cx="1943100" cy="1733550"/>
                            </a:xfrm>
                            <a:prstGeom prst="diamond">
                              <a:avLst/>
                            </a:prstGeom>
                            <a:solidFill>
                              <a:schemeClr val="accent2">
                                <a:lumMod val="60000"/>
                                <a:lumOff val="40000"/>
                              </a:schemeClr>
                            </a:solidFill>
                            <a:ln w="19050" cap="flat" cmpd="sng" algn="ctr">
                              <a:solidFill>
                                <a:srgbClr val="156082">
                                  <a:shade val="15000"/>
                                </a:srgbClr>
                              </a:solidFill>
                              <a:prstDash val="solid"/>
                              <a:miter lim="800000"/>
                            </a:ln>
                            <a:effectLst/>
                          </wps:spPr>
                          <wps:txbx>
                            <w:txbxContent>
                              <w:p w14:paraId="43CE08D2" w14:textId="77777777" w:rsidR="00900CEB" w:rsidRDefault="00900CEB" w:rsidP="00900CEB">
                                <w:pPr>
                                  <w:jc w:val="center"/>
                                </w:pPr>
                                <w:r>
                                  <w:t>L</w:t>
                                </w:r>
                              </w:p>
                              <w:p w14:paraId="52354990" w14:textId="77777777" w:rsidR="00900CEB" w:rsidRPr="00387533" w:rsidRDefault="00900CEB" w:rsidP="00900CEB">
                                <w:pPr>
                                  <w:jc w:val="center"/>
                                  <w:rPr>
                                    <w:rFonts w:ascii="Arial" w:hAnsi="Arial" w:cs="Arial"/>
                                    <w:sz w:val="18"/>
                                    <w:szCs w:val="18"/>
                                  </w:rPr>
                                </w:pPr>
                                <w:r>
                                  <w:t>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CB004" id="Diamond 23" o:spid="_x0000_s1031" type="#_x0000_t4" style="position:absolute;margin-left:124.8pt;margin-top:14.7pt;width:153pt;height:136.5pt;z-index:2516981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" fillcolor="#f1a983 [1941]" strokecolor="#042433" strokeweight="1.5pt">
                    <v:textbox>
                      <w:txbxContent>
                        <w:p w14:paraId="43CE08D2" w14:textId="77777777" w:rsidR="00900CEB" w:rsidRDefault="00900CEB" w:rsidP="00900CEB">
                          <w:pPr>
                            <w:jc w:val="center"/>
                          </w:pPr>
                          <w:r>
                            <w:t>L</w:t>
                          </w:r>
                        </w:p>
                        <w:p w14:paraId="52354990" w14:textId="77777777" w:rsidR="00900CEB" w:rsidRPr="00387533" w:rsidRDefault="00900CEB" w:rsidP="00900CEB">
                          <w:pPr>
                            <w:jc w:val="center"/>
                            <w:rPr>
                              <w:rFonts w:ascii="Arial" w:hAnsi="Arial" w:cs="Arial"/>
                              <w:sz w:val="18"/>
                              <w:szCs w:val="18"/>
                            </w:rPr>
                          </w:pPr>
                          <w:r>
                            <w:t>Location</w:t>
                          </w:r>
                        </w:p>
                      </w:txbxContent>
                    </v:textbox>
                  </v:shape>
                </w:pict>
              </mc:Fallback>
            </mc:AlternateContent>
          </w:r>
          <w:r w:rsidRPr="002263B5">
            <w:rPr>
              <w:noProof/>
            </w:rPr>
            <mc:AlternateContent>
              <mc:Choice Requires="wps">
                <w:drawing>
                  <wp:anchor distT="0" distB="0" distL="114300" distR="114300" simplePos="0" relativeHeight="251696131" behindDoc="0" locked="0" layoutInCell="1" allowOverlap="1" wp14:anchorId="7E072487" wp14:editId="01C16634">
                    <wp:simplePos x="0" y="0"/>
                    <wp:positionH relativeFrom="column">
                      <wp:posOffset>-419100</wp:posOffset>
                    </wp:positionH>
                    <wp:positionV relativeFrom="paragraph">
                      <wp:posOffset>224790</wp:posOffset>
                    </wp:positionV>
                    <wp:extent cx="1874520" cy="1611630"/>
                    <wp:effectExtent l="19050" t="19050" r="30480" b="45720"/>
                    <wp:wrapNone/>
                    <wp:docPr id="850849131" name="Diamond 22"/>
                    <wp:cNvGraphicFramePr/>
                    <a:graphic xmlns:a="http://schemas.openxmlformats.org/drawingml/2006/main">
                      <a:graphicData uri="http://schemas.microsoft.com/office/word/2010/wordprocessingShape">
                        <wps:wsp>
                          <wps:cNvSpPr/>
                          <wps:spPr>
                            <a:xfrm>
                              <a:off x="0" y="0"/>
                              <a:ext cx="1874520" cy="1611630"/>
                            </a:xfrm>
                            <a:prstGeom prst="diamond">
                              <a:avLst/>
                            </a:prstGeom>
                            <a:solidFill>
                              <a:schemeClr val="tx2">
                                <a:lumMod val="25000"/>
                                <a:lumOff val="75000"/>
                              </a:schemeClr>
                            </a:solidFill>
                            <a:ln w="19050" cap="flat" cmpd="sng" algn="ctr">
                              <a:solidFill>
                                <a:srgbClr val="156082">
                                  <a:shade val="15000"/>
                                </a:srgbClr>
                              </a:solidFill>
                              <a:prstDash val="solid"/>
                              <a:miter lim="800000"/>
                            </a:ln>
                            <a:effectLst/>
                          </wps:spPr>
                          <wps:txbx>
                            <w:txbxContent>
                              <w:p w14:paraId="1AFAEB12" w14:textId="77777777" w:rsidR="00900CEB" w:rsidRPr="00B67BD4" w:rsidRDefault="00900CEB" w:rsidP="00900CEB">
                                <w:pPr>
                                  <w:jc w:val="center"/>
                                  <w:rPr>
                                    <w:rFonts w:ascii="Arial" w:hAnsi="Arial" w:cs="Arial"/>
                                  </w:rPr>
                                </w:pPr>
                                <w:r w:rsidRPr="00B67BD4">
                                  <w:rPr>
                                    <w:rFonts w:ascii="Arial" w:hAnsi="Arial" w:cs="Arial"/>
                                  </w:rPr>
                                  <w:t>O</w:t>
                                </w:r>
                              </w:p>
                              <w:p w14:paraId="2718BF06" w14:textId="77777777" w:rsidR="00900CEB" w:rsidRPr="003544EB" w:rsidRDefault="00900CEB" w:rsidP="00900CEB">
                                <w:pPr>
                                  <w:rPr>
                                    <w:rFonts w:ascii="Arial" w:hAnsi="Arial" w:cs="Arial"/>
                                  </w:rPr>
                                </w:pPr>
                                <w:r w:rsidRPr="003544EB">
                                  <w:rPr>
                                    <w:rFonts w:ascii="Arial" w:hAnsi="Arial" w:cs="Arial"/>
                                  </w:rPr>
                                  <w:t>ownership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72487" id="Diamond 22" o:spid="_x0000_s1032" type="#_x0000_t4" style="position:absolute;margin-left:-33pt;margin-top:17.7pt;width:147.6pt;height:126.9pt;z-index:2516961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" fillcolor="#a7caec [831]" strokecolor="#042433" strokeweight="1.5pt">
                    <v:textbox>
                      <w:txbxContent>
                        <w:p w14:paraId="1AFAEB12" w14:textId="77777777" w:rsidR="00900CEB" w:rsidRPr="00B67BD4" w:rsidRDefault="00900CEB" w:rsidP="00900CEB">
                          <w:pPr>
                            <w:jc w:val="center"/>
                            <w:rPr>
                              <w:rFonts w:ascii="Arial" w:hAnsi="Arial" w:cs="Arial"/>
                            </w:rPr>
                          </w:pPr>
                          <w:r w:rsidRPr="00B67BD4">
                            <w:rPr>
                              <w:rFonts w:ascii="Arial" w:hAnsi="Arial" w:cs="Arial"/>
                            </w:rPr>
                            <w:t>O</w:t>
                          </w:r>
                        </w:p>
                        <w:p w14:paraId="2718BF06" w14:textId="77777777" w:rsidR="00900CEB" w:rsidRPr="003544EB" w:rsidRDefault="00900CEB" w:rsidP="00900CEB">
                          <w:pPr>
                            <w:rPr>
                              <w:rFonts w:ascii="Arial" w:hAnsi="Arial" w:cs="Arial"/>
                            </w:rPr>
                          </w:pPr>
                          <w:r w:rsidRPr="003544EB">
                            <w:rPr>
                              <w:rFonts w:ascii="Arial" w:hAnsi="Arial" w:cs="Arial"/>
                            </w:rPr>
                            <w:t>ownership</w:t>
                          </w:r>
                        </w:p>
                      </w:txbxContent>
                    </v:textbox>
                  </v:shape>
                </w:pict>
              </mc:Fallback>
            </mc:AlternateContent>
          </w:r>
        </w:p>
        <w:p w14:paraId="1BA2B282" w14:textId="406DE1D4" w:rsidR="00900CEB" w:rsidRDefault="00900CEB" w:rsidP="00900CEB">
          <w:pPr>
            <w:rPr>
              <w:rFonts w:ascii="Arial" w:hAnsi="Arial" w:cs="Arial"/>
              <w:color w:val="1F1F1F"/>
            </w:rPr>
          </w:pPr>
        </w:p>
        <w:p w14:paraId="4BA6D9E7" w14:textId="5222A365" w:rsidR="00900CEB" w:rsidRDefault="00900CEB" w:rsidP="00900CEB">
          <w:pPr>
            <w:rPr>
              <w:rFonts w:ascii="Arial" w:hAnsi="Arial" w:cs="Arial"/>
              <w:color w:val="1F1F1F"/>
            </w:rPr>
          </w:pPr>
          <w:r w:rsidRPr="00AE63C6">
            <w:rPr>
              <w:rFonts w:ascii="Arial" w:hAnsi="Arial" w:cs="Arial"/>
              <w:noProof/>
              <w:color w:val="C00000"/>
              <w:sz w:val="28"/>
              <w:szCs w:val="28"/>
            </w:rPr>
            <mc:AlternateContent>
              <mc:Choice Requires="wps">
                <w:drawing>
                  <wp:anchor distT="45720" distB="45720" distL="114300" distR="114300" simplePos="0" relativeHeight="251702275" behindDoc="0" locked="0" layoutInCell="1" allowOverlap="1" wp14:anchorId="2EB94609" wp14:editId="1D1865C3">
                    <wp:simplePos x="0" y="0"/>
                    <wp:positionH relativeFrom="column">
                      <wp:posOffset>3383280</wp:posOffset>
                    </wp:positionH>
                    <wp:positionV relativeFrom="paragraph">
                      <wp:posOffset>182245</wp:posOffset>
                    </wp:positionV>
                    <wp:extent cx="449580" cy="274320"/>
                    <wp:effectExtent l="0" t="0" r="26670" b="11430"/>
                    <wp:wrapSquare wrapText="bothSides"/>
                    <wp:docPr id="16337354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 cy="274320"/>
                            </a:xfrm>
                            <a:prstGeom prst="rect">
                              <a:avLst/>
                            </a:prstGeom>
                            <a:solidFill>
                              <a:schemeClr val="tx2">
                                <a:lumMod val="25000"/>
                                <a:lumOff val="75000"/>
                              </a:schemeClr>
                            </a:solidFill>
                            <a:ln w="9525">
                              <a:solidFill>
                                <a:srgbClr val="000000"/>
                              </a:solidFill>
                              <a:miter lim="800000"/>
                              <a:headEnd/>
                              <a:tailEnd/>
                            </a:ln>
                          </wps:spPr>
                          <wps:txbx>
                            <w:txbxContent>
                              <w:p w14:paraId="2FC439CB" w14:textId="77777777" w:rsidR="00900CEB" w:rsidRDefault="00900CEB" w:rsidP="00900CEB">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B94609" id="_x0000_s1033" type="#_x0000_t202" style="position:absolute;margin-left:266.4pt;margin-top:14.35pt;width:35.4pt;height:21.6pt;z-index:25170227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" fillcolor="#a7caec [831]">
                    <v:textbox>
                      <w:txbxContent>
                        <w:p w14:paraId="2FC439CB" w14:textId="77777777" w:rsidR="00900CEB" w:rsidRDefault="00900CEB" w:rsidP="00900CEB">
                          <w:r>
                            <w:t>YES</w:t>
                          </w:r>
                        </w:p>
                      </w:txbxContent>
                    </v:textbox>
                    <w10:wrap type="square"/>
                  </v:shape>
                </w:pict>
              </mc:Fallback>
            </mc:AlternateContent>
          </w:r>
          <w:r w:rsidRPr="00AE63C6">
            <w:rPr>
              <w:rFonts w:ascii="Arial" w:hAnsi="Arial" w:cs="Arial"/>
              <w:noProof/>
              <w:color w:val="C00000"/>
              <w:sz w:val="28"/>
              <w:szCs w:val="28"/>
            </w:rPr>
            <mc:AlternateContent>
              <mc:Choice Requires="wps">
                <w:drawing>
                  <wp:anchor distT="45720" distB="45720" distL="114300" distR="114300" simplePos="0" relativeHeight="251700227" behindDoc="0" locked="0" layoutInCell="1" allowOverlap="1" wp14:anchorId="105DDE22" wp14:editId="1DBAA7C8">
                    <wp:simplePos x="0" y="0"/>
                    <wp:positionH relativeFrom="column">
                      <wp:posOffset>1371600</wp:posOffset>
                    </wp:positionH>
                    <wp:positionV relativeFrom="paragraph">
                      <wp:posOffset>227965</wp:posOffset>
                    </wp:positionV>
                    <wp:extent cx="449580" cy="274320"/>
                    <wp:effectExtent l="0" t="0" r="26670" b="11430"/>
                    <wp:wrapSquare wrapText="bothSides"/>
                    <wp:docPr id="17399716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 cy="274320"/>
                            </a:xfrm>
                            <a:prstGeom prst="rect">
                              <a:avLst/>
                            </a:prstGeom>
                            <a:solidFill>
                              <a:schemeClr val="accent1">
                                <a:lumMod val="40000"/>
                                <a:lumOff val="60000"/>
                              </a:schemeClr>
                            </a:solidFill>
                            <a:ln w="9525">
                              <a:solidFill>
                                <a:srgbClr val="000000"/>
                              </a:solidFill>
                              <a:miter lim="800000"/>
                              <a:headEnd/>
                              <a:tailEnd/>
                            </a:ln>
                          </wps:spPr>
                          <wps:txbx>
                            <w:txbxContent>
                              <w:p w14:paraId="6D173AF8" w14:textId="77777777" w:rsidR="00900CEB" w:rsidRDefault="00900CEB" w:rsidP="00900CEB">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5DDE22" id="_x0000_s1034" type="#_x0000_t202" style="position:absolute;margin-left:108pt;margin-top:17.95pt;width:35.4pt;height:21.6pt;z-index:25170022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" fillcolor="#83caeb [1300]">
                    <v:textbox>
                      <w:txbxContent>
                        <w:p w14:paraId="6D173AF8" w14:textId="77777777" w:rsidR="00900CEB" w:rsidRDefault="00900CEB" w:rsidP="00900CEB">
                          <w:r>
                            <w:t>YES</w:t>
                          </w:r>
                        </w:p>
                      </w:txbxContent>
                    </v:textbox>
                    <w10:wrap type="square"/>
                  </v:shape>
                </w:pict>
              </mc:Fallback>
            </mc:AlternateContent>
          </w:r>
        </w:p>
        <w:p w14:paraId="5B0240FE" w14:textId="428954C4" w:rsidR="00900CEB" w:rsidRDefault="00900CEB" w:rsidP="00900CEB">
          <w:pPr>
            <w:pStyle w:val="NormalWeb"/>
            <w:shd w:val="clear" w:color="auto" w:fill="FFFFFF"/>
            <w:spacing w:before="0" w:beforeAutospacing="0" w:after="240" w:afterAutospacing="0" w:line="390" w:lineRule="atLeast"/>
            <w:rPr>
              <w:rFonts w:ascii="Arial" w:hAnsi="Arial" w:cs="Arial"/>
              <w:color w:val="1F1F1F"/>
            </w:rPr>
          </w:pPr>
        </w:p>
        <w:p w14:paraId="3F491B8E" w14:textId="737A8984" w:rsidR="00900CEB" w:rsidRPr="00E74E80" w:rsidRDefault="00D121E1" w:rsidP="00F63A06">
          <w:pPr>
            <w:pStyle w:val="NormalWeb"/>
            <w:shd w:val="clear" w:color="auto" w:fill="FFFFFF"/>
            <w:spacing w:before="0" w:beforeAutospacing="0" w:after="240" w:afterAutospacing="0" w:line="390" w:lineRule="atLeast"/>
            <w:rPr>
              <w:rFonts w:ascii="Arial" w:hAnsi="Arial" w:cs="Arial"/>
              <w:color w:val="1F1F1F"/>
              <w:sz w:val="18"/>
              <w:szCs w:val="18"/>
            </w:rPr>
            <w:sectPr w:rsidR="00900CEB" w:rsidRPr="00E74E80" w:rsidSect="00900CEB">
              <w:footerReference w:type="default" r:id="rId15"/>
              <w:pgSz w:w="11906" w:h="16838"/>
              <w:pgMar w:top="1440" w:right="1440" w:bottom="1440" w:left="1440" w:header="708" w:footer="708" w:gutter="0"/>
              <w:pgNumType w:start="0"/>
              <w:cols w:space="708"/>
              <w:titlePg/>
              <w:docGrid w:linePitch="360"/>
            </w:sectPr>
          </w:pPr>
          <w:r>
            <w:rPr>
              <w:rFonts w:ascii="Arial" w:hAnsi="Arial" w:cs="Arial"/>
              <w:noProof/>
              <w:color w:val="1F1F1F"/>
              <w14:ligatures w14:val="standardContextual"/>
            </w:rPr>
            <mc:AlternateContent>
              <mc:Choice Requires="wps">
                <w:drawing>
                  <wp:anchor distT="0" distB="0" distL="114300" distR="114300" simplePos="0" relativeHeight="251706371" behindDoc="0" locked="0" layoutInCell="1" allowOverlap="1" wp14:anchorId="0B232C09" wp14:editId="61CB26FF">
                    <wp:simplePos x="0" y="0"/>
                    <wp:positionH relativeFrom="column">
                      <wp:posOffset>1165860</wp:posOffset>
                    </wp:positionH>
                    <wp:positionV relativeFrom="paragraph">
                      <wp:posOffset>1835150</wp:posOffset>
                    </wp:positionV>
                    <wp:extent cx="723900" cy="285750"/>
                    <wp:effectExtent l="0" t="19050" r="38100" b="38100"/>
                    <wp:wrapNone/>
                    <wp:docPr id="1673173617" name="Arrow: Right 26"/>
                    <wp:cNvGraphicFramePr/>
                    <a:graphic xmlns:a="http://schemas.openxmlformats.org/drawingml/2006/main">
                      <a:graphicData uri="http://schemas.microsoft.com/office/word/2010/wordprocessingShape">
                        <wps:wsp>
                          <wps:cNvSpPr/>
                          <wps:spPr>
                            <a:xfrm>
                              <a:off x="0" y="0"/>
                              <a:ext cx="723900" cy="285750"/>
                            </a:xfrm>
                            <a:prstGeom prst="rightArrow">
                              <a:avLst/>
                            </a:prstGeom>
                            <a:solidFill>
                              <a:schemeClr val="accent2">
                                <a:lumMod val="75000"/>
                              </a:scheme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8B1B8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6" o:spid="_x0000_s1026" type="#_x0000_t13" style="position:absolute;margin-left:91.8pt;margin-top:144.5pt;width:57pt;height:22.5pt;z-index:2517063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" adj="17337" fillcolor="#bf4e14 [2405]" strokecolor="#042433" strokeweight="1.5pt"/>
                </w:pict>
              </mc:Fallback>
            </mc:AlternateContent>
          </w:r>
          <w:r>
            <w:rPr>
              <w:rFonts w:ascii="Arial" w:hAnsi="Arial" w:cs="Arial"/>
              <w:noProof/>
              <w:color w:val="1F1F1F"/>
              <w14:ligatures w14:val="standardContextual"/>
            </w:rPr>
            <mc:AlternateContent>
              <mc:Choice Requires="wps">
                <w:drawing>
                  <wp:anchor distT="0" distB="0" distL="114300" distR="114300" simplePos="0" relativeHeight="251692035" behindDoc="0" locked="0" layoutInCell="1" allowOverlap="1" wp14:anchorId="457C2F8D" wp14:editId="173170B4">
                    <wp:simplePos x="0" y="0"/>
                    <wp:positionH relativeFrom="column">
                      <wp:posOffset>1866900</wp:posOffset>
                    </wp:positionH>
                    <wp:positionV relativeFrom="paragraph">
                      <wp:posOffset>1419860</wp:posOffset>
                    </wp:positionV>
                    <wp:extent cx="1607820" cy="830580"/>
                    <wp:effectExtent l="0" t="0" r="11430" b="26670"/>
                    <wp:wrapNone/>
                    <wp:docPr id="460643146" name="Rectangle: Diagonal Corners Rounded 28"/>
                    <wp:cNvGraphicFramePr/>
                    <a:graphic xmlns:a="http://schemas.openxmlformats.org/drawingml/2006/main">
                      <a:graphicData uri="http://schemas.microsoft.com/office/word/2010/wordprocessingShape">
                        <wps:wsp>
                          <wps:cNvSpPr/>
                          <wps:spPr>
                            <a:xfrm>
                              <a:off x="0" y="0"/>
                              <a:ext cx="1607820" cy="830580"/>
                            </a:xfrm>
                            <a:prstGeom prst="round2DiagRect">
                              <a:avLst/>
                            </a:prstGeom>
                            <a:solidFill>
                              <a:schemeClr val="accent2">
                                <a:lumMod val="60000"/>
                                <a:lumOff val="40000"/>
                              </a:schemeClr>
                            </a:solidFill>
                            <a:ln w="19050" cap="flat" cmpd="sng" algn="ctr">
                              <a:solidFill>
                                <a:srgbClr val="156082">
                                  <a:shade val="15000"/>
                                </a:srgbClr>
                              </a:solidFill>
                              <a:prstDash val="solid"/>
                              <a:miter lim="800000"/>
                            </a:ln>
                            <a:effectLst/>
                          </wps:spPr>
                          <wps:txbx>
                            <w:txbxContent>
                              <w:p w14:paraId="1E942683" w14:textId="77777777" w:rsidR="00900CEB" w:rsidRPr="00900CEB" w:rsidRDefault="00900CEB" w:rsidP="00900CEB">
                                <w:pPr>
                                  <w:jc w:val="center"/>
                                </w:pPr>
                                <w:r w:rsidRPr="00900CEB">
                                  <w:t xml:space="preserve"> High-Growth Market &amp;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C2F8D" id="Rectangle: Diagonal Corners Rounded 28" o:spid="_x0000_s1035" style="position:absolute;margin-left:147pt;margin-top:111.8pt;width:126.6pt;height:65.4pt;z-index:2516920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07820,8305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" adj="-11796480,,5400" path="m138433,l1607820,r,l1607820,692147v,76454,-61979,138433,-138433,138433l,830580r,l,138433c,61979,61979,,138433,xe" fillcolor="#f1a983 [1941]" strokecolor="#042433" strokeweight="1.5pt">
                    <v:stroke joinstyle="miter"/>
                    <v:formulas/>
                    <v:path arrowok="t" o:connecttype="custom" o:connectlocs="138433,0;1607820,0;1607820,0;1607820,692147;1469387,830580;0,830580;0,830580;0,138433;138433,0" o:connectangles="0,0,0,0,0,0,0,0,0" textboxrect="0,0,1607820,830580"/>
                    <v:textbox>
                      <w:txbxContent>
                        <w:p w14:paraId="1E942683" w14:textId="77777777" w:rsidR="00900CEB" w:rsidRPr="00900CEB" w:rsidRDefault="00900CEB" w:rsidP="00900CEB">
                          <w:pPr>
                            <w:jc w:val="center"/>
                          </w:pPr>
                          <w:r w:rsidRPr="00900CEB">
                            <w:t xml:space="preserve"> High-Growth Market &amp; Resources</w:t>
                          </w:r>
                        </w:p>
                      </w:txbxContent>
                    </v:textbox>
                  </v:shape>
                </w:pict>
              </mc:Fallback>
            </mc:AlternateContent>
          </w:r>
          <w:r w:rsidRPr="00AE63C6">
            <w:rPr>
              <w:rFonts w:ascii="Arial" w:hAnsi="Arial" w:cs="Arial"/>
              <w:noProof/>
              <w:color w:val="C00000"/>
              <w14:ligatures w14:val="standardContextual"/>
            </w:rPr>
            <mc:AlternateContent>
              <mc:Choice Requires="wps">
                <w:drawing>
                  <wp:anchor distT="0" distB="0" distL="114300" distR="114300" simplePos="0" relativeHeight="251704323" behindDoc="0" locked="0" layoutInCell="1" allowOverlap="1" wp14:anchorId="3F3B5002" wp14:editId="47683CCC">
                    <wp:simplePos x="0" y="0"/>
                    <wp:positionH relativeFrom="margin">
                      <wp:posOffset>4107180</wp:posOffset>
                    </wp:positionH>
                    <wp:positionV relativeFrom="paragraph">
                      <wp:posOffset>1374140</wp:posOffset>
                    </wp:positionV>
                    <wp:extent cx="1584960" cy="891540"/>
                    <wp:effectExtent l="0" t="0" r="15240" b="22860"/>
                    <wp:wrapNone/>
                    <wp:docPr id="159880451" name="Rectangle: Diagonal Corners Rounded 28"/>
                    <wp:cNvGraphicFramePr/>
                    <a:graphic xmlns:a="http://schemas.openxmlformats.org/drawingml/2006/main">
                      <a:graphicData uri="http://schemas.microsoft.com/office/word/2010/wordprocessingShape">
                        <wps:wsp>
                          <wps:cNvSpPr/>
                          <wps:spPr>
                            <a:xfrm>
                              <a:off x="0" y="0"/>
                              <a:ext cx="1584960" cy="891540"/>
                            </a:xfrm>
                            <a:prstGeom prst="round2DiagRect">
                              <a:avLst/>
                            </a:prstGeom>
                            <a:solidFill>
                              <a:schemeClr val="accent6">
                                <a:lumMod val="60000"/>
                                <a:lumOff val="40000"/>
                              </a:schemeClr>
                            </a:solidFill>
                            <a:ln w="19050" cap="flat" cmpd="sng" algn="ctr">
                              <a:solidFill>
                                <a:srgbClr val="156082">
                                  <a:shade val="15000"/>
                                </a:srgbClr>
                              </a:solidFill>
                              <a:prstDash val="solid"/>
                              <a:miter lim="800000"/>
                            </a:ln>
                            <a:effectLst/>
                          </wps:spPr>
                          <wps:txbx>
                            <w:txbxContent>
                              <w:p w14:paraId="0E7C5A55" w14:textId="77777777" w:rsidR="00900CEB" w:rsidRDefault="00900CEB" w:rsidP="00900CEB">
                                <w:pPr>
                                  <w:jc w:val="center"/>
                                </w:pPr>
                                <w:r w:rsidRPr="00166299">
                                  <w:t>Need for Maximal Control (WO</w:t>
                                </w:r>
                                <w:r w:rsidRPr="00522835">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B5002" id="_x0000_s1036" style="position:absolute;margin-left:323.4pt;margin-top:108.2pt;width:124.8pt;height:70.2pt;z-index:25170432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584960,8915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" adj="-11796480,,5400" path="m148593,l1584960,r,l1584960,742947v,82066,-66527,148593,-148593,148593l,891540r,l,148593c,66527,66527,,148593,xe" fillcolor="#8dd873 [1945]" strokecolor="#042433" strokeweight="1.5pt">
                    <v:stroke joinstyle="miter"/>
                    <v:formulas/>
                    <v:path arrowok="t" o:connecttype="custom" o:connectlocs="148593,0;1584960,0;1584960,0;1584960,742947;1436367,891540;0,891540;0,891540;0,148593;148593,0" o:connectangles="0,0,0,0,0,0,0,0,0" textboxrect="0,0,1584960,891540"/>
                    <v:textbox>
                      <w:txbxContent>
                        <w:p w14:paraId="0E7C5A55" w14:textId="77777777" w:rsidR="00900CEB" w:rsidRDefault="00900CEB" w:rsidP="00900CEB">
                          <w:pPr>
                            <w:jc w:val="center"/>
                          </w:pPr>
                          <w:r w:rsidRPr="00166299">
                            <w:t>Need for Maximal Control (WO</w:t>
                          </w:r>
                          <w:r w:rsidRPr="00522835">
                            <w:t>S)</w:t>
                          </w:r>
                        </w:p>
                      </w:txbxContent>
                    </v:textbox>
                    <w10:wrap anchorx="margin"/>
                  </v:shape>
                </w:pict>
              </mc:Fallback>
            </mc:AlternateContent>
          </w:r>
          <w:r>
            <w:rPr>
              <w:rFonts w:ascii="Arial" w:hAnsi="Arial" w:cs="Arial"/>
              <w:noProof/>
              <w:color w:val="1F1F1F"/>
              <w14:ligatures w14:val="standardContextual"/>
            </w:rPr>
            <mc:AlternateContent>
              <mc:Choice Requires="wps">
                <w:drawing>
                  <wp:anchor distT="0" distB="0" distL="114300" distR="114300" simplePos="0" relativeHeight="251708419" behindDoc="0" locked="0" layoutInCell="1" allowOverlap="1" wp14:anchorId="51258DD3" wp14:editId="6BABC62A">
                    <wp:simplePos x="0" y="0"/>
                    <wp:positionH relativeFrom="column">
                      <wp:posOffset>3482340</wp:posOffset>
                    </wp:positionH>
                    <wp:positionV relativeFrom="paragraph">
                      <wp:posOffset>1736090</wp:posOffset>
                    </wp:positionV>
                    <wp:extent cx="617220" cy="285750"/>
                    <wp:effectExtent l="0" t="19050" r="30480" b="38100"/>
                    <wp:wrapNone/>
                    <wp:docPr id="1661330740" name="Arrow: Right 26"/>
                    <wp:cNvGraphicFramePr/>
                    <a:graphic xmlns:a="http://schemas.openxmlformats.org/drawingml/2006/main">
                      <a:graphicData uri="http://schemas.microsoft.com/office/word/2010/wordprocessingShape">
                        <wps:wsp>
                          <wps:cNvSpPr/>
                          <wps:spPr>
                            <a:xfrm>
                              <a:off x="0" y="0"/>
                              <a:ext cx="617220" cy="285750"/>
                            </a:xfrm>
                            <a:prstGeom prst="rightArrow">
                              <a:avLst/>
                            </a:prstGeom>
                            <a:solidFill>
                              <a:schemeClr val="accent2">
                                <a:lumMod val="75000"/>
                              </a:scheme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A9284D" id="Arrow: Right 26" o:spid="_x0000_s1026" type="#_x0000_t13" style="position:absolute;margin-left:274.2pt;margin-top:136.7pt;width:48.6pt;height:22.5pt;z-index:2517084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" adj="16600" fillcolor="#bf4e14 [2405]" strokecolor="#042433" strokeweight="1.5pt"/>
                </w:pict>
              </mc:Fallback>
            </mc:AlternateContent>
          </w:r>
          <w:r w:rsidRPr="00F42CA5">
            <w:rPr>
              <w:rFonts w:ascii="Arial" w:hAnsi="Arial" w:cs="Arial"/>
              <w:noProof/>
              <w:color w:val="1F1F1F"/>
              <w:sz w:val="18"/>
              <w:szCs w:val="18"/>
              <w14:ligatures w14:val="standardContextual"/>
            </w:rPr>
            <mc:AlternateContent>
              <mc:Choice Requires="wps">
                <w:drawing>
                  <wp:anchor distT="0" distB="0" distL="114300" distR="114300" simplePos="0" relativeHeight="251689987" behindDoc="0" locked="0" layoutInCell="1" allowOverlap="1" wp14:anchorId="57BE0040" wp14:editId="63785621">
                    <wp:simplePos x="0" y="0"/>
                    <wp:positionH relativeFrom="column">
                      <wp:posOffset>4735830</wp:posOffset>
                    </wp:positionH>
                    <wp:positionV relativeFrom="paragraph">
                      <wp:posOffset>322580</wp:posOffset>
                    </wp:positionV>
                    <wp:extent cx="331470" cy="1074420"/>
                    <wp:effectExtent l="19050" t="0" r="30480" b="30480"/>
                    <wp:wrapNone/>
                    <wp:docPr id="498917901" name="Arrow: Down 27"/>
                    <wp:cNvGraphicFramePr/>
                    <a:graphic xmlns:a="http://schemas.openxmlformats.org/drawingml/2006/main">
                      <a:graphicData uri="http://schemas.microsoft.com/office/word/2010/wordprocessingShape">
                        <wps:wsp>
                          <wps:cNvSpPr/>
                          <wps:spPr>
                            <a:xfrm>
                              <a:off x="0" y="0"/>
                              <a:ext cx="331470" cy="1074420"/>
                            </a:xfrm>
                            <a:prstGeom prst="downArrow">
                              <a:avLst/>
                            </a:prstGeom>
                            <a:solidFill>
                              <a:schemeClr val="accent2">
                                <a:lumMod val="50000"/>
                              </a:scheme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08904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7" o:spid="_x0000_s1026" type="#_x0000_t67" style="position:absolute;margin-left:372.9pt;margin-top:25.4pt;width:26.1pt;height:84.6pt;z-index:2516899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" adj="18268" fillcolor="#7f340d [1605]" strokecolor="#042433" strokeweight="1.5pt"/>
                </w:pict>
              </mc:Fallback>
            </mc:AlternateContent>
          </w:r>
          <w:r w:rsidRPr="00F42CA5">
            <w:rPr>
              <w:rFonts w:ascii="Arial" w:hAnsi="Arial" w:cs="Arial"/>
              <w:noProof/>
              <w:color w:val="1F1F1F"/>
              <w:sz w:val="18"/>
              <w:szCs w:val="18"/>
              <w14:ligatures w14:val="standardContextual"/>
            </w:rPr>
            <mc:AlternateContent>
              <mc:Choice Requires="wps">
                <w:drawing>
                  <wp:anchor distT="0" distB="0" distL="114300" distR="114300" simplePos="0" relativeHeight="251688963" behindDoc="0" locked="0" layoutInCell="1" allowOverlap="1" wp14:anchorId="7067D9D2" wp14:editId="12FEDC92">
                    <wp:simplePos x="0" y="0"/>
                    <wp:positionH relativeFrom="column">
                      <wp:posOffset>2373630</wp:posOffset>
                    </wp:positionH>
                    <wp:positionV relativeFrom="paragraph">
                      <wp:posOffset>299720</wp:posOffset>
                    </wp:positionV>
                    <wp:extent cx="331470" cy="1143000"/>
                    <wp:effectExtent l="19050" t="0" r="11430" b="38100"/>
                    <wp:wrapNone/>
                    <wp:docPr id="255506772" name="Arrow: Down 27"/>
                    <wp:cNvGraphicFramePr/>
                    <a:graphic xmlns:a="http://schemas.openxmlformats.org/drawingml/2006/main">
                      <a:graphicData uri="http://schemas.microsoft.com/office/word/2010/wordprocessingShape">
                        <wps:wsp>
                          <wps:cNvSpPr/>
                          <wps:spPr>
                            <a:xfrm>
                              <a:off x="0" y="0"/>
                              <a:ext cx="331470" cy="1143000"/>
                            </a:xfrm>
                            <a:prstGeom prst="downArrow">
                              <a:avLst/>
                            </a:prstGeom>
                            <a:solidFill>
                              <a:schemeClr val="accent2">
                                <a:lumMod val="75000"/>
                              </a:scheme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F58113" id="Arrow: Down 27" o:spid="_x0000_s1026" type="#_x0000_t67" style="position:absolute;margin-left:186.9pt;margin-top:23.6pt;width:26.1pt;height:90pt;z-index:2516889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" adj="18468" fillcolor="#bf4e14 [2405]" strokecolor="#042433" strokeweight="1.5pt"/>
                </w:pict>
              </mc:Fallback>
            </mc:AlternateContent>
          </w:r>
          <w:r w:rsidRPr="00F42CA5">
            <w:rPr>
              <w:rFonts w:ascii="Arial" w:hAnsi="Arial" w:cs="Arial"/>
              <w:noProof/>
              <w:color w:val="1F1F1F"/>
              <w:sz w:val="18"/>
              <w:szCs w:val="18"/>
              <w14:ligatures w14:val="standardContextual"/>
            </w:rPr>
            <mc:AlternateContent>
              <mc:Choice Requires="wps">
                <w:drawing>
                  <wp:anchor distT="0" distB="0" distL="114300" distR="114300" simplePos="0" relativeHeight="251687939" behindDoc="0" locked="0" layoutInCell="1" allowOverlap="1" wp14:anchorId="63C51B56" wp14:editId="087F1EEF">
                    <wp:simplePos x="0" y="0"/>
                    <wp:positionH relativeFrom="column">
                      <wp:posOffset>361950</wp:posOffset>
                    </wp:positionH>
                    <wp:positionV relativeFrom="paragraph">
                      <wp:posOffset>330200</wp:posOffset>
                    </wp:positionV>
                    <wp:extent cx="331470" cy="1082040"/>
                    <wp:effectExtent l="19050" t="0" r="30480" b="41910"/>
                    <wp:wrapNone/>
                    <wp:docPr id="1698107122" name="Arrow: Down 27"/>
                    <wp:cNvGraphicFramePr/>
                    <a:graphic xmlns:a="http://schemas.openxmlformats.org/drawingml/2006/main">
                      <a:graphicData uri="http://schemas.microsoft.com/office/word/2010/wordprocessingShape">
                        <wps:wsp>
                          <wps:cNvSpPr/>
                          <wps:spPr>
                            <a:xfrm>
                              <a:off x="0" y="0"/>
                              <a:ext cx="331470" cy="1082040"/>
                            </a:xfrm>
                            <a:prstGeom prst="downArrow">
                              <a:avLst/>
                            </a:prstGeom>
                            <a:solidFill>
                              <a:schemeClr val="accent2">
                                <a:lumMod val="75000"/>
                              </a:scheme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32C17" id="Arrow: Down 27" o:spid="_x0000_s1026" type="#_x0000_t67" style="position:absolute;margin-left:28.5pt;margin-top:26pt;width:26.1pt;height:85.2pt;z-index:2516879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" adj="18292" fillcolor="#bf4e14 [2405]" strokecolor="#042433" strokeweight="1.5pt"/>
                </w:pict>
              </mc:Fallback>
            </mc:AlternateContent>
          </w:r>
          <w:r>
            <w:rPr>
              <w:rFonts w:ascii="Arial" w:hAnsi="Arial" w:cs="Arial"/>
              <w:noProof/>
              <w:color w:val="1F1F1F"/>
              <w14:ligatures w14:val="standardContextual"/>
            </w:rPr>
            <mc:AlternateContent>
              <mc:Choice Requires="wps">
                <w:drawing>
                  <wp:anchor distT="0" distB="0" distL="114300" distR="114300" simplePos="0" relativeHeight="251691011" behindDoc="0" locked="0" layoutInCell="1" allowOverlap="1" wp14:anchorId="4F2275E4" wp14:editId="48248C76">
                    <wp:simplePos x="0" y="0"/>
                    <wp:positionH relativeFrom="margin">
                      <wp:posOffset>-175260</wp:posOffset>
                    </wp:positionH>
                    <wp:positionV relativeFrom="paragraph">
                      <wp:posOffset>1442085</wp:posOffset>
                    </wp:positionV>
                    <wp:extent cx="1325880" cy="876300"/>
                    <wp:effectExtent l="0" t="0" r="26670" b="19050"/>
                    <wp:wrapNone/>
                    <wp:docPr id="1044560519" name="Rectangle: Diagonal Corners Rounded 28"/>
                    <wp:cNvGraphicFramePr/>
                    <a:graphic xmlns:a="http://schemas.openxmlformats.org/drawingml/2006/main">
                      <a:graphicData uri="http://schemas.microsoft.com/office/word/2010/wordprocessingShape">
                        <wps:wsp>
                          <wps:cNvSpPr/>
                          <wps:spPr>
                            <a:xfrm>
                              <a:off x="0" y="0"/>
                              <a:ext cx="1325880" cy="876300"/>
                            </a:xfrm>
                            <a:prstGeom prst="round2DiagRect">
                              <a:avLst/>
                            </a:prstGeom>
                            <a:solidFill>
                              <a:schemeClr val="tx2">
                                <a:lumMod val="25000"/>
                                <a:lumOff val="75000"/>
                              </a:schemeClr>
                            </a:solidFill>
                            <a:ln w="19050" cap="flat" cmpd="sng" algn="ctr">
                              <a:solidFill>
                                <a:srgbClr val="156082">
                                  <a:shade val="15000"/>
                                </a:srgbClr>
                              </a:solidFill>
                              <a:prstDash val="solid"/>
                              <a:miter lim="800000"/>
                            </a:ln>
                            <a:effectLst/>
                          </wps:spPr>
                          <wps:txbx>
                            <w:txbxContent>
                              <w:p w14:paraId="3496259D" w14:textId="77777777" w:rsidR="00900CEB" w:rsidRDefault="00900CEB" w:rsidP="00900CEB">
                                <w:pPr>
                                  <w:jc w:val="center"/>
                                </w:pPr>
                                <w:r w:rsidRPr="00E25F85">
                                  <w:t>Proprietary Assets &amp; Brand Equity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275E4" id="_x0000_s1037" style="position:absolute;margin-left:-13.8pt;margin-top:113.55pt;width:104.4pt;height:69pt;z-index:25169101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325880,8763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" adj="-11796480,,5400" path="m146053,l1325880,r,l1325880,730247v,80663,-65390,146053,-146053,146053l,876300r,l,146053c,65390,65390,,146053,xe" fillcolor="#a7caec [831]" strokecolor="#042433" strokeweight="1.5pt">
                    <v:stroke joinstyle="miter"/>
                    <v:formulas/>
                    <v:path arrowok="t" o:connecttype="custom" o:connectlocs="146053,0;1325880,0;1325880,0;1325880,730247;1179827,876300;0,876300;0,876300;0,146053;146053,0" o:connectangles="0,0,0,0,0,0,0,0,0" textboxrect="0,0,1325880,876300"/>
                    <v:textbox>
                      <w:txbxContent>
                        <w:p w14:paraId="3496259D" w14:textId="77777777" w:rsidR="00900CEB" w:rsidRDefault="00900CEB" w:rsidP="00900CEB">
                          <w:pPr>
                            <w:jc w:val="center"/>
                          </w:pPr>
                          <w:r w:rsidRPr="00E25F85">
                            <w:t>Proprietary Assets &amp; Brand Equity</w:t>
                          </w:r>
                        </w:p>
                      </w:txbxContent>
                    </v:textbox>
                    <w10:wrap anchorx="margin"/>
                  </v:shape>
                </w:pict>
              </mc:Fallback>
            </mc:AlternateContent>
          </w:r>
        </w:p>
      </w:sdtContent>
    </w:sdt>
    <w:p w14:paraId="13FB09F9" w14:textId="77777777" w:rsidR="001B6914" w:rsidRPr="009A224F" w:rsidRDefault="001B6914" w:rsidP="009A224F">
      <w:pPr>
        <w:pStyle w:val="NormalWeb"/>
        <w:spacing w:before="0" w:beforeAutospacing="0" w:after="0" w:afterAutospacing="0" w:line="360" w:lineRule="auto"/>
        <w:rPr>
          <w:rFonts w:ascii="Arial" w:hAnsi="Arial" w:cs="Arial"/>
          <w:color w:val="1F1F1F"/>
        </w:rPr>
      </w:pPr>
    </w:p>
    <w:p w14:paraId="69E504CD" w14:textId="77777777" w:rsidR="009504B0" w:rsidRDefault="009504B0" w:rsidP="009A224F">
      <w:pPr>
        <w:pStyle w:val="Heading3"/>
        <w:spacing w:line="360" w:lineRule="auto"/>
        <w:rPr>
          <w:rFonts w:ascii="Arial" w:hAnsi="Arial" w:cs="Arial"/>
        </w:rPr>
      </w:pPr>
      <w:bookmarkStart w:id="28" w:name="_Toc215208572"/>
      <w:r w:rsidRPr="009A224F">
        <w:rPr>
          <w:rFonts w:ascii="Arial" w:hAnsi="Arial" w:cs="Arial"/>
        </w:rPr>
        <w:t>Table 4.1: OLI Justification for Nestlé’s Wholly Owned Subsidiary (WOS) in India</w:t>
      </w:r>
      <w:bookmarkEnd w:id="28"/>
    </w:p>
    <w:p w14:paraId="1CB4D6B2" w14:textId="77777777" w:rsidR="00E74E80" w:rsidRPr="00E74E80" w:rsidRDefault="00E74E80" w:rsidP="00E74E80"/>
    <w:tbl>
      <w:tblPr>
        <w:tblW w:w="0" w:type="auto"/>
        <w:tblCellSpacing w:w="15" w:type="dxa"/>
        <w:tblCellMar>
          <w:left w:w="0" w:type="dxa"/>
          <w:right w:w="0" w:type="dxa"/>
        </w:tblCellMar>
        <w:tblLook w:val="04A0" w:firstRow="1" w:lastRow="0" w:firstColumn="1" w:lastColumn="0" w:noHBand="0" w:noVBand="1"/>
      </w:tblPr>
      <w:tblGrid>
        <w:gridCol w:w="2083"/>
        <w:gridCol w:w="3821"/>
        <w:gridCol w:w="3106"/>
      </w:tblGrid>
      <w:tr w:rsidR="009504B0" w:rsidRPr="009A224F" w14:paraId="3853B861" w14:textId="77777777" w:rsidTr="00AA381B">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tcMar>
              <w:top w:w="120" w:type="dxa"/>
              <w:left w:w="180" w:type="dxa"/>
              <w:bottom w:w="120" w:type="dxa"/>
              <w:right w:w="180" w:type="dxa"/>
            </w:tcMar>
            <w:vAlign w:val="center"/>
            <w:hideMark/>
          </w:tcPr>
          <w:p w14:paraId="11F61706" w14:textId="77777777" w:rsidR="009504B0" w:rsidRPr="009A224F" w:rsidRDefault="009504B0" w:rsidP="009A224F">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OLI Factor</w:t>
            </w:r>
          </w:p>
        </w:tc>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tcMar>
              <w:top w:w="120" w:type="dxa"/>
              <w:left w:w="180" w:type="dxa"/>
              <w:bottom w:w="120" w:type="dxa"/>
              <w:right w:w="180" w:type="dxa"/>
            </w:tcMar>
            <w:vAlign w:val="center"/>
            <w:hideMark/>
          </w:tcPr>
          <w:p w14:paraId="28DDFFE5" w14:textId="77777777" w:rsidR="009504B0" w:rsidRPr="009A224F" w:rsidRDefault="009504B0" w:rsidP="009A224F">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Nestlé Advantage/Condition</w:t>
            </w:r>
          </w:p>
        </w:tc>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tcMar>
              <w:top w:w="120" w:type="dxa"/>
              <w:left w:w="180" w:type="dxa"/>
              <w:bottom w:w="120" w:type="dxa"/>
              <w:right w:w="180" w:type="dxa"/>
            </w:tcMar>
            <w:vAlign w:val="center"/>
            <w:hideMark/>
          </w:tcPr>
          <w:p w14:paraId="67AECF4D" w14:textId="77777777" w:rsidR="009504B0" w:rsidRPr="009A224F" w:rsidRDefault="009504B0" w:rsidP="009A224F">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Internalization Rationale (WOS)</w:t>
            </w:r>
          </w:p>
        </w:tc>
      </w:tr>
      <w:tr w:rsidR="009504B0" w:rsidRPr="009A224F" w14:paraId="19BBE3B2" w14:textId="77777777" w:rsidTr="00AA381B">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DAE9F7" w:themeFill="text2" w:themeFillTint="1A"/>
            <w:tcMar>
              <w:top w:w="120" w:type="dxa"/>
              <w:left w:w="180" w:type="dxa"/>
              <w:bottom w:w="120" w:type="dxa"/>
              <w:right w:w="180" w:type="dxa"/>
            </w:tcMar>
            <w:vAlign w:val="center"/>
            <w:hideMark/>
          </w:tcPr>
          <w:p w14:paraId="7ED5414B"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Ownership (O)</w:t>
            </w:r>
          </w:p>
        </w:tc>
        <w:tc>
          <w:tcPr>
            <w:tcW w:w="0" w:type="auto"/>
            <w:tcBorders>
              <w:top w:val="single" w:sz="6" w:space="0" w:color="auto"/>
              <w:left w:val="single" w:sz="6" w:space="0" w:color="auto"/>
              <w:bottom w:val="single" w:sz="6" w:space="0" w:color="auto"/>
              <w:right w:val="single" w:sz="6" w:space="0" w:color="auto"/>
            </w:tcBorders>
            <w:shd w:val="clear" w:color="auto" w:fill="DAE9F7" w:themeFill="text2" w:themeFillTint="1A"/>
            <w:tcMar>
              <w:top w:w="120" w:type="dxa"/>
              <w:left w:w="180" w:type="dxa"/>
              <w:bottom w:w="120" w:type="dxa"/>
              <w:right w:w="180" w:type="dxa"/>
            </w:tcMar>
            <w:vAlign w:val="center"/>
            <w:hideMark/>
          </w:tcPr>
          <w:p w14:paraId="5636D534"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Scientific know-how, advanced processing technology, strong global brand equity (Kotler 2019; Interbrand 2024)</w:t>
            </w:r>
          </w:p>
        </w:tc>
        <w:tc>
          <w:tcPr>
            <w:tcW w:w="0" w:type="auto"/>
            <w:tcBorders>
              <w:top w:val="single" w:sz="6" w:space="0" w:color="auto"/>
              <w:left w:val="single" w:sz="6" w:space="0" w:color="auto"/>
              <w:bottom w:val="single" w:sz="6" w:space="0" w:color="auto"/>
              <w:right w:val="single" w:sz="6" w:space="0" w:color="auto"/>
            </w:tcBorders>
            <w:shd w:val="clear" w:color="auto" w:fill="DAE9F7" w:themeFill="text2" w:themeFillTint="1A"/>
            <w:tcMar>
              <w:top w:w="120" w:type="dxa"/>
              <w:left w:w="180" w:type="dxa"/>
              <w:bottom w:w="120" w:type="dxa"/>
              <w:right w:w="180" w:type="dxa"/>
            </w:tcMar>
            <w:vAlign w:val="center"/>
            <w:hideMark/>
          </w:tcPr>
          <w:p w14:paraId="109E0895"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WOS provides the necessary control to enforce global standards and protect highly specific intellectual assets (IP).</w:t>
            </w:r>
          </w:p>
        </w:tc>
      </w:tr>
      <w:tr w:rsidR="009504B0" w:rsidRPr="009A224F" w14:paraId="6B248591" w14:textId="77777777" w:rsidTr="00AA381B">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6C5AC" w:themeFill="accent2" w:themeFillTint="66"/>
            <w:tcMar>
              <w:top w:w="120" w:type="dxa"/>
              <w:left w:w="180" w:type="dxa"/>
              <w:bottom w:w="120" w:type="dxa"/>
              <w:right w:w="180" w:type="dxa"/>
            </w:tcMar>
            <w:vAlign w:val="center"/>
            <w:hideMark/>
          </w:tcPr>
          <w:p w14:paraId="581AD38B"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Location (L)</w:t>
            </w:r>
          </w:p>
        </w:tc>
        <w:tc>
          <w:tcPr>
            <w:tcW w:w="0" w:type="auto"/>
            <w:tcBorders>
              <w:top w:val="single" w:sz="6" w:space="0" w:color="auto"/>
              <w:left w:val="single" w:sz="6" w:space="0" w:color="auto"/>
              <w:bottom w:val="single" w:sz="6" w:space="0" w:color="auto"/>
              <w:right w:val="single" w:sz="6" w:space="0" w:color="auto"/>
            </w:tcBorders>
            <w:shd w:val="clear" w:color="auto" w:fill="F6C5AC" w:themeFill="accent2" w:themeFillTint="66"/>
            <w:tcMar>
              <w:top w:w="120" w:type="dxa"/>
              <w:left w:w="180" w:type="dxa"/>
              <w:bottom w:w="120" w:type="dxa"/>
              <w:right w:w="180" w:type="dxa"/>
            </w:tcMar>
            <w:vAlign w:val="center"/>
            <w:hideMark/>
          </w:tcPr>
          <w:p w14:paraId="183257F6"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Large, high-growth consumer market, </w:t>
            </w:r>
            <w:proofErr w:type="spellStart"/>
            <w:r w:rsidRPr="009A224F">
              <w:rPr>
                <w:rFonts w:ascii="Arial" w:hAnsi="Arial" w:cs="Arial"/>
                <w:color w:val="1F1F1F"/>
              </w:rPr>
              <w:t>favorable</w:t>
            </w:r>
            <w:proofErr w:type="spellEnd"/>
            <w:r w:rsidRPr="009A224F">
              <w:rPr>
                <w:rFonts w:ascii="Arial" w:hAnsi="Arial" w:cs="Arial"/>
                <w:color w:val="1F1F1F"/>
              </w:rPr>
              <w:t xml:space="preserve"> demographics, access to specialized raw materials/R&amp;D expertise (KPMG India 2021; Smith 2020)</w:t>
            </w:r>
          </w:p>
        </w:tc>
        <w:tc>
          <w:tcPr>
            <w:tcW w:w="0" w:type="auto"/>
            <w:tcBorders>
              <w:top w:val="single" w:sz="6" w:space="0" w:color="auto"/>
              <w:left w:val="single" w:sz="6" w:space="0" w:color="auto"/>
              <w:bottom w:val="single" w:sz="6" w:space="0" w:color="auto"/>
              <w:right w:val="single" w:sz="6" w:space="0" w:color="auto"/>
            </w:tcBorders>
            <w:shd w:val="clear" w:color="auto" w:fill="F6C5AC" w:themeFill="accent2" w:themeFillTint="66"/>
            <w:tcMar>
              <w:top w:w="120" w:type="dxa"/>
              <w:left w:w="180" w:type="dxa"/>
              <w:bottom w:w="120" w:type="dxa"/>
              <w:right w:w="180" w:type="dxa"/>
            </w:tcMar>
            <w:vAlign w:val="center"/>
            <w:hideMark/>
          </w:tcPr>
          <w:p w14:paraId="5E653163"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Motivates direct investment (FDI) to fully capture market share and optimize the value chain via local factor inputs.</w:t>
            </w:r>
          </w:p>
        </w:tc>
      </w:tr>
      <w:tr w:rsidR="009504B0" w:rsidRPr="009A224F" w14:paraId="0DE0CCE4" w14:textId="77777777" w:rsidTr="00AA381B">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84E290" w:themeFill="accent3" w:themeFillTint="66"/>
            <w:tcMar>
              <w:top w:w="120" w:type="dxa"/>
              <w:left w:w="180" w:type="dxa"/>
              <w:bottom w:w="120" w:type="dxa"/>
              <w:right w:w="180" w:type="dxa"/>
            </w:tcMar>
            <w:vAlign w:val="center"/>
            <w:hideMark/>
          </w:tcPr>
          <w:p w14:paraId="73250D60"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Internalization (I)</w:t>
            </w:r>
          </w:p>
        </w:tc>
        <w:tc>
          <w:tcPr>
            <w:tcW w:w="0" w:type="auto"/>
            <w:tcBorders>
              <w:top w:val="single" w:sz="6" w:space="0" w:color="auto"/>
              <w:left w:val="single" w:sz="6" w:space="0" w:color="auto"/>
              <w:bottom w:val="single" w:sz="6" w:space="0" w:color="auto"/>
              <w:right w:val="single" w:sz="6" w:space="0" w:color="auto"/>
            </w:tcBorders>
            <w:shd w:val="clear" w:color="auto" w:fill="84E290" w:themeFill="accent3" w:themeFillTint="66"/>
            <w:tcMar>
              <w:top w:w="120" w:type="dxa"/>
              <w:left w:w="180" w:type="dxa"/>
              <w:bottom w:w="120" w:type="dxa"/>
              <w:right w:w="180" w:type="dxa"/>
            </w:tcMar>
            <w:vAlign w:val="center"/>
            <w:hideMark/>
          </w:tcPr>
          <w:p w14:paraId="6F7F05E5"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Need for direct quality control, management of regulatory compliance risk (FSSAI), integration of technical SOPs (</w:t>
            </w:r>
            <w:proofErr w:type="spellStart"/>
            <w:r w:rsidRPr="009A224F">
              <w:rPr>
                <w:rFonts w:ascii="Arial" w:hAnsi="Arial" w:cs="Arial"/>
                <w:color w:val="1F1F1F"/>
              </w:rPr>
              <w:t>Hennart</w:t>
            </w:r>
            <w:proofErr w:type="spellEnd"/>
            <w:r w:rsidRPr="009A224F">
              <w:rPr>
                <w:rFonts w:ascii="Arial" w:hAnsi="Arial" w:cs="Arial"/>
                <w:color w:val="1F1F1F"/>
              </w:rPr>
              <w:t xml:space="preserve"> 1982; WHO 2020)</w:t>
            </w:r>
          </w:p>
        </w:tc>
        <w:tc>
          <w:tcPr>
            <w:tcW w:w="0" w:type="auto"/>
            <w:tcBorders>
              <w:top w:val="single" w:sz="6" w:space="0" w:color="auto"/>
              <w:left w:val="single" w:sz="6" w:space="0" w:color="auto"/>
              <w:bottom w:val="single" w:sz="6" w:space="0" w:color="auto"/>
              <w:right w:val="single" w:sz="6" w:space="0" w:color="auto"/>
            </w:tcBorders>
            <w:shd w:val="clear" w:color="auto" w:fill="84E290" w:themeFill="accent3" w:themeFillTint="66"/>
            <w:tcMar>
              <w:top w:w="120" w:type="dxa"/>
              <w:left w:w="180" w:type="dxa"/>
              <w:bottom w:w="120" w:type="dxa"/>
              <w:right w:w="180" w:type="dxa"/>
            </w:tcMar>
            <w:vAlign w:val="center"/>
            <w:hideMark/>
          </w:tcPr>
          <w:p w14:paraId="7712234A"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WOS avoids transaction costs associated with potential JV conflicts or licensing non-adherence, maximizing managerial control and risk mitigation.</w:t>
            </w:r>
          </w:p>
        </w:tc>
      </w:tr>
    </w:tbl>
    <w:p w14:paraId="6C63122D" w14:textId="77777777" w:rsidR="00DF7D1B" w:rsidRDefault="00DF7D1B" w:rsidP="009A224F">
      <w:pPr>
        <w:pStyle w:val="Heading2"/>
        <w:spacing w:before="0" w:after="120" w:line="360" w:lineRule="auto"/>
        <w:rPr>
          <w:rStyle w:val="Heading1Char"/>
          <w:rFonts w:ascii="Arial" w:hAnsi="Arial" w:cs="Arial"/>
        </w:rPr>
      </w:pPr>
    </w:p>
    <w:p w14:paraId="1238F820" w14:textId="77777777" w:rsidR="00952847" w:rsidRPr="00952847" w:rsidRDefault="00952847" w:rsidP="00952847"/>
    <w:p w14:paraId="0420F5D0" w14:textId="057ECBF4" w:rsidR="009504B0" w:rsidRPr="009A224F" w:rsidRDefault="009504B0" w:rsidP="009A224F">
      <w:pPr>
        <w:pStyle w:val="Heading2"/>
        <w:spacing w:before="0" w:after="120" w:line="360" w:lineRule="auto"/>
        <w:rPr>
          <w:rFonts w:ascii="Arial" w:eastAsia="Times New Roman" w:hAnsi="Arial" w:cs="Arial"/>
          <w:color w:val="1F1F1F"/>
        </w:rPr>
      </w:pPr>
      <w:bookmarkStart w:id="29" w:name="_Toc215208573"/>
      <w:r w:rsidRPr="009A224F">
        <w:rPr>
          <w:rStyle w:val="Heading1Char"/>
          <w:rFonts w:ascii="Arial" w:hAnsi="Arial" w:cs="Arial"/>
        </w:rPr>
        <w:lastRenderedPageBreak/>
        <w:t>5. Cultural Differences and Impact on Strategy</w:t>
      </w:r>
      <w:bookmarkEnd w:id="29"/>
    </w:p>
    <w:p w14:paraId="3626CCFD" w14:textId="77777777" w:rsidR="00D65DA4" w:rsidRDefault="00D65DA4" w:rsidP="009A224F">
      <w:pPr>
        <w:pStyle w:val="NormalWeb"/>
        <w:spacing w:before="0" w:beforeAutospacing="0" w:after="240" w:afterAutospacing="0" w:line="360" w:lineRule="auto"/>
        <w:rPr>
          <w:rFonts w:ascii="Arial" w:hAnsi="Arial" w:cs="Arial"/>
          <w:color w:val="1F1F1F"/>
        </w:rPr>
      </w:pPr>
    </w:p>
    <w:p w14:paraId="5345F53F" w14:textId="6A368681" w:rsidR="002A4CF8" w:rsidRDefault="009504B0" w:rsidP="00AC1361">
      <w:pPr>
        <w:pStyle w:val="NormalWeb"/>
        <w:spacing w:before="0" w:beforeAutospacing="0" w:after="240" w:afterAutospacing="0" w:line="360" w:lineRule="auto"/>
        <w:rPr>
          <w:rFonts w:ascii="Arial" w:hAnsi="Arial" w:cs="Arial"/>
        </w:rPr>
      </w:pPr>
      <w:r w:rsidRPr="009A224F">
        <w:rPr>
          <w:rFonts w:ascii="Arial" w:hAnsi="Arial" w:cs="Arial"/>
          <w:color w:val="1F1F1F"/>
        </w:rPr>
        <w:t xml:space="preserve">Nestlé’s home country, Switzerland, and its operating environment in India present significant differences in national culture, which profoundly affect management style, communication, and market acceptance. This section </w:t>
      </w:r>
      <w:r w:rsidR="0078648F" w:rsidRPr="009A224F">
        <w:rPr>
          <w:rFonts w:ascii="Arial" w:hAnsi="Arial" w:cs="Arial"/>
          <w:color w:val="1F1F1F"/>
        </w:rPr>
        <w:t>analyses</w:t>
      </w:r>
      <w:r w:rsidRPr="009A224F">
        <w:rPr>
          <w:rFonts w:ascii="Arial" w:hAnsi="Arial" w:cs="Arial"/>
          <w:color w:val="1F1F1F"/>
        </w:rPr>
        <w:t xml:space="preserve"> these differences using Hofstede’s dimensions, focusing on Power Distance and Individualism/Collectivism.</w:t>
      </w:r>
      <w:r w:rsidR="00A2573C">
        <w:rPr>
          <w:rFonts w:ascii="Arial" w:hAnsi="Arial" w:cs="Arial"/>
          <w:b/>
          <w:bCs/>
          <w:color w:val="C00000"/>
        </w:rPr>
        <w:t xml:space="preserve"> </w:t>
      </w:r>
      <w:r w:rsidR="002A4CF8" w:rsidRPr="0025607F">
        <w:rPr>
          <w:rFonts w:ascii="Arial" w:hAnsi="Arial" w:cs="Arial"/>
        </w:rPr>
        <w:t>Hofstede identifies six cultural dimensions</w:t>
      </w:r>
      <w:r w:rsidR="00A2573C" w:rsidRPr="0025607F">
        <w:rPr>
          <w:rFonts w:ascii="Arial" w:hAnsi="Arial" w:cs="Arial"/>
        </w:rPr>
        <w:t xml:space="preserve"> </w:t>
      </w:r>
      <w:r w:rsidR="00953E55" w:rsidRPr="0025607F">
        <w:rPr>
          <w:rFonts w:ascii="Arial" w:hAnsi="Arial" w:cs="Arial"/>
        </w:rPr>
        <w:t>however two of them will be demonstrated</w:t>
      </w:r>
      <w:r w:rsidR="0036269A" w:rsidRPr="0025607F">
        <w:rPr>
          <w:rFonts w:ascii="Arial" w:hAnsi="Arial" w:cs="Arial"/>
        </w:rPr>
        <w:t xml:space="preserve"> the</w:t>
      </w:r>
      <w:r w:rsidR="00953E55" w:rsidRPr="0025607F">
        <w:rPr>
          <w:rFonts w:ascii="Arial" w:hAnsi="Arial" w:cs="Arial"/>
        </w:rPr>
        <w:t xml:space="preserve"> </w:t>
      </w:r>
      <w:r w:rsidR="002A4CF8" w:rsidRPr="0025607F">
        <w:rPr>
          <w:rFonts w:ascii="Arial" w:hAnsi="Arial" w:cs="Arial"/>
        </w:rPr>
        <w:t>Power Distance (PDI) and Individualism</w:t>
      </w:r>
      <w:r w:rsidR="002A4CF8" w:rsidRPr="0025607F">
        <w:rPr>
          <w:rFonts w:ascii="Arial" w:hAnsi="Arial" w:cs="Arial"/>
          <w:b/>
          <w:bCs/>
        </w:rPr>
        <w:t xml:space="preserve"> (IDV)</w:t>
      </w:r>
      <w:r w:rsidR="002A4CF8" w:rsidRPr="0025607F">
        <w:rPr>
          <w:rFonts w:ascii="Arial" w:hAnsi="Arial" w:cs="Arial"/>
        </w:rPr>
        <w:t>. </w:t>
      </w:r>
      <w:r w:rsidR="002A4CF8" w:rsidRPr="0025607F">
        <w:rPr>
          <w:rStyle w:val="citation-18"/>
          <w:rFonts w:ascii="Arial" w:hAnsi="Arial" w:cs="Arial"/>
        </w:rPr>
        <w:t>These two were selected because they represent the widest statistical disparities between the home (Switzerland) and host (India) cultures, and they directly impact the specific operational challenges identified: the management of hierarchy during crises (PDI) and the reliance on relationships over contracts (IDV)</w:t>
      </w:r>
      <w:r w:rsidR="002A4CF8" w:rsidRPr="0025607F">
        <w:rPr>
          <w:rFonts w:ascii="Arial" w:hAnsi="Arial" w:cs="Arial"/>
        </w:rPr>
        <w:t>.</w:t>
      </w:r>
    </w:p>
    <w:p w14:paraId="4D8AA6A9" w14:textId="77777777" w:rsidR="0006306A" w:rsidRPr="0025607F" w:rsidRDefault="0006306A" w:rsidP="00AC1361">
      <w:pPr>
        <w:pStyle w:val="NormalWeb"/>
        <w:spacing w:before="0" w:beforeAutospacing="0" w:after="240" w:afterAutospacing="0" w:line="360" w:lineRule="auto"/>
        <w:rPr>
          <w:rFonts w:ascii="Arial" w:hAnsi="Arial" w:cs="Arial"/>
        </w:rPr>
      </w:pPr>
    </w:p>
    <w:p w14:paraId="620F4D79" w14:textId="3074A230" w:rsidR="00480306" w:rsidRPr="00DF7D1B" w:rsidRDefault="002A4CF8" w:rsidP="00DF0D99">
      <w:pPr>
        <w:pStyle w:val="Heading3"/>
      </w:pPr>
      <w:r w:rsidRPr="0025607F">
        <w:t>A Bar Chart contrasting Hofstede Scores for Switzerland vs. India on PDI and IDV]</w:t>
      </w:r>
    </w:p>
    <w:p w14:paraId="05F203D3" w14:textId="6914A5E6" w:rsidR="0025609D" w:rsidRPr="00D65DA4" w:rsidRDefault="002A4CF8" w:rsidP="00D65DA4">
      <w:pPr>
        <w:pStyle w:val="NormalWeb"/>
        <w:shd w:val="clear" w:color="auto" w:fill="FFFFFF"/>
        <w:spacing w:before="0" w:beforeAutospacing="0" w:after="240" w:afterAutospacing="0" w:line="390" w:lineRule="atLeast"/>
        <w:rPr>
          <w:rFonts w:ascii="Arial" w:hAnsi="Arial" w:cs="Arial"/>
          <w:b/>
          <w:bCs/>
          <w:color w:val="C00000"/>
        </w:rPr>
      </w:pPr>
      <w:r>
        <w:rPr>
          <w:rFonts w:ascii="Arial" w:hAnsi="Arial" w:cs="Arial"/>
          <w:noProof/>
          <w:color w:val="1F1F1F"/>
          <w14:ligatures w14:val="standardContextual"/>
        </w:rPr>
        <w:drawing>
          <wp:inline distT="0" distB="0" distL="0" distR="0" wp14:anchorId="3B055ABE" wp14:editId="74A92089">
            <wp:extent cx="5731510" cy="2651760"/>
            <wp:effectExtent l="0" t="0" r="2540" b="15240"/>
            <wp:docPr id="71678323"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1291C28" w14:textId="77777777" w:rsidR="0025609D" w:rsidRDefault="0025609D" w:rsidP="009A224F">
      <w:pPr>
        <w:pStyle w:val="NormalWeb"/>
        <w:spacing w:before="0" w:beforeAutospacing="0" w:after="240" w:afterAutospacing="0" w:line="360" w:lineRule="auto"/>
        <w:rPr>
          <w:rFonts w:ascii="Arial" w:hAnsi="Arial" w:cs="Arial"/>
          <w:color w:val="1F1F1F"/>
        </w:rPr>
      </w:pPr>
    </w:p>
    <w:p w14:paraId="3D2EA5E6" w14:textId="77777777" w:rsidR="0006306A" w:rsidRDefault="0006306A" w:rsidP="009A224F">
      <w:pPr>
        <w:pStyle w:val="NormalWeb"/>
        <w:spacing w:before="0" w:beforeAutospacing="0" w:after="240" w:afterAutospacing="0" w:line="360" w:lineRule="auto"/>
        <w:rPr>
          <w:rFonts w:ascii="Arial" w:hAnsi="Arial" w:cs="Arial"/>
          <w:color w:val="1F1F1F"/>
        </w:rPr>
      </w:pPr>
    </w:p>
    <w:p w14:paraId="74E56B18" w14:textId="391AEF56" w:rsidR="0025609D" w:rsidRDefault="0025609D" w:rsidP="0025609D">
      <w:pPr>
        <w:pStyle w:val="Heading3"/>
        <w:spacing w:line="360" w:lineRule="auto"/>
        <w:rPr>
          <w:rFonts w:ascii="Arial" w:hAnsi="Arial" w:cs="Arial"/>
        </w:rPr>
      </w:pPr>
      <w:bookmarkStart w:id="30" w:name="_Toc215208574"/>
      <w:r w:rsidRPr="009A224F">
        <w:rPr>
          <w:rFonts w:ascii="Arial" w:hAnsi="Arial" w:cs="Arial"/>
        </w:rPr>
        <w:lastRenderedPageBreak/>
        <w:t>Table 5.1: Comparative Cultural Dimensions: Switzerland (Home) vs. India (Host)</w:t>
      </w:r>
      <w:r w:rsidR="00047AC2">
        <w:rPr>
          <w:rFonts w:ascii="Arial" w:hAnsi="Arial" w:cs="Arial"/>
        </w:rPr>
        <w:t>.</w:t>
      </w:r>
      <w:bookmarkEnd w:id="30"/>
    </w:p>
    <w:p w14:paraId="4EBFCAEC" w14:textId="77777777" w:rsidR="00047AC2" w:rsidRPr="00047AC2" w:rsidRDefault="00047AC2" w:rsidP="00047AC2"/>
    <w:tbl>
      <w:tblPr>
        <w:tblW w:w="9490" w:type="dxa"/>
        <w:tblCellSpacing w:w="15" w:type="dxa"/>
        <w:tblCellMar>
          <w:left w:w="0" w:type="dxa"/>
          <w:right w:w="0" w:type="dxa"/>
        </w:tblCellMar>
        <w:tblLook w:val="04A0" w:firstRow="1" w:lastRow="0" w:firstColumn="1" w:lastColumn="0" w:noHBand="0" w:noVBand="1"/>
      </w:tblPr>
      <w:tblGrid>
        <w:gridCol w:w="1980"/>
        <w:gridCol w:w="2082"/>
        <w:gridCol w:w="2541"/>
        <w:gridCol w:w="2887"/>
      </w:tblGrid>
      <w:tr w:rsidR="003816E8" w:rsidRPr="009A224F" w14:paraId="3D722F63" w14:textId="77777777" w:rsidTr="0025609D">
        <w:trPr>
          <w:tblCellSpacing w:w="15" w:type="dxa"/>
        </w:trPr>
        <w:tc>
          <w:tcPr>
            <w:tcW w:w="1935" w:type="dxa"/>
            <w:tcBorders>
              <w:top w:val="single" w:sz="6" w:space="0" w:color="auto"/>
              <w:left w:val="single" w:sz="6" w:space="0" w:color="auto"/>
              <w:bottom w:val="single" w:sz="6" w:space="0" w:color="auto"/>
              <w:right w:val="single" w:sz="6" w:space="0" w:color="auto"/>
            </w:tcBorders>
            <w:shd w:val="clear" w:color="auto" w:fill="84E290" w:themeFill="accent3" w:themeFillTint="66"/>
            <w:tcMar>
              <w:top w:w="120" w:type="dxa"/>
              <w:left w:w="180" w:type="dxa"/>
              <w:bottom w:w="120" w:type="dxa"/>
              <w:right w:w="180" w:type="dxa"/>
            </w:tcMar>
            <w:vAlign w:val="center"/>
            <w:hideMark/>
          </w:tcPr>
          <w:p w14:paraId="388BC1FC" w14:textId="77777777" w:rsidR="003816E8" w:rsidRPr="009A224F" w:rsidRDefault="003816E8" w:rsidP="00230D27">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Hofstede Dimension</w:t>
            </w:r>
          </w:p>
        </w:tc>
        <w:tc>
          <w:tcPr>
            <w:tcW w:w="2052" w:type="dxa"/>
            <w:tcBorders>
              <w:top w:val="single" w:sz="6" w:space="0" w:color="auto"/>
              <w:left w:val="single" w:sz="6" w:space="0" w:color="auto"/>
              <w:bottom w:val="single" w:sz="6" w:space="0" w:color="auto"/>
              <w:right w:val="single" w:sz="6" w:space="0" w:color="auto"/>
            </w:tcBorders>
            <w:shd w:val="clear" w:color="auto" w:fill="84E290" w:themeFill="accent3" w:themeFillTint="66"/>
            <w:tcMar>
              <w:top w:w="120" w:type="dxa"/>
              <w:left w:w="180" w:type="dxa"/>
              <w:bottom w:w="120" w:type="dxa"/>
              <w:right w:w="180" w:type="dxa"/>
            </w:tcMar>
            <w:vAlign w:val="center"/>
            <w:hideMark/>
          </w:tcPr>
          <w:p w14:paraId="649DAB8C" w14:textId="77777777" w:rsidR="003816E8" w:rsidRPr="009A224F" w:rsidRDefault="003816E8" w:rsidP="00230D27">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India Score (Host)</w:t>
            </w:r>
          </w:p>
        </w:tc>
        <w:tc>
          <w:tcPr>
            <w:tcW w:w="2511" w:type="dxa"/>
            <w:tcBorders>
              <w:top w:val="single" w:sz="6" w:space="0" w:color="auto"/>
              <w:left w:val="single" w:sz="6" w:space="0" w:color="auto"/>
              <w:bottom w:val="single" w:sz="6" w:space="0" w:color="auto"/>
              <w:right w:val="single" w:sz="6" w:space="0" w:color="auto"/>
            </w:tcBorders>
            <w:shd w:val="clear" w:color="auto" w:fill="84E290" w:themeFill="accent3" w:themeFillTint="66"/>
            <w:tcMar>
              <w:top w:w="120" w:type="dxa"/>
              <w:left w:w="180" w:type="dxa"/>
              <w:bottom w:w="120" w:type="dxa"/>
              <w:right w:w="180" w:type="dxa"/>
            </w:tcMar>
            <w:vAlign w:val="center"/>
            <w:hideMark/>
          </w:tcPr>
          <w:p w14:paraId="0FCB133F" w14:textId="77777777" w:rsidR="003816E8" w:rsidRPr="009A224F" w:rsidRDefault="003816E8" w:rsidP="00230D27">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Switzerland/Nestlé TNC Ethos</w:t>
            </w:r>
          </w:p>
        </w:tc>
        <w:tc>
          <w:tcPr>
            <w:tcW w:w="2842" w:type="dxa"/>
            <w:tcBorders>
              <w:top w:val="single" w:sz="6" w:space="0" w:color="auto"/>
              <w:left w:val="single" w:sz="6" w:space="0" w:color="auto"/>
              <w:bottom w:val="single" w:sz="6" w:space="0" w:color="auto"/>
              <w:right w:val="single" w:sz="6" w:space="0" w:color="auto"/>
            </w:tcBorders>
            <w:shd w:val="clear" w:color="auto" w:fill="84E290" w:themeFill="accent3" w:themeFillTint="66"/>
            <w:tcMar>
              <w:top w:w="120" w:type="dxa"/>
              <w:left w:w="180" w:type="dxa"/>
              <w:bottom w:w="120" w:type="dxa"/>
              <w:right w:w="180" w:type="dxa"/>
            </w:tcMar>
            <w:vAlign w:val="center"/>
            <w:hideMark/>
          </w:tcPr>
          <w:p w14:paraId="7CAE1540" w14:textId="77777777" w:rsidR="003816E8" w:rsidRPr="009A224F" w:rsidRDefault="003816E8" w:rsidP="00230D27">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Strategic Implications for Nestlé India</w:t>
            </w:r>
          </w:p>
        </w:tc>
      </w:tr>
      <w:tr w:rsidR="003816E8" w:rsidRPr="009A224F" w14:paraId="49537774" w14:textId="77777777" w:rsidTr="0025609D">
        <w:trPr>
          <w:tblCellSpacing w:w="15" w:type="dxa"/>
        </w:trPr>
        <w:tc>
          <w:tcPr>
            <w:tcW w:w="1935" w:type="dxa"/>
            <w:tcBorders>
              <w:top w:val="single" w:sz="6" w:space="0" w:color="auto"/>
              <w:left w:val="single" w:sz="6" w:space="0" w:color="auto"/>
              <w:bottom w:val="single" w:sz="6" w:space="0" w:color="auto"/>
              <w:right w:val="single" w:sz="6" w:space="0" w:color="auto"/>
            </w:tcBorders>
            <w:shd w:val="clear" w:color="auto" w:fill="FAE2D5" w:themeFill="accent2" w:themeFillTint="33"/>
            <w:tcMar>
              <w:top w:w="120" w:type="dxa"/>
              <w:left w:w="180" w:type="dxa"/>
              <w:bottom w:w="120" w:type="dxa"/>
              <w:right w:w="180" w:type="dxa"/>
            </w:tcMar>
            <w:vAlign w:val="center"/>
            <w:hideMark/>
          </w:tcPr>
          <w:p w14:paraId="6090BB9C" w14:textId="77777777" w:rsidR="003816E8" w:rsidRPr="009A224F" w:rsidRDefault="003816E8" w:rsidP="00230D27">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Power Distance (PDI)</w:t>
            </w:r>
          </w:p>
        </w:tc>
        <w:tc>
          <w:tcPr>
            <w:tcW w:w="2052" w:type="dxa"/>
            <w:tcBorders>
              <w:top w:val="single" w:sz="6" w:space="0" w:color="auto"/>
              <w:left w:val="single" w:sz="6" w:space="0" w:color="auto"/>
              <w:bottom w:val="single" w:sz="6" w:space="0" w:color="auto"/>
              <w:right w:val="single" w:sz="6" w:space="0" w:color="auto"/>
            </w:tcBorders>
            <w:shd w:val="clear" w:color="auto" w:fill="FAE2D5" w:themeFill="accent2" w:themeFillTint="33"/>
            <w:tcMar>
              <w:top w:w="120" w:type="dxa"/>
              <w:left w:w="180" w:type="dxa"/>
              <w:bottom w:w="120" w:type="dxa"/>
              <w:right w:w="180" w:type="dxa"/>
            </w:tcMar>
            <w:vAlign w:val="center"/>
            <w:hideMark/>
          </w:tcPr>
          <w:p w14:paraId="2B7A36ED" w14:textId="77777777" w:rsidR="003816E8" w:rsidRPr="009A224F" w:rsidRDefault="003816E8" w:rsidP="00230D27">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77 (High Acceptance of Hierarchy) (Hofstede 2010; The Hofstede Centre n.d.)</w:t>
            </w:r>
          </w:p>
        </w:tc>
        <w:tc>
          <w:tcPr>
            <w:tcW w:w="2511" w:type="dxa"/>
            <w:tcBorders>
              <w:top w:val="single" w:sz="6" w:space="0" w:color="auto"/>
              <w:left w:val="single" w:sz="6" w:space="0" w:color="auto"/>
              <w:bottom w:val="single" w:sz="6" w:space="0" w:color="auto"/>
              <w:right w:val="single" w:sz="6" w:space="0" w:color="auto"/>
            </w:tcBorders>
            <w:shd w:val="clear" w:color="auto" w:fill="FAE2D5" w:themeFill="accent2" w:themeFillTint="33"/>
            <w:tcMar>
              <w:top w:w="120" w:type="dxa"/>
              <w:left w:w="180" w:type="dxa"/>
              <w:bottom w:w="120" w:type="dxa"/>
              <w:right w:w="180" w:type="dxa"/>
            </w:tcMar>
            <w:vAlign w:val="center"/>
            <w:hideMark/>
          </w:tcPr>
          <w:p w14:paraId="0A99E11E" w14:textId="77777777" w:rsidR="003816E8" w:rsidRPr="009A224F" w:rsidRDefault="003816E8" w:rsidP="00230D27">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Focus on decentralized management, minimal layers (Johnson &amp; Davies 1998)</w:t>
            </w:r>
          </w:p>
        </w:tc>
        <w:tc>
          <w:tcPr>
            <w:tcW w:w="2842" w:type="dxa"/>
            <w:tcBorders>
              <w:top w:val="single" w:sz="6" w:space="0" w:color="auto"/>
              <w:left w:val="single" w:sz="6" w:space="0" w:color="auto"/>
              <w:bottom w:val="single" w:sz="6" w:space="0" w:color="auto"/>
              <w:right w:val="single" w:sz="6" w:space="0" w:color="auto"/>
            </w:tcBorders>
            <w:shd w:val="clear" w:color="auto" w:fill="FAE2D5" w:themeFill="accent2" w:themeFillTint="33"/>
            <w:tcMar>
              <w:top w:w="120" w:type="dxa"/>
              <w:left w:w="180" w:type="dxa"/>
              <w:bottom w:w="120" w:type="dxa"/>
              <w:right w:w="180" w:type="dxa"/>
            </w:tcMar>
            <w:vAlign w:val="center"/>
            <w:hideMark/>
          </w:tcPr>
          <w:p w14:paraId="4C5DE628" w14:textId="77777777" w:rsidR="003816E8" w:rsidRPr="009A224F" w:rsidRDefault="003816E8" w:rsidP="00230D27">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Authority must be clearly defined in SOPs (PDI compliance), but implementation requires consultative leadership to secure engagement and accountability (Javidan &amp; House 2001).</w:t>
            </w:r>
          </w:p>
        </w:tc>
      </w:tr>
      <w:tr w:rsidR="003816E8" w:rsidRPr="009A224F" w14:paraId="2D6515A0" w14:textId="77777777" w:rsidTr="0025609D">
        <w:trPr>
          <w:tblCellSpacing w:w="15" w:type="dxa"/>
        </w:trPr>
        <w:tc>
          <w:tcPr>
            <w:tcW w:w="1935" w:type="dxa"/>
            <w:tcBorders>
              <w:top w:val="single" w:sz="6" w:space="0" w:color="auto"/>
              <w:left w:val="single" w:sz="6" w:space="0" w:color="auto"/>
              <w:bottom w:val="single" w:sz="6" w:space="0" w:color="auto"/>
              <w:right w:val="single" w:sz="6" w:space="0" w:color="auto"/>
            </w:tcBorders>
            <w:shd w:val="clear" w:color="auto" w:fill="CAEDFB" w:themeFill="accent4" w:themeFillTint="33"/>
            <w:tcMar>
              <w:top w:w="120" w:type="dxa"/>
              <w:left w:w="180" w:type="dxa"/>
              <w:bottom w:w="120" w:type="dxa"/>
              <w:right w:w="180" w:type="dxa"/>
            </w:tcMar>
            <w:vAlign w:val="center"/>
            <w:hideMark/>
          </w:tcPr>
          <w:p w14:paraId="221A7EB3" w14:textId="77777777" w:rsidR="003816E8" w:rsidRPr="009A224F" w:rsidRDefault="003816E8" w:rsidP="00230D27">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Individualism (IDV)</w:t>
            </w:r>
          </w:p>
        </w:tc>
        <w:tc>
          <w:tcPr>
            <w:tcW w:w="2052" w:type="dxa"/>
            <w:tcBorders>
              <w:top w:val="single" w:sz="6" w:space="0" w:color="auto"/>
              <w:left w:val="single" w:sz="6" w:space="0" w:color="auto"/>
              <w:bottom w:val="single" w:sz="6" w:space="0" w:color="auto"/>
              <w:right w:val="single" w:sz="6" w:space="0" w:color="auto"/>
            </w:tcBorders>
            <w:shd w:val="clear" w:color="auto" w:fill="CAEDFB" w:themeFill="accent4" w:themeFillTint="33"/>
            <w:tcMar>
              <w:top w:w="120" w:type="dxa"/>
              <w:left w:w="180" w:type="dxa"/>
              <w:bottom w:w="120" w:type="dxa"/>
              <w:right w:w="180" w:type="dxa"/>
            </w:tcMar>
            <w:vAlign w:val="center"/>
            <w:hideMark/>
          </w:tcPr>
          <w:p w14:paraId="6D7B5F88" w14:textId="77777777" w:rsidR="003816E8" w:rsidRPr="009A224F" w:rsidRDefault="003816E8" w:rsidP="00230D27">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48 (Collectivist/In-Group Focused) (Hofstede 2010)</w:t>
            </w:r>
          </w:p>
        </w:tc>
        <w:tc>
          <w:tcPr>
            <w:tcW w:w="2511" w:type="dxa"/>
            <w:tcBorders>
              <w:top w:val="single" w:sz="6" w:space="0" w:color="auto"/>
              <w:left w:val="single" w:sz="6" w:space="0" w:color="auto"/>
              <w:bottom w:val="single" w:sz="6" w:space="0" w:color="auto"/>
              <w:right w:val="single" w:sz="6" w:space="0" w:color="auto"/>
            </w:tcBorders>
            <w:shd w:val="clear" w:color="auto" w:fill="CAEDFB" w:themeFill="accent4" w:themeFillTint="33"/>
            <w:tcMar>
              <w:top w:w="120" w:type="dxa"/>
              <w:left w:w="180" w:type="dxa"/>
              <w:bottom w:w="120" w:type="dxa"/>
              <w:right w:w="180" w:type="dxa"/>
            </w:tcMar>
            <w:vAlign w:val="center"/>
            <w:hideMark/>
          </w:tcPr>
          <w:p w14:paraId="310CE1B0" w14:textId="77777777" w:rsidR="003816E8" w:rsidRPr="009A224F" w:rsidRDefault="003816E8" w:rsidP="00230D27">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Focus on individual performance and process efficiency (Implied)</w:t>
            </w:r>
          </w:p>
        </w:tc>
        <w:tc>
          <w:tcPr>
            <w:tcW w:w="2842" w:type="dxa"/>
            <w:tcBorders>
              <w:top w:val="single" w:sz="6" w:space="0" w:color="auto"/>
              <w:left w:val="single" w:sz="6" w:space="0" w:color="auto"/>
              <w:bottom w:val="single" w:sz="6" w:space="0" w:color="auto"/>
              <w:right w:val="single" w:sz="6" w:space="0" w:color="auto"/>
            </w:tcBorders>
            <w:shd w:val="clear" w:color="auto" w:fill="CAEDFB" w:themeFill="accent4" w:themeFillTint="33"/>
            <w:tcMar>
              <w:top w:w="120" w:type="dxa"/>
              <w:left w:w="180" w:type="dxa"/>
              <w:bottom w:w="120" w:type="dxa"/>
              <w:right w:w="180" w:type="dxa"/>
            </w:tcMar>
            <w:vAlign w:val="center"/>
            <w:hideMark/>
          </w:tcPr>
          <w:p w14:paraId="563AEB63" w14:textId="77777777" w:rsidR="003816E8" w:rsidRPr="009A224F" w:rsidRDefault="003816E8" w:rsidP="00230D27">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HRM must acknowledge group loyalty and reward relational capital; business strategy must prioritize long-term, trust-based relationships with stakeholders (Hall 1976; Kotler 2019).</w:t>
            </w:r>
          </w:p>
        </w:tc>
      </w:tr>
    </w:tbl>
    <w:p w14:paraId="5A35D8AD" w14:textId="218A5522" w:rsidR="009504B0" w:rsidRPr="009A224F" w:rsidRDefault="009504B0" w:rsidP="009A224F">
      <w:pPr>
        <w:pStyle w:val="Heading2"/>
        <w:spacing w:line="360" w:lineRule="auto"/>
        <w:rPr>
          <w:rFonts w:ascii="Arial" w:eastAsia="Times New Roman" w:hAnsi="Arial" w:cs="Arial"/>
        </w:rPr>
      </w:pPr>
      <w:bookmarkStart w:id="31" w:name="_Toc215208575"/>
      <w:r w:rsidRPr="009A224F">
        <w:rPr>
          <w:rFonts w:ascii="Arial" w:eastAsia="Times New Roman" w:hAnsi="Arial" w:cs="Arial"/>
        </w:rPr>
        <w:lastRenderedPageBreak/>
        <w:t>5.1. Switzerland vs. India: A Hofstede Comparison</w:t>
      </w:r>
      <w:bookmarkEnd w:id="31"/>
      <w:r w:rsidR="0075024B">
        <w:rPr>
          <w:rFonts w:ascii="Arial" w:eastAsia="Times New Roman" w:hAnsi="Arial" w:cs="Arial"/>
        </w:rPr>
        <w:t>.</w:t>
      </w:r>
    </w:p>
    <w:p w14:paraId="5EC64308" w14:textId="52F0B48C" w:rsidR="009504B0" w:rsidRPr="009A224F" w:rsidRDefault="009504B0" w:rsidP="009A224F">
      <w:pPr>
        <w:pStyle w:val="Heading3"/>
        <w:spacing w:line="360" w:lineRule="auto"/>
        <w:rPr>
          <w:rFonts w:ascii="Arial" w:eastAsia="Times New Roman" w:hAnsi="Arial" w:cs="Arial"/>
        </w:rPr>
      </w:pPr>
      <w:bookmarkStart w:id="32" w:name="_Toc215208576"/>
      <w:r w:rsidRPr="009A224F">
        <w:rPr>
          <w:rFonts w:ascii="Arial" w:eastAsia="Times New Roman" w:hAnsi="Arial" w:cs="Arial"/>
        </w:rPr>
        <w:t>5.1.1. Power Distance Index (PDI): The Hierarchy Conflict</w:t>
      </w:r>
      <w:bookmarkEnd w:id="32"/>
      <w:r w:rsidR="0075024B">
        <w:rPr>
          <w:rFonts w:ascii="Arial" w:eastAsia="Times New Roman" w:hAnsi="Arial" w:cs="Arial"/>
        </w:rPr>
        <w:t>.</w:t>
      </w:r>
    </w:p>
    <w:p w14:paraId="7706701B"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The Power Distance Index (PDI) measures the degree to which inequality and hierarchical structures are accepted within a society. India scores very high on this dimension (PDI 77) (Hofstede 2010; The Hofstede Centre n.d.). This high score indicates that Indian society traditionally accepts a high level of inequality, where authority is formalized and hierarchical (Trompenaars 1999). Employees typically expect clear, top-down direction regarding their functions and what is expected of them, viewing managers as authoritative figures (Hofstede 2010).</w:t>
      </w:r>
    </w:p>
    <w:p w14:paraId="4D07B2B8" w14:textId="77777777" w:rsidR="009504B0"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In contrast, the Nestlé TNC model, influenced by its Swiss heritage and its operational necessity for rapid adaptation, strives for a decentralized structure with minimal management layers and wider spans of control (Johnson &amp; Davies 1998). Implementing a seemingly "flat" organizational structure, reflective of a lower PDI ethos, without understanding and compensating for local expectations of hierarchy can create significant friction (Trompenaars 1999). It may lead to confusion regarding accountability, where employees hesitate to act without explicit authorization, or a perceived lack of clear leadership during crises.</w:t>
      </w:r>
    </w:p>
    <w:p w14:paraId="37E194DD" w14:textId="77777777" w:rsidR="00F15147" w:rsidRPr="009A224F" w:rsidRDefault="00F15147" w:rsidP="009A224F">
      <w:pPr>
        <w:pStyle w:val="NormalWeb"/>
        <w:spacing w:before="0" w:beforeAutospacing="0" w:after="240" w:afterAutospacing="0" w:line="360" w:lineRule="auto"/>
        <w:rPr>
          <w:rFonts w:ascii="Arial" w:hAnsi="Arial" w:cs="Arial"/>
          <w:color w:val="1F1F1F"/>
        </w:rPr>
      </w:pPr>
    </w:p>
    <w:p w14:paraId="3B6020E0" w14:textId="70C77D22" w:rsidR="009504B0" w:rsidRPr="009A224F" w:rsidRDefault="009504B0" w:rsidP="009A224F">
      <w:pPr>
        <w:pStyle w:val="Heading3"/>
        <w:spacing w:line="360" w:lineRule="auto"/>
        <w:rPr>
          <w:rFonts w:ascii="Arial" w:eastAsia="Times New Roman" w:hAnsi="Arial" w:cs="Arial"/>
        </w:rPr>
      </w:pPr>
      <w:bookmarkStart w:id="33" w:name="_Toc215208577"/>
      <w:r w:rsidRPr="009A224F">
        <w:rPr>
          <w:rFonts w:ascii="Arial" w:eastAsia="Times New Roman" w:hAnsi="Arial" w:cs="Arial"/>
        </w:rPr>
        <w:t>5.1.2. Individualism versus Collectivism (IDV): Relationships Over Contract</w:t>
      </w:r>
      <w:bookmarkEnd w:id="33"/>
      <w:r w:rsidR="0075024B">
        <w:rPr>
          <w:rFonts w:ascii="Arial" w:eastAsia="Times New Roman" w:hAnsi="Arial" w:cs="Arial"/>
        </w:rPr>
        <w:t>.</w:t>
      </w:r>
    </w:p>
    <w:p w14:paraId="71D9F7A8"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India is classified as a moderately collectivist society (IDV 48) (Hofstede 2010), meaning there is a strong preference for belonging to an in-group (family, work group). Decisions and loyalty are influenced by the greater good of this group, and relationships are often the key to conducting business (Hofstede 2010; Hall 1976). The relationship between an employee and employer is often based on an exchange of loyalty for "familial protection" and support (Hofstede 2010).</w:t>
      </w:r>
    </w:p>
    <w:p w14:paraId="250CBCC1" w14:textId="164A909F" w:rsidR="00F15147"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The global TNC structure, while decentralized, typically relies on standardized procedures, merit-based metrics, and transactional efficiency. This approach can clash with the Indian collectivist need for long-term, trust-based relationships, particularly with external stakeholders like distributors, suppliers, and regulators. The </w:t>
      </w:r>
      <w:r w:rsidRPr="009A224F">
        <w:rPr>
          <w:rFonts w:ascii="Arial" w:hAnsi="Arial" w:cs="Arial"/>
          <w:color w:val="1F1F1F"/>
        </w:rPr>
        <w:lastRenderedPageBreak/>
        <w:t>success of Nestlé India in maintaining strong relationships with channel partners, even during the severe Maggi crisis, demonstrates the importance of managing relational capital effectively in this market (Kotler 2019).</w:t>
      </w:r>
    </w:p>
    <w:p w14:paraId="6185C250" w14:textId="77777777" w:rsidR="003F57C7" w:rsidRPr="009A224F" w:rsidRDefault="003F57C7" w:rsidP="009A224F">
      <w:pPr>
        <w:pStyle w:val="NormalWeb"/>
        <w:spacing w:before="0" w:beforeAutospacing="0" w:after="240" w:afterAutospacing="0" w:line="360" w:lineRule="auto"/>
        <w:rPr>
          <w:rFonts w:ascii="Arial" w:hAnsi="Arial" w:cs="Arial"/>
          <w:color w:val="1F1F1F"/>
        </w:rPr>
      </w:pPr>
    </w:p>
    <w:p w14:paraId="378E00AC" w14:textId="1941D4BC" w:rsidR="009504B0" w:rsidRPr="009A224F" w:rsidRDefault="009504B0" w:rsidP="009A224F">
      <w:pPr>
        <w:pStyle w:val="Heading2"/>
        <w:spacing w:line="360" w:lineRule="auto"/>
        <w:rPr>
          <w:rFonts w:ascii="Arial" w:eastAsia="Times New Roman" w:hAnsi="Arial" w:cs="Arial"/>
        </w:rPr>
      </w:pPr>
      <w:bookmarkStart w:id="34" w:name="_Toc215208578"/>
      <w:r w:rsidRPr="009A224F">
        <w:rPr>
          <w:rFonts w:ascii="Arial" w:eastAsia="Times New Roman" w:hAnsi="Arial" w:cs="Arial"/>
        </w:rPr>
        <w:t>5.2. Impact on Market Entry Strategy</w:t>
      </w:r>
      <w:bookmarkEnd w:id="34"/>
      <w:r w:rsidR="00A158A6">
        <w:rPr>
          <w:rFonts w:ascii="Arial" w:eastAsia="Times New Roman" w:hAnsi="Arial" w:cs="Arial"/>
        </w:rPr>
        <w:t>.</w:t>
      </w:r>
    </w:p>
    <w:p w14:paraId="5DBC869F" w14:textId="77777777" w:rsidR="009504B0" w:rsidRDefault="009504B0" w:rsidP="00B92763">
      <w:pPr>
        <w:pStyle w:val="Heading3"/>
      </w:pPr>
      <w:bookmarkStart w:id="35" w:name="_Toc215208579"/>
      <w:r w:rsidRPr="009A224F">
        <w:t>The high PDI and collectivist culture directly shape how Nestlé must operate in the market.</w:t>
      </w:r>
      <w:bookmarkEnd w:id="35"/>
    </w:p>
    <w:p w14:paraId="0F41D1AC" w14:textId="77777777" w:rsidR="00A158A6" w:rsidRPr="00A158A6" w:rsidRDefault="00A158A6" w:rsidP="00A158A6"/>
    <w:p w14:paraId="24856E2F" w14:textId="0D8AF276" w:rsidR="009504B0" w:rsidRPr="009A224F" w:rsidRDefault="009504B0" w:rsidP="00B92763">
      <w:pPr>
        <w:pStyle w:val="Heading3"/>
        <w:rPr>
          <w:rFonts w:eastAsia="Times New Roman"/>
        </w:rPr>
      </w:pPr>
      <w:bookmarkStart w:id="36" w:name="_Toc215208580"/>
      <w:r w:rsidRPr="009A224F">
        <w:rPr>
          <w:rFonts w:eastAsia="Times New Roman"/>
        </w:rPr>
        <w:t>5.2.1. Trust and Partnership Formation</w:t>
      </w:r>
      <w:bookmarkEnd w:id="36"/>
      <w:r w:rsidR="00A158A6">
        <w:rPr>
          <w:rFonts w:eastAsia="Times New Roman"/>
        </w:rPr>
        <w:t>.</w:t>
      </w:r>
    </w:p>
    <w:p w14:paraId="2DE0D48C"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The collectivist culture mandates that operational success is predicated upon establishing and maintaining deep-seated trust (Hall 1976). The choice of the WOS entry mode, while mitigating risks related to IP leakage, requires Nestlé to directly cultivate this relational capital with every stakeholder group. This is achieved through intensive engagement models, such as the supplier development programs that educate local farmers on improved methods and quality practices (Jain 2020; UN Global Compact 2018). The investment in technical assistance and community development (Creating Shared Value) functions as a mechanism for building trust that replaces the automatic social capital a local joint venture partner would typically provide (Porter &amp; Kramer 2011).</w:t>
      </w:r>
    </w:p>
    <w:p w14:paraId="2546BFAD" w14:textId="26845B41" w:rsidR="009504B0" w:rsidRPr="009A224F" w:rsidRDefault="009504B0" w:rsidP="009A224F">
      <w:pPr>
        <w:pStyle w:val="Heading3"/>
        <w:spacing w:line="360" w:lineRule="auto"/>
        <w:rPr>
          <w:rFonts w:ascii="Arial" w:eastAsia="Times New Roman" w:hAnsi="Arial" w:cs="Arial"/>
        </w:rPr>
      </w:pPr>
      <w:bookmarkStart w:id="37" w:name="_Toc215208581"/>
      <w:r w:rsidRPr="009A224F">
        <w:rPr>
          <w:rFonts w:ascii="Arial" w:eastAsia="Times New Roman" w:hAnsi="Arial" w:cs="Arial"/>
        </w:rPr>
        <w:t>5.2.2. Marketing and Product Adaptation</w:t>
      </w:r>
      <w:bookmarkEnd w:id="37"/>
      <w:r w:rsidR="00A158A6">
        <w:rPr>
          <w:rFonts w:ascii="Arial" w:eastAsia="Times New Roman" w:hAnsi="Arial" w:cs="Arial"/>
        </w:rPr>
        <w:t>.</w:t>
      </w:r>
    </w:p>
    <w:p w14:paraId="5D134FAF" w14:textId="4C51B1D4" w:rsidR="00126A6F"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Cultural differences necessitate a highly localized product strategy. The polycentric approach, where unique product offerings and marketing strategies are developed for India, is not merely a preference but a cultural requirement (Hill 2020). Given the diversity of regional tastes and culinary traditions within India, products must be extensively modified to resonate with specific collective preferences (Prahalad 2004). This localization extends to affordability, requiring adaptation of product sizes and price points to cater to varied socio-economic segments (Prahalad 2004).</w:t>
      </w:r>
    </w:p>
    <w:p w14:paraId="351FB0F0" w14:textId="3EADA3E8" w:rsidR="009504B0" w:rsidRDefault="009504B0" w:rsidP="009A224F">
      <w:pPr>
        <w:pStyle w:val="Heading2"/>
        <w:spacing w:line="360" w:lineRule="auto"/>
        <w:rPr>
          <w:rFonts w:ascii="Arial" w:eastAsia="Times New Roman" w:hAnsi="Arial" w:cs="Arial"/>
        </w:rPr>
      </w:pPr>
      <w:bookmarkStart w:id="38" w:name="_Toc215208582"/>
      <w:r w:rsidRPr="009A224F">
        <w:rPr>
          <w:rFonts w:ascii="Arial" w:eastAsia="Times New Roman" w:hAnsi="Arial" w:cs="Arial"/>
        </w:rPr>
        <w:lastRenderedPageBreak/>
        <w:t>5.3. Impact on Organizational Success and Internal Management</w:t>
      </w:r>
      <w:bookmarkEnd w:id="38"/>
      <w:r w:rsidR="00A158A6">
        <w:rPr>
          <w:rFonts w:ascii="Arial" w:eastAsia="Times New Roman" w:hAnsi="Arial" w:cs="Arial"/>
        </w:rPr>
        <w:t>.</w:t>
      </w:r>
    </w:p>
    <w:p w14:paraId="6644302D" w14:textId="77777777" w:rsidR="003F57C7" w:rsidRPr="003F57C7" w:rsidRDefault="003F57C7" w:rsidP="003F57C7"/>
    <w:p w14:paraId="1BD3AB60" w14:textId="6B1574F8" w:rsidR="009504B0" w:rsidRPr="009A224F" w:rsidRDefault="009504B0" w:rsidP="009A224F">
      <w:pPr>
        <w:pStyle w:val="Heading3"/>
        <w:spacing w:line="360" w:lineRule="auto"/>
        <w:rPr>
          <w:rFonts w:ascii="Arial" w:eastAsia="Times New Roman" w:hAnsi="Arial" w:cs="Arial"/>
        </w:rPr>
      </w:pPr>
      <w:bookmarkStart w:id="39" w:name="_Toc215208583"/>
      <w:r w:rsidRPr="009A224F">
        <w:rPr>
          <w:rFonts w:ascii="Arial" w:eastAsia="Times New Roman" w:hAnsi="Arial" w:cs="Arial"/>
        </w:rPr>
        <w:t>5.3.1. Leadership Style and Communication</w:t>
      </w:r>
      <w:bookmarkEnd w:id="39"/>
      <w:r w:rsidR="00A158A6">
        <w:rPr>
          <w:rFonts w:ascii="Arial" w:eastAsia="Times New Roman" w:hAnsi="Arial" w:cs="Arial"/>
        </w:rPr>
        <w:t>.</w:t>
      </w:r>
    </w:p>
    <w:p w14:paraId="22624098" w14:textId="77777777" w:rsidR="009504B0"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In a high PDI environment, leadership style must incorporate formality and clarity. While employees seek authoritative direction (Hofstede 2010), the most successful managerial approach balances hierarchy with engagement. Research suggests that a </w:t>
      </w:r>
      <w:r w:rsidRPr="00D60E24">
        <w:rPr>
          <w:rStyle w:val="Strong"/>
          <w:rFonts w:ascii="Arial" w:hAnsi="Arial" w:cs="Arial"/>
          <w:b w:val="0"/>
          <w:bCs w:val="0"/>
          <w:color w:val="1F1F1F"/>
          <w:bdr w:val="none" w:sz="0" w:space="0" w:color="auto" w:frame="1"/>
        </w:rPr>
        <w:t>consultative communication style</w:t>
      </w:r>
      <w:r w:rsidRPr="009A224F">
        <w:rPr>
          <w:rFonts w:ascii="Arial" w:hAnsi="Arial" w:cs="Arial"/>
          <w:color w:val="1F1F1F"/>
        </w:rPr>
        <w:t xml:space="preserve"> and transformational leadership, which focuses on developing employees and fostering an egalitarian work environment, are highly effective in Indian organizations (Javidan &amp; House 2001). This hybrid approach secures organizational compliance while also fulfilling the collectivist expectation of the employer providing long-term personal and professional growth (Hall 1976; </w:t>
      </w:r>
      <w:proofErr w:type="spellStart"/>
      <w:r w:rsidRPr="009A224F">
        <w:rPr>
          <w:rFonts w:ascii="Arial" w:hAnsi="Arial" w:cs="Arial"/>
          <w:color w:val="1F1F1F"/>
        </w:rPr>
        <w:t>Srimannarayana</w:t>
      </w:r>
      <w:proofErr w:type="spellEnd"/>
      <w:r w:rsidRPr="009A224F">
        <w:rPr>
          <w:rFonts w:ascii="Arial" w:hAnsi="Arial" w:cs="Arial"/>
          <w:color w:val="1F1F1F"/>
        </w:rPr>
        <w:t xml:space="preserve"> 2007).</w:t>
      </w:r>
    </w:p>
    <w:p w14:paraId="3521299B" w14:textId="77777777" w:rsidR="003F57C7" w:rsidRPr="009A224F" w:rsidRDefault="003F57C7" w:rsidP="009A224F">
      <w:pPr>
        <w:pStyle w:val="NormalWeb"/>
        <w:spacing w:before="0" w:beforeAutospacing="0" w:after="0" w:afterAutospacing="0" w:line="360" w:lineRule="auto"/>
        <w:rPr>
          <w:rFonts w:ascii="Arial" w:hAnsi="Arial" w:cs="Arial"/>
          <w:color w:val="1F1F1F"/>
        </w:rPr>
      </w:pPr>
    </w:p>
    <w:p w14:paraId="2E54BBF8" w14:textId="624B064C" w:rsidR="009504B0" w:rsidRPr="009A224F" w:rsidRDefault="009504B0" w:rsidP="009A224F">
      <w:pPr>
        <w:pStyle w:val="Heading3"/>
        <w:spacing w:line="360" w:lineRule="auto"/>
        <w:rPr>
          <w:rFonts w:ascii="Arial" w:eastAsia="Times New Roman" w:hAnsi="Arial" w:cs="Arial"/>
        </w:rPr>
      </w:pPr>
      <w:bookmarkStart w:id="40" w:name="_Toc215208584"/>
      <w:r w:rsidRPr="009A224F">
        <w:rPr>
          <w:rFonts w:ascii="Arial" w:eastAsia="Times New Roman" w:hAnsi="Arial" w:cs="Arial"/>
        </w:rPr>
        <w:t>5.3.2. Crisis Communication Failure (Cultural Insight)</w:t>
      </w:r>
      <w:bookmarkEnd w:id="40"/>
      <w:r w:rsidR="00F32B14">
        <w:rPr>
          <w:rFonts w:ascii="Arial" w:eastAsia="Times New Roman" w:hAnsi="Arial" w:cs="Arial"/>
        </w:rPr>
        <w:t>.</w:t>
      </w:r>
    </w:p>
    <w:p w14:paraId="03BBEE24" w14:textId="16EF748D"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The Maggi crisis in 2015 provides a stark example of cultural misalignment in organizational response. When the FSSAI banned the product, Nestlé's initial response was slow, delayed for weeks, and focused heavily on technical facts and scientific </w:t>
      </w:r>
      <w:r w:rsidR="00D60E24" w:rsidRPr="009A224F">
        <w:rPr>
          <w:rFonts w:ascii="Arial" w:hAnsi="Arial" w:cs="Arial"/>
          <w:color w:val="1F1F1F"/>
        </w:rPr>
        <w:t>defence</w:t>
      </w:r>
      <w:r w:rsidRPr="009A224F">
        <w:rPr>
          <w:rFonts w:ascii="Arial" w:hAnsi="Arial" w:cs="Arial"/>
          <w:color w:val="1F1F1F"/>
        </w:rPr>
        <w:t xml:space="preserve"> (Singh &amp; Gupta 2016; Hindustan Times 2015). In a high-PDI, collectivist society, consumers and the public expected an immediate, authoritative, and empathetic response from the corporate parent—a demonstration of "familial protection" over mere technical correctness (Schein 2004; Iyer 2017). This communication failure allowed consumer perceptions and regulatory scrutiny to escalate, resulting in severe losses and brand damage (Singh &amp; Gupta 2016; The Hindu 2016). The crisis demonstrated that success in India requires management SOPs to prioritize swift, culturally resonant communication that builds trust (Collectivism) and demonstrates decisive authority (PDI) above all else during a crisis (Iyer 2017).</w:t>
      </w:r>
    </w:p>
    <w:p w14:paraId="62F220CA" w14:textId="733D812D" w:rsidR="009504B0" w:rsidRDefault="009504B0" w:rsidP="009A224F">
      <w:pPr>
        <w:pStyle w:val="Heading1"/>
        <w:spacing w:line="360" w:lineRule="auto"/>
        <w:rPr>
          <w:rFonts w:ascii="Arial" w:eastAsia="Times New Roman" w:hAnsi="Arial" w:cs="Arial"/>
        </w:rPr>
      </w:pPr>
      <w:bookmarkStart w:id="41" w:name="_Toc215208585"/>
      <w:r w:rsidRPr="009A224F">
        <w:rPr>
          <w:rFonts w:ascii="Arial" w:eastAsia="Times New Roman" w:hAnsi="Arial" w:cs="Arial"/>
        </w:rPr>
        <w:lastRenderedPageBreak/>
        <w:t>6. Recommended Adjustments to Standard Operating Procedures (SOPs)</w:t>
      </w:r>
      <w:bookmarkEnd w:id="41"/>
      <w:r w:rsidR="00F32B14">
        <w:rPr>
          <w:rFonts w:ascii="Arial" w:eastAsia="Times New Roman" w:hAnsi="Arial" w:cs="Arial"/>
        </w:rPr>
        <w:t>.</w:t>
      </w:r>
    </w:p>
    <w:p w14:paraId="428E07A6" w14:textId="77777777" w:rsidR="00F32B14" w:rsidRPr="00F32B14" w:rsidRDefault="00F32B14" w:rsidP="00F32B14"/>
    <w:p w14:paraId="7DE0D3C0" w14:textId="77777777" w:rsidR="009504B0"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Based on the analysis of the OLI framework, which justified the WOS entry based on control, and the cultural analysis, which revealed vulnerabilities in accountability and communication, three major adjustments to Nestlé India’s Standard Operating Procedures are necessary to ensure future success.</w:t>
      </w:r>
    </w:p>
    <w:p w14:paraId="67286D14" w14:textId="77777777" w:rsidR="00F32B14" w:rsidRPr="009A224F" w:rsidRDefault="00F32B14" w:rsidP="009A224F">
      <w:pPr>
        <w:pStyle w:val="NormalWeb"/>
        <w:spacing w:before="0" w:beforeAutospacing="0" w:after="240" w:afterAutospacing="0" w:line="360" w:lineRule="auto"/>
        <w:rPr>
          <w:rFonts w:ascii="Arial" w:hAnsi="Arial" w:cs="Arial"/>
          <w:color w:val="1F1F1F"/>
        </w:rPr>
      </w:pPr>
    </w:p>
    <w:p w14:paraId="35285BF2" w14:textId="199186F3" w:rsidR="009504B0" w:rsidRPr="009A224F" w:rsidRDefault="009504B0" w:rsidP="009A224F">
      <w:pPr>
        <w:pStyle w:val="Heading2"/>
        <w:spacing w:line="360" w:lineRule="auto"/>
        <w:rPr>
          <w:rFonts w:ascii="Arial" w:eastAsia="Times New Roman" w:hAnsi="Arial" w:cs="Arial"/>
        </w:rPr>
      </w:pPr>
      <w:bookmarkStart w:id="42" w:name="_Toc215208586"/>
      <w:r w:rsidRPr="009A224F">
        <w:rPr>
          <w:rFonts w:ascii="Arial" w:eastAsia="Times New Roman" w:hAnsi="Arial" w:cs="Arial"/>
        </w:rPr>
        <w:t>6.1. Recommendation 1: Enhanced and Localized Quality Control and Compliance SOPs</w:t>
      </w:r>
      <w:bookmarkEnd w:id="42"/>
      <w:r w:rsidR="00F32B14">
        <w:rPr>
          <w:rFonts w:ascii="Arial" w:eastAsia="Times New Roman" w:hAnsi="Arial" w:cs="Arial"/>
        </w:rPr>
        <w:t>.</w:t>
      </w:r>
    </w:p>
    <w:p w14:paraId="685C1BAB" w14:textId="77777777" w:rsidR="009504B0" w:rsidRPr="009A224F" w:rsidRDefault="009504B0" w:rsidP="009A224F">
      <w:pPr>
        <w:pStyle w:val="Heading3"/>
        <w:spacing w:line="360" w:lineRule="auto"/>
        <w:rPr>
          <w:rFonts w:ascii="Arial" w:eastAsia="Times New Roman" w:hAnsi="Arial" w:cs="Arial"/>
        </w:rPr>
      </w:pPr>
      <w:bookmarkStart w:id="43" w:name="_Toc215208587"/>
      <w:r w:rsidRPr="009A224F">
        <w:rPr>
          <w:rFonts w:ascii="Arial" w:eastAsia="Times New Roman" w:hAnsi="Arial" w:cs="Arial"/>
        </w:rPr>
        <w:t>6.1.1. Justification (I-Advantage Protection and Regulatory Risk Mitigation)</w:t>
      </w:r>
      <w:bookmarkEnd w:id="43"/>
    </w:p>
    <w:p w14:paraId="309E5746" w14:textId="77777777" w:rsidR="009504B0"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The cornerstone of the WOS entry (Internalization advantage) is the preservation of Nestlé's Ownership advantage (quality and brand). The 2015 Maggi crisis demonstrated that standard global SOPs (e.g., HACCP) are insufficient when local regulatory scrutiny is high and specific local factor conditions (e.g., raw material sourcing leading to contamination concerns) are present (Singh &amp; Gupta 2016; WHO 2020). Success requires Nestlé to move beyond minimal compliance and develop </w:t>
      </w:r>
      <w:r w:rsidRPr="00B05EFC">
        <w:rPr>
          <w:rStyle w:val="Strong"/>
          <w:rFonts w:ascii="Arial" w:hAnsi="Arial" w:cs="Arial"/>
          <w:b w:val="0"/>
          <w:bCs w:val="0"/>
          <w:color w:val="1F1F1F"/>
          <w:bdr w:val="none" w:sz="0" w:space="0" w:color="auto" w:frame="1"/>
        </w:rPr>
        <w:t>Regulatory Foresight</w:t>
      </w:r>
      <w:r w:rsidRPr="009A224F">
        <w:rPr>
          <w:rFonts w:ascii="Arial" w:hAnsi="Arial" w:cs="Arial"/>
          <w:color w:val="1F1F1F"/>
        </w:rPr>
        <w:t xml:space="preserve"> (Iyer 2017).</w:t>
      </w:r>
    </w:p>
    <w:p w14:paraId="160F751C" w14:textId="77777777" w:rsidR="007C0B16" w:rsidRDefault="007C0B16" w:rsidP="009A224F">
      <w:pPr>
        <w:pStyle w:val="NormalWeb"/>
        <w:spacing w:before="0" w:beforeAutospacing="0" w:after="0" w:afterAutospacing="0" w:line="360" w:lineRule="auto"/>
        <w:rPr>
          <w:rFonts w:ascii="Arial" w:hAnsi="Arial" w:cs="Arial"/>
          <w:color w:val="1F1F1F"/>
        </w:rPr>
      </w:pPr>
    </w:p>
    <w:p w14:paraId="4586DE56" w14:textId="77777777" w:rsidR="009504B0" w:rsidRPr="009A224F" w:rsidRDefault="009504B0" w:rsidP="009A224F">
      <w:pPr>
        <w:pStyle w:val="Heading3"/>
        <w:spacing w:line="360" w:lineRule="auto"/>
        <w:rPr>
          <w:rFonts w:ascii="Arial" w:eastAsia="Times New Roman" w:hAnsi="Arial" w:cs="Arial"/>
        </w:rPr>
      </w:pPr>
      <w:bookmarkStart w:id="44" w:name="_Toc215208588"/>
      <w:r w:rsidRPr="009A224F">
        <w:rPr>
          <w:rFonts w:ascii="Arial" w:eastAsia="Times New Roman" w:hAnsi="Arial" w:cs="Arial"/>
        </w:rPr>
        <w:t>6.1.2. Proposed Adjustment: Institutionalization of a Regulatory Foresight SOP</w:t>
      </w:r>
      <w:bookmarkEnd w:id="44"/>
    </w:p>
    <w:p w14:paraId="620C7523"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Nestlé India must establish a mandatory, dedicated </w:t>
      </w:r>
      <w:r w:rsidRPr="00C14C8A">
        <w:rPr>
          <w:rStyle w:val="Strong"/>
          <w:rFonts w:ascii="Arial" w:hAnsi="Arial" w:cs="Arial"/>
          <w:b w:val="0"/>
          <w:bCs w:val="0"/>
          <w:color w:val="1F1F1F"/>
          <w:bdr w:val="none" w:sz="0" w:space="0" w:color="auto" w:frame="1"/>
        </w:rPr>
        <w:t>Regulatory Foresight Unit</w:t>
      </w:r>
      <w:r w:rsidRPr="009A224F">
        <w:rPr>
          <w:rStyle w:val="Strong"/>
          <w:rFonts w:ascii="Arial" w:hAnsi="Arial" w:cs="Arial"/>
          <w:color w:val="1F1F1F"/>
          <w:bdr w:val="none" w:sz="0" w:space="0" w:color="auto" w:frame="1"/>
        </w:rPr>
        <w:t xml:space="preserve"> </w:t>
      </w:r>
      <w:r w:rsidRPr="00934E6D">
        <w:rPr>
          <w:rStyle w:val="Strong"/>
          <w:rFonts w:ascii="Arial" w:hAnsi="Arial" w:cs="Arial"/>
          <w:b w:val="0"/>
          <w:bCs w:val="0"/>
          <w:color w:val="1F1F1F"/>
          <w:bdr w:val="none" w:sz="0" w:space="0" w:color="auto" w:frame="1"/>
        </w:rPr>
        <w:t>(RQFU)</w:t>
      </w:r>
      <w:r w:rsidRPr="00934E6D">
        <w:rPr>
          <w:rFonts w:ascii="Arial" w:hAnsi="Arial" w:cs="Arial"/>
          <w:b/>
          <w:bCs/>
          <w:color w:val="1F1F1F"/>
        </w:rPr>
        <w:t>.</w:t>
      </w:r>
      <w:r w:rsidRPr="009A224F">
        <w:rPr>
          <w:rFonts w:ascii="Arial" w:hAnsi="Arial" w:cs="Arial"/>
          <w:color w:val="1F1F1F"/>
        </w:rPr>
        <w:t xml:space="preserve"> This unit must operate with explicit, high-level managerial authority, addressing the PDI requirement for clear command structures. The RQFU’s SOPs should mandate continuous monitoring and predictive analysis of regulatory movements by bodies like the FSSAI, state-level health departments, and consumer perception trends (FSSAI 2024).</w:t>
      </w:r>
    </w:p>
    <w:p w14:paraId="12F6AF23" w14:textId="77777777" w:rsidR="009504B0"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lastRenderedPageBreak/>
        <w:t>The core operational adjustment involves implementing a</w:t>
      </w:r>
      <w:r w:rsidRPr="00934E6D">
        <w:rPr>
          <w:rFonts w:ascii="Arial" w:hAnsi="Arial" w:cs="Arial"/>
          <w:color w:val="1F1F1F"/>
        </w:rPr>
        <w:t xml:space="preserve"> </w:t>
      </w:r>
      <w:r w:rsidRPr="00934E6D">
        <w:rPr>
          <w:rStyle w:val="Strong"/>
          <w:rFonts w:ascii="Arial" w:hAnsi="Arial" w:cs="Arial"/>
          <w:b w:val="0"/>
          <w:bCs w:val="0"/>
          <w:color w:val="1F1F1F"/>
          <w:bdr w:val="none" w:sz="0" w:space="0" w:color="auto" w:frame="1"/>
        </w:rPr>
        <w:t>Proactive Compliance</w:t>
      </w:r>
      <w:r w:rsidRPr="00934E6D">
        <w:rPr>
          <w:rStyle w:val="Strong"/>
          <w:rFonts w:ascii="Arial" w:hAnsi="Arial" w:cs="Arial"/>
          <w:color w:val="1F1F1F"/>
          <w:bdr w:val="none" w:sz="0" w:space="0" w:color="auto" w:frame="1"/>
        </w:rPr>
        <w:t xml:space="preserve"> </w:t>
      </w:r>
      <w:r w:rsidRPr="00934E6D">
        <w:rPr>
          <w:rStyle w:val="Strong"/>
          <w:rFonts w:ascii="Arial" w:hAnsi="Arial" w:cs="Arial"/>
          <w:b w:val="0"/>
          <w:bCs w:val="0"/>
          <w:color w:val="1F1F1F"/>
          <w:bdr w:val="none" w:sz="0" w:space="0" w:color="auto" w:frame="1"/>
        </w:rPr>
        <w:t>SOP</w:t>
      </w:r>
      <w:r w:rsidRPr="009A224F">
        <w:rPr>
          <w:rFonts w:ascii="Arial" w:hAnsi="Arial" w:cs="Arial"/>
          <w:color w:val="1F1F1F"/>
        </w:rPr>
        <w:t xml:space="preserve">. This SOP must require internal testing protocols to consistently </w:t>
      </w:r>
      <w:r w:rsidRPr="00934E6D">
        <w:rPr>
          <w:rStyle w:val="Strong"/>
          <w:rFonts w:ascii="Arial" w:hAnsi="Arial" w:cs="Arial"/>
          <w:b w:val="0"/>
          <w:bCs w:val="0"/>
          <w:color w:val="1F1F1F"/>
          <w:bdr w:val="none" w:sz="0" w:space="0" w:color="auto" w:frame="1"/>
        </w:rPr>
        <w:t>exceed</w:t>
      </w:r>
      <w:r w:rsidRPr="009A224F">
        <w:rPr>
          <w:rFonts w:ascii="Arial" w:hAnsi="Arial" w:cs="Arial"/>
          <w:color w:val="1F1F1F"/>
        </w:rPr>
        <w:t xml:space="preserve"> current FSSAI minimum permissible limits for sensitive substances (such as heavy metals or undeclared additives), benchmarking against the highest regulatory standards applied globally (Singh &amp; Gupta 2016). Furthermore, the SOP must integrate internal quality assurance systems (like GWP and GMP) with mandated, regular audits of all local Tier 1 and Tier 2 suppliers (Kotler 2019; UN Global Compact 2018). This internalized control mechanism reinforces the I-advantage, ensuring that the company maintains its O-advantage (quality) and mitigates specific L-risks (regulatory volatility). The SOP must include detailed documentation protocols, ensuring that testing results and compliance records are always audit-ready for rapid submission to regulators and proactive, transparent public communication.</w:t>
      </w:r>
    </w:p>
    <w:p w14:paraId="394DF6BC" w14:textId="77777777" w:rsidR="00931443" w:rsidRPr="009A224F" w:rsidRDefault="00931443" w:rsidP="009A224F">
      <w:pPr>
        <w:pStyle w:val="NormalWeb"/>
        <w:spacing w:before="0" w:beforeAutospacing="0" w:after="0" w:afterAutospacing="0" w:line="360" w:lineRule="auto"/>
        <w:rPr>
          <w:rFonts w:ascii="Arial" w:hAnsi="Arial" w:cs="Arial"/>
          <w:color w:val="1F1F1F"/>
        </w:rPr>
      </w:pPr>
    </w:p>
    <w:p w14:paraId="1CA98904" w14:textId="77777777" w:rsidR="009504B0" w:rsidRPr="009A224F" w:rsidRDefault="009504B0" w:rsidP="009A224F">
      <w:pPr>
        <w:pStyle w:val="Heading2"/>
        <w:spacing w:line="360" w:lineRule="auto"/>
        <w:rPr>
          <w:rFonts w:ascii="Arial" w:eastAsia="Times New Roman" w:hAnsi="Arial" w:cs="Arial"/>
        </w:rPr>
      </w:pPr>
      <w:bookmarkStart w:id="45" w:name="_Toc215208589"/>
      <w:r w:rsidRPr="009A224F">
        <w:rPr>
          <w:rFonts w:ascii="Arial" w:eastAsia="Times New Roman" w:hAnsi="Arial" w:cs="Arial"/>
        </w:rPr>
        <w:t>6.2. Recommendation 2: Restructuring Internal Communication and Decision-Making SOPs</w:t>
      </w:r>
      <w:bookmarkEnd w:id="45"/>
    </w:p>
    <w:p w14:paraId="2EFA13E1" w14:textId="77777777" w:rsidR="009504B0" w:rsidRPr="009A224F" w:rsidRDefault="009504B0" w:rsidP="009A224F">
      <w:pPr>
        <w:pStyle w:val="Heading3"/>
        <w:spacing w:line="360" w:lineRule="auto"/>
        <w:rPr>
          <w:rFonts w:ascii="Arial" w:eastAsia="Times New Roman" w:hAnsi="Arial" w:cs="Arial"/>
        </w:rPr>
      </w:pPr>
      <w:bookmarkStart w:id="46" w:name="_Toc215208590"/>
      <w:r w:rsidRPr="009A224F">
        <w:rPr>
          <w:rFonts w:ascii="Arial" w:eastAsia="Times New Roman" w:hAnsi="Arial" w:cs="Arial"/>
        </w:rPr>
        <w:t>6.2.1. Justification (PDI and Crisis Response)</w:t>
      </w:r>
      <w:bookmarkEnd w:id="46"/>
    </w:p>
    <w:p w14:paraId="4AD965C5" w14:textId="599D2FF3" w:rsidR="009504B0"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The </w:t>
      </w:r>
      <w:r w:rsidR="00934E6D" w:rsidRPr="009A224F">
        <w:rPr>
          <w:rFonts w:ascii="Arial" w:hAnsi="Arial" w:cs="Arial"/>
          <w:color w:val="1F1F1F"/>
        </w:rPr>
        <w:t>high</w:t>
      </w:r>
      <w:r w:rsidR="00934E6D">
        <w:rPr>
          <w:rFonts w:ascii="Arial" w:hAnsi="Arial" w:cs="Arial"/>
          <w:color w:val="1F1F1F"/>
        </w:rPr>
        <w:t>-Power</w:t>
      </w:r>
      <w:r w:rsidRPr="009A224F">
        <w:rPr>
          <w:rFonts w:ascii="Arial" w:hAnsi="Arial" w:cs="Arial"/>
          <w:color w:val="1F1F1F"/>
        </w:rPr>
        <w:t xml:space="preserve"> Distance culture in India demands clear, authoritative leadership, especially when operational issues arise. The initial sluggish and defensive response during the Maggi crisis was a systemic failure of communication SOPs (Singh &amp; Gupta 2016; Hindustan Times 2015). While decentralization is key to TNC flexibility (Johnson &amp; Davies 1998), crises require swift, coordinated, and authoritative decision-making to address both technical facts and public perceptions (Coombs 2014).</w:t>
      </w:r>
    </w:p>
    <w:p w14:paraId="112217E7" w14:textId="77777777" w:rsidR="009504B0" w:rsidRPr="009A224F" w:rsidRDefault="009504B0" w:rsidP="009A224F">
      <w:pPr>
        <w:pStyle w:val="Heading3"/>
        <w:spacing w:line="360" w:lineRule="auto"/>
        <w:rPr>
          <w:rFonts w:ascii="Arial" w:eastAsia="Times New Roman" w:hAnsi="Arial" w:cs="Arial"/>
        </w:rPr>
      </w:pPr>
      <w:bookmarkStart w:id="47" w:name="_Toc215208591"/>
      <w:r w:rsidRPr="009A224F">
        <w:rPr>
          <w:rFonts w:ascii="Arial" w:eastAsia="Times New Roman" w:hAnsi="Arial" w:cs="Arial"/>
        </w:rPr>
        <w:t>6.2.2. Proposed Adjustment: Formalized Consultative Authority and Triage SOPs</w:t>
      </w:r>
      <w:bookmarkEnd w:id="47"/>
    </w:p>
    <w:p w14:paraId="63FBAA85"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Nestlé must implement a two-tiered decision-making SOP for all strategic and high-risk operational matters, balancing the need for speed with the cultural requirement for hierarchy and consultation.</w:t>
      </w:r>
    </w:p>
    <w:p w14:paraId="48C99399"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First, a </w:t>
      </w:r>
      <w:r w:rsidRPr="00934E6D">
        <w:rPr>
          <w:rStyle w:val="Strong"/>
          <w:rFonts w:ascii="Arial" w:hAnsi="Arial" w:cs="Arial"/>
          <w:b w:val="0"/>
          <w:bCs w:val="0"/>
          <w:color w:val="1F1F1F"/>
          <w:bdr w:val="none" w:sz="0" w:space="0" w:color="auto" w:frame="1"/>
        </w:rPr>
        <w:t>Consultative Phase SOP</w:t>
      </w:r>
      <w:r w:rsidRPr="009A224F">
        <w:rPr>
          <w:rFonts w:ascii="Arial" w:hAnsi="Arial" w:cs="Arial"/>
          <w:color w:val="1F1F1F"/>
        </w:rPr>
        <w:t xml:space="preserve"> should formalize mandatory feedback loops requiring input from mid-level Indian managers across R&amp;D, production, and </w:t>
      </w:r>
      <w:r w:rsidRPr="009A224F">
        <w:rPr>
          <w:rFonts w:ascii="Arial" w:hAnsi="Arial" w:cs="Arial"/>
          <w:color w:val="1F1F1F"/>
        </w:rPr>
        <w:lastRenderedPageBreak/>
        <w:t>distribution before final decisions are made regarding major policy shifts or critical product launches. This consultative stage addresses the collectivist need for relationship-based input and involvement (Javidan &amp; House 2001).</w:t>
      </w:r>
    </w:p>
    <w:p w14:paraId="783021E8" w14:textId="77777777" w:rsidR="009504B0"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Second, a </w:t>
      </w:r>
      <w:r w:rsidRPr="004A34E9">
        <w:rPr>
          <w:rStyle w:val="Strong"/>
          <w:rFonts w:ascii="Arial" w:hAnsi="Arial" w:cs="Arial"/>
          <w:b w:val="0"/>
          <w:bCs w:val="0"/>
          <w:color w:val="1F1F1F"/>
          <w:bdr w:val="none" w:sz="0" w:space="0" w:color="auto" w:frame="1"/>
        </w:rPr>
        <w:t>Crisis Communication Triage SOP</w:t>
      </w:r>
      <w:r w:rsidRPr="009A224F">
        <w:rPr>
          <w:rFonts w:ascii="Arial" w:hAnsi="Arial" w:cs="Arial"/>
          <w:color w:val="1F1F1F"/>
        </w:rPr>
        <w:t xml:space="preserve"> must be established, assigning clear, immediate roles and responsibilities to senior leadership. This SOP must override the standard decentralized management during a crisis, mandating that the highest executive authority (e.g., the CMD) issue an immediate, empathetic, and </w:t>
      </w:r>
      <w:proofErr w:type="gramStart"/>
      <w:r w:rsidRPr="009A224F">
        <w:rPr>
          <w:rFonts w:ascii="Arial" w:hAnsi="Arial" w:cs="Arial"/>
          <w:color w:val="1F1F1F"/>
        </w:rPr>
        <w:t>culturally-attuned</w:t>
      </w:r>
      <w:proofErr w:type="gramEnd"/>
      <w:r w:rsidRPr="009A224F">
        <w:rPr>
          <w:rFonts w:ascii="Arial" w:hAnsi="Arial" w:cs="Arial"/>
          <w:color w:val="1F1F1F"/>
        </w:rPr>
        <w:t xml:space="preserve"> public statement within a designated short timeframe (e.g., 12 hours) of a regulatory or safety incident (Argenti 2017). This formal, expedited response mechanism demonstrates decisive, PDI-compliant leadership and focuses on restoring consumer trust (Collectivism) before relying solely on technical data (Schein 2004). This adjustment transforms the lessons learned from the 2015 crisis—that perception matters more than technical facts—into a structured operational protocol (Iyer 2017).</w:t>
      </w:r>
    </w:p>
    <w:p w14:paraId="4EE8C12C" w14:textId="77777777" w:rsidR="00460D90" w:rsidRDefault="00460D90" w:rsidP="009A224F">
      <w:pPr>
        <w:pStyle w:val="NormalWeb"/>
        <w:spacing w:before="0" w:beforeAutospacing="0" w:after="0" w:afterAutospacing="0" w:line="360" w:lineRule="auto"/>
        <w:rPr>
          <w:rFonts w:ascii="Arial" w:hAnsi="Arial" w:cs="Arial"/>
          <w:color w:val="1F1F1F"/>
        </w:rPr>
      </w:pPr>
    </w:p>
    <w:p w14:paraId="61458034" w14:textId="77777777" w:rsidR="000D12EE" w:rsidRPr="009A224F" w:rsidRDefault="000D12EE" w:rsidP="009A224F">
      <w:pPr>
        <w:pStyle w:val="NormalWeb"/>
        <w:spacing w:before="0" w:beforeAutospacing="0" w:after="0" w:afterAutospacing="0" w:line="360" w:lineRule="auto"/>
        <w:rPr>
          <w:rFonts w:ascii="Arial" w:hAnsi="Arial" w:cs="Arial"/>
          <w:color w:val="1F1F1F"/>
        </w:rPr>
      </w:pPr>
    </w:p>
    <w:p w14:paraId="6991AC80" w14:textId="77777777" w:rsidR="009504B0" w:rsidRPr="009A224F" w:rsidRDefault="009504B0" w:rsidP="009A224F">
      <w:pPr>
        <w:pStyle w:val="Heading2"/>
        <w:spacing w:line="360" w:lineRule="auto"/>
        <w:rPr>
          <w:rFonts w:ascii="Arial" w:eastAsia="Times New Roman" w:hAnsi="Arial" w:cs="Arial"/>
        </w:rPr>
      </w:pPr>
      <w:bookmarkStart w:id="48" w:name="_Toc215208592"/>
      <w:r w:rsidRPr="009A224F">
        <w:rPr>
          <w:rFonts w:ascii="Arial" w:eastAsia="Times New Roman" w:hAnsi="Arial" w:cs="Arial"/>
        </w:rPr>
        <w:t>6.3. Recommendation 3: Localizing Human Resource Management (HRM) SOPs and Training</w:t>
      </w:r>
      <w:bookmarkEnd w:id="48"/>
    </w:p>
    <w:p w14:paraId="1493A802" w14:textId="77777777" w:rsidR="009504B0" w:rsidRPr="009A224F" w:rsidRDefault="009504B0" w:rsidP="009A224F">
      <w:pPr>
        <w:pStyle w:val="Heading3"/>
        <w:spacing w:line="360" w:lineRule="auto"/>
        <w:rPr>
          <w:rFonts w:ascii="Arial" w:eastAsia="Times New Roman" w:hAnsi="Arial" w:cs="Arial"/>
        </w:rPr>
      </w:pPr>
      <w:bookmarkStart w:id="49" w:name="_Toc215208593"/>
      <w:r w:rsidRPr="009A224F">
        <w:rPr>
          <w:rFonts w:ascii="Arial" w:eastAsia="Times New Roman" w:hAnsi="Arial" w:cs="Arial"/>
        </w:rPr>
        <w:t>6.3.1. Justification (Collectivism and Talent Retention)</w:t>
      </w:r>
      <w:bookmarkEnd w:id="49"/>
    </w:p>
    <w:p w14:paraId="7FA111B7" w14:textId="78C12DF3" w:rsidR="009504B0" w:rsidRDefault="009504B0" w:rsidP="009A224F">
      <w:pPr>
        <w:pStyle w:val="NormalWeb"/>
        <w:spacing w:before="0" w:beforeAutospacing="0" w:after="240" w:afterAutospacing="0" w:line="360" w:lineRule="auto"/>
        <w:rPr>
          <w:rStyle w:val="citation-2"/>
          <w:rFonts w:ascii="Arial" w:hAnsi="Arial" w:cs="Arial"/>
          <w:b/>
          <w:bCs/>
          <w:color w:val="1F1F1F"/>
        </w:rPr>
      </w:pPr>
      <w:r w:rsidRPr="009A224F">
        <w:rPr>
          <w:rFonts w:ascii="Arial" w:hAnsi="Arial" w:cs="Arial"/>
          <w:color w:val="1F1F1F"/>
        </w:rPr>
        <w:t xml:space="preserve">To secure its success in India (Location advantage optimization), Nestlé must </w:t>
      </w:r>
      <w:r w:rsidR="001819C8">
        <w:rPr>
          <w:rStyle w:val="citation-2"/>
          <w:rFonts w:ascii="Arial" w:hAnsi="Arial" w:cs="Arial"/>
          <w:color w:val="1F1F1F"/>
        </w:rPr>
        <w:t>Implement clear, long-term career paths linked to the Manesar Innovation Hub to demonstrate "familial" commitment to employee growth</w:t>
      </w:r>
      <w:r w:rsidR="001819C8">
        <w:rPr>
          <w:rFonts w:ascii="Arial" w:hAnsi="Arial" w:cs="Arial"/>
          <w:color w:val="1F1F1F"/>
        </w:rPr>
        <w:t>.</w:t>
      </w:r>
      <w:r w:rsidR="001819C8" w:rsidRPr="009A224F">
        <w:rPr>
          <w:rFonts w:ascii="Arial" w:hAnsi="Arial" w:cs="Arial"/>
          <w:color w:val="1F1F1F"/>
        </w:rPr>
        <w:t xml:space="preserve"> </w:t>
      </w:r>
      <w:r w:rsidR="00DD2DC5">
        <w:rPr>
          <w:rFonts w:ascii="Arial" w:hAnsi="Arial" w:cs="Arial"/>
          <w:color w:val="1F1F1F"/>
        </w:rPr>
        <w:t>Additionally, to a</w:t>
      </w:r>
      <w:r w:rsidR="001819C8" w:rsidRPr="009A224F">
        <w:rPr>
          <w:rFonts w:ascii="Arial" w:hAnsi="Arial" w:cs="Arial"/>
          <w:color w:val="1F1F1F"/>
        </w:rPr>
        <w:t>ttract</w:t>
      </w:r>
      <w:r w:rsidRPr="009A224F">
        <w:rPr>
          <w:rFonts w:ascii="Arial" w:hAnsi="Arial" w:cs="Arial"/>
          <w:color w:val="1F1F1F"/>
        </w:rPr>
        <w:t xml:space="preserve"> and retain high-quality local talent. The collectivist nature of the market dictates that financial compensation alone is insufficient; employees seek loyalty, long-term development, and a demonstration of the company’s investment in their group and community (Hall 1976; </w:t>
      </w:r>
      <w:proofErr w:type="spellStart"/>
      <w:r w:rsidRPr="009A224F">
        <w:rPr>
          <w:rFonts w:ascii="Arial" w:hAnsi="Arial" w:cs="Arial"/>
          <w:color w:val="1F1F1F"/>
        </w:rPr>
        <w:t>Srimannarayana</w:t>
      </w:r>
      <w:proofErr w:type="spellEnd"/>
      <w:r w:rsidRPr="009A224F">
        <w:rPr>
          <w:rFonts w:ascii="Arial" w:hAnsi="Arial" w:cs="Arial"/>
          <w:color w:val="1F1F1F"/>
        </w:rPr>
        <w:t xml:space="preserve"> 2007). Global, individualistic performance metrics may fail to capture the critical value derived from relational capital.</w:t>
      </w:r>
      <w:r w:rsidR="001669D4" w:rsidRPr="001669D4">
        <w:rPr>
          <w:rStyle w:val="citation-2"/>
          <w:rFonts w:ascii="Arial" w:hAnsi="Arial" w:cs="Arial"/>
          <w:b/>
          <w:bCs/>
          <w:color w:val="1F1F1F"/>
        </w:rPr>
        <w:t xml:space="preserve"> </w:t>
      </w:r>
      <w:r w:rsidR="001819C8">
        <w:rPr>
          <w:rStyle w:val="citation-2"/>
          <w:rFonts w:ascii="Arial" w:hAnsi="Arial" w:cs="Arial"/>
          <w:b/>
          <w:bCs/>
          <w:color w:val="1F1F1F"/>
        </w:rPr>
        <w:t xml:space="preserve"> </w:t>
      </w:r>
    </w:p>
    <w:p w14:paraId="123C3673" w14:textId="77777777" w:rsidR="004A34E9" w:rsidRDefault="004A34E9" w:rsidP="009A224F">
      <w:pPr>
        <w:pStyle w:val="NormalWeb"/>
        <w:spacing w:before="0" w:beforeAutospacing="0" w:after="240" w:afterAutospacing="0" w:line="360" w:lineRule="auto"/>
        <w:rPr>
          <w:rFonts w:ascii="Arial" w:hAnsi="Arial" w:cs="Arial"/>
          <w:color w:val="1F1F1F"/>
        </w:rPr>
      </w:pPr>
    </w:p>
    <w:p w14:paraId="61319423" w14:textId="6459C706" w:rsidR="009504B0" w:rsidRPr="009A224F" w:rsidRDefault="009504B0" w:rsidP="009A224F">
      <w:pPr>
        <w:pStyle w:val="Heading3"/>
        <w:spacing w:line="360" w:lineRule="auto"/>
        <w:rPr>
          <w:rFonts w:ascii="Arial" w:eastAsia="Times New Roman" w:hAnsi="Arial" w:cs="Arial"/>
        </w:rPr>
      </w:pPr>
      <w:bookmarkStart w:id="50" w:name="_Toc215208594"/>
      <w:r w:rsidRPr="009A224F">
        <w:rPr>
          <w:rFonts w:ascii="Arial" w:eastAsia="Times New Roman" w:hAnsi="Arial" w:cs="Arial"/>
        </w:rPr>
        <w:lastRenderedPageBreak/>
        <w:t>6.3.2. Proposed Adjustment: Culturally Adaptive Performance and Development SOPs</w:t>
      </w:r>
      <w:r w:rsidR="002250C0">
        <w:rPr>
          <w:rFonts w:ascii="Arial" w:eastAsia="Times New Roman" w:hAnsi="Arial" w:cs="Arial"/>
        </w:rPr>
        <w:t>.</w:t>
      </w:r>
      <w:bookmarkEnd w:id="50"/>
    </w:p>
    <w:p w14:paraId="460CE9E4" w14:textId="77777777" w:rsidR="009504B0" w:rsidRPr="009A224F" w:rsidRDefault="009504B0" w:rsidP="009A224F">
      <w:pPr>
        <w:pStyle w:val="NormalWeb"/>
        <w:spacing w:before="0" w:beforeAutospacing="0" w:after="120" w:afterAutospacing="0" w:line="360" w:lineRule="auto"/>
        <w:rPr>
          <w:rFonts w:ascii="Arial" w:hAnsi="Arial" w:cs="Arial"/>
          <w:color w:val="1F1F1F"/>
        </w:rPr>
      </w:pPr>
      <w:r w:rsidRPr="009A224F">
        <w:rPr>
          <w:rFonts w:ascii="Arial" w:hAnsi="Arial" w:cs="Arial"/>
          <w:color w:val="1F1F1F"/>
        </w:rPr>
        <w:t>Nestlé must revise its global HRM SOPs for the Indian context to explicitly recognize and reward collectivist values.</w:t>
      </w:r>
    </w:p>
    <w:p w14:paraId="7875AE3C" w14:textId="77777777" w:rsidR="009504B0" w:rsidRPr="009A224F" w:rsidRDefault="009504B0" w:rsidP="00934E6D">
      <w:pPr>
        <w:pStyle w:val="NormalWeb"/>
        <w:spacing w:before="0" w:beforeAutospacing="0" w:after="0" w:afterAutospacing="0" w:line="360" w:lineRule="auto"/>
        <w:jc w:val="both"/>
        <w:rPr>
          <w:rFonts w:ascii="Arial" w:hAnsi="Arial" w:cs="Arial"/>
          <w:color w:val="1F1F1F"/>
        </w:rPr>
      </w:pPr>
      <w:r w:rsidRPr="009A224F">
        <w:rPr>
          <w:rStyle w:val="Strong"/>
          <w:rFonts w:ascii="Arial" w:hAnsi="Arial" w:cs="Arial"/>
          <w:color w:val="1F1F1F"/>
          <w:bdr w:val="none" w:sz="0" w:space="0" w:color="auto" w:frame="1"/>
        </w:rPr>
        <w:t>Performance Management SOP:</w:t>
      </w:r>
      <w:r w:rsidRPr="009A224F">
        <w:rPr>
          <w:rFonts w:ascii="Arial" w:hAnsi="Arial" w:cs="Arial"/>
          <w:color w:val="1F1F1F"/>
        </w:rPr>
        <w:t xml:space="preserve"> Performance review SOPs should be revised to include a weighted metric focused on </w:t>
      </w:r>
      <w:r w:rsidRPr="00934E6D">
        <w:rPr>
          <w:rStyle w:val="Strong"/>
          <w:rFonts w:ascii="Arial" w:hAnsi="Arial" w:cs="Arial"/>
          <w:b w:val="0"/>
          <w:bCs w:val="0"/>
          <w:color w:val="1F1F1F"/>
          <w:bdr w:val="none" w:sz="0" w:space="0" w:color="auto" w:frame="1"/>
        </w:rPr>
        <w:t>Relational Capital and Team Development</w:t>
      </w:r>
      <w:r w:rsidRPr="009A224F">
        <w:rPr>
          <w:rFonts w:ascii="Arial" w:hAnsi="Arial" w:cs="Arial"/>
          <w:color w:val="1F1F1F"/>
        </w:rPr>
        <w:t>. This metric should measure success in fostering long-term relationships with key external stakeholders (distributors, suppliers) and internal team cohesion, thereby aligning performance assessment with the cultural priority placed on the in-group and loyalty (Hofstede 2010; Kotler 2019).</w:t>
      </w:r>
    </w:p>
    <w:p w14:paraId="55AA2EE7" w14:textId="4954D6A1" w:rsidR="009504B0" w:rsidRPr="009A224F" w:rsidRDefault="009504B0" w:rsidP="00934E6D">
      <w:pPr>
        <w:pStyle w:val="NormalWeb"/>
        <w:spacing w:before="0" w:beforeAutospacing="0" w:after="0" w:afterAutospacing="0" w:line="360" w:lineRule="auto"/>
        <w:jc w:val="both"/>
        <w:rPr>
          <w:rFonts w:ascii="Arial" w:hAnsi="Arial" w:cs="Arial"/>
          <w:color w:val="1F1F1F"/>
        </w:rPr>
      </w:pPr>
      <w:r w:rsidRPr="009A224F">
        <w:rPr>
          <w:rStyle w:val="Strong"/>
          <w:rFonts w:ascii="Arial" w:hAnsi="Arial" w:cs="Arial"/>
          <w:color w:val="1F1F1F"/>
          <w:bdr w:val="none" w:sz="0" w:space="0" w:color="auto" w:frame="1"/>
        </w:rPr>
        <w:t>Training and Development SOP:</w:t>
      </w:r>
      <w:r w:rsidRPr="009A224F">
        <w:rPr>
          <w:rFonts w:ascii="Arial" w:hAnsi="Arial" w:cs="Arial"/>
          <w:color w:val="1F1F1F"/>
        </w:rPr>
        <w:t xml:space="preserve"> The development SOPs should emphasize long-term, structured career paths that visibly link local talent to the Global Innovation Hub in Manesar and community development initiatives (Smith 2020; </w:t>
      </w:r>
      <w:proofErr w:type="spellStart"/>
      <w:r w:rsidRPr="009A224F">
        <w:rPr>
          <w:rFonts w:ascii="Arial" w:hAnsi="Arial" w:cs="Arial"/>
          <w:color w:val="1F1F1F"/>
        </w:rPr>
        <w:t>Srimannarayana</w:t>
      </w:r>
      <w:proofErr w:type="spellEnd"/>
      <w:r w:rsidRPr="009A224F">
        <w:rPr>
          <w:rFonts w:ascii="Arial" w:hAnsi="Arial" w:cs="Arial"/>
          <w:color w:val="1F1F1F"/>
        </w:rPr>
        <w:t xml:space="preserve"> 2007). This practice </w:t>
      </w:r>
      <w:r w:rsidR="00E672F6" w:rsidRPr="009A224F">
        <w:rPr>
          <w:rFonts w:ascii="Arial" w:hAnsi="Arial" w:cs="Arial"/>
          <w:color w:val="1F1F1F"/>
        </w:rPr>
        <w:t>fulfils</w:t>
      </w:r>
      <w:r w:rsidRPr="009A224F">
        <w:rPr>
          <w:rFonts w:ascii="Arial" w:hAnsi="Arial" w:cs="Arial"/>
          <w:color w:val="1F1F1F"/>
        </w:rPr>
        <w:t xml:space="preserve"> the expectation of "familial protection" by showing the firm’s commitment to the employee’s and the community's future, enhancing loyalty and retention (Hall 1976). The company already possesses a strong global HR policy promoting mutual respect and development (Nestlé S.A. 2024d). This adjustment ensures local execution of this policy leverages the PDI structure for clear progression paths and the IDV dimension for relational rewards.</w:t>
      </w:r>
    </w:p>
    <w:p w14:paraId="0D4E8EF2" w14:textId="296D7737" w:rsidR="000F222F" w:rsidRDefault="009504B0" w:rsidP="00934E6D">
      <w:pPr>
        <w:pStyle w:val="NormalWeb"/>
        <w:spacing w:before="0" w:beforeAutospacing="0" w:after="0" w:afterAutospacing="0" w:line="360" w:lineRule="auto"/>
        <w:jc w:val="both"/>
        <w:rPr>
          <w:rFonts w:ascii="Arial" w:hAnsi="Arial" w:cs="Arial"/>
          <w:color w:val="1F1F1F"/>
        </w:rPr>
      </w:pPr>
      <w:r w:rsidRPr="009A224F">
        <w:rPr>
          <w:rStyle w:val="Strong"/>
          <w:rFonts w:ascii="Arial" w:hAnsi="Arial" w:cs="Arial"/>
          <w:color w:val="1F1F1F"/>
          <w:bdr w:val="none" w:sz="0" w:space="0" w:color="auto" w:frame="1"/>
        </w:rPr>
        <w:t>Intercultural Leadership SOP:</w:t>
      </w:r>
      <w:r w:rsidRPr="009A224F">
        <w:rPr>
          <w:rFonts w:ascii="Arial" w:hAnsi="Arial" w:cs="Arial"/>
          <w:color w:val="1F1F1F"/>
        </w:rPr>
        <w:t xml:space="preserve"> Mandatory, recurrent</w:t>
      </w:r>
      <w:r w:rsidRPr="00934E6D">
        <w:rPr>
          <w:rFonts w:ascii="Arial" w:hAnsi="Arial" w:cs="Arial"/>
          <w:color w:val="1F1F1F"/>
        </w:rPr>
        <w:t xml:space="preserve"> </w:t>
      </w:r>
      <w:r w:rsidRPr="00934E6D">
        <w:rPr>
          <w:rStyle w:val="Strong"/>
          <w:rFonts w:ascii="Arial" w:hAnsi="Arial" w:cs="Arial"/>
          <w:b w:val="0"/>
          <w:bCs w:val="0"/>
          <w:color w:val="1F1F1F"/>
          <w:bdr w:val="none" w:sz="0" w:space="0" w:color="auto" w:frame="1"/>
        </w:rPr>
        <w:t>Cross-Cultural Competency</w:t>
      </w:r>
      <w:r w:rsidRPr="00934E6D">
        <w:rPr>
          <w:rStyle w:val="Strong"/>
          <w:rFonts w:ascii="Arial" w:hAnsi="Arial" w:cs="Arial"/>
          <w:color w:val="1F1F1F"/>
          <w:bdr w:val="none" w:sz="0" w:space="0" w:color="auto" w:frame="1"/>
        </w:rPr>
        <w:t xml:space="preserve"> </w:t>
      </w:r>
      <w:r w:rsidRPr="00934E6D">
        <w:rPr>
          <w:rStyle w:val="Strong"/>
          <w:rFonts w:ascii="Arial" w:hAnsi="Arial" w:cs="Arial"/>
          <w:b w:val="0"/>
          <w:bCs w:val="0"/>
          <w:color w:val="1F1F1F"/>
          <w:bdr w:val="none" w:sz="0" w:space="0" w:color="auto" w:frame="1"/>
        </w:rPr>
        <w:t>Training</w:t>
      </w:r>
      <w:r w:rsidRPr="009A224F">
        <w:rPr>
          <w:rFonts w:ascii="Arial" w:hAnsi="Arial" w:cs="Arial"/>
          <w:color w:val="1F1F1F"/>
        </w:rPr>
        <w:t xml:space="preserve"> must be implemented for all senior managers (expatriate and local) to ensure a unified understanding of the </w:t>
      </w:r>
      <w:r w:rsidR="00934E6D" w:rsidRPr="009A224F">
        <w:rPr>
          <w:rFonts w:ascii="Arial" w:hAnsi="Arial" w:cs="Arial"/>
          <w:color w:val="1F1F1F"/>
        </w:rPr>
        <w:t>authoritative,</w:t>
      </w:r>
      <w:r w:rsidRPr="009A224F">
        <w:rPr>
          <w:rFonts w:ascii="Arial" w:hAnsi="Arial" w:cs="Arial"/>
          <w:color w:val="1F1F1F"/>
        </w:rPr>
        <w:t xml:space="preserve"> yet consultative leadership style required to effectively motivate and manage employees within India's PDI/Collectivism environment (Javidan &amp; House 2001; Schein 2004).</w:t>
      </w:r>
    </w:p>
    <w:p w14:paraId="542F01BE" w14:textId="77777777" w:rsidR="00F00441" w:rsidRDefault="00F00441" w:rsidP="00F00441">
      <w:pPr>
        <w:pStyle w:val="NormalWeb"/>
        <w:spacing w:before="0" w:beforeAutospacing="0" w:after="0" w:afterAutospacing="0" w:line="360" w:lineRule="auto"/>
        <w:rPr>
          <w:rFonts w:ascii="Arial" w:hAnsi="Arial" w:cs="Arial"/>
          <w:color w:val="1F1F1F"/>
        </w:rPr>
      </w:pPr>
    </w:p>
    <w:p w14:paraId="2A17FF65" w14:textId="77777777" w:rsidR="00F00441" w:rsidRDefault="00F00441" w:rsidP="00F00441">
      <w:pPr>
        <w:pStyle w:val="NormalWeb"/>
        <w:spacing w:before="0" w:beforeAutospacing="0" w:after="0" w:afterAutospacing="0" w:line="360" w:lineRule="auto"/>
        <w:rPr>
          <w:rFonts w:ascii="Arial" w:hAnsi="Arial" w:cs="Arial"/>
          <w:color w:val="1F1F1F"/>
        </w:rPr>
      </w:pPr>
    </w:p>
    <w:p w14:paraId="1DA07AAE" w14:textId="77777777" w:rsidR="00F00441" w:rsidRDefault="00F00441" w:rsidP="00F00441">
      <w:pPr>
        <w:pStyle w:val="NormalWeb"/>
        <w:spacing w:before="0" w:beforeAutospacing="0" w:after="0" w:afterAutospacing="0" w:line="360" w:lineRule="auto"/>
        <w:rPr>
          <w:rFonts w:ascii="Arial" w:hAnsi="Arial" w:cs="Arial"/>
          <w:color w:val="1F1F1F"/>
        </w:rPr>
      </w:pPr>
    </w:p>
    <w:p w14:paraId="7EF1CFBE" w14:textId="77777777" w:rsidR="00F00441" w:rsidRDefault="00F00441" w:rsidP="00F00441">
      <w:pPr>
        <w:pStyle w:val="NormalWeb"/>
        <w:spacing w:before="0" w:beforeAutospacing="0" w:after="0" w:afterAutospacing="0" w:line="360" w:lineRule="auto"/>
        <w:rPr>
          <w:rFonts w:ascii="Arial" w:hAnsi="Arial" w:cs="Arial"/>
          <w:color w:val="1F1F1F"/>
        </w:rPr>
      </w:pPr>
    </w:p>
    <w:p w14:paraId="40F0DFAB" w14:textId="77777777" w:rsidR="00F00441" w:rsidRDefault="00F00441" w:rsidP="00F00441">
      <w:pPr>
        <w:pStyle w:val="NormalWeb"/>
        <w:spacing w:before="0" w:beforeAutospacing="0" w:after="0" w:afterAutospacing="0" w:line="360" w:lineRule="auto"/>
        <w:rPr>
          <w:rFonts w:ascii="Arial" w:hAnsi="Arial" w:cs="Arial"/>
          <w:color w:val="1F1F1F"/>
        </w:rPr>
      </w:pPr>
    </w:p>
    <w:p w14:paraId="5DC1BF1F" w14:textId="77777777" w:rsidR="00F00441" w:rsidRDefault="00F00441" w:rsidP="00F00441">
      <w:pPr>
        <w:pStyle w:val="NormalWeb"/>
        <w:spacing w:before="0" w:beforeAutospacing="0" w:after="0" w:afterAutospacing="0" w:line="360" w:lineRule="auto"/>
        <w:rPr>
          <w:rFonts w:ascii="Arial" w:hAnsi="Arial" w:cs="Arial"/>
          <w:color w:val="1F1F1F"/>
        </w:rPr>
      </w:pPr>
    </w:p>
    <w:p w14:paraId="312E53B4" w14:textId="77777777" w:rsidR="00F00441" w:rsidRDefault="00F00441" w:rsidP="00F00441">
      <w:pPr>
        <w:pStyle w:val="NormalWeb"/>
        <w:spacing w:before="0" w:beforeAutospacing="0" w:after="0" w:afterAutospacing="0" w:line="360" w:lineRule="auto"/>
        <w:rPr>
          <w:rFonts w:ascii="Arial" w:hAnsi="Arial" w:cs="Arial"/>
          <w:color w:val="1F1F1F"/>
        </w:rPr>
      </w:pPr>
    </w:p>
    <w:p w14:paraId="3318BEF4" w14:textId="77777777" w:rsidR="00934E6D" w:rsidRDefault="00934E6D" w:rsidP="00F00441">
      <w:pPr>
        <w:pStyle w:val="NormalWeb"/>
        <w:spacing w:before="0" w:beforeAutospacing="0" w:after="0" w:afterAutospacing="0" w:line="360" w:lineRule="auto"/>
        <w:rPr>
          <w:rFonts w:ascii="Arial" w:hAnsi="Arial" w:cs="Arial"/>
          <w:color w:val="1F1F1F"/>
        </w:rPr>
      </w:pPr>
    </w:p>
    <w:p w14:paraId="205471CC" w14:textId="77777777" w:rsidR="00F00441" w:rsidRPr="009A224F" w:rsidRDefault="00F00441" w:rsidP="00F00441">
      <w:pPr>
        <w:pStyle w:val="NormalWeb"/>
        <w:spacing w:before="0" w:beforeAutospacing="0" w:after="0" w:afterAutospacing="0" w:line="360" w:lineRule="auto"/>
        <w:rPr>
          <w:rFonts w:ascii="Arial" w:hAnsi="Arial" w:cs="Arial"/>
          <w:color w:val="1F1F1F"/>
        </w:rPr>
      </w:pPr>
    </w:p>
    <w:p w14:paraId="422A202E" w14:textId="47EE3A46" w:rsidR="009504B0" w:rsidRPr="009A224F" w:rsidRDefault="009504B0" w:rsidP="009A224F">
      <w:pPr>
        <w:pStyle w:val="Heading1"/>
        <w:spacing w:line="360" w:lineRule="auto"/>
        <w:rPr>
          <w:rFonts w:ascii="Arial" w:eastAsia="Times New Roman" w:hAnsi="Arial" w:cs="Arial"/>
        </w:rPr>
      </w:pPr>
      <w:bookmarkStart w:id="51" w:name="_Toc215208595"/>
      <w:r w:rsidRPr="009A224F">
        <w:rPr>
          <w:rFonts w:ascii="Arial" w:eastAsia="Times New Roman" w:hAnsi="Arial" w:cs="Arial"/>
        </w:rPr>
        <w:lastRenderedPageBreak/>
        <w:t>7. Conclusion</w:t>
      </w:r>
      <w:bookmarkEnd w:id="51"/>
    </w:p>
    <w:p w14:paraId="65215BB3" w14:textId="77777777" w:rsidR="009504B0" w:rsidRPr="009A224F" w:rsidRDefault="009504B0" w:rsidP="009A224F">
      <w:pPr>
        <w:pStyle w:val="Heading2"/>
        <w:spacing w:line="360" w:lineRule="auto"/>
        <w:rPr>
          <w:rFonts w:ascii="Arial" w:eastAsia="Times New Roman" w:hAnsi="Arial" w:cs="Arial"/>
        </w:rPr>
      </w:pPr>
      <w:bookmarkStart w:id="52" w:name="_Toc215208596"/>
      <w:r w:rsidRPr="009A224F">
        <w:rPr>
          <w:rFonts w:ascii="Arial" w:eastAsia="Times New Roman" w:hAnsi="Arial" w:cs="Arial"/>
        </w:rPr>
        <w:t>7.1. Summary of Key Findings</w:t>
      </w:r>
      <w:bookmarkEnd w:id="52"/>
    </w:p>
    <w:p w14:paraId="16DB9350" w14:textId="5001054A" w:rsidR="000F222F" w:rsidRDefault="009504B0" w:rsidP="00E672F6">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Nestlé operates successfully as a TNC, leveraging a decentralized structure to achieve high local responsiveness, particularly in India. The strategic use of a Wholly Owned Subsidiary is a robust example of OLI-justified FDI, where Internalization is crucial for protecting proprietary quality standards (Ownership) in the high-growth, but high-risk, Indian market (Location) (Dunning 1980; </w:t>
      </w:r>
      <w:proofErr w:type="spellStart"/>
      <w:r w:rsidRPr="009A224F">
        <w:rPr>
          <w:rFonts w:ascii="Arial" w:hAnsi="Arial" w:cs="Arial"/>
          <w:color w:val="1F1F1F"/>
        </w:rPr>
        <w:t>Hennart</w:t>
      </w:r>
      <w:proofErr w:type="spellEnd"/>
      <w:r w:rsidRPr="009A224F">
        <w:rPr>
          <w:rFonts w:ascii="Arial" w:hAnsi="Arial" w:cs="Arial"/>
          <w:color w:val="1F1F1F"/>
        </w:rPr>
        <w:t xml:space="preserve"> 1982). The analysis identified that while operational localization (R&amp;D, sourcing) is strong, the primary vulnerabilities lie in the cultural friction between Nestlé’s home country ethos and India's hierarchical and collectivist norms (Hofstede 2010). The historical failure during the Maggi crisis was fundamentally an SOP failure in regulatory foresight, crisis communication, and aligning leadership style with high Power Distance expectations (Singh &amp; Gupta 2016; Iyer 2017). By embedding the proposed </w:t>
      </w:r>
      <w:r w:rsidR="00C9412D" w:rsidRPr="009A224F">
        <w:rPr>
          <w:rFonts w:ascii="Arial" w:hAnsi="Arial" w:cs="Arial"/>
          <w:color w:val="1F1F1F"/>
        </w:rPr>
        <w:t>culturally adaptive</w:t>
      </w:r>
      <w:r w:rsidRPr="009A224F">
        <w:rPr>
          <w:rFonts w:ascii="Arial" w:hAnsi="Arial" w:cs="Arial"/>
          <w:color w:val="1F1F1F"/>
        </w:rPr>
        <w:t xml:space="preserve"> SOPs for compliance, communication, and HRM, Nestlé India can transform systemic risks into sustainable competitive advantages, solidifying its position as a market leader in this critical emerging economy.</w:t>
      </w:r>
    </w:p>
    <w:p w14:paraId="1A2278D0" w14:textId="77777777" w:rsidR="0084183C" w:rsidRDefault="0084183C" w:rsidP="00014A5D">
      <w:pPr>
        <w:shd w:val="clear" w:color="auto" w:fill="FFFFFF"/>
        <w:spacing w:after="240" w:line="360" w:lineRule="auto"/>
        <w:rPr>
          <w:rFonts w:ascii="Arial" w:eastAsia="Times New Roman" w:hAnsi="Arial" w:cs="Arial"/>
          <w:color w:val="C00000"/>
          <w:kern w:val="0"/>
          <w14:ligatures w14:val="none"/>
        </w:rPr>
      </w:pPr>
    </w:p>
    <w:p w14:paraId="7F0AF1EB" w14:textId="77777777" w:rsidR="0084183C" w:rsidRDefault="0084183C" w:rsidP="00014A5D">
      <w:pPr>
        <w:shd w:val="clear" w:color="auto" w:fill="FFFFFF"/>
        <w:spacing w:after="240" w:line="360" w:lineRule="auto"/>
        <w:rPr>
          <w:rFonts w:ascii="Arial" w:eastAsia="Times New Roman" w:hAnsi="Arial" w:cs="Arial"/>
          <w:color w:val="C00000"/>
          <w:kern w:val="0"/>
          <w14:ligatures w14:val="none"/>
        </w:rPr>
      </w:pPr>
    </w:p>
    <w:p w14:paraId="46C2483C" w14:textId="77777777" w:rsidR="0084183C" w:rsidRDefault="0084183C" w:rsidP="00014A5D">
      <w:pPr>
        <w:shd w:val="clear" w:color="auto" w:fill="FFFFFF"/>
        <w:spacing w:after="240" w:line="360" w:lineRule="auto"/>
        <w:rPr>
          <w:rFonts w:ascii="Arial" w:eastAsia="Times New Roman" w:hAnsi="Arial" w:cs="Arial"/>
          <w:color w:val="C00000"/>
          <w:kern w:val="0"/>
          <w14:ligatures w14:val="none"/>
        </w:rPr>
      </w:pPr>
    </w:p>
    <w:p w14:paraId="66323C11" w14:textId="77777777" w:rsidR="0084183C" w:rsidRDefault="0084183C" w:rsidP="00014A5D">
      <w:pPr>
        <w:shd w:val="clear" w:color="auto" w:fill="FFFFFF"/>
        <w:spacing w:after="240" w:line="360" w:lineRule="auto"/>
        <w:rPr>
          <w:rFonts w:ascii="Arial" w:eastAsia="Times New Roman" w:hAnsi="Arial" w:cs="Arial"/>
          <w:color w:val="C00000"/>
          <w:kern w:val="0"/>
          <w14:ligatures w14:val="none"/>
        </w:rPr>
      </w:pPr>
    </w:p>
    <w:p w14:paraId="0DF51E65" w14:textId="77777777" w:rsidR="00FD18C6" w:rsidRDefault="00FD18C6" w:rsidP="00014A5D">
      <w:pPr>
        <w:shd w:val="clear" w:color="auto" w:fill="FFFFFF"/>
        <w:spacing w:after="240" w:line="360" w:lineRule="auto"/>
        <w:rPr>
          <w:rFonts w:ascii="Arial" w:eastAsia="Times New Roman" w:hAnsi="Arial" w:cs="Arial"/>
          <w:color w:val="C00000"/>
          <w:kern w:val="0"/>
          <w14:ligatures w14:val="none"/>
        </w:rPr>
      </w:pPr>
    </w:p>
    <w:p w14:paraId="676E6E2F" w14:textId="77777777" w:rsidR="00FD18C6" w:rsidRDefault="00FD18C6" w:rsidP="00014A5D">
      <w:pPr>
        <w:shd w:val="clear" w:color="auto" w:fill="FFFFFF"/>
        <w:spacing w:after="240" w:line="360" w:lineRule="auto"/>
        <w:rPr>
          <w:rFonts w:ascii="Arial" w:eastAsia="Times New Roman" w:hAnsi="Arial" w:cs="Arial"/>
          <w:color w:val="C00000"/>
          <w:kern w:val="0"/>
          <w14:ligatures w14:val="none"/>
        </w:rPr>
      </w:pPr>
    </w:p>
    <w:p w14:paraId="36FAB459" w14:textId="77777777" w:rsidR="00FD18C6" w:rsidRDefault="00FD18C6" w:rsidP="00014A5D">
      <w:pPr>
        <w:shd w:val="clear" w:color="auto" w:fill="FFFFFF"/>
        <w:spacing w:after="240" w:line="360" w:lineRule="auto"/>
        <w:rPr>
          <w:rFonts w:ascii="Arial" w:eastAsia="Times New Roman" w:hAnsi="Arial" w:cs="Arial"/>
          <w:color w:val="C00000"/>
          <w:kern w:val="0"/>
          <w14:ligatures w14:val="none"/>
        </w:rPr>
      </w:pPr>
    </w:p>
    <w:p w14:paraId="6535A4DC" w14:textId="77777777" w:rsidR="00FD18C6" w:rsidRPr="00014A5D" w:rsidRDefault="00FD18C6" w:rsidP="00014A5D">
      <w:pPr>
        <w:shd w:val="clear" w:color="auto" w:fill="FFFFFF"/>
        <w:spacing w:after="240" w:line="360" w:lineRule="auto"/>
        <w:rPr>
          <w:rFonts w:ascii="Arial" w:eastAsia="Times New Roman" w:hAnsi="Arial" w:cs="Arial"/>
          <w:color w:val="C00000"/>
          <w:kern w:val="0"/>
          <w14:ligatures w14:val="none"/>
        </w:rPr>
      </w:pPr>
    </w:p>
    <w:p w14:paraId="3A74E52D" w14:textId="77777777" w:rsidR="00014A5D" w:rsidRPr="00014A5D" w:rsidRDefault="00014A5D" w:rsidP="00014A5D">
      <w:pPr>
        <w:pStyle w:val="NormalWeb"/>
        <w:spacing w:before="0" w:beforeAutospacing="0" w:after="240" w:afterAutospacing="0" w:line="360" w:lineRule="auto"/>
        <w:rPr>
          <w:rFonts w:ascii="Arial" w:hAnsi="Arial" w:cs="Arial"/>
          <w:color w:val="C00000"/>
        </w:rPr>
      </w:pPr>
    </w:p>
    <w:p w14:paraId="0616C605" w14:textId="2E5FB56D" w:rsidR="00FE376D" w:rsidRDefault="009504B0" w:rsidP="002C4AF8">
      <w:pPr>
        <w:pStyle w:val="Heading1"/>
        <w:rPr>
          <w:rFonts w:eastAsia="Times New Roman"/>
        </w:rPr>
      </w:pPr>
      <w:bookmarkStart w:id="53" w:name="_Toc215208597"/>
      <w:r>
        <w:rPr>
          <w:rFonts w:eastAsia="Times New Roman"/>
        </w:rPr>
        <w:lastRenderedPageBreak/>
        <w:t>8. Harvard Reference List</w:t>
      </w:r>
      <w:bookmarkEnd w:id="53"/>
    </w:p>
    <w:p w14:paraId="1F318EBC" w14:textId="77777777" w:rsidR="002C4AF8" w:rsidRPr="002C4AF8" w:rsidRDefault="002C4AF8" w:rsidP="002C4AF8"/>
    <w:p w14:paraId="32B771ED"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Argenti, P.A. (2017) </w:t>
      </w:r>
      <w:r w:rsidRPr="00FE376D">
        <w:rPr>
          <w:rStyle w:val="Emphasis"/>
          <w:rFonts w:ascii="Arial" w:hAnsi="Arial" w:cs="Arial"/>
          <w:color w:val="1F1F1F"/>
          <w:bdr w:val="none" w:sz="0" w:space="0" w:color="auto" w:frame="1"/>
        </w:rPr>
        <w:t>Corporate Communication</w:t>
      </w:r>
      <w:r w:rsidRPr="00FE376D">
        <w:rPr>
          <w:rFonts w:ascii="Arial" w:hAnsi="Arial" w:cs="Arial"/>
          <w:color w:val="1F1F1F"/>
        </w:rPr>
        <w:t xml:space="preserve">. 7th </w:t>
      </w:r>
      <w:proofErr w:type="spellStart"/>
      <w:r w:rsidRPr="00FE376D">
        <w:rPr>
          <w:rFonts w:ascii="Arial" w:hAnsi="Arial" w:cs="Arial"/>
          <w:color w:val="1F1F1F"/>
        </w:rPr>
        <w:t>edn</w:t>
      </w:r>
      <w:proofErr w:type="spellEnd"/>
      <w:r w:rsidRPr="00FE376D">
        <w:rPr>
          <w:rFonts w:ascii="Arial" w:hAnsi="Arial" w:cs="Arial"/>
          <w:color w:val="1F1F1F"/>
        </w:rPr>
        <w:t>. New York: McGraw-Hill Education.</w:t>
      </w:r>
    </w:p>
    <w:p w14:paraId="39A9237D"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Bartlett, C.A. &amp; Ghoshal, S. (1989) </w:t>
      </w:r>
      <w:r w:rsidRPr="00FE376D">
        <w:rPr>
          <w:rStyle w:val="Emphasis"/>
          <w:rFonts w:ascii="Arial" w:hAnsi="Arial" w:cs="Arial"/>
          <w:color w:val="1F1F1F"/>
          <w:bdr w:val="none" w:sz="0" w:space="0" w:color="auto" w:frame="1"/>
        </w:rPr>
        <w:t>Managing Across Borders: The Transnational Solution</w:t>
      </w:r>
      <w:r w:rsidRPr="00FE376D">
        <w:rPr>
          <w:rFonts w:ascii="Arial" w:hAnsi="Arial" w:cs="Arial"/>
          <w:color w:val="1F1F1F"/>
        </w:rPr>
        <w:t>. Boston: Harvard Business School Press.</w:t>
      </w:r>
    </w:p>
    <w:p w14:paraId="713C20AA"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Business Standard (2015) 'A brief history of Nestlé’s Moga factory: The story of Maggi and Nestlé India', 5 June. [Online]. Available at: </w:t>
      </w:r>
      <w:hyperlink r:id="rId17" w:tgtFrame="_blank" w:history="1">
        <w:r w:rsidRPr="00FE376D">
          <w:rPr>
            <w:rStyle w:val="Hyperlink"/>
            <w:rFonts w:ascii="Arial" w:hAnsi="Arial" w:cs="Arial"/>
            <w:color w:val="0B57D0"/>
          </w:rPr>
          <w:t>https://www.business-standard.com/article/specials/the-community-link-up-197041001061_1.html</w:t>
        </w:r>
      </w:hyperlink>
      <w:r w:rsidRPr="00FE376D">
        <w:rPr>
          <w:rFonts w:ascii="Arial" w:hAnsi="Arial" w:cs="Arial"/>
          <w:color w:val="1F1F1F"/>
        </w:rPr>
        <w:t> (Accessed: 20 November 2025).</w:t>
      </w:r>
    </w:p>
    <w:p w14:paraId="2ABE1ADC" w14:textId="77777777" w:rsidR="00FE376D" w:rsidRPr="00FE376D" w:rsidRDefault="00FE376D" w:rsidP="00C83574">
      <w:pPr>
        <w:pStyle w:val="NormalWeb"/>
        <w:spacing w:before="0" w:beforeAutospacing="0" w:after="240" w:afterAutospacing="0" w:line="360" w:lineRule="auto"/>
        <w:ind w:left="360"/>
        <w:rPr>
          <w:rFonts w:ascii="Arial" w:hAnsi="Arial" w:cs="Arial"/>
          <w:color w:val="1F1F1F"/>
        </w:rPr>
      </w:pPr>
      <w:r w:rsidRPr="00FE376D">
        <w:rPr>
          <w:rFonts w:ascii="Arial" w:hAnsi="Arial" w:cs="Arial"/>
          <w:color w:val="1F1F1F"/>
        </w:rPr>
        <w:t xml:space="preserve">Caves, R.E. (1996) </w:t>
      </w:r>
      <w:r w:rsidRPr="00FE376D">
        <w:rPr>
          <w:rStyle w:val="Emphasis"/>
          <w:rFonts w:ascii="Arial" w:hAnsi="Arial" w:cs="Arial"/>
          <w:color w:val="1F1F1F"/>
          <w:bdr w:val="none" w:sz="0" w:space="0" w:color="auto" w:frame="1"/>
        </w:rPr>
        <w:t>Multinational Enterprise and Economic Analysis</w:t>
      </w:r>
      <w:r w:rsidRPr="00FE376D">
        <w:rPr>
          <w:rFonts w:ascii="Arial" w:hAnsi="Arial" w:cs="Arial"/>
          <w:color w:val="1F1F1F"/>
        </w:rPr>
        <w:t xml:space="preserve">. 2nd </w:t>
      </w:r>
      <w:proofErr w:type="spellStart"/>
      <w:r w:rsidRPr="00FE376D">
        <w:rPr>
          <w:rFonts w:ascii="Arial" w:hAnsi="Arial" w:cs="Arial"/>
          <w:color w:val="1F1F1F"/>
        </w:rPr>
        <w:t>edn</w:t>
      </w:r>
      <w:proofErr w:type="spellEnd"/>
      <w:r w:rsidRPr="00FE376D">
        <w:rPr>
          <w:rFonts w:ascii="Arial" w:hAnsi="Arial" w:cs="Arial"/>
          <w:color w:val="1F1F1F"/>
        </w:rPr>
        <w:t>. Cambridge: Cambridge University Press.</w:t>
      </w:r>
    </w:p>
    <w:p w14:paraId="33C819BB"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Contractor, F.J. (2013) </w:t>
      </w:r>
      <w:r w:rsidRPr="00FE376D">
        <w:rPr>
          <w:rFonts w:ascii="Arial" w:hAnsi="Arial" w:cs="Arial"/>
          <w:i/>
          <w:iCs/>
          <w:color w:val="1F1F1F"/>
        </w:rPr>
        <w:t>International Business: Theory and Practice</w:t>
      </w:r>
      <w:r w:rsidRPr="00FE376D">
        <w:rPr>
          <w:rFonts w:ascii="Arial" w:hAnsi="Arial" w:cs="Arial"/>
          <w:color w:val="1F1F1F"/>
        </w:rPr>
        <w:t>. Harlow: Pearson Education.</w:t>
      </w:r>
    </w:p>
    <w:p w14:paraId="377F1163" w14:textId="64F69344" w:rsidR="00F774A5"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Coombs, W.T. (2014) </w:t>
      </w:r>
      <w:r w:rsidRPr="00FE376D">
        <w:rPr>
          <w:rStyle w:val="Emphasis"/>
          <w:rFonts w:ascii="Arial" w:hAnsi="Arial" w:cs="Arial"/>
          <w:color w:val="1F1F1F"/>
          <w:bdr w:val="none" w:sz="0" w:space="0" w:color="auto" w:frame="1"/>
        </w:rPr>
        <w:t>Ongoing Crisis Communication: Planning, Managing, and Responding</w:t>
      </w:r>
      <w:r w:rsidRPr="00FE376D">
        <w:rPr>
          <w:rFonts w:ascii="Arial" w:hAnsi="Arial" w:cs="Arial"/>
          <w:color w:val="1F1F1F"/>
        </w:rPr>
        <w:t xml:space="preserve">. 4th </w:t>
      </w:r>
      <w:proofErr w:type="spellStart"/>
      <w:r w:rsidRPr="00FE376D">
        <w:rPr>
          <w:rFonts w:ascii="Arial" w:hAnsi="Arial" w:cs="Arial"/>
          <w:color w:val="1F1F1F"/>
        </w:rPr>
        <w:t>edn</w:t>
      </w:r>
      <w:proofErr w:type="spellEnd"/>
      <w:r w:rsidRPr="00FE376D">
        <w:rPr>
          <w:rFonts w:ascii="Arial" w:hAnsi="Arial" w:cs="Arial"/>
          <w:color w:val="1F1F1F"/>
        </w:rPr>
        <w:t>. Thousand Oaks, CA: Sage Publications.</w:t>
      </w:r>
    </w:p>
    <w:p w14:paraId="5FA8B607"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Dunning, J.H. (1980) 'Toward an eclectic theory of international production: Some empirical tests', </w:t>
      </w:r>
      <w:r w:rsidRPr="00FE376D">
        <w:rPr>
          <w:rStyle w:val="Emphasis"/>
          <w:rFonts w:ascii="Arial" w:hAnsi="Arial" w:cs="Arial"/>
          <w:color w:val="1F1F1F"/>
          <w:bdr w:val="none" w:sz="0" w:space="0" w:color="auto" w:frame="1"/>
        </w:rPr>
        <w:t>Journal of International Business Studies</w:t>
      </w:r>
      <w:r w:rsidRPr="00FE376D">
        <w:rPr>
          <w:rFonts w:ascii="Arial" w:hAnsi="Arial" w:cs="Arial"/>
          <w:color w:val="1F1F1F"/>
        </w:rPr>
        <w:t>, 11(1), pp. 9–31.</w:t>
      </w:r>
    </w:p>
    <w:p w14:paraId="0F178D4D"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Economist (2021) 'The quiet power of Nestlé’s internal finance units', 15 March. [Online]. Available at: </w:t>
      </w:r>
      <w:hyperlink r:id="rId18" w:tgtFrame="_blank" w:history="1">
        <w:r w:rsidRPr="00FE376D">
          <w:rPr>
            <w:rStyle w:val="Hyperlink"/>
            <w:rFonts w:ascii="Arial" w:hAnsi="Arial" w:cs="Arial"/>
            <w:color w:val="0B57D0"/>
          </w:rPr>
          <w:t>https://www.economist.com</w:t>
        </w:r>
      </w:hyperlink>
      <w:r w:rsidRPr="00FE376D">
        <w:rPr>
          <w:rFonts w:ascii="Arial" w:hAnsi="Arial" w:cs="Arial"/>
          <w:color w:val="1F1F1F"/>
        </w:rPr>
        <w:t> (Accessed: 20 November 2025).</w:t>
      </w:r>
    </w:p>
    <w:p w14:paraId="79E77E96"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FSSAI (2024) </w:t>
      </w:r>
      <w:r w:rsidRPr="00FE376D">
        <w:rPr>
          <w:rFonts w:ascii="Arial" w:hAnsi="Arial" w:cs="Arial"/>
          <w:i/>
          <w:iCs/>
          <w:color w:val="1F1F1F"/>
        </w:rPr>
        <w:t>Food Safety and Standards Authority of India Regulatory Guidelines</w:t>
      </w:r>
      <w:r w:rsidRPr="00FE376D">
        <w:rPr>
          <w:rFonts w:ascii="Arial" w:hAnsi="Arial" w:cs="Arial"/>
          <w:color w:val="1F1F1F"/>
        </w:rPr>
        <w:t>. [Online]. Available at: </w:t>
      </w:r>
      <w:hyperlink r:id="rId19" w:tgtFrame="_blank" w:history="1">
        <w:r w:rsidRPr="00FE376D">
          <w:rPr>
            <w:rStyle w:val="Hyperlink"/>
            <w:rFonts w:ascii="Arial" w:hAnsi="Arial" w:cs="Arial"/>
            <w:color w:val="0B57D0"/>
          </w:rPr>
          <w:t>https://fssai.gov.in</w:t>
        </w:r>
      </w:hyperlink>
      <w:r w:rsidRPr="00FE376D">
        <w:rPr>
          <w:rFonts w:ascii="Arial" w:hAnsi="Arial" w:cs="Arial"/>
          <w:color w:val="1F1F1F"/>
        </w:rPr>
        <w:t> (Accessed: 20 November 2025).</w:t>
      </w:r>
    </w:p>
    <w:p w14:paraId="5B4805E9"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Grant, R.M. (2016) </w:t>
      </w:r>
      <w:r w:rsidRPr="00FE376D">
        <w:rPr>
          <w:rFonts w:ascii="Arial" w:hAnsi="Arial" w:cs="Arial"/>
          <w:i/>
          <w:iCs/>
          <w:color w:val="1F1F1F"/>
        </w:rPr>
        <w:t>Contemporary Strategy Analysis</w:t>
      </w:r>
      <w:r w:rsidRPr="00FE376D">
        <w:rPr>
          <w:rFonts w:ascii="Arial" w:hAnsi="Arial" w:cs="Arial"/>
          <w:color w:val="1F1F1F"/>
        </w:rPr>
        <w:t xml:space="preserve">. 9th </w:t>
      </w:r>
      <w:proofErr w:type="spellStart"/>
      <w:r w:rsidRPr="00FE376D">
        <w:rPr>
          <w:rFonts w:ascii="Arial" w:hAnsi="Arial" w:cs="Arial"/>
          <w:color w:val="1F1F1F"/>
        </w:rPr>
        <w:t>edn</w:t>
      </w:r>
      <w:proofErr w:type="spellEnd"/>
      <w:r w:rsidRPr="00FE376D">
        <w:rPr>
          <w:rFonts w:ascii="Arial" w:hAnsi="Arial" w:cs="Arial"/>
          <w:color w:val="1F1F1F"/>
        </w:rPr>
        <w:t>. Chichester: John Wiley &amp; Sons.</w:t>
      </w:r>
    </w:p>
    <w:p w14:paraId="7517A4D7"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Hall, E.T. (1976) </w:t>
      </w:r>
      <w:r w:rsidRPr="00FE376D">
        <w:rPr>
          <w:rStyle w:val="Emphasis"/>
          <w:rFonts w:ascii="Arial" w:hAnsi="Arial" w:cs="Arial"/>
          <w:color w:val="1F1F1F"/>
          <w:bdr w:val="none" w:sz="0" w:space="0" w:color="auto" w:frame="1"/>
        </w:rPr>
        <w:t>Beyond Culture</w:t>
      </w:r>
      <w:r w:rsidRPr="00FE376D">
        <w:rPr>
          <w:rFonts w:ascii="Arial" w:hAnsi="Arial" w:cs="Arial"/>
          <w:color w:val="1F1F1F"/>
        </w:rPr>
        <w:t>. New York: Anchor Books.</w:t>
      </w:r>
    </w:p>
    <w:p w14:paraId="709C42E4"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proofErr w:type="spellStart"/>
      <w:r w:rsidRPr="00FE376D">
        <w:rPr>
          <w:rFonts w:ascii="Arial" w:hAnsi="Arial" w:cs="Arial"/>
          <w:color w:val="1F1F1F"/>
        </w:rPr>
        <w:t>Hennart</w:t>
      </w:r>
      <w:proofErr w:type="spellEnd"/>
      <w:r w:rsidRPr="00FE376D">
        <w:rPr>
          <w:rFonts w:ascii="Arial" w:hAnsi="Arial" w:cs="Arial"/>
          <w:color w:val="1F1F1F"/>
        </w:rPr>
        <w:t xml:space="preserve">, J.-F. (1982) </w:t>
      </w:r>
      <w:r w:rsidRPr="00FE376D">
        <w:rPr>
          <w:rStyle w:val="Emphasis"/>
          <w:rFonts w:ascii="Arial" w:hAnsi="Arial" w:cs="Arial"/>
          <w:color w:val="1F1F1F"/>
          <w:bdr w:val="none" w:sz="0" w:space="0" w:color="auto" w:frame="1"/>
        </w:rPr>
        <w:t>A Theory of Multinational Enterprise</w:t>
      </w:r>
      <w:r w:rsidRPr="00FE376D">
        <w:rPr>
          <w:rFonts w:ascii="Arial" w:hAnsi="Arial" w:cs="Arial"/>
          <w:color w:val="1F1F1F"/>
        </w:rPr>
        <w:t>. Ann Arbor, MI: University of Michigan Press.</w:t>
      </w:r>
    </w:p>
    <w:p w14:paraId="004D1D9F"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lastRenderedPageBreak/>
        <w:t xml:space="preserve">Hill, C. (2020) </w:t>
      </w:r>
      <w:r w:rsidRPr="00FE376D">
        <w:rPr>
          <w:rStyle w:val="Emphasis"/>
          <w:rFonts w:ascii="Arial" w:hAnsi="Arial" w:cs="Arial"/>
          <w:color w:val="1F1F1F"/>
          <w:bdr w:val="none" w:sz="0" w:space="0" w:color="auto" w:frame="1"/>
        </w:rPr>
        <w:t>International Business: Competing in the Global Marketplace</w:t>
      </w:r>
      <w:r w:rsidRPr="00FE376D">
        <w:rPr>
          <w:rFonts w:ascii="Arial" w:hAnsi="Arial" w:cs="Arial"/>
          <w:color w:val="1F1F1F"/>
        </w:rPr>
        <w:t xml:space="preserve">. 13th </w:t>
      </w:r>
      <w:proofErr w:type="spellStart"/>
      <w:r w:rsidRPr="00FE376D">
        <w:rPr>
          <w:rFonts w:ascii="Arial" w:hAnsi="Arial" w:cs="Arial"/>
          <w:color w:val="1F1F1F"/>
        </w:rPr>
        <w:t>edn</w:t>
      </w:r>
      <w:proofErr w:type="spellEnd"/>
      <w:r w:rsidRPr="00FE376D">
        <w:rPr>
          <w:rFonts w:ascii="Arial" w:hAnsi="Arial" w:cs="Arial"/>
          <w:color w:val="1F1F1F"/>
        </w:rPr>
        <w:t>. New York: McGraw-Hill Education.</w:t>
      </w:r>
    </w:p>
    <w:p w14:paraId="30CCEC2C" w14:textId="01EF27ED" w:rsidR="00FE376D" w:rsidRPr="00FE376D" w:rsidRDefault="00FE376D" w:rsidP="00C83574">
      <w:pPr>
        <w:pStyle w:val="NormalWeb"/>
        <w:spacing w:before="0" w:beforeAutospacing="0" w:after="240" w:afterAutospacing="0" w:line="360" w:lineRule="auto"/>
        <w:ind w:left="360"/>
        <w:rPr>
          <w:rFonts w:ascii="Arial" w:hAnsi="Arial" w:cs="Arial"/>
          <w:color w:val="1F1F1F"/>
        </w:rPr>
      </w:pPr>
      <w:r w:rsidRPr="00FE376D">
        <w:rPr>
          <w:rFonts w:ascii="Arial" w:hAnsi="Arial" w:cs="Arial"/>
          <w:color w:val="1F1F1F"/>
        </w:rPr>
        <w:t xml:space="preserve">Hindustan Times (2015) 'Maggi crisis: Nestlé’s delayed response allowed perceptions to spiral', 10 June. [Online]. Available at </w:t>
      </w:r>
      <w:hyperlink r:id="rId20" w:history="1">
        <w:r w:rsidRPr="00FE376D">
          <w:rPr>
            <w:rStyle w:val="Hyperlink"/>
            <w:rFonts w:ascii="Arial" w:hAnsi="Arial" w:cs="Arial"/>
          </w:rPr>
          <w:t>https://www.hindustantimes.com</w:t>
        </w:r>
      </w:hyperlink>
      <w:r w:rsidRPr="00FE376D">
        <w:rPr>
          <w:rFonts w:ascii="Arial" w:hAnsi="Arial" w:cs="Arial"/>
          <w:color w:val="1F1F1F"/>
        </w:rPr>
        <w:t xml:space="preserve">  (Accessed: 20 November 2025)</w:t>
      </w:r>
      <w:r w:rsidR="00F16511">
        <w:rPr>
          <w:rFonts w:ascii="Arial" w:hAnsi="Arial" w:cs="Arial"/>
          <w:color w:val="1F1F1F"/>
        </w:rPr>
        <w:t>.</w:t>
      </w:r>
    </w:p>
    <w:p w14:paraId="408D1F83" w14:textId="6F22BB12"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Hindustan Times (2015) 'Maggi crisis: Nestlé’s delayed response allowed perceptions to spiral', 10 June. [Online]. Available at </w:t>
      </w:r>
      <w:hyperlink r:id="rId21" w:tgtFrame="_blank" w:history="1">
        <w:r w:rsidRPr="00FE376D">
          <w:rPr>
            <w:rStyle w:val="Hyperlink"/>
            <w:rFonts w:ascii="Arial" w:hAnsi="Arial" w:cs="Arial"/>
            <w:color w:val="0B57D0"/>
          </w:rPr>
          <w:t>https://www.hindustantimes.com</w:t>
        </w:r>
      </w:hyperlink>
      <w:r w:rsidRPr="00FE376D">
        <w:rPr>
          <w:rFonts w:ascii="Arial" w:hAnsi="Arial" w:cs="Arial"/>
          <w:color w:val="1F1F1F"/>
        </w:rPr>
        <w:t> (Accessed: 20 November 2025)</w:t>
      </w:r>
      <w:r w:rsidR="00395A00">
        <w:rPr>
          <w:rFonts w:ascii="Arial" w:hAnsi="Arial" w:cs="Arial"/>
          <w:color w:val="1F1F1F"/>
        </w:rPr>
        <w:t>.</w:t>
      </w:r>
    </w:p>
    <w:p w14:paraId="00FEC208" w14:textId="77777777" w:rsidR="00FE376D" w:rsidRPr="00FE376D" w:rsidRDefault="00FE376D" w:rsidP="00C83574">
      <w:pPr>
        <w:pStyle w:val="NormalWeb"/>
        <w:spacing w:before="0" w:beforeAutospacing="0" w:after="240" w:afterAutospacing="0" w:line="360" w:lineRule="auto"/>
        <w:ind w:left="360"/>
        <w:rPr>
          <w:rFonts w:ascii="Arial" w:hAnsi="Arial" w:cs="Arial"/>
          <w:color w:val="1F1F1F"/>
        </w:rPr>
      </w:pPr>
      <w:r w:rsidRPr="00FE376D">
        <w:rPr>
          <w:rFonts w:ascii="Arial" w:hAnsi="Arial" w:cs="Arial"/>
          <w:color w:val="1F1F1F"/>
        </w:rPr>
        <w:t xml:space="preserve">Hitt, M.A. (2017) </w:t>
      </w:r>
      <w:r w:rsidRPr="00FE376D">
        <w:rPr>
          <w:rStyle w:val="Emphasis"/>
          <w:rFonts w:ascii="Arial" w:hAnsi="Arial" w:cs="Arial"/>
          <w:color w:val="1F1F1F"/>
          <w:bdr w:val="none" w:sz="0" w:space="0" w:color="auto" w:frame="1"/>
        </w:rPr>
        <w:t>Strategic Management: Competitiveness &amp; Globalization</w:t>
      </w:r>
      <w:r w:rsidRPr="00FE376D">
        <w:rPr>
          <w:rFonts w:ascii="Arial" w:hAnsi="Arial" w:cs="Arial"/>
          <w:color w:val="1F1F1F"/>
        </w:rPr>
        <w:t xml:space="preserve">. 12th </w:t>
      </w:r>
      <w:proofErr w:type="spellStart"/>
      <w:r w:rsidRPr="00FE376D">
        <w:rPr>
          <w:rFonts w:ascii="Arial" w:hAnsi="Arial" w:cs="Arial"/>
          <w:color w:val="1F1F1F"/>
        </w:rPr>
        <w:t>edn</w:t>
      </w:r>
      <w:proofErr w:type="spellEnd"/>
      <w:r w:rsidRPr="00FE376D">
        <w:rPr>
          <w:rFonts w:ascii="Arial" w:hAnsi="Arial" w:cs="Arial"/>
          <w:color w:val="1F1F1F"/>
        </w:rPr>
        <w:t>. Boston: Cengage Learning.</w:t>
      </w:r>
    </w:p>
    <w:p w14:paraId="17B521FF"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Hofstede, G. (2010) </w:t>
      </w:r>
      <w:r w:rsidRPr="00FE376D">
        <w:rPr>
          <w:rStyle w:val="Emphasis"/>
          <w:rFonts w:ascii="Arial" w:hAnsi="Arial" w:cs="Arial"/>
          <w:color w:val="1F1F1F"/>
          <w:bdr w:val="none" w:sz="0" w:space="0" w:color="auto" w:frame="1"/>
        </w:rPr>
        <w:t>Cultures and Organizations: Software of the Mind</w:t>
      </w:r>
      <w:r w:rsidRPr="00FE376D">
        <w:rPr>
          <w:rFonts w:ascii="Arial" w:hAnsi="Arial" w:cs="Arial"/>
          <w:color w:val="1F1F1F"/>
        </w:rPr>
        <w:t xml:space="preserve">. 3rd </w:t>
      </w:r>
      <w:proofErr w:type="spellStart"/>
      <w:r w:rsidRPr="00FE376D">
        <w:rPr>
          <w:rFonts w:ascii="Arial" w:hAnsi="Arial" w:cs="Arial"/>
          <w:color w:val="1F1F1F"/>
        </w:rPr>
        <w:t>edn</w:t>
      </w:r>
      <w:proofErr w:type="spellEnd"/>
      <w:r w:rsidRPr="00FE376D">
        <w:rPr>
          <w:rFonts w:ascii="Arial" w:hAnsi="Arial" w:cs="Arial"/>
          <w:color w:val="1F1F1F"/>
        </w:rPr>
        <w:t>. New York: McGraw-Hill.</w:t>
      </w:r>
    </w:p>
    <w:p w14:paraId="038C366E" w14:textId="226F8AE4"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Interbrand (2024) </w:t>
      </w:r>
      <w:r w:rsidRPr="00FE376D">
        <w:rPr>
          <w:rStyle w:val="Emphasis"/>
          <w:rFonts w:ascii="Arial" w:hAnsi="Arial" w:cs="Arial"/>
          <w:color w:val="1F1F1F"/>
          <w:bdr w:val="none" w:sz="0" w:space="0" w:color="auto" w:frame="1"/>
        </w:rPr>
        <w:t>Best Global Brands Report</w:t>
      </w:r>
      <w:r w:rsidRPr="00FE376D">
        <w:rPr>
          <w:rFonts w:ascii="Arial" w:hAnsi="Arial" w:cs="Arial"/>
          <w:color w:val="1F1F1F"/>
        </w:rPr>
        <w:t xml:space="preserve">. [Online]. Available at: </w:t>
      </w:r>
      <w:hyperlink r:id="rId22" w:history="1">
        <w:r w:rsidRPr="00FE376D">
          <w:rPr>
            <w:rStyle w:val="Hyperlink"/>
            <w:rFonts w:ascii="Arial" w:hAnsi="Arial" w:cs="Arial"/>
          </w:rPr>
          <w:t>https://interbrand.com/best-global-brands/global/2024-report/</w:t>
        </w:r>
      </w:hyperlink>
      <w:r w:rsidRPr="00FE376D">
        <w:rPr>
          <w:rFonts w:ascii="Arial" w:hAnsi="Arial" w:cs="Arial"/>
          <w:color w:val="1F1F1F"/>
        </w:rPr>
        <w:t xml:space="preserve"> (Accessed: 21 November 2025)</w:t>
      </w:r>
      <w:r w:rsidR="00395A00">
        <w:rPr>
          <w:rFonts w:ascii="Arial" w:hAnsi="Arial" w:cs="Arial"/>
          <w:color w:val="1F1F1F"/>
        </w:rPr>
        <w:t>.</w:t>
      </w:r>
    </w:p>
    <w:p w14:paraId="69AAE231"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Iyer, G. (2017) 'Crisis management in emerging markets: Lessons from the Nestlé Maggi controversy in India', </w:t>
      </w:r>
      <w:r w:rsidRPr="00FE376D">
        <w:rPr>
          <w:rFonts w:ascii="Arial" w:hAnsi="Arial" w:cs="Arial"/>
          <w:i/>
          <w:iCs/>
          <w:color w:val="1F1F1F"/>
        </w:rPr>
        <w:t>Journal of Marketing Research in Emerging Economies</w:t>
      </w:r>
      <w:r w:rsidRPr="00FE376D">
        <w:rPr>
          <w:rFonts w:ascii="Arial" w:hAnsi="Arial" w:cs="Arial"/>
          <w:color w:val="1F1F1F"/>
        </w:rPr>
        <w:t>, 2(1), pp. 45–60.</w:t>
      </w:r>
    </w:p>
    <w:p w14:paraId="3369CED7"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Jain, M. (2020) 'Developing robust dairy supply chains in India: A Nestlé case study', </w:t>
      </w:r>
      <w:r w:rsidRPr="00FE376D">
        <w:rPr>
          <w:rFonts w:ascii="Arial" w:hAnsi="Arial" w:cs="Arial"/>
          <w:i/>
          <w:iCs/>
          <w:color w:val="1F1F1F"/>
        </w:rPr>
        <w:t>International Journal of Supply Chain Management</w:t>
      </w:r>
      <w:r w:rsidRPr="00FE376D">
        <w:rPr>
          <w:rFonts w:ascii="Arial" w:hAnsi="Arial" w:cs="Arial"/>
          <w:color w:val="1F1F1F"/>
        </w:rPr>
        <w:t>, 9(3), pp. 201–215.</w:t>
      </w:r>
    </w:p>
    <w:p w14:paraId="7D30D97B"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Javidan, M. &amp; House, R.J. (2001) 'Cultural acumen and the successful international assignment', </w:t>
      </w:r>
      <w:r w:rsidRPr="00FE376D">
        <w:rPr>
          <w:rStyle w:val="Emphasis"/>
          <w:rFonts w:ascii="Arial" w:hAnsi="Arial" w:cs="Arial"/>
          <w:color w:val="1F1F1F"/>
          <w:bdr w:val="none" w:sz="0" w:space="0" w:color="auto" w:frame="1"/>
        </w:rPr>
        <w:t>Organizational Dynamics</w:t>
      </w:r>
      <w:r w:rsidRPr="00FE376D">
        <w:rPr>
          <w:rFonts w:ascii="Arial" w:hAnsi="Arial" w:cs="Arial"/>
          <w:color w:val="1F1F1F"/>
        </w:rPr>
        <w:t>, 29(4), pp. 272–281.</w:t>
      </w:r>
    </w:p>
    <w:p w14:paraId="60F07F0F"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Johnson, P. &amp; Davies, H. (1998) 'The decentralization of multinational corporations', </w:t>
      </w:r>
      <w:r w:rsidRPr="00FE376D">
        <w:rPr>
          <w:rStyle w:val="Emphasis"/>
          <w:rFonts w:ascii="Arial" w:hAnsi="Arial" w:cs="Arial"/>
          <w:color w:val="1F1F1F"/>
          <w:bdr w:val="none" w:sz="0" w:space="0" w:color="auto" w:frame="1"/>
        </w:rPr>
        <w:t>Journal of World Business</w:t>
      </w:r>
      <w:r w:rsidRPr="00FE376D">
        <w:rPr>
          <w:rFonts w:ascii="Arial" w:hAnsi="Arial" w:cs="Arial"/>
          <w:color w:val="1F1F1F"/>
        </w:rPr>
        <w:t>, 33(1), pp. 1–20.</w:t>
      </w:r>
    </w:p>
    <w:p w14:paraId="18D814F2"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Kotler, P. (2019) </w:t>
      </w:r>
      <w:r w:rsidRPr="00FE376D">
        <w:rPr>
          <w:rStyle w:val="Emphasis"/>
          <w:rFonts w:ascii="Arial" w:hAnsi="Arial" w:cs="Arial"/>
          <w:color w:val="1F1F1F"/>
          <w:bdr w:val="none" w:sz="0" w:space="0" w:color="auto" w:frame="1"/>
        </w:rPr>
        <w:t>Marketing Management</w:t>
      </w:r>
      <w:r w:rsidRPr="00FE376D">
        <w:rPr>
          <w:rFonts w:ascii="Arial" w:hAnsi="Arial" w:cs="Arial"/>
          <w:color w:val="1F1F1F"/>
        </w:rPr>
        <w:t xml:space="preserve">. 16th </w:t>
      </w:r>
      <w:proofErr w:type="spellStart"/>
      <w:r w:rsidRPr="00FE376D">
        <w:rPr>
          <w:rFonts w:ascii="Arial" w:hAnsi="Arial" w:cs="Arial"/>
          <w:color w:val="1F1F1F"/>
        </w:rPr>
        <w:t>edn</w:t>
      </w:r>
      <w:proofErr w:type="spellEnd"/>
      <w:r w:rsidRPr="00FE376D">
        <w:rPr>
          <w:rFonts w:ascii="Arial" w:hAnsi="Arial" w:cs="Arial"/>
          <w:color w:val="1F1F1F"/>
        </w:rPr>
        <w:t>. Harlow: Pearson Education.</w:t>
      </w:r>
    </w:p>
    <w:p w14:paraId="36C44870"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KPMG India (2021) </w:t>
      </w:r>
      <w:r w:rsidRPr="00FE376D">
        <w:rPr>
          <w:rStyle w:val="Emphasis"/>
          <w:rFonts w:ascii="Arial" w:hAnsi="Arial" w:cs="Arial"/>
          <w:color w:val="1F1F1F"/>
          <w:bdr w:val="none" w:sz="0" w:space="0" w:color="auto" w:frame="1"/>
        </w:rPr>
        <w:t>India's Packaged Food Sector: Growth Opportunities and Challenges</w:t>
      </w:r>
      <w:r w:rsidRPr="00FE376D">
        <w:rPr>
          <w:rFonts w:ascii="Arial" w:hAnsi="Arial" w:cs="Arial"/>
          <w:color w:val="1F1F1F"/>
        </w:rPr>
        <w:t>. Mumbai: KPMG.</w:t>
      </w:r>
    </w:p>
    <w:p w14:paraId="69F7CB02"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Nestlé Finance (2023) </w:t>
      </w:r>
      <w:r w:rsidRPr="00FE376D">
        <w:rPr>
          <w:rFonts w:ascii="Arial" w:hAnsi="Arial" w:cs="Arial"/>
          <w:i/>
          <w:iCs/>
          <w:color w:val="1F1F1F"/>
        </w:rPr>
        <w:t>Capital Structure and Intercompany Loans</w:t>
      </w:r>
      <w:r w:rsidRPr="00FE376D">
        <w:rPr>
          <w:rFonts w:ascii="Arial" w:hAnsi="Arial" w:cs="Arial"/>
          <w:color w:val="1F1F1F"/>
        </w:rPr>
        <w:t>. Vevey, Switzerland: Nestlé S.A. [Online]. Available at: </w:t>
      </w:r>
      <w:hyperlink r:id="rId23" w:tgtFrame="_blank" w:history="1">
        <w:r w:rsidRPr="00FE376D">
          <w:rPr>
            <w:rStyle w:val="Hyperlink"/>
            <w:rFonts w:ascii="Arial" w:hAnsi="Arial" w:cs="Arial"/>
            <w:color w:val="0B57D0"/>
          </w:rPr>
          <w:t>https://www.nestle.com/investors/annual-report</w:t>
        </w:r>
      </w:hyperlink>
      <w:r w:rsidRPr="00FE376D">
        <w:rPr>
          <w:rFonts w:ascii="Arial" w:hAnsi="Arial" w:cs="Arial"/>
          <w:color w:val="1F1F1F"/>
        </w:rPr>
        <w:t> (Accessed: 20 November 2025).</w:t>
      </w:r>
    </w:p>
    <w:p w14:paraId="6233EEDB"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lastRenderedPageBreak/>
        <w:t xml:space="preserve">Nestlé R&amp;D (2024) </w:t>
      </w:r>
      <w:r w:rsidRPr="00FE376D">
        <w:rPr>
          <w:rStyle w:val="Emphasis"/>
          <w:rFonts w:ascii="Arial" w:hAnsi="Arial" w:cs="Arial"/>
          <w:color w:val="1F1F1F"/>
          <w:bdr w:val="none" w:sz="0" w:space="0" w:color="auto" w:frame="1"/>
        </w:rPr>
        <w:t>Science and Innovation Network Overview</w:t>
      </w:r>
      <w:r w:rsidRPr="00FE376D">
        <w:rPr>
          <w:rFonts w:ascii="Arial" w:hAnsi="Arial" w:cs="Arial"/>
          <w:color w:val="1F1F1F"/>
        </w:rPr>
        <w:t xml:space="preserve">. [Online]. Available at: </w:t>
      </w:r>
      <w:hyperlink r:id="rId24" w:history="1">
        <w:r w:rsidRPr="00FE376D">
          <w:rPr>
            <w:rStyle w:val="Hyperlink"/>
            <w:rFonts w:ascii="Arial" w:hAnsi="Arial" w:cs="Arial"/>
          </w:rPr>
          <w:t>https://www.nestle.com/about/research-development/organization</w:t>
        </w:r>
      </w:hyperlink>
      <w:r w:rsidRPr="00FE376D">
        <w:rPr>
          <w:rFonts w:ascii="Arial" w:hAnsi="Arial" w:cs="Arial"/>
          <w:color w:val="1F1F1F"/>
        </w:rPr>
        <w:t xml:space="preserve"> (Accessed: 20 November 2025). </w:t>
      </w:r>
    </w:p>
    <w:p w14:paraId="475A232A"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Nestlé S.A. (2023a) </w:t>
      </w:r>
      <w:r w:rsidRPr="00FE376D">
        <w:rPr>
          <w:rStyle w:val="Emphasis"/>
          <w:rFonts w:ascii="Arial" w:hAnsi="Arial" w:cs="Arial"/>
          <w:color w:val="1F1F1F"/>
          <w:bdr w:val="none" w:sz="0" w:space="0" w:color="auto" w:frame="1"/>
        </w:rPr>
        <w:t>Annual Report 2023</w:t>
      </w:r>
      <w:r w:rsidRPr="00FE376D">
        <w:rPr>
          <w:rFonts w:ascii="Arial" w:hAnsi="Arial" w:cs="Arial"/>
          <w:color w:val="1F1F1F"/>
        </w:rPr>
        <w:t xml:space="preserve">. Vevey, Switzerland: Nestlé S.A. [Online]. Available at: </w:t>
      </w:r>
      <w:hyperlink r:id="rId25" w:history="1">
        <w:r w:rsidRPr="00FE376D">
          <w:rPr>
            <w:rStyle w:val="Hyperlink"/>
            <w:rFonts w:ascii="Arial" w:hAnsi="Arial" w:cs="Arial"/>
          </w:rPr>
          <w:t>https://www.nestle.com/investors/annual-report</w:t>
        </w:r>
      </w:hyperlink>
      <w:r w:rsidRPr="00FE376D">
        <w:rPr>
          <w:rFonts w:ascii="Arial" w:hAnsi="Arial" w:cs="Arial"/>
          <w:color w:val="1F1F1F"/>
        </w:rPr>
        <w:t xml:space="preserve"> (Accessed: 22 November 2025).</w:t>
      </w:r>
    </w:p>
    <w:p w14:paraId="769B42B3"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Nestlé S.A. (2023b) </w:t>
      </w:r>
      <w:r w:rsidRPr="00FE376D">
        <w:rPr>
          <w:rStyle w:val="Emphasis"/>
          <w:rFonts w:ascii="Arial" w:hAnsi="Arial" w:cs="Arial"/>
          <w:color w:val="1F1F1F"/>
          <w:bdr w:val="none" w:sz="0" w:space="0" w:color="auto" w:frame="1"/>
        </w:rPr>
        <w:t>Consolidated Financial Statements 2023</w:t>
      </w:r>
      <w:r w:rsidRPr="00FE376D">
        <w:rPr>
          <w:rFonts w:ascii="Arial" w:hAnsi="Arial" w:cs="Arial"/>
          <w:color w:val="1F1F1F"/>
        </w:rPr>
        <w:t xml:space="preserve">. Vevey, Switzerland: Nestlé S.A. [Online]. Available at: </w:t>
      </w:r>
      <w:hyperlink r:id="rId26" w:history="1">
        <w:r w:rsidRPr="00FE376D">
          <w:rPr>
            <w:rStyle w:val="Hyperlink"/>
            <w:rFonts w:ascii="Arial" w:hAnsi="Arial" w:cs="Arial"/>
          </w:rPr>
          <w:t>https://www.nestle.com/investors/annual-report</w:t>
        </w:r>
      </w:hyperlink>
      <w:r w:rsidRPr="00FE376D">
        <w:rPr>
          <w:rFonts w:ascii="Arial" w:hAnsi="Arial" w:cs="Arial"/>
          <w:color w:val="1F1F1F"/>
        </w:rPr>
        <w:t xml:space="preserve"> </w:t>
      </w:r>
      <w:bookmarkStart w:id="54" w:name="_Hlk214922164"/>
      <w:r w:rsidRPr="00FE376D">
        <w:rPr>
          <w:rFonts w:ascii="Arial" w:hAnsi="Arial" w:cs="Arial"/>
          <w:color w:val="1F1F1F"/>
        </w:rPr>
        <w:t>(Accessed: 21 November 2025).</w:t>
      </w:r>
      <w:bookmarkEnd w:id="54"/>
    </w:p>
    <w:p w14:paraId="3D5ACA88"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Nestlé S.A. (2023b) </w:t>
      </w:r>
      <w:r w:rsidRPr="00FE376D">
        <w:rPr>
          <w:rFonts w:ascii="Arial" w:hAnsi="Arial" w:cs="Arial"/>
          <w:i/>
          <w:iCs/>
          <w:color w:val="1F1F1F"/>
        </w:rPr>
        <w:t>Consolidated Financial Statements 2023</w:t>
      </w:r>
      <w:r w:rsidRPr="00FE376D">
        <w:rPr>
          <w:rFonts w:ascii="Arial" w:hAnsi="Arial" w:cs="Arial"/>
          <w:color w:val="1F1F1F"/>
        </w:rPr>
        <w:t>. Vevey, Switzerland: Nestlé S.A. [Online]. Available at: </w:t>
      </w:r>
      <w:hyperlink r:id="rId27" w:tgtFrame="_blank" w:history="1">
        <w:r w:rsidRPr="00FE376D">
          <w:rPr>
            <w:rStyle w:val="Hyperlink"/>
            <w:rFonts w:ascii="Arial" w:hAnsi="Arial" w:cs="Arial"/>
            <w:color w:val="0B57D0"/>
          </w:rPr>
          <w:t>https://www.nestle.com/investors/annual-report</w:t>
        </w:r>
      </w:hyperlink>
      <w:r w:rsidRPr="00FE376D">
        <w:rPr>
          <w:rFonts w:ascii="Arial" w:hAnsi="Arial" w:cs="Arial"/>
          <w:color w:val="1F1F1F"/>
        </w:rPr>
        <w:t> (Accessed: 21 November 2025).</w:t>
      </w:r>
    </w:p>
    <w:p w14:paraId="5F18A6D6"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Nestlé S.A. (2023c) </w:t>
      </w:r>
      <w:r w:rsidRPr="00FE376D">
        <w:rPr>
          <w:rStyle w:val="Emphasis"/>
          <w:rFonts w:ascii="Arial" w:hAnsi="Arial" w:cs="Arial"/>
          <w:color w:val="1F1F1F"/>
          <w:bdr w:val="none" w:sz="0" w:space="0" w:color="auto" w:frame="1"/>
        </w:rPr>
        <w:t>Responsible Sourcing Core Requirements</w:t>
      </w:r>
      <w:r w:rsidRPr="00FE376D">
        <w:rPr>
          <w:rFonts w:ascii="Arial" w:hAnsi="Arial" w:cs="Arial"/>
          <w:color w:val="1F1F1F"/>
        </w:rPr>
        <w:t xml:space="preserve">. [Online]. Available at: </w:t>
      </w:r>
      <w:hyperlink r:id="rId28" w:history="1">
        <w:r w:rsidRPr="00FE376D">
          <w:rPr>
            <w:rStyle w:val="Hyperlink"/>
            <w:rFonts w:ascii="Arial" w:hAnsi="Arial" w:cs="Arial"/>
          </w:rPr>
          <w:t>https://www.nestle.co.uk/en-gb/sustainability/responsible-sourcing</w:t>
        </w:r>
      </w:hyperlink>
      <w:r w:rsidRPr="00FE376D">
        <w:rPr>
          <w:rFonts w:ascii="Arial" w:hAnsi="Arial" w:cs="Arial"/>
          <w:color w:val="1F1F1F"/>
        </w:rPr>
        <w:t xml:space="preserve"> (Accessed: 21 November 2025).</w:t>
      </w:r>
    </w:p>
    <w:p w14:paraId="4FC53B01"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Nestlé S.A. (2023c) </w:t>
      </w:r>
      <w:r w:rsidRPr="00FE376D">
        <w:rPr>
          <w:rFonts w:ascii="Arial" w:hAnsi="Arial" w:cs="Arial"/>
          <w:i/>
          <w:iCs/>
          <w:color w:val="1F1F1F"/>
        </w:rPr>
        <w:t>Responsible Sourcing Core Requirements</w:t>
      </w:r>
      <w:r w:rsidRPr="00FE376D">
        <w:rPr>
          <w:rFonts w:ascii="Arial" w:hAnsi="Arial" w:cs="Arial"/>
          <w:color w:val="1F1F1F"/>
        </w:rPr>
        <w:t>. [Online]. Available at: </w:t>
      </w:r>
      <w:hyperlink r:id="rId29" w:tgtFrame="_blank" w:history="1">
        <w:r w:rsidRPr="00FE376D">
          <w:rPr>
            <w:rStyle w:val="Hyperlink"/>
            <w:rFonts w:ascii="Arial" w:hAnsi="Arial" w:cs="Arial"/>
            <w:color w:val="0B57D0"/>
          </w:rPr>
          <w:t>https://www.nestle.co.uk/en-gb/sustainability/responsible-sourcing</w:t>
        </w:r>
      </w:hyperlink>
      <w:r w:rsidRPr="00FE376D">
        <w:rPr>
          <w:rFonts w:ascii="Arial" w:hAnsi="Arial" w:cs="Arial"/>
          <w:color w:val="1F1F1F"/>
        </w:rPr>
        <w:t> (Accessed: 21 November 2025).</w:t>
      </w:r>
    </w:p>
    <w:p w14:paraId="21969FC9"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Nestlé S.A. (2024) </w:t>
      </w:r>
      <w:r w:rsidRPr="00FE376D">
        <w:rPr>
          <w:rFonts w:ascii="Arial" w:hAnsi="Arial" w:cs="Arial"/>
          <w:i/>
          <w:iCs/>
          <w:color w:val="1F1F1F"/>
        </w:rPr>
        <w:t>Operations and Factories Globally</w:t>
      </w:r>
      <w:r w:rsidRPr="00FE376D">
        <w:rPr>
          <w:rFonts w:ascii="Arial" w:hAnsi="Arial" w:cs="Arial"/>
          <w:color w:val="1F1F1F"/>
        </w:rPr>
        <w:t>. [Online]. Available at: </w:t>
      </w:r>
      <w:hyperlink r:id="rId30" w:tgtFrame="_blank" w:history="1">
        <w:r w:rsidRPr="00FE376D">
          <w:rPr>
            <w:rStyle w:val="Hyperlink"/>
            <w:rFonts w:ascii="Arial" w:hAnsi="Arial" w:cs="Arial"/>
            <w:color w:val="0B57D0"/>
          </w:rPr>
          <w:t>https://www.nestle.com/about</w:t>
        </w:r>
      </w:hyperlink>
      <w:r w:rsidRPr="00FE376D">
        <w:rPr>
          <w:rFonts w:ascii="Arial" w:hAnsi="Arial" w:cs="Arial"/>
          <w:color w:val="1F1F1F"/>
        </w:rPr>
        <w:t> (Accessed: 21 November 2025).</w:t>
      </w:r>
    </w:p>
    <w:p w14:paraId="2A7CB75D"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Nestlé S.A. (2024d) </w:t>
      </w:r>
      <w:r w:rsidRPr="00FE376D">
        <w:rPr>
          <w:rStyle w:val="Emphasis"/>
          <w:rFonts w:ascii="Arial" w:hAnsi="Arial" w:cs="Arial"/>
          <w:color w:val="1F1F1F"/>
          <w:bdr w:val="none" w:sz="0" w:space="0" w:color="auto" w:frame="1"/>
        </w:rPr>
        <w:t>Code of Business Conduct</w:t>
      </w:r>
      <w:r w:rsidRPr="00FE376D">
        <w:rPr>
          <w:rFonts w:ascii="Arial" w:hAnsi="Arial" w:cs="Arial"/>
          <w:color w:val="1F1F1F"/>
        </w:rPr>
        <w:t xml:space="preserve">. [Online]. Available at: </w:t>
      </w:r>
      <w:hyperlink r:id="rId31" w:history="1">
        <w:r w:rsidRPr="00FE376D">
          <w:rPr>
            <w:rStyle w:val="Hyperlink"/>
            <w:rFonts w:ascii="Arial" w:hAnsi="Arial" w:cs="Arial"/>
          </w:rPr>
          <w:t>https://www.nestle.com/investors/corporate-governance/codeofbusinessconduct</w:t>
        </w:r>
      </w:hyperlink>
      <w:r w:rsidRPr="00FE376D">
        <w:rPr>
          <w:rFonts w:ascii="Arial" w:hAnsi="Arial" w:cs="Arial"/>
          <w:color w:val="1F1F1F"/>
        </w:rPr>
        <w:t xml:space="preserve"> (Accessed: 21 November 2025).</w:t>
      </w:r>
    </w:p>
    <w:p w14:paraId="7DD1FABA"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Ohmae, K. (1985) </w:t>
      </w:r>
      <w:r w:rsidRPr="00FE376D">
        <w:rPr>
          <w:rFonts w:ascii="Arial" w:hAnsi="Arial" w:cs="Arial"/>
          <w:i/>
          <w:iCs/>
          <w:color w:val="1F1F1F"/>
        </w:rPr>
        <w:t>Triad Power: The Coming Shape of Global Competition</w:t>
      </w:r>
      <w:r w:rsidRPr="00FE376D">
        <w:rPr>
          <w:rFonts w:ascii="Arial" w:hAnsi="Arial" w:cs="Arial"/>
          <w:color w:val="1F1F1F"/>
        </w:rPr>
        <w:t>. New York: The Free Press.</w:t>
      </w:r>
    </w:p>
    <w:p w14:paraId="605BC15D" w14:textId="5FD7B8CB"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Porter, M.E. &amp; Kramer, M.R. (2011) 'Creating shared value', </w:t>
      </w:r>
      <w:r w:rsidRPr="00FE376D">
        <w:rPr>
          <w:rStyle w:val="Emphasis"/>
          <w:rFonts w:ascii="Arial" w:hAnsi="Arial" w:cs="Arial"/>
          <w:color w:val="1F1F1F"/>
          <w:bdr w:val="none" w:sz="0" w:space="0" w:color="auto" w:frame="1"/>
        </w:rPr>
        <w:t>Harvard Business Review</w:t>
      </w:r>
      <w:r w:rsidRPr="00FE376D">
        <w:rPr>
          <w:rFonts w:ascii="Arial" w:hAnsi="Arial" w:cs="Arial"/>
          <w:color w:val="1F1F1F"/>
        </w:rPr>
        <w:t>, 89(1/2), pp. 62–77.</w:t>
      </w:r>
    </w:p>
    <w:p w14:paraId="3B15F769"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Porter, M.E. (1985) </w:t>
      </w:r>
      <w:r w:rsidRPr="00FE376D">
        <w:rPr>
          <w:rStyle w:val="Emphasis"/>
          <w:rFonts w:ascii="Arial" w:hAnsi="Arial" w:cs="Arial"/>
          <w:color w:val="1F1F1F"/>
          <w:bdr w:val="none" w:sz="0" w:space="0" w:color="auto" w:frame="1"/>
        </w:rPr>
        <w:t>Competitive Advantage: Creating and Sustaining Superior Performance</w:t>
      </w:r>
      <w:r w:rsidRPr="00FE376D">
        <w:rPr>
          <w:rFonts w:ascii="Arial" w:hAnsi="Arial" w:cs="Arial"/>
          <w:color w:val="1F1F1F"/>
        </w:rPr>
        <w:t>. New York: Free Press.</w:t>
      </w:r>
    </w:p>
    <w:p w14:paraId="14476803"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Prahalad, C.K. (2004) </w:t>
      </w:r>
      <w:r w:rsidRPr="00FE376D">
        <w:rPr>
          <w:rStyle w:val="Emphasis"/>
          <w:rFonts w:ascii="Arial" w:hAnsi="Arial" w:cs="Arial"/>
          <w:color w:val="1F1F1F"/>
          <w:bdr w:val="none" w:sz="0" w:space="0" w:color="auto" w:frame="1"/>
        </w:rPr>
        <w:t>The Fortune at the Bottom of the Pyramid</w:t>
      </w:r>
      <w:r w:rsidRPr="00FE376D">
        <w:rPr>
          <w:rFonts w:ascii="Arial" w:hAnsi="Arial" w:cs="Arial"/>
          <w:color w:val="1F1F1F"/>
        </w:rPr>
        <w:t>. Upper Saddle River, NJ: Wharton School Publishing.</w:t>
      </w:r>
    </w:p>
    <w:p w14:paraId="1DBC69FB"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lastRenderedPageBreak/>
        <w:t xml:space="preserve">Rugman, A.M. (2009) </w:t>
      </w:r>
      <w:r w:rsidRPr="00FE376D">
        <w:rPr>
          <w:rStyle w:val="Emphasis"/>
          <w:rFonts w:ascii="Arial" w:hAnsi="Arial" w:cs="Arial"/>
          <w:color w:val="1F1F1F"/>
          <w:bdr w:val="none" w:sz="0" w:space="0" w:color="auto" w:frame="1"/>
        </w:rPr>
        <w:t>The Regional Multinationals</w:t>
      </w:r>
      <w:r w:rsidRPr="00FE376D">
        <w:rPr>
          <w:rFonts w:ascii="Arial" w:hAnsi="Arial" w:cs="Arial"/>
          <w:color w:val="1F1F1F"/>
        </w:rPr>
        <w:t>. Cambridge: Cambridge University Press.</w:t>
      </w:r>
    </w:p>
    <w:p w14:paraId="3FA0B078"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Schein, E.H. (2004) </w:t>
      </w:r>
      <w:r w:rsidRPr="00FE376D">
        <w:rPr>
          <w:rStyle w:val="Emphasis"/>
          <w:rFonts w:ascii="Arial" w:hAnsi="Arial" w:cs="Arial"/>
          <w:color w:val="1F1F1F"/>
          <w:bdr w:val="none" w:sz="0" w:space="0" w:color="auto" w:frame="1"/>
        </w:rPr>
        <w:t>Organizational Culture and Leadership</w:t>
      </w:r>
      <w:r w:rsidRPr="00FE376D">
        <w:rPr>
          <w:rFonts w:ascii="Arial" w:hAnsi="Arial" w:cs="Arial"/>
          <w:color w:val="1F1F1F"/>
        </w:rPr>
        <w:t xml:space="preserve">. 3rd </w:t>
      </w:r>
      <w:proofErr w:type="spellStart"/>
      <w:r w:rsidRPr="00FE376D">
        <w:rPr>
          <w:rFonts w:ascii="Arial" w:hAnsi="Arial" w:cs="Arial"/>
          <w:color w:val="1F1F1F"/>
        </w:rPr>
        <w:t>edn</w:t>
      </w:r>
      <w:proofErr w:type="spellEnd"/>
      <w:r w:rsidRPr="00FE376D">
        <w:rPr>
          <w:rFonts w:ascii="Arial" w:hAnsi="Arial" w:cs="Arial"/>
          <w:color w:val="1F1F1F"/>
        </w:rPr>
        <w:t>. San Francisco: Jossey-Bass.</w:t>
      </w:r>
    </w:p>
    <w:p w14:paraId="7050E1C3"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Sharma, R. (2022) 'Nestlé's aggressive growth strategy in the Indian subcontinent', </w:t>
      </w:r>
      <w:r w:rsidRPr="00FE376D">
        <w:rPr>
          <w:rStyle w:val="Emphasis"/>
          <w:rFonts w:ascii="Arial" w:hAnsi="Arial" w:cs="Arial"/>
          <w:color w:val="1F1F1F"/>
          <w:bdr w:val="none" w:sz="0" w:space="0" w:color="auto" w:frame="1"/>
        </w:rPr>
        <w:t>The Economic Times</w:t>
      </w:r>
      <w:r w:rsidRPr="00FE376D">
        <w:rPr>
          <w:rFonts w:ascii="Arial" w:hAnsi="Arial" w:cs="Arial"/>
          <w:color w:val="1F1F1F"/>
        </w:rPr>
        <w:t xml:space="preserve">, 12 April. [Online]. Available at: </w:t>
      </w:r>
      <w:hyperlink r:id="rId32" w:history="1">
        <w:r w:rsidRPr="00FE376D">
          <w:rPr>
            <w:rStyle w:val="Hyperlink"/>
            <w:rFonts w:ascii="Arial" w:hAnsi="Arial" w:cs="Arial"/>
          </w:rPr>
          <w:t>https://m.economictimes.com/</w:t>
        </w:r>
      </w:hyperlink>
      <w:r w:rsidRPr="00FE376D">
        <w:rPr>
          <w:rFonts w:ascii="Arial" w:hAnsi="Arial" w:cs="Arial"/>
          <w:color w:val="1F1F1F"/>
        </w:rPr>
        <w:t xml:space="preserve"> (Accessed: 21 November 2025).</w:t>
      </w:r>
    </w:p>
    <w:p w14:paraId="7E76A3FC"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Singh, A. &amp; Gupta, V. (2016) 'The Maggi crisis: A case study in corporate and regulatory failure in India', </w:t>
      </w:r>
      <w:r w:rsidRPr="00FE376D">
        <w:rPr>
          <w:rStyle w:val="Emphasis"/>
          <w:rFonts w:ascii="Arial" w:hAnsi="Arial" w:cs="Arial"/>
          <w:color w:val="1F1F1F"/>
          <w:bdr w:val="none" w:sz="0" w:space="0" w:color="auto" w:frame="1"/>
        </w:rPr>
        <w:t>International Management Review</w:t>
      </w:r>
      <w:r w:rsidRPr="00FE376D">
        <w:rPr>
          <w:rFonts w:ascii="Arial" w:hAnsi="Arial" w:cs="Arial"/>
          <w:color w:val="1F1F1F"/>
        </w:rPr>
        <w:t>, 12(3), pp. 101–118.</w:t>
      </w:r>
    </w:p>
    <w:p w14:paraId="02519D5D"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Smith, B. (2020) 'Localization of R&amp;D: Nestlé’s innovation hub in Manesar', </w:t>
      </w:r>
      <w:r w:rsidRPr="00FE376D">
        <w:rPr>
          <w:rStyle w:val="Emphasis"/>
          <w:rFonts w:ascii="Arial" w:hAnsi="Arial" w:cs="Arial"/>
          <w:color w:val="1F1F1F"/>
          <w:bdr w:val="none" w:sz="0" w:space="0" w:color="auto" w:frame="1"/>
        </w:rPr>
        <w:t>Journal of Global Food Policy</w:t>
      </w:r>
      <w:r w:rsidRPr="00FE376D">
        <w:rPr>
          <w:rFonts w:ascii="Arial" w:hAnsi="Arial" w:cs="Arial"/>
          <w:color w:val="1F1F1F"/>
        </w:rPr>
        <w:t>, 4(1), pp. 55–70.</w:t>
      </w:r>
    </w:p>
    <w:p w14:paraId="1CBA061D"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proofErr w:type="spellStart"/>
      <w:r w:rsidRPr="00FE376D">
        <w:rPr>
          <w:rFonts w:ascii="Arial" w:hAnsi="Arial" w:cs="Arial"/>
          <w:color w:val="1F1F1F"/>
        </w:rPr>
        <w:t>Srimannarayana</w:t>
      </w:r>
      <w:proofErr w:type="spellEnd"/>
      <w:r w:rsidRPr="00FE376D">
        <w:rPr>
          <w:rFonts w:ascii="Arial" w:hAnsi="Arial" w:cs="Arial"/>
          <w:color w:val="1F1F1F"/>
        </w:rPr>
        <w:t xml:space="preserve">, M. (2007) </w:t>
      </w:r>
      <w:r w:rsidRPr="00FE376D">
        <w:rPr>
          <w:rStyle w:val="Emphasis"/>
          <w:rFonts w:ascii="Arial" w:hAnsi="Arial" w:cs="Arial"/>
          <w:color w:val="1F1F1F"/>
          <w:bdr w:val="none" w:sz="0" w:space="0" w:color="auto" w:frame="1"/>
        </w:rPr>
        <w:t>Human Resource Management in the Indian Context</w:t>
      </w:r>
      <w:r w:rsidRPr="00FE376D">
        <w:rPr>
          <w:rFonts w:ascii="Arial" w:hAnsi="Arial" w:cs="Arial"/>
          <w:color w:val="1F1F1F"/>
        </w:rPr>
        <w:t>. New Delhi: Himalaya Publishing House.</w:t>
      </w:r>
    </w:p>
    <w:p w14:paraId="01732F9D"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The Hindu (2016) 'Maggi ban impact: Nestlé India reports sharpest decline in two decades', 2 February. [Online]. </w:t>
      </w:r>
      <w:hyperlink r:id="rId33" w:tgtFrame="_blank" w:history="1">
        <w:r w:rsidRPr="00FE376D">
          <w:rPr>
            <w:rStyle w:val="Hyperlink"/>
            <w:rFonts w:ascii="Arial" w:hAnsi="Arial" w:cs="Arial"/>
            <w:color w:val="0B57D0"/>
          </w:rPr>
          <w:t>https://www.thehindu.com/</w:t>
        </w:r>
      </w:hyperlink>
      <w:r w:rsidRPr="00FE376D">
        <w:rPr>
          <w:rFonts w:ascii="Arial" w:hAnsi="Arial" w:cs="Arial"/>
          <w:color w:val="1F1F1F"/>
        </w:rPr>
        <w:t> (Accessed: 21 November 2025).</w:t>
      </w:r>
    </w:p>
    <w:p w14:paraId="1713C03D" w14:textId="77777777" w:rsidR="00FE376D" w:rsidRPr="00FE376D" w:rsidRDefault="00FE376D" w:rsidP="00C83574">
      <w:pPr>
        <w:pStyle w:val="NormalWeb"/>
        <w:shd w:val="clear" w:color="auto" w:fill="FFFFFF"/>
        <w:spacing w:before="120" w:beforeAutospacing="0" w:after="120" w:afterAutospacing="0" w:line="360" w:lineRule="auto"/>
        <w:ind w:left="360"/>
        <w:rPr>
          <w:rFonts w:ascii="Arial" w:hAnsi="Arial" w:cs="Arial"/>
          <w:color w:val="1F1F1F"/>
        </w:rPr>
      </w:pPr>
      <w:r w:rsidRPr="00FE376D">
        <w:rPr>
          <w:rFonts w:ascii="Arial" w:hAnsi="Arial" w:cs="Arial"/>
          <w:color w:val="1F1F1F"/>
        </w:rPr>
        <w:t>The Hofstede Centre (n.d.) </w:t>
      </w:r>
      <w:r w:rsidRPr="00FE376D">
        <w:rPr>
          <w:rFonts w:ascii="Arial" w:hAnsi="Arial" w:cs="Arial"/>
          <w:i/>
          <w:iCs/>
          <w:color w:val="1F1F1F"/>
        </w:rPr>
        <w:t>Country Comparison: India vs. Switzerland</w:t>
      </w:r>
      <w:r w:rsidRPr="00FE376D">
        <w:rPr>
          <w:rFonts w:ascii="Arial" w:hAnsi="Arial" w:cs="Arial"/>
          <w:color w:val="1F1F1F"/>
        </w:rPr>
        <w:t>. [Online]. Available at: </w:t>
      </w:r>
      <w:hyperlink r:id="rId34" w:tgtFrame="_blank" w:history="1">
        <w:r w:rsidRPr="00FE376D">
          <w:rPr>
            <w:rStyle w:val="Hyperlink"/>
            <w:rFonts w:ascii="Arial" w:hAnsi="Arial" w:cs="Arial"/>
            <w:color w:val="0B57D0"/>
          </w:rPr>
          <w:t>https://geerthofstede.com/</w:t>
        </w:r>
      </w:hyperlink>
      <w:r w:rsidRPr="00FE376D">
        <w:rPr>
          <w:rFonts w:ascii="Arial" w:hAnsi="Arial" w:cs="Arial"/>
          <w:color w:val="1F1F1F"/>
        </w:rPr>
        <w:t> (Accessed: 21 November 2025).</w:t>
      </w:r>
    </w:p>
    <w:p w14:paraId="6BC2A306"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Trompenaars, F. (1999) </w:t>
      </w:r>
      <w:r w:rsidRPr="00FE376D">
        <w:rPr>
          <w:rStyle w:val="Emphasis"/>
          <w:rFonts w:ascii="Arial" w:hAnsi="Arial" w:cs="Arial"/>
          <w:color w:val="1F1F1F"/>
          <w:bdr w:val="none" w:sz="0" w:space="0" w:color="auto" w:frame="1"/>
        </w:rPr>
        <w:t>Riding the Waves of Culture</w:t>
      </w:r>
      <w:r w:rsidRPr="00FE376D">
        <w:rPr>
          <w:rFonts w:ascii="Arial" w:hAnsi="Arial" w:cs="Arial"/>
          <w:color w:val="1F1F1F"/>
        </w:rPr>
        <w:t xml:space="preserve">. 2nd </w:t>
      </w:r>
      <w:proofErr w:type="spellStart"/>
      <w:r w:rsidRPr="00FE376D">
        <w:rPr>
          <w:rFonts w:ascii="Arial" w:hAnsi="Arial" w:cs="Arial"/>
          <w:color w:val="1F1F1F"/>
        </w:rPr>
        <w:t>edn</w:t>
      </w:r>
      <w:proofErr w:type="spellEnd"/>
      <w:r w:rsidRPr="00FE376D">
        <w:rPr>
          <w:rFonts w:ascii="Arial" w:hAnsi="Arial" w:cs="Arial"/>
          <w:color w:val="1F1F1F"/>
        </w:rPr>
        <w:t>. London: Nicholas Brealey Publishing.</w:t>
      </w:r>
    </w:p>
    <w:p w14:paraId="66FCD262"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UN Global Compact (2018) </w:t>
      </w:r>
      <w:r w:rsidRPr="00FE376D">
        <w:rPr>
          <w:rStyle w:val="Emphasis"/>
          <w:rFonts w:ascii="Arial" w:hAnsi="Arial" w:cs="Arial"/>
          <w:color w:val="1F1F1F"/>
          <w:bdr w:val="none" w:sz="0" w:space="0" w:color="auto" w:frame="1"/>
        </w:rPr>
        <w:t>Sustainable Sourcing and Supplier Development: Nestlé Case Study</w:t>
      </w:r>
      <w:r w:rsidRPr="00FE376D">
        <w:rPr>
          <w:rFonts w:ascii="Arial" w:hAnsi="Arial" w:cs="Arial"/>
          <w:color w:val="1F1F1F"/>
        </w:rPr>
        <w:t>. New York: United Nations.</w:t>
      </w:r>
    </w:p>
    <w:p w14:paraId="3F2163A4"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WHO (2020) </w:t>
      </w:r>
      <w:r w:rsidRPr="00FE376D">
        <w:rPr>
          <w:rStyle w:val="Emphasis"/>
          <w:rFonts w:ascii="Arial" w:hAnsi="Arial" w:cs="Arial"/>
          <w:color w:val="1F1F1F"/>
          <w:bdr w:val="none" w:sz="0" w:space="0" w:color="auto" w:frame="1"/>
        </w:rPr>
        <w:t>Guidelines for Food Safety Standards and Certification</w:t>
      </w:r>
      <w:r w:rsidRPr="00FE376D">
        <w:rPr>
          <w:rFonts w:ascii="Arial" w:hAnsi="Arial" w:cs="Arial"/>
          <w:color w:val="1F1F1F"/>
        </w:rPr>
        <w:t>. Geneva: World Health Organization.</w:t>
      </w:r>
    </w:p>
    <w:p w14:paraId="1A4B0D62" w14:textId="77777777" w:rsidR="00FE376D" w:rsidRPr="00FE376D" w:rsidRDefault="00FE376D" w:rsidP="00C83574">
      <w:pPr>
        <w:pStyle w:val="NormalWeb"/>
        <w:spacing w:before="0" w:beforeAutospacing="0" w:after="0" w:afterAutospacing="0" w:line="360" w:lineRule="auto"/>
        <w:ind w:left="360"/>
        <w:rPr>
          <w:rFonts w:ascii="Arial" w:hAnsi="Arial" w:cs="Arial"/>
          <w:color w:val="1F1F1F"/>
        </w:rPr>
      </w:pPr>
      <w:r w:rsidRPr="00FE376D">
        <w:rPr>
          <w:rFonts w:ascii="Arial" w:hAnsi="Arial" w:cs="Arial"/>
          <w:color w:val="1F1F1F"/>
        </w:rPr>
        <w:t xml:space="preserve">World Bank (2023) </w:t>
      </w:r>
      <w:r w:rsidRPr="00FE376D">
        <w:rPr>
          <w:rStyle w:val="Emphasis"/>
          <w:rFonts w:ascii="Arial" w:hAnsi="Arial" w:cs="Arial"/>
          <w:color w:val="1F1F1F"/>
          <w:bdr w:val="none" w:sz="0" w:space="0" w:color="auto" w:frame="1"/>
        </w:rPr>
        <w:t>India Development Update: Demographics and Economic Forecast</w:t>
      </w:r>
      <w:r w:rsidRPr="00FE376D">
        <w:rPr>
          <w:rFonts w:ascii="Arial" w:hAnsi="Arial" w:cs="Arial"/>
          <w:color w:val="1F1F1F"/>
        </w:rPr>
        <w:t>. Washington D.C.: World Bank.</w:t>
      </w:r>
    </w:p>
    <w:p w14:paraId="64B9DBDA" w14:textId="77777777" w:rsidR="002061E9" w:rsidRPr="00421EEA" w:rsidRDefault="002061E9" w:rsidP="00C83574">
      <w:pPr>
        <w:pStyle w:val="NormalWeb"/>
        <w:spacing w:before="0" w:beforeAutospacing="0" w:after="0" w:afterAutospacing="0" w:line="360" w:lineRule="auto"/>
        <w:rPr>
          <w:rFonts w:ascii="Arial" w:hAnsi="Arial" w:cs="Arial"/>
          <w:color w:val="1F1F1F"/>
        </w:rPr>
      </w:pPr>
    </w:p>
    <w:p w14:paraId="07827EBB" w14:textId="77777777" w:rsidR="009504B0" w:rsidRDefault="009504B0"/>
    <w:sectPr w:rsidR="009504B0" w:rsidSect="002061E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EB865" w14:textId="77777777" w:rsidR="00663EDB" w:rsidRDefault="00663EDB" w:rsidP="000F222F">
      <w:pPr>
        <w:spacing w:after="0" w:line="240" w:lineRule="auto"/>
      </w:pPr>
      <w:r>
        <w:separator/>
      </w:r>
    </w:p>
  </w:endnote>
  <w:endnote w:type="continuationSeparator" w:id="0">
    <w:p w14:paraId="1DCBFD16" w14:textId="77777777" w:rsidR="00663EDB" w:rsidRDefault="00663EDB" w:rsidP="000F2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6028"/>
      <w:docPartObj>
        <w:docPartGallery w:val="Page Numbers (Bottom of Page)"/>
        <w:docPartUnique/>
      </w:docPartObj>
    </w:sdtPr>
    <w:sdtEndPr>
      <w:rPr>
        <w:color w:val="7F7F7F" w:themeColor="background1" w:themeShade="7F"/>
        <w:spacing w:val="60"/>
      </w:rPr>
    </w:sdtEndPr>
    <w:sdtContent>
      <w:p w14:paraId="5D6D9CC5" w14:textId="77777777" w:rsidR="00900CEB" w:rsidRDefault="00900CE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12407A9" w14:textId="77777777" w:rsidR="00900CEB" w:rsidRDefault="00900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D901A" w14:textId="77777777" w:rsidR="00663EDB" w:rsidRDefault="00663EDB" w:rsidP="000F222F">
      <w:pPr>
        <w:spacing w:after="0" w:line="240" w:lineRule="auto"/>
      </w:pPr>
      <w:r>
        <w:separator/>
      </w:r>
    </w:p>
  </w:footnote>
  <w:footnote w:type="continuationSeparator" w:id="0">
    <w:p w14:paraId="029D417F" w14:textId="77777777" w:rsidR="00663EDB" w:rsidRDefault="00663EDB" w:rsidP="000F22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326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811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A746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5A4AE2"/>
    <w:multiLevelType w:val="hybridMultilevel"/>
    <w:tmpl w:val="1512A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8209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4B7C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DD2D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3841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F53A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9F28B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9039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0E252ED"/>
    <w:multiLevelType w:val="hybridMultilevel"/>
    <w:tmpl w:val="487E8F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143616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14D62A0"/>
    <w:multiLevelType w:val="hybridMultilevel"/>
    <w:tmpl w:val="D3808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684A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870E22"/>
    <w:multiLevelType w:val="hybridMultilevel"/>
    <w:tmpl w:val="BB1EFE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1918163">
    <w:abstractNumId w:val="4"/>
  </w:num>
  <w:num w:numId="2" w16cid:durableId="1644114983">
    <w:abstractNumId w:val="7"/>
  </w:num>
  <w:num w:numId="3" w16cid:durableId="1931811504">
    <w:abstractNumId w:val="14"/>
  </w:num>
  <w:num w:numId="4" w16cid:durableId="1755542820">
    <w:abstractNumId w:val="0"/>
  </w:num>
  <w:num w:numId="5" w16cid:durableId="400370594">
    <w:abstractNumId w:val="9"/>
  </w:num>
  <w:num w:numId="6" w16cid:durableId="1318388100">
    <w:abstractNumId w:val="12"/>
  </w:num>
  <w:num w:numId="7" w16cid:durableId="1654025687">
    <w:abstractNumId w:val="10"/>
  </w:num>
  <w:num w:numId="8" w16cid:durableId="843858038">
    <w:abstractNumId w:val="2"/>
  </w:num>
  <w:num w:numId="9" w16cid:durableId="499470395">
    <w:abstractNumId w:val="5"/>
  </w:num>
  <w:num w:numId="10" w16cid:durableId="393896432">
    <w:abstractNumId w:val="6"/>
  </w:num>
  <w:num w:numId="11" w16cid:durableId="1574580568">
    <w:abstractNumId w:val="1"/>
  </w:num>
  <w:num w:numId="12" w16cid:durableId="106776552">
    <w:abstractNumId w:val="8"/>
  </w:num>
  <w:num w:numId="13" w16cid:durableId="2071688536">
    <w:abstractNumId w:val="13"/>
  </w:num>
  <w:num w:numId="14" w16cid:durableId="732237256">
    <w:abstractNumId w:val="11"/>
  </w:num>
  <w:num w:numId="15" w16cid:durableId="1633049585">
    <w:abstractNumId w:val="15"/>
  </w:num>
  <w:num w:numId="16" w16cid:durableId="12803798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4B0"/>
    <w:rsid w:val="000149F7"/>
    <w:rsid w:val="00014A5D"/>
    <w:rsid w:val="000154B3"/>
    <w:rsid w:val="000155C1"/>
    <w:rsid w:val="000165E1"/>
    <w:rsid w:val="00025A67"/>
    <w:rsid w:val="00030F28"/>
    <w:rsid w:val="00032174"/>
    <w:rsid w:val="000322FB"/>
    <w:rsid w:val="0003418D"/>
    <w:rsid w:val="00034900"/>
    <w:rsid w:val="00034DA5"/>
    <w:rsid w:val="00043582"/>
    <w:rsid w:val="00044168"/>
    <w:rsid w:val="00047AC2"/>
    <w:rsid w:val="000509EA"/>
    <w:rsid w:val="0005798E"/>
    <w:rsid w:val="0006306A"/>
    <w:rsid w:val="00071A20"/>
    <w:rsid w:val="00072F41"/>
    <w:rsid w:val="0007680A"/>
    <w:rsid w:val="000840A4"/>
    <w:rsid w:val="00091B10"/>
    <w:rsid w:val="0009701D"/>
    <w:rsid w:val="000A069B"/>
    <w:rsid w:val="000A0D89"/>
    <w:rsid w:val="000C39CB"/>
    <w:rsid w:val="000D0EEA"/>
    <w:rsid w:val="000D12EE"/>
    <w:rsid w:val="000D15E8"/>
    <w:rsid w:val="000D5844"/>
    <w:rsid w:val="000E032C"/>
    <w:rsid w:val="000E2214"/>
    <w:rsid w:val="000F222F"/>
    <w:rsid w:val="000F71D7"/>
    <w:rsid w:val="00102A1E"/>
    <w:rsid w:val="0011299B"/>
    <w:rsid w:val="00120495"/>
    <w:rsid w:val="00120FC5"/>
    <w:rsid w:val="001248E2"/>
    <w:rsid w:val="00126A6F"/>
    <w:rsid w:val="0013070A"/>
    <w:rsid w:val="00152F39"/>
    <w:rsid w:val="00166299"/>
    <w:rsid w:val="001669D4"/>
    <w:rsid w:val="00166F34"/>
    <w:rsid w:val="00174ECE"/>
    <w:rsid w:val="001819C8"/>
    <w:rsid w:val="00182618"/>
    <w:rsid w:val="00187DC6"/>
    <w:rsid w:val="001A61A5"/>
    <w:rsid w:val="001B6914"/>
    <w:rsid w:val="001B7CA9"/>
    <w:rsid w:val="001C189C"/>
    <w:rsid w:val="001C1A11"/>
    <w:rsid w:val="001D7A2A"/>
    <w:rsid w:val="001E7B82"/>
    <w:rsid w:val="001F32C6"/>
    <w:rsid w:val="002061E9"/>
    <w:rsid w:val="00212A92"/>
    <w:rsid w:val="0022128C"/>
    <w:rsid w:val="00221A89"/>
    <w:rsid w:val="002250C0"/>
    <w:rsid w:val="002263B5"/>
    <w:rsid w:val="002447D2"/>
    <w:rsid w:val="00250502"/>
    <w:rsid w:val="0025607F"/>
    <w:rsid w:val="0025609D"/>
    <w:rsid w:val="00264172"/>
    <w:rsid w:val="0027499E"/>
    <w:rsid w:val="00275BEF"/>
    <w:rsid w:val="00277A9C"/>
    <w:rsid w:val="0028153A"/>
    <w:rsid w:val="00284D76"/>
    <w:rsid w:val="00285757"/>
    <w:rsid w:val="002871FF"/>
    <w:rsid w:val="00287CE4"/>
    <w:rsid w:val="00292D23"/>
    <w:rsid w:val="002943BA"/>
    <w:rsid w:val="002A4CF8"/>
    <w:rsid w:val="002B4388"/>
    <w:rsid w:val="002C4AF8"/>
    <w:rsid w:val="002C5306"/>
    <w:rsid w:val="002D6DD6"/>
    <w:rsid w:val="002F3AA3"/>
    <w:rsid w:val="00303365"/>
    <w:rsid w:val="00312FBA"/>
    <w:rsid w:val="00314103"/>
    <w:rsid w:val="003226B4"/>
    <w:rsid w:val="00323B94"/>
    <w:rsid w:val="0032593E"/>
    <w:rsid w:val="00332890"/>
    <w:rsid w:val="003343B9"/>
    <w:rsid w:val="003400EF"/>
    <w:rsid w:val="00344439"/>
    <w:rsid w:val="00345CE8"/>
    <w:rsid w:val="00346E35"/>
    <w:rsid w:val="003538B7"/>
    <w:rsid w:val="003544EB"/>
    <w:rsid w:val="0035595F"/>
    <w:rsid w:val="0036269A"/>
    <w:rsid w:val="003706D8"/>
    <w:rsid w:val="003816E8"/>
    <w:rsid w:val="0038396D"/>
    <w:rsid w:val="00387533"/>
    <w:rsid w:val="00395A00"/>
    <w:rsid w:val="00397588"/>
    <w:rsid w:val="003A6690"/>
    <w:rsid w:val="003A7A7A"/>
    <w:rsid w:val="003B4C5C"/>
    <w:rsid w:val="003B54FC"/>
    <w:rsid w:val="003C0B39"/>
    <w:rsid w:val="003F30C1"/>
    <w:rsid w:val="003F57C7"/>
    <w:rsid w:val="0040099C"/>
    <w:rsid w:val="0040317C"/>
    <w:rsid w:val="00403AC4"/>
    <w:rsid w:val="004163C9"/>
    <w:rsid w:val="00421EEA"/>
    <w:rsid w:val="00422DFB"/>
    <w:rsid w:val="004433B0"/>
    <w:rsid w:val="00446956"/>
    <w:rsid w:val="00452276"/>
    <w:rsid w:val="00453065"/>
    <w:rsid w:val="00460D90"/>
    <w:rsid w:val="00464DD7"/>
    <w:rsid w:val="004779B3"/>
    <w:rsid w:val="00480306"/>
    <w:rsid w:val="0048593D"/>
    <w:rsid w:val="00487405"/>
    <w:rsid w:val="004917C4"/>
    <w:rsid w:val="00495790"/>
    <w:rsid w:val="004A34E9"/>
    <w:rsid w:val="004B2E1B"/>
    <w:rsid w:val="004C3A3C"/>
    <w:rsid w:val="004E175C"/>
    <w:rsid w:val="004E2551"/>
    <w:rsid w:val="004F48C4"/>
    <w:rsid w:val="00502BF2"/>
    <w:rsid w:val="00505863"/>
    <w:rsid w:val="00511E41"/>
    <w:rsid w:val="00522835"/>
    <w:rsid w:val="00534D1B"/>
    <w:rsid w:val="00543C7A"/>
    <w:rsid w:val="00546D23"/>
    <w:rsid w:val="0055356D"/>
    <w:rsid w:val="005642F9"/>
    <w:rsid w:val="00572384"/>
    <w:rsid w:val="00592D54"/>
    <w:rsid w:val="005C27BC"/>
    <w:rsid w:val="005C4F6D"/>
    <w:rsid w:val="005D00E6"/>
    <w:rsid w:val="005D1CB2"/>
    <w:rsid w:val="005D6B24"/>
    <w:rsid w:val="005F0021"/>
    <w:rsid w:val="005F22BB"/>
    <w:rsid w:val="005F3BE2"/>
    <w:rsid w:val="005F5460"/>
    <w:rsid w:val="00610AB2"/>
    <w:rsid w:val="00612DC0"/>
    <w:rsid w:val="006307EE"/>
    <w:rsid w:val="00633413"/>
    <w:rsid w:val="00636A4E"/>
    <w:rsid w:val="00646D67"/>
    <w:rsid w:val="00657EE0"/>
    <w:rsid w:val="00663EDB"/>
    <w:rsid w:val="00696550"/>
    <w:rsid w:val="00697C27"/>
    <w:rsid w:val="006B0962"/>
    <w:rsid w:val="006B0C0C"/>
    <w:rsid w:val="006C04BE"/>
    <w:rsid w:val="006C58B0"/>
    <w:rsid w:val="006E345B"/>
    <w:rsid w:val="006E3C10"/>
    <w:rsid w:val="006E5E95"/>
    <w:rsid w:val="00701433"/>
    <w:rsid w:val="007135C5"/>
    <w:rsid w:val="00720455"/>
    <w:rsid w:val="00727396"/>
    <w:rsid w:val="0073071F"/>
    <w:rsid w:val="0073639F"/>
    <w:rsid w:val="007441AF"/>
    <w:rsid w:val="007453B7"/>
    <w:rsid w:val="0075024B"/>
    <w:rsid w:val="00756049"/>
    <w:rsid w:val="00757F8A"/>
    <w:rsid w:val="007604DD"/>
    <w:rsid w:val="00773AE6"/>
    <w:rsid w:val="0077450A"/>
    <w:rsid w:val="00781771"/>
    <w:rsid w:val="00782333"/>
    <w:rsid w:val="00784A59"/>
    <w:rsid w:val="007857E8"/>
    <w:rsid w:val="00785CEC"/>
    <w:rsid w:val="0078648F"/>
    <w:rsid w:val="007A3168"/>
    <w:rsid w:val="007A3E9D"/>
    <w:rsid w:val="007A590F"/>
    <w:rsid w:val="007C0B16"/>
    <w:rsid w:val="007D2135"/>
    <w:rsid w:val="007D4B54"/>
    <w:rsid w:val="007E4F08"/>
    <w:rsid w:val="007E66B5"/>
    <w:rsid w:val="007F13C8"/>
    <w:rsid w:val="008116B5"/>
    <w:rsid w:val="00835FFF"/>
    <w:rsid w:val="00840825"/>
    <w:rsid w:val="0084183C"/>
    <w:rsid w:val="008520FA"/>
    <w:rsid w:val="008565D9"/>
    <w:rsid w:val="008604CC"/>
    <w:rsid w:val="00860F9C"/>
    <w:rsid w:val="00862B6B"/>
    <w:rsid w:val="00867C0D"/>
    <w:rsid w:val="0087514D"/>
    <w:rsid w:val="00875D83"/>
    <w:rsid w:val="0087637E"/>
    <w:rsid w:val="0089577E"/>
    <w:rsid w:val="00897FF0"/>
    <w:rsid w:val="008A46F9"/>
    <w:rsid w:val="008A48A9"/>
    <w:rsid w:val="008C1403"/>
    <w:rsid w:val="008C1C48"/>
    <w:rsid w:val="008C29A3"/>
    <w:rsid w:val="008D1732"/>
    <w:rsid w:val="008D3469"/>
    <w:rsid w:val="008D3AD9"/>
    <w:rsid w:val="008D40F8"/>
    <w:rsid w:val="008E7024"/>
    <w:rsid w:val="008F02DF"/>
    <w:rsid w:val="008F1C92"/>
    <w:rsid w:val="008F35B8"/>
    <w:rsid w:val="00900CEB"/>
    <w:rsid w:val="00904ABF"/>
    <w:rsid w:val="00925B02"/>
    <w:rsid w:val="00927C8B"/>
    <w:rsid w:val="00931443"/>
    <w:rsid w:val="00934E6D"/>
    <w:rsid w:val="00942307"/>
    <w:rsid w:val="00945B0E"/>
    <w:rsid w:val="009504B0"/>
    <w:rsid w:val="00952847"/>
    <w:rsid w:val="00953B67"/>
    <w:rsid w:val="00953D79"/>
    <w:rsid w:val="00953E55"/>
    <w:rsid w:val="00961C97"/>
    <w:rsid w:val="00992905"/>
    <w:rsid w:val="0099406C"/>
    <w:rsid w:val="00996DA4"/>
    <w:rsid w:val="009A224F"/>
    <w:rsid w:val="009A2ABD"/>
    <w:rsid w:val="009A4E33"/>
    <w:rsid w:val="009A4F59"/>
    <w:rsid w:val="009A634D"/>
    <w:rsid w:val="009A7694"/>
    <w:rsid w:val="009B26B4"/>
    <w:rsid w:val="009B518F"/>
    <w:rsid w:val="009B6A61"/>
    <w:rsid w:val="009D0ED3"/>
    <w:rsid w:val="009D195B"/>
    <w:rsid w:val="009D573E"/>
    <w:rsid w:val="009E1582"/>
    <w:rsid w:val="009E1956"/>
    <w:rsid w:val="009F07B1"/>
    <w:rsid w:val="009F6989"/>
    <w:rsid w:val="009F7A18"/>
    <w:rsid w:val="00A025AA"/>
    <w:rsid w:val="00A02765"/>
    <w:rsid w:val="00A02882"/>
    <w:rsid w:val="00A11B89"/>
    <w:rsid w:val="00A134D0"/>
    <w:rsid w:val="00A158A6"/>
    <w:rsid w:val="00A2131B"/>
    <w:rsid w:val="00A2573C"/>
    <w:rsid w:val="00A25AC1"/>
    <w:rsid w:val="00A44038"/>
    <w:rsid w:val="00A57613"/>
    <w:rsid w:val="00A62239"/>
    <w:rsid w:val="00A66432"/>
    <w:rsid w:val="00A87724"/>
    <w:rsid w:val="00A92038"/>
    <w:rsid w:val="00AA381B"/>
    <w:rsid w:val="00AC1361"/>
    <w:rsid w:val="00AD65BB"/>
    <w:rsid w:val="00AD72DF"/>
    <w:rsid w:val="00AD73DD"/>
    <w:rsid w:val="00AD7A19"/>
    <w:rsid w:val="00AE33E0"/>
    <w:rsid w:val="00AE63C6"/>
    <w:rsid w:val="00B05606"/>
    <w:rsid w:val="00B05EFC"/>
    <w:rsid w:val="00B2037C"/>
    <w:rsid w:val="00B26391"/>
    <w:rsid w:val="00B32A8F"/>
    <w:rsid w:val="00B3766D"/>
    <w:rsid w:val="00B41E55"/>
    <w:rsid w:val="00B42AC4"/>
    <w:rsid w:val="00B65A4C"/>
    <w:rsid w:val="00B67BD4"/>
    <w:rsid w:val="00B72324"/>
    <w:rsid w:val="00B847F2"/>
    <w:rsid w:val="00B864EA"/>
    <w:rsid w:val="00B8762F"/>
    <w:rsid w:val="00B907D8"/>
    <w:rsid w:val="00B917F0"/>
    <w:rsid w:val="00B92763"/>
    <w:rsid w:val="00B967BF"/>
    <w:rsid w:val="00BB122A"/>
    <w:rsid w:val="00BB3F13"/>
    <w:rsid w:val="00BD0DC4"/>
    <w:rsid w:val="00BD2B59"/>
    <w:rsid w:val="00BD6B09"/>
    <w:rsid w:val="00BE7F4B"/>
    <w:rsid w:val="00BF0200"/>
    <w:rsid w:val="00BF53FB"/>
    <w:rsid w:val="00BF64F9"/>
    <w:rsid w:val="00BF68AA"/>
    <w:rsid w:val="00C01A5A"/>
    <w:rsid w:val="00C039BF"/>
    <w:rsid w:val="00C0407E"/>
    <w:rsid w:val="00C14C8A"/>
    <w:rsid w:val="00C30B69"/>
    <w:rsid w:val="00C31065"/>
    <w:rsid w:val="00C37AD2"/>
    <w:rsid w:val="00C72A0E"/>
    <w:rsid w:val="00C76F36"/>
    <w:rsid w:val="00C8054B"/>
    <w:rsid w:val="00C83574"/>
    <w:rsid w:val="00C862E2"/>
    <w:rsid w:val="00C86C78"/>
    <w:rsid w:val="00C9117A"/>
    <w:rsid w:val="00C9412D"/>
    <w:rsid w:val="00CB6E53"/>
    <w:rsid w:val="00CC55C8"/>
    <w:rsid w:val="00CD5848"/>
    <w:rsid w:val="00CE276A"/>
    <w:rsid w:val="00CE7F2F"/>
    <w:rsid w:val="00CF6A56"/>
    <w:rsid w:val="00D121E1"/>
    <w:rsid w:val="00D17DD2"/>
    <w:rsid w:val="00D30B79"/>
    <w:rsid w:val="00D41022"/>
    <w:rsid w:val="00D44CDE"/>
    <w:rsid w:val="00D44EA1"/>
    <w:rsid w:val="00D47D0F"/>
    <w:rsid w:val="00D506A7"/>
    <w:rsid w:val="00D56EE4"/>
    <w:rsid w:val="00D60E24"/>
    <w:rsid w:val="00D65DA4"/>
    <w:rsid w:val="00D83649"/>
    <w:rsid w:val="00DA067A"/>
    <w:rsid w:val="00DA081C"/>
    <w:rsid w:val="00DA0FE7"/>
    <w:rsid w:val="00DA1060"/>
    <w:rsid w:val="00DA2742"/>
    <w:rsid w:val="00DA2ECA"/>
    <w:rsid w:val="00DB039D"/>
    <w:rsid w:val="00DD0514"/>
    <w:rsid w:val="00DD22EB"/>
    <w:rsid w:val="00DD2DC5"/>
    <w:rsid w:val="00DE2C96"/>
    <w:rsid w:val="00DE4AE3"/>
    <w:rsid w:val="00DE7823"/>
    <w:rsid w:val="00DF0D99"/>
    <w:rsid w:val="00DF62C0"/>
    <w:rsid w:val="00DF7D1B"/>
    <w:rsid w:val="00E02AB5"/>
    <w:rsid w:val="00E160CD"/>
    <w:rsid w:val="00E25F85"/>
    <w:rsid w:val="00E31188"/>
    <w:rsid w:val="00E357A2"/>
    <w:rsid w:val="00E357FD"/>
    <w:rsid w:val="00E40CF6"/>
    <w:rsid w:val="00E66276"/>
    <w:rsid w:val="00E672F6"/>
    <w:rsid w:val="00E73F39"/>
    <w:rsid w:val="00E74E80"/>
    <w:rsid w:val="00E80239"/>
    <w:rsid w:val="00E83AE6"/>
    <w:rsid w:val="00E929CE"/>
    <w:rsid w:val="00EB180C"/>
    <w:rsid w:val="00EC4D7F"/>
    <w:rsid w:val="00ED359E"/>
    <w:rsid w:val="00EE7658"/>
    <w:rsid w:val="00EF45D8"/>
    <w:rsid w:val="00EF477D"/>
    <w:rsid w:val="00F00441"/>
    <w:rsid w:val="00F017E2"/>
    <w:rsid w:val="00F02AC4"/>
    <w:rsid w:val="00F0561F"/>
    <w:rsid w:val="00F15147"/>
    <w:rsid w:val="00F16511"/>
    <w:rsid w:val="00F23C68"/>
    <w:rsid w:val="00F27C3B"/>
    <w:rsid w:val="00F30490"/>
    <w:rsid w:val="00F32B14"/>
    <w:rsid w:val="00F33E97"/>
    <w:rsid w:val="00F34D21"/>
    <w:rsid w:val="00F42CA5"/>
    <w:rsid w:val="00F42D5F"/>
    <w:rsid w:val="00F63A06"/>
    <w:rsid w:val="00F654F5"/>
    <w:rsid w:val="00F6758A"/>
    <w:rsid w:val="00F774A5"/>
    <w:rsid w:val="00F828CE"/>
    <w:rsid w:val="00F93005"/>
    <w:rsid w:val="00F94BAD"/>
    <w:rsid w:val="00F94FFC"/>
    <w:rsid w:val="00F9646F"/>
    <w:rsid w:val="00F979B9"/>
    <w:rsid w:val="00FA07E7"/>
    <w:rsid w:val="00FA0ACB"/>
    <w:rsid w:val="00FA3992"/>
    <w:rsid w:val="00FB13EE"/>
    <w:rsid w:val="00FB4B7A"/>
    <w:rsid w:val="00FB79AA"/>
    <w:rsid w:val="00FD18C6"/>
    <w:rsid w:val="00FD7D9D"/>
    <w:rsid w:val="00FE376D"/>
    <w:rsid w:val="00FE7760"/>
    <w:rsid w:val="00FF376B"/>
    <w:rsid w:val="00FF38D5"/>
    <w:rsid w:val="1493F08B"/>
    <w:rsid w:val="1A6C704B"/>
    <w:rsid w:val="22D29A2C"/>
    <w:rsid w:val="29A400A2"/>
    <w:rsid w:val="36DAD642"/>
    <w:rsid w:val="409FC141"/>
    <w:rsid w:val="571E4190"/>
    <w:rsid w:val="5BB4FE64"/>
    <w:rsid w:val="6CEAB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C6C74"/>
  <w15:chartTrackingRefBased/>
  <w15:docId w15:val="{D82F3E8A-421E-BD47-B7E4-6A46F941C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4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04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04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504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4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4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4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4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4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4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04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04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04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4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4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4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4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4B0"/>
    <w:rPr>
      <w:rFonts w:eastAsiaTheme="majorEastAsia" w:cstheme="majorBidi"/>
      <w:color w:val="272727" w:themeColor="text1" w:themeTint="D8"/>
    </w:rPr>
  </w:style>
  <w:style w:type="paragraph" w:styleId="Title">
    <w:name w:val="Title"/>
    <w:basedOn w:val="Normal"/>
    <w:next w:val="Normal"/>
    <w:link w:val="TitleChar"/>
    <w:uiPriority w:val="10"/>
    <w:qFormat/>
    <w:rsid w:val="009504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4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4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4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4B0"/>
    <w:pPr>
      <w:spacing w:before="160"/>
      <w:jc w:val="center"/>
    </w:pPr>
    <w:rPr>
      <w:i/>
      <w:iCs/>
      <w:color w:val="404040" w:themeColor="text1" w:themeTint="BF"/>
    </w:rPr>
  </w:style>
  <w:style w:type="character" w:customStyle="1" w:styleId="QuoteChar">
    <w:name w:val="Quote Char"/>
    <w:basedOn w:val="DefaultParagraphFont"/>
    <w:link w:val="Quote"/>
    <w:uiPriority w:val="29"/>
    <w:rsid w:val="009504B0"/>
    <w:rPr>
      <w:i/>
      <w:iCs/>
      <w:color w:val="404040" w:themeColor="text1" w:themeTint="BF"/>
    </w:rPr>
  </w:style>
  <w:style w:type="paragraph" w:styleId="ListParagraph">
    <w:name w:val="List Paragraph"/>
    <w:basedOn w:val="Normal"/>
    <w:uiPriority w:val="34"/>
    <w:qFormat/>
    <w:rsid w:val="009504B0"/>
    <w:pPr>
      <w:ind w:left="720"/>
      <w:contextualSpacing/>
    </w:pPr>
  </w:style>
  <w:style w:type="character" w:styleId="IntenseEmphasis">
    <w:name w:val="Intense Emphasis"/>
    <w:basedOn w:val="DefaultParagraphFont"/>
    <w:uiPriority w:val="21"/>
    <w:qFormat/>
    <w:rsid w:val="009504B0"/>
    <w:rPr>
      <w:i/>
      <w:iCs/>
      <w:color w:val="0F4761" w:themeColor="accent1" w:themeShade="BF"/>
    </w:rPr>
  </w:style>
  <w:style w:type="paragraph" w:styleId="IntenseQuote">
    <w:name w:val="Intense Quote"/>
    <w:basedOn w:val="Normal"/>
    <w:next w:val="Normal"/>
    <w:link w:val="IntenseQuoteChar"/>
    <w:uiPriority w:val="30"/>
    <w:qFormat/>
    <w:rsid w:val="009504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4B0"/>
    <w:rPr>
      <w:i/>
      <w:iCs/>
      <w:color w:val="0F4761" w:themeColor="accent1" w:themeShade="BF"/>
    </w:rPr>
  </w:style>
  <w:style w:type="character" w:styleId="IntenseReference">
    <w:name w:val="Intense Reference"/>
    <w:basedOn w:val="DefaultParagraphFont"/>
    <w:uiPriority w:val="32"/>
    <w:qFormat/>
    <w:rsid w:val="009504B0"/>
    <w:rPr>
      <w:b/>
      <w:bCs/>
      <w:smallCaps/>
      <w:color w:val="0F4761" w:themeColor="accent1" w:themeShade="BF"/>
      <w:spacing w:val="5"/>
    </w:rPr>
  </w:style>
  <w:style w:type="character" w:customStyle="1" w:styleId="selected">
    <w:name w:val="selected"/>
    <w:basedOn w:val="DefaultParagraphFont"/>
    <w:rsid w:val="009504B0"/>
  </w:style>
  <w:style w:type="paragraph" w:styleId="NormalWeb">
    <w:name w:val="Normal (Web)"/>
    <w:basedOn w:val="Normal"/>
    <w:uiPriority w:val="99"/>
    <w:unhideWhenUsed/>
    <w:rsid w:val="009504B0"/>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9504B0"/>
    <w:rPr>
      <w:b/>
      <w:bCs/>
    </w:rPr>
  </w:style>
  <w:style w:type="character" w:styleId="Emphasis">
    <w:name w:val="Emphasis"/>
    <w:basedOn w:val="DefaultParagraphFont"/>
    <w:uiPriority w:val="20"/>
    <w:qFormat/>
    <w:rsid w:val="009504B0"/>
    <w:rPr>
      <w:i/>
      <w:iCs/>
    </w:rPr>
  </w:style>
  <w:style w:type="paragraph" w:styleId="NoSpacing">
    <w:name w:val="No Spacing"/>
    <w:link w:val="NoSpacingChar"/>
    <w:uiPriority w:val="1"/>
    <w:qFormat/>
    <w:rsid w:val="003226B4"/>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226B4"/>
    <w:rPr>
      <w:kern w:val="0"/>
      <w:sz w:val="22"/>
      <w:szCs w:val="22"/>
      <w:lang w:val="en-US" w:eastAsia="en-US"/>
      <w14:ligatures w14:val="none"/>
    </w:rPr>
  </w:style>
  <w:style w:type="paragraph" w:styleId="Header">
    <w:name w:val="header"/>
    <w:basedOn w:val="Normal"/>
    <w:link w:val="HeaderChar"/>
    <w:uiPriority w:val="99"/>
    <w:unhideWhenUsed/>
    <w:rsid w:val="000F2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22F"/>
  </w:style>
  <w:style w:type="paragraph" w:styleId="Footer">
    <w:name w:val="footer"/>
    <w:basedOn w:val="Normal"/>
    <w:link w:val="FooterChar"/>
    <w:uiPriority w:val="99"/>
    <w:unhideWhenUsed/>
    <w:rsid w:val="000F2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22F"/>
  </w:style>
  <w:style w:type="paragraph" w:styleId="TOCHeading">
    <w:name w:val="TOC Heading"/>
    <w:basedOn w:val="Heading1"/>
    <w:next w:val="Normal"/>
    <w:uiPriority w:val="39"/>
    <w:unhideWhenUsed/>
    <w:qFormat/>
    <w:rsid w:val="000F222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F222F"/>
    <w:pPr>
      <w:spacing w:after="100"/>
    </w:pPr>
  </w:style>
  <w:style w:type="paragraph" w:styleId="TOC2">
    <w:name w:val="toc 2"/>
    <w:basedOn w:val="Normal"/>
    <w:next w:val="Normal"/>
    <w:autoRedefine/>
    <w:uiPriority w:val="39"/>
    <w:unhideWhenUsed/>
    <w:rsid w:val="000F222F"/>
    <w:pPr>
      <w:spacing w:after="100"/>
      <w:ind w:left="240"/>
    </w:pPr>
  </w:style>
  <w:style w:type="paragraph" w:styleId="TOC3">
    <w:name w:val="toc 3"/>
    <w:basedOn w:val="Normal"/>
    <w:next w:val="Normal"/>
    <w:autoRedefine/>
    <w:uiPriority w:val="39"/>
    <w:unhideWhenUsed/>
    <w:rsid w:val="000F222F"/>
    <w:pPr>
      <w:spacing w:after="100"/>
      <w:ind w:left="480"/>
    </w:pPr>
  </w:style>
  <w:style w:type="character" w:styleId="Hyperlink">
    <w:name w:val="Hyperlink"/>
    <w:basedOn w:val="DefaultParagraphFont"/>
    <w:uiPriority w:val="99"/>
    <w:unhideWhenUsed/>
    <w:rsid w:val="000F222F"/>
    <w:rPr>
      <w:color w:val="467886" w:themeColor="hyperlink"/>
      <w:u w:val="single"/>
    </w:rPr>
  </w:style>
  <w:style w:type="character" w:styleId="UnresolvedMention">
    <w:name w:val="Unresolved Mention"/>
    <w:basedOn w:val="DefaultParagraphFont"/>
    <w:uiPriority w:val="99"/>
    <w:semiHidden/>
    <w:unhideWhenUsed/>
    <w:rsid w:val="00EF477D"/>
    <w:rPr>
      <w:color w:val="605E5C"/>
      <w:shd w:val="clear" w:color="auto" w:fill="E1DFDD"/>
    </w:rPr>
  </w:style>
  <w:style w:type="character" w:styleId="FollowedHyperlink">
    <w:name w:val="FollowedHyperlink"/>
    <w:basedOn w:val="DefaultParagraphFont"/>
    <w:uiPriority w:val="99"/>
    <w:semiHidden/>
    <w:unhideWhenUsed/>
    <w:rsid w:val="00C76F36"/>
    <w:rPr>
      <w:color w:val="96607D" w:themeColor="followedHyperlink"/>
      <w:u w:val="single"/>
    </w:rPr>
  </w:style>
  <w:style w:type="character" w:customStyle="1" w:styleId="bard-text">
    <w:name w:val="bard-text"/>
    <w:basedOn w:val="DefaultParagraphFont"/>
    <w:rsid w:val="00633413"/>
  </w:style>
  <w:style w:type="paragraph" w:customStyle="1" w:styleId="query-text-line">
    <w:name w:val="query-text-line"/>
    <w:basedOn w:val="Normal"/>
    <w:rsid w:val="00633413"/>
    <w:pPr>
      <w:spacing w:before="100" w:beforeAutospacing="1" w:after="100" w:afterAutospacing="1" w:line="240" w:lineRule="auto"/>
    </w:pPr>
    <w:rPr>
      <w:rFonts w:ascii="Times New Roman" w:hAnsi="Times New Roman" w:cs="Times New Roman"/>
      <w:kern w:val="0"/>
      <w14:ligatures w14:val="none"/>
    </w:rPr>
  </w:style>
  <w:style w:type="character" w:customStyle="1" w:styleId="citation-55">
    <w:name w:val="citation-55"/>
    <w:basedOn w:val="DefaultParagraphFont"/>
    <w:rsid w:val="00633413"/>
  </w:style>
  <w:style w:type="character" w:customStyle="1" w:styleId="citation-54">
    <w:name w:val="citation-54"/>
    <w:basedOn w:val="DefaultParagraphFont"/>
    <w:rsid w:val="00633413"/>
  </w:style>
  <w:style w:type="character" w:customStyle="1" w:styleId="citation-53">
    <w:name w:val="citation-53"/>
    <w:basedOn w:val="DefaultParagraphFont"/>
    <w:rsid w:val="00633413"/>
  </w:style>
  <w:style w:type="character" w:customStyle="1" w:styleId="citation-52">
    <w:name w:val="citation-52"/>
    <w:basedOn w:val="DefaultParagraphFont"/>
    <w:rsid w:val="00633413"/>
  </w:style>
  <w:style w:type="character" w:customStyle="1" w:styleId="citation-51">
    <w:name w:val="citation-51"/>
    <w:basedOn w:val="DefaultParagraphFont"/>
    <w:rsid w:val="00633413"/>
  </w:style>
  <w:style w:type="character" w:customStyle="1" w:styleId="citation-50">
    <w:name w:val="citation-50"/>
    <w:basedOn w:val="DefaultParagraphFont"/>
    <w:rsid w:val="00633413"/>
  </w:style>
  <w:style w:type="character" w:customStyle="1" w:styleId="citation-49">
    <w:name w:val="citation-49"/>
    <w:basedOn w:val="DefaultParagraphFont"/>
    <w:rsid w:val="00633413"/>
  </w:style>
  <w:style w:type="character" w:customStyle="1" w:styleId="citation-48">
    <w:name w:val="citation-48"/>
    <w:basedOn w:val="DefaultParagraphFont"/>
    <w:rsid w:val="00633413"/>
  </w:style>
  <w:style w:type="character" w:customStyle="1" w:styleId="citation-47">
    <w:name w:val="citation-47"/>
    <w:basedOn w:val="DefaultParagraphFont"/>
    <w:rsid w:val="00633413"/>
  </w:style>
  <w:style w:type="character" w:customStyle="1" w:styleId="citation-46">
    <w:name w:val="citation-46"/>
    <w:basedOn w:val="DefaultParagraphFont"/>
    <w:rsid w:val="00633413"/>
  </w:style>
  <w:style w:type="character" w:customStyle="1" w:styleId="citation-45">
    <w:name w:val="citation-45"/>
    <w:basedOn w:val="DefaultParagraphFont"/>
    <w:rsid w:val="00633413"/>
  </w:style>
  <w:style w:type="character" w:customStyle="1" w:styleId="citation-44">
    <w:name w:val="citation-44"/>
    <w:basedOn w:val="DefaultParagraphFont"/>
    <w:rsid w:val="00633413"/>
  </w:style>
  <w:style w:type="character" w:customStyle="1" w:styleId="citation-43">
    <w:name w:val="citation-43"/>
    <w:basedOn w:val="DefaultParagraphFont"/>
    <w:rsid w:val="00633413"/>
  </w:style>
  <w:style w:type="character" w:customStyle="1" w:styleId="citation-42">
    <w:name w:val="citation-42"/>
    <w:basedOn w:val="DefaultParagraphFont"/>
    <w:rsid w:val="00633413"/>
  </w:style>
  <w:style w:type="character" w:customStyle="1" w:styleId="citation-41">
    <w:name w:val="citation-41"/>
    <w:basedOn w:val="DefaultParagraphFont"/>
    <w:rsid w:val="00633413"/>
  </w:style>
  <w:style w:type="character" w:customStyle="1" w:styleId="citation-40">
    <w:name w:val="citation-40"/>
    <w:basedOn w:val="DefaultParagraphFont"/>
    <w:rsid w:val="00633413"/>
  </w:style>
  <w:style w:type="character" w:customStyle="1" w:styleId="citation-39">
    <w:name w:val="citation-39"/>
    <w:basedOn w:val="DefaultParagraphFont"/>
    <w:rsid w:val="00633413"/>
  </w:style>
  <w:style w:type="character" w:customStyle="1" w:styleId="citation-38">
    <w:name w:val="citation-38"/>
    <w:basedOn w:val="DefaultParagraphFont"/>
    <w:rsid w:val="00633413"/>
  </w:style>
  <w:style w:type="character" w:customStyle="1" w:styleId="citation-37">
    <w:name w:val="citation-37"/>
    <w:basedOn w:val="DefaultParagraphFont"/>
    <w:rsid w:val="00633413"/>
  </w:style>
  <w:style w:type="character" w:customStyle="1" w:styleId="citation-36">
    <w:name w:val="citation-36"/>
    <w:basedOn w:val="DefaultParagraphFont"/>
    <w:rsid w:val="00633413"/>
  </w:style>
  <w:style w:type="character" w:customStyle="1" w:styleId="citation-35">
    <w:name w:val="citation-35"/>
    <w:basedOn w:val="DefaultParagraphFont"/>
    <w:rsid w:val="00633413"/>
  </w:style>
  <w:style w:type="character" w:customStyle="1" w:styleId="citation-34">
    <w:name w:val="citation-34"/>
    <w:basedOn w:val="DefaultParagraphFont"/>
    <w:rsid w:val="00633413"/>
  </w:style>
  <w:style w:type="character" w:customStyle="1" w:styleId="citation-33">
    <w:name w:val="citation-33"/>
    <w:basedOn w:val="DefaultParagraphFont"/>
    <w:rsid w:val="00633413"/>
  </w:style>
  <w:style w:type="character" w:customStyle="1" w:styleId="citation-32">
    <w:name w:val="citation-32"/>
    <w:basedOn w:val="DefaultParagraphFont"/>
    <w:rsid w:val="00633413"/>
  </w:style>
  <w:style w:type="character" w:customStyle="1" w:styleId="citation-31">
    <w:name w:val="citation-31"/>
    <w:basedOn w:val="DefaultParagraphFont"/>
    <w:rsid w:val="00633413"/>
  </w:style>
  <w:style w:type="character" w:customStyle="1" w:styleId="citation-30">
    <w:name w:val="citation-30"/>
    <w:basedOn w:val="DefaultParagraphFont"/>
    <w:rsid w:val="00633413"/>
  </w:style>
  <w:style w:type="character" w:customStyle="1" w:styleId="citation-29">
    <w:name w:val="citation-29"/>
    <w:basedOn w:val="DefaultParagraphFont"/>
    <w:rsid w:val="00633413"/>
  </w:style>
  <w:style w:type="character" w:customStyle="1" w:styleId="citation-28">
    <w:name w:val="citation-28"/>
    <w:basedOn w:val="DefaultParagraphFont"/>
    <w:rsid w:val="00633413"/>
  </w:style>
  <w:style w:type="character" w:customStyle="1" w:styleId="citation-27">
    <w:name w:val="citation-27"/>
    <w:basedOn w:val="DefaultParagraphFont"/>
    <w:rsid w:val="00633413"/>
  </w:style>
  <w:style w:type="character" w:customStyle="1" w:styleId="citation-26">
    <w:name w:val="citation-26"/>
    <w:basedOn w:val="DefaultParagraphFont"/>
    <w:rsid w:val="00633413"/>
  </w:style>
  <w:style w:type="character" w:customStyle="1" w:styleId="citation-25">
    <w:name w:val="citation-25"/>
    <w:basedOn w:val="DefaultParagraphFont"/>
    <w:rsid w:val="00633413"/>
  </w:style>
  <w:style w:type="character" w:customStyle="1" w:styleId="citation-24">
    <w:name w:val="citation-24"/>
    <w:basedOn w:val="DefaultParagraphFont"/>
    <w:rsid w:val="00633413"/>
  </w:style>
  <w:style w:type="character" w:customStyle="1" w:styleId="citation-23">
    <w:name w:val="citation-23"/>
    <w:basedOn w:val="DefaultParagraphFont"/>
    <w:rsid w:val="00633413"/>
  </w:style>
  <w:style w:type="character" w:customStyle="1" w:styleId="citation-22">
    <w:name w:val="citation-22"/>
    <w:basedOn w:val="DefaultParagraphFont"/>
    <w:rsid w:val="00633413"/>
  </w:style>
  <w:style w:type="character" w:customStyle="1" w:styleId="citation-21">
    <w:name w:val="citation-21"/>
    <w:basedOn w:val="DefaultParagraphFont"/>
    <w:rsid w:val="00633413"/>
  </w:style>
  <w:style w:type="character" w:customStyle="1" w:styleId="citation-20">
    <w:name w:val="citation-20"/>
    <w:basedOn w:val="DefaultParagraphFont"/>
    <w:rsid w:val="00633413"/>
  </w:style>
  <w:style w:type="character" w:customStyle="1" w:styleId="citation-19">
    <w:name w:val="citation-19"/>
    <w:basedOn w:val="DefaultParagraphFont"/>
    <w:rsid w:val="00633413"/>
  </w:style>
  <w:style w:type="character" w:customStyle="1" w:styleId="citation-18">
    <w:name w:val="citation-18"/>
    <w:basedOn w:val="DefaultParagraphFont"/>
    <w:rsid w:val="00633413"/>
  </w:style>
  <w:style w:type="character" w:customStyle="1" w:styleId="citation-17">
    <w:name w:val="citation-17"/>
    <w:basedOn w:val="DefaultParagraphFont"/>
    <w:rsid w:val="00633413"/>
  </w:style>
  <w:style w:type="character" w:customStyle="1" w:styleId="citation-16">
    <w:name w:val="citation-16"/>
    <w:basedOn w:val="DefaultParagraphFont"/>
    <w:rsid w:val="00633413"/>
  </w:style>
  <w:style w:type="character" w:customStyle="1" w:styleId="citation-15">
    <w:name w:val="citation-15"/>
    <w:basedOn w:val="DefaultParagraphFont"/>
    <w:rsid w:val="00633413"/>
  </w:style>
  <w:style w:type="character" w:customStyle="1" w:styleId="citation-14">
    <w:name w:val="citation-14"/>
    <w:basedOn w:val="DefaultParagraphFont"/>
    <w:rsid w:val="00633413"/>
  </w:style>
  <w:style w:type="character" w:customStyle="1" w:styleId="citation-13">
    <w:name w:val="citation-13"/>
    <w:basedOn w:val="DefaultParagraphFont"/>
    <w:rsid w:val="00633413"/>
  </w:style>
  <w:style w:type="character" w:customStyle="1" w:styleId="citation-12">
    <w:name w:val="citation-12"/>
    <w:basedOn w:val="DefaultParagraphFont"/>
    <w:rsid w:val="00633413"/>
  </w:style>
  <w:style w:type="character" w:customStyle="1" w:styleId="citation-11">
    <w:name w:val="citation-11"/>
    <w:basedOn w:val="DefaultParagraphFont"/>
    <w:rsid w:val="00633413"/>
  </w:style>
  <w:style w:type="character" w:customStyle="1" w:styleId="citation-10">
    <w:name w:val="citation-10"/>
    <w:basedOn w:val="DefaultParagraphFont"/>
    <w:rsid w:val="00633413"/>
  </w:style>
  <w:style w:type="character" w:customStyle="1" w:styleId="citation-9">
    <w:name w:val="citation-9"/>
    <w:basedOn w:val="DefaultParagraphFont"/>
    <w:rsid w:val="00633413"/>
  </w:style>
  <w:style w:type="character" w:customStyle="1" w:styleId="citation-8">
    <w:name w:val="citation-8"/>
    <w:basedOn w:val="DefaultParagraphFont"/>
    <w:rsid w:val="00633413"/>
  </w:style>
  <w:style w:type="character" w:customStyle="1" w:styleId="citation-7">
    <w:name w:val="citation-7"/>
    <w:basedOn w:val="DefaultParagraphFont"/>
    <w:rsid w:val="00633413"/>
  </w:style>
  <w:style w:type="character" w:customStyle="1" w:styleId="citation-6">
    <w:name w:val="citation-6"/>
    <w:basedOn w:val="DefaultParagraphFont"/>
    <w:rsid w:val="00633413"/>
  </w:style>
  <w:style w:type="character" w:customStyle="1" w:styleId="citation-5">
    <w:name w:val="citation-5"/>
    <w:basedOn w:val="DefaultParagraphFont"/>
    <w:rsid w:val="00633413"/>
  </w:style>
  <w:style w:type="character" w:customStyle="1" w:styleId="citation-4">
    <w:name w:val="citation-4"/>
    <w:basedOn w:val="DefaultParagraphFont"/>
    <w:rsid w:val="00633413"/>
  </w:style>
  <w:style w:type="character" w:customStyle="1" w:styleId="citation-3">
    <w:name w:val="citation-3"/>
    <w:basedOn w:val="DefaultParagraphFont"/>
    <w:rsid w:val="00633413"/>
  </w:style>
  <w:style w:type="character" w:customStyle="1" w:styleId="citation-2">
    <w:name w:val="citation-2"/>
    <w:basedOn w:val="DefaultParagraphFont"/>
    <w:rsid w:val="00633413"/>
  </w:style>
  <w:style w:type="character" w:customStyle="1" w:styleId="citation-1">
    <w:name w:val="citation-1"/>
    <w:basedOn w:val="DefaultParagraphFont"/>
    <w:rsid w:val="00633413"/>
  </w:style>
  <w:style w:type="character" w:customStyle="1" w:styleId="citation-0">
    <w:name w:val="citation-0"/>
    <w:basedOn w:val="DefaultParagraphFont"/>
    <w:rsid w:val="00633413"/>
  </w:style>
  <w:style w:type="paragraph" w:customStyle="1" w:styleId="gds-label-m-alt">
    <w:name w:val="gds-label-m-alt"/>
    <w:basedOn w:val="Normal"/>
    <w:rsid w:val="00633413"/>
    <w:pPr>
      <w:spacing w:before="100" w:beforeAutospacing="1" w:after="100" w:afterAutospacing="1" w:line="240" w:lineRule="auto"/>
    </w:pPr>
    <w:rPr>
      <w:rFonts w:ascii="Times New Roman" w:hAnsi="Times New Roman" w:cs="Times New Roman"/>
      <w:kern w:val="0"/>
      <w14:ligatures w14:val="none"/>
    </w:rPr>
  </w:style>
  <w:style w:type="character" w:customStyle="1" w:styleId="link-content">
    <w:name w:val="link-content"/>
    <w:basedOn w:val="DefaultParagraphFont"/>
    <w:rsid w:val="00633413"/>
  </w:style>
  <w:style w:type="character" w:customStyle="1" w:styleId="cdk-visually-hidden">
    <w:name w:val="cdk-visually-hidden"/>
    <w:basedOn w:val="DefaultParagraphFont"/>
    <w:rsid w:val="00633413"/>
  </w:style>
  <w:style w:type="table" w:styleId="TableGrid">
    <w:name w:val="Table Grid"/>
    <w:basedOn w:val="TableNormal"/>
    <w:uiPriority w:val="39"/>
    <w:rsid w:val="003538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7637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economist.com/" TargetMode="External"/><Relationship Id="rId26" Type="http://schemas.openxmlformats.org/officeDocument/2006/relationships/hyperlink" Target="https://www.nestle.com/investors/annual-report" TargetMode="External"/><Relationship Id="rId21" Type="http://schemas.openxmlformats.org/officeDocument/2006/relationships/hyperlink" Target="https://www.hindustantimes.com/" TargetMode="External"/><Relationship Id="rId34" Type="http://schemas.openxmlformats.org/officeDocument/2006/relationships/hyperlink" Target="https://geerthofstede.com/" TargetMode="External"/><Relationship Id="rId7" Type="http://schemas.openxmlformats.org/officeDocument/2006/relationships/footnotes" Target="footnotes.xml"/><Relationship Id="rId12" Type="http://schemas.openxmlformats.org/officeDocument/2006/relationships/hyperlink" Target="https://www.flickr.com/photos/nestle/49915939522/" TargetMode="External"/><Relationship Id="rId17" Type="http://schemas.openxmlformats.org/officeDocument/2006/relationships/hyperlink" Target="https://www.business-standard.com/article/specials/the-community-link-up-197041001061_1.html" TargetMode="External"/><Relationship Id="rId25" Type="http://schemas.openxmlformats.org/officeDocument/2006/relationships/hyperlink" Target="https://www.nestle.com/investors/annual-report" TargetMode="External"/><Relationship Id="rId33" Type="http://schemas.openxmlformats.org/officeDocument/2006/relationships/hyperlink" Target="https://www.thehindu.com/" TargetMode="Externa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hyperlink" Target="https://www.hindustantimes.com" TargetMode="External"/><Relationship Id="rId29" Type="http://schemas.openxmlformats.org/officeDocument/2006/relationships/hyperlink" Target="https://www.nestle.co.uk/en-gb/sustainability/responsible-sourc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www.nestle.com/about/research-development/organization" TargetMode="External"/><Relationship Id="rId32" Type="http://schemas.openxmlformats.org/officeDocument/2006/relationships/hyperlink" Target="https://m.economictimes.com/"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hyperlink" Target="https://www.nestle.com/investors/annual-report" TargetMode="External"/><Relationship Id="rId28" Type="http://schemas.openxmlformats.org/officeDocument/2006/relationships/hyperlink" Target="https://www.nestle.co.uk/en-gb/sustainability/responsible-sourcing" TargetMode="External"/><Relationship Id="rId36"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hyperlink" Target="https://fssai.gov.in/" TargetMode="External"/><Relationship Id="rId31" Type="http://schemas.openxmlformats.org/officeDocument/2006/relationships/hyperlink" Target="https://www.nestle.com/investors/corporate-governance/codeofbusinessconduct" TargetMode="External"/><Relationship Id="rId4" Type="http://schemas.openxmlformats.org/officeDocument/2006/relationships/styles" Target="styles.xml"/><Relationship Id="rId9" Type="http://schemas.openxmlformats.org/officeDocument/2006/relationships/image" Target="media/image1.wmf"/><Relationship Id="rId14" Type="http://schemas.openxmlformats.org/officeDocument/2006/relationships/chart" Target="charts/chart1.xml"/><Relationship Id="rId22" Type="http://schemas.openxmlformats.org/officeDocument/2006/relationships/hyperlink" Target="https://interbrand.com/best-global-brands/global/2024-report/" TargetMode="External"/><Relationship Id="rId27" Type="http://schemas.openxmlformats.org/officeDocument/2006/relationships/hyperlink" Target="https://www.nestle.com/investors/annual-report" TargetMode="External"/><Relationship Id="rId30" Type="http://schemas.openxmlformats.org/officeDocument/2006/relationships/hyperlink" Target="https://www.nestle.com/about" TargetMode="External"/><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5" Type="http://schemas.openxmlformats.org/officeDocument/2006/relationships/chartUserShapes" Target="../drawings/drawing1.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doughnutChart>
        <c:varyColors val="1"/>
        <c:ser>
          <c:idx val="0"/>
          <c:order val="0"/>
          <c:tx>
            <c:strRef>
              <c:f>Sheet1!$B$1</c:f>
              <c:strCache>
                <c:ptCount val="1"/>
                <c:pt idx="0">
                  <c:v>Revenue Contribution by Entry Mode </c:v>
                </c:pt>
              </c:strCache>
            </c:strRef>
          </c:tx>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D4EA-467F-9E14-B7175F7B0C82}"/>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D4EA-467F-9E14-B7175F7B0C82}"/>
              </c:ext>
            </c:extLst>
          </c:dPt>
          <c:dPt>
            <c:idx val="2"/>
            <c:bubble3D val="0"/>
            <c:spPr>
              <a:solidFill>
                <a:schemeClr val="lt1"/>
              </a:solidFill>
              <a:ln w="19050">
                <a:solidFill>
                  <a:schemeClr val="accent1"/>
                </a:solidFill>
              </a:ln>
              <a:effectLst/>
            </c:spPr>
            <c:extLst>
              <c:ext xmlns:c16="http://schemas.microsoft.com/office/drawing/2014/chart" uri="{C3380CC4-5D6E-409C-BE32-E72D297353CC}">
                <c16:uniqueId val="{00000005-D4EA-467F-9E14-B7175F7B0C82}"/>
              </c:ext>
            </c:extLst>
          </c:dPt>
          <c:dPt>
            <c:idx val="3"/>
            <c:bubble3D val="0"/>
            <c:spPr>
              <a:solidFill>
                <a:schemeClr val="lt1"/>
              </a:solidFill>
              <a:ln w="19050">
                <a:solidFill>
                  <a:schemeClr val="accent1"/>
                </a:solidFill>
              </a:ln>
              <a:effectLst/>
            </c:spPr>
            <c:extLst>
              <c:ext xmlns:c16="http://schemas.microsoft.com/office/drawing/2014/chart" uri="{C3380CC4-5D6E-409C-BE32-E72D297353CC}">
                <c16:uniqueId val="{00000007-D4EA-467F-9E14-B7175F7B0C8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Sheet1!$A$2:$A$5</c:f>
              <c:strCache>
                <c:ptCount val="2"/>
                <c:pt idx="0">
                  <c:v>WSO Nestle India Ltd</c:v>
                </c:pt>
                <c:pt idx="1">
                  <c:v>JVs</c:v>
                </c:pt>
              </c:strCache>
            </c:strRef>
          </c:cat>
          <c:val>
            <c:numRef>
              <c:f>Sheet1!$B$2:$B$5</c:f>
              <c:numCache>
                <c:formatCode>General</c:formatCode>
                <c:ptCount val="4"/>
                <c:pt idx="0">
                  <c:v>95</c:v>
                </c:pt>
                <c:pt idx="1">
                  <c:v>5</c:v>
                </c:pt>
              </c:numCache>
            </c:numRef>
          </c:val>
          <c:extLst>
            <c:ext xmlns:c16="http://schemas.microsoft.com/office/drawing/2014/chart" uri="{C3380CC4-5D6E-409C-BE32-E72D297353CC}">
              <c16:uniqueId val="{00000008-D4EA-467F-9E14-B7175F7B0C82}"/>
            </c:ext>
          </c:extLst>
        </c:ser>
        <c:dLbls>
          <c:showLegendKey val="0"/>
          <c:showVal val="0"/>
          <c:showCatName val="0"/>
          <c:showSerName val="0"/>
          <c:showPercent val="1"/>
          <c:showBubbleSize val="0"/>
          <c:showLeaderLines val="1"/>
        </c:dLbls>
        <c:firstSliceAng val="0"/>
        <c:holeSize val="50"/>
      </c:doughnut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20418151153159086"/>
          <c:y val="0.26999292152920024"/>
          <c:w val="0.76242178377892877"/>
          <c:h val="0.54749372020621534"/>
        </c:manualLayout>
      </c:layout>
      <c:barChart>
        <c:barDir val="bar"/>
        <c:grouping val="clustered"/>
        <c:varyColors val="0"/>
        <c:ser>
          <c:idx val="0"/>
          <c:order val="0"/>
          <c:tx>
            <c:strRef>
              <c:f>Sheet1!$B$1</c:f>
              <c:strCache>
                <c:ptCount val="1"/>
                <c:pt idx="0">
                  <c:v>India ScoreSwitzerland Score</c:v>
                </c:pt>
              </c:strCache>
            </c:strRef>
          </c:tx>
          <c:spPr>
            <a:solidFill>
              <a:schemeClr val="accent1"/>
            </a:solidFill>
            <a:ln>
              <a:noFill/>
            </a:ln>
            <a:effectLst/>
          </c:spPr>
          <c:invertIfNegative val="0"/>
          <c:cat>
            <c:strRef>
              <c:f>Sheet1!$A$2:$A$4</c:f>
              <c:strCache>
                <c:ptCount val="3"/>
                <c:pt idx="0">
                  <c:v>Cultural Dimension</c:v>
                </c:pt>
                <c:pt idx="1">
                  <c:v>Power Distance (PDI)</c:v>
                </c:pt>
                <c:pt idx="2">
                  <c:v>Individualism (IDV)</c:v>
                </c:pt>
              </c:strCache>
            </c:strRef>
          </c:cat>
          <c:val>
            <c:numRef>
              <c:f>Sheet1!$B$2:$B$4</c:f>
              <c:numCache>
                <c:formatCode>General</c:formatCode>
                <c:ptCount val="3"/>
                <c:pt idx="1">
                  <c:v>77</c:v>
                </c:pt>
                <c:pt idx="2">
                  <c:v>48</c:v>
                </c:pt>
              </c:numCache>
            </c:numRef>
          </c:val>
          <c:extLst>
            <c:ext xmlns:c16="http://schemas.microsoft.com/office/drawing/2014/chart" uri="{C3380CC4-5D6E-409C-BE32-E72D297353CC}">
              <c16:uniqueId val="{00000000-DB5E-455F-A88B-B1E73E39B576}"/>
            </c:ext>
          </c:extLst>
        </c:ser>
        <c:ser>
          <c:idx val="1"/>
          <c:order val="1"/>
          <c:tx>
            <c:strRef>
              <c:f>Sheet1!$C$1</c:f>
              <c:strCache>
                <c:ptCount val="1"/>
                <c:pt idx="0">
                  <c:v>Switzerland Score</c:v>
                </c:pt>
              </c:strCache>
            </c:strRef>
          </c:tx>
          <c:spPr>
            <a:solidFill>
              <a:schemeClr val="accent2"/>
            </a:solidFill>
            <a:ln>
              <a:noFill/>
            </a:ln>
            <a:effectLst/>
          </c:spPr>
          <c:invertIfNegative val="0"/>
          <c:cat>
            <c:strRef>
              <c:f>Sheet1!$A$2:$A$4</c:f>
              <c:strCache>
                <c:ptCount val="3"/>
                <c:pt idx="0">
                  <c:v>Cultural Dimension</c:v>
                </c:pt>
                <c:pt idx="1">
                  <c:v>Power Distance (PDI)</c:v>
                </c:pt>
                <c:pt idx="2">
                  <c:v>Individualism (IDV)</c:v>
                </c:pt>
              </c:strCache>
            </c:strRef>
          </c:cat>
          <c:val>
            <c:numRef>
              <c:f>Sheet1!$C$2:$C$4</c:f>
              <c:numCache>
                <c:formatCode>General</c:formatCode>
                <c:ptCount val="3"/>
                <c:pt idx="1">
                  <c:v>34</c:v>
                </c:pt>
                <c:pt idx="2">
                  <c:v>68</c:v>
                </c:pt>
              </c:numCache>
            </c:numRef>
          </c:val>
          <c:extLst>
            <c:ext xmlns:c16="http://schemas.microsoft.com/office/drawing/2014/chart" uri="{C3380CC4-5D6E-409C-BE32-E72D297353CC}">
              <c16:uniqueId val="{00000001-DB5E-455F-A88B-B1E73E39B576}"/>
            </c:ext>
          </c:extLst>
        </c:ser>
        <c:dLbls>
          <c:showLegendKey val="0"/>
          <c:showVal val="0"/>
          <c:showCatName val="0"/>
          <c:showSerName val="0"/>
          <c:showPercent val="0"/>
          <c:showBubbleSize val="0"/>
        </c:dLbls>
        <c:gapWidth val="182"/>
        <c:axId val="1014364623"/>
        <c:axId val="1014365583"/>
      </c:barChart>
      <c:catAx>
        <c:axId val="101436462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4365583"/>
        <c:crosses val="autoZero"/>
        <c:auto val="1"/>
        <c:lblAlgn val="ctr"/>
        <c:lblOffset val="100"/>
        <c:noMultiLvlLbl val="0"/>
      </c:catAx>
      <c:valAx>
        <c:axId val="10143655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43646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5.emf"/></Relationships>
</file>

<file path=word/drawings/drawing1.xml><?xml version="1.0" encoding="utf-8"?>
<c:userShapes xmlns:c="http://schemas.openxmlformats.org/drawingml/2006/chart">
  <cdr:relSizeAnchor xmlns:cdr="http://schemas.openxmlformats.org/drawingml/2006/chartDrawing">
    <cdr:from>
      <cdr:x>0.03676</cdr:x>
      <cdr:y>0.04296</cdr:y>
    </cdr:from>
    <cdr:to>
      <cdr:x>1</cdr:x>
      <cdr:y>0.28401</cdr:y>
    </cdr:to>
    <cdr:pic>
      <cdr:nvPicPr>
        <cdr:cNvPr id="2"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220981" y="137160"/>
          <a:ext cx="5791199" cy="769620"/>
        </a:xfrm>
        <a:prstGeom xmlns:a="http://schemas.openxmlformats.org/drawingml/2006/main" prst="rect">
          <a:avLst/>
        </a:prstGeom>
      </cdr:spPr>
    </cdr:pic>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DF121EA-D0C3-4C5D-8B5A-EF3E97B85EB4}"/>
      </w:docPartPr>
      <w:docPartBody>
        <w:p w:rsidR="002A3EFF" w:rsidRDefault="00BD467C">
          <w:r w:rsidRPr="0004627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67C"/>
    <w:rsid w:val="00034900"/>
    <w:rsid w:val="002A3EFF"/>
    <w:rsid w:val="005C46E9"/>
    <w:rsid w:val="008D3469"/>
    <w:rsid w:val="00BD4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D467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assesses the international business strategy of Nestlé S.A., a Transnational Corporation (TNC) headquartered in Switzerland, focusing on its market operations in the emerging economy of India. Nestlé’s status as a TNC is confirmed by its vast global footprint and highly decentralized, polycentric management structure (Bartlett &amp; Ghoshal 1989; Hill 2020).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FC1865-233C-480B-868C-701983E32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3189</TotalTime>
  <Pages>31</Pages>
  <Words>6816</Words>
  <Characters>43696</Characters>
  <Application>Microsoft Office Word</Application>
  <DocSecurity>0</DocSecurity>
  <Lines>971</Lines>
  <Paragraphs>306</Paragraphs>
  <ScaleCrop>false</ScaleCrop>
  <HeadingPairs>
    <vt:vector size="2" baseType="variant">
      <vt:variant>
        <vt:lpstr>Title</vt:lpstr>
      </vt:variant>
      <vt:variant>
        <vt:i4>1</vt:i4>
      </vt:variant>
    </vt:vector>
  </HeadingPairs>
  <TitlesOfParts>
    <vt:vector size="1" baseType="lpstr">
      <vt:lpstr>International Business Consultancy Report:</vt:lpstr>
    </vt:vector>
  </TitlesOfParts>
  <Company/>
  <LinksUpToDate>false</LinksUpToDate>
  <CharactersWithSpaces>50206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Consultancy Report:</dc:title>
  <dc:subject>Strategic Alignment and Operational Resilience of Nestlé S.A. in the Indian Emerging Market</dc:subject>
  <dc:creator>Boyd Malcolm (2128536)</dc:creator>
  <cp:keywords/>
  <dc:description/>
  <cp:lastModifiedBy>Boyd Malcolm (2128536)</cp:lastModifiedBy>
  <cp:revision>394</cp:revision>
  <dcterms:created xsi:type="dcterms:W3CDTF">2025-11-24T18:48:00Z</dcterms:created>
  <dcterms:modified xsi:type="dcterms:W3CDTF">2025-11-28T08:05:00Z</dcterms:modified>
  <cp:category>International Business Concepts</cp:category>
</cp:coreProperties>
</file>