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6BD77C" w14:textId="77777777" w:rsidR="00EC67D8" w:rsidRDefault="00EC67D8" w:rsidP="00EC67D8">
      <w:pPr>
        <w:spacing w:after="165"/>
        <w:rPr>
          <w:rFonts w:ascii="Aptos" w:eastAsia="Aptos" w:hAnsi="Aptos" w:cs="Aptos"/>
          <w:color w:val="000000" w:themeColor="text1"/>
        </w:rPr>
      </w:pPr>
      <w:r>
        <w:rPr>
          <w:noProof/>
        </w:rPr>
        <w:drawing>
          <wp:inline distT="0" distB="0" distL="0" distR="0" wp14:anchorId="3C9E484E" wp14:editId="1F48A6CA">
            <wp:extent cx="2200275" cy="742950"/>
            <wp:effectExtent l="0" t="0" r="0" b="0"/>
            <wp:docPr id="1510896735" name="Picture 1510896735"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200275" cy="742950"/>
                    </a:xfrm>
                    <a:prstGeom prst="rect">
                      <a:avLst/>
                    </a:prstGeom>
                  </pic:spPr>
                </pic:pic>
              </a:graphicData>
            </a:graphic>
          </wp:inline>
        </w:drawing>
      </w:r>
    </w:p>
    <w:tbl>
      <w:tblPr>
        <w:tblpPr w:leftFromText="180" w:rightFromText="180" w:vertAnchor="text" w:horzAnchor="margin" w:tblpY="4739"/>
        <w:tblW w:w="9064" w:type="dxa"/>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3180"/>
        <w:gridCol w:w="5884"/>
      </w:tblGrid>
      <w:tr w:rsidR="00EC67D8" w14:paraId="5DEEF9DD" w14:textId="77777777" w:rsidTr="004A7BB4">
        <w:trPr>
          <w:trHeight w:val="300"/>
        </w:trPr>
        <w:tc>
          <w:tcPr>
            <w:tcW w:w="31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2C365EE1" w14:textId="77777777" w:rsidR="00EC67D8" w:rsidRDefault="00EC67D8" w:rsidP="004A7BB4">
            <w:pPr>
              <w:spacing w:before="120" w:after="120"/>
              <w:rPr>
                <w:rFonts w:ascii="Tahoma" w:eastAsia="Tahoma" w:hAnsi="Tahoma" w:cs="Tahoma"/>
                <w:color w:val="000000" w:themeColor="text1"/>
                <w:sz w:val="31"/>
                <w:szCs w:val="31"/>
              </w:rPr>
            </w:pPr>
            <w:r w:rsidRPr="01A31E0F">
              <w:rPr>
                <w:rFonts w:ascii="Tahoma" w:eastAsia="Tahoma" w:hAnsi="Tahoma" w:cs="Tahoma"/>
                <w:color w:val="000000" w:themeColor="text1"/>
                <w:sz w:val="31"/>
                <w:szCs w:val="31"/>
              </w:rPr>
              <w:t>Student Name:</w:t>
            </w:r>
          </w:p>
        </w:tc>
        <w:tc>
          <w:tcPr>
            <w:tcW w:w="588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CE2A55F" w14:textId="77777777" w:rsidR="00EC67D8" w:rsidRDefault="00EC67D8" w:rsidP="004A7BB4">
            <w:pPr>
              <w:spacing w:before="120" w:after="120"/>
              <w:rPr>
                <w:rFonts w:ascii="Tahoma" w:eastAsia="Tahoma" w:hAnsi="Tahoma" w:cs="Tahoma"/>
                <w:color w:val="000000" w:themeColor="text1"/>
                <w:sz w:val="31"/>
                <w:szCs w:val="31"/>
              </w:rPr>
            </w:pPr>
            <w:r w:rsidRPr="01A31E0F">
              <w:rPr>
                <w:rFonts w:ascii="Tahoma" w:eastAsia="Tahoma" w:hAnsi="Tahoma" w:cs="Tahoma"/>
                <w:color w:val="000000" w:themeColor="text1"/>
                <w:sz w:val="31"/>
                <w:szCs w:val="31"/>
              </w:rPr>
              <w:t>Katie Marie Smith</w:t>
            </w:r>
          </w:p>
        </w:tc>
      </w:tr>
      <w:tr w:rsidR="00EC67D8" w14:paraId="5F1C4BDC" w14:textId="77777777" w:rsidTr="004A7BB4">
        <w:trPr>
          <w:trHeight w:val="300"/>
        </w:trPr>
        <w:tc>
          <w:tcPr>
            <w:tcW w:w="31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33F470A6" w14:textId="77777777" w:rsidR="00EC67D8" w:rsidRDefault="00EC67D8" w:rsidP="004A7BB4">
            <w:pPr>
              <w:spacing w:before="120" w:after="120"/>
              <w:rPr>
                <w:rFonts w:ascii="Tahoma" w:eastAsia="Tahoma" w:hAnsi="Tahoma" w:cs="Tahoma"/>
                <w:color w:val="000000" w:themeColor="text1"/>
                <w:sz w:val="31"/>
                <w:szCs w:val="31"/>
              </w:rPr>
            </w:pPr>
            <w:r w:rsidRPr="01A31E0F">
              <w:rPr>
                <w:rFonts w:ascii="Tahoma" w:eastAsia="Tahoma" w:hAnsi="Tahoma" w:cs="Tahoma"/>
                <w:color w:val="000000" w:themeColor="text1"/>
                <w:sz w:val="31"/>
                <w:szCs w:val="31"/>
              </w:rPr>
              <w:t>Student Number:</w:t>
            </w:r>
          </w:p>
        </w:tc>
        <w:tc>
          <w:tcPr>
            <w:tcW w:w="588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3925038" w14:textId="77777777" w:rsidR="00EC67D8" w:rsidRDefault="00EC67D8" w:rsidP="004A7BB4">
            <w:pPr>
              <w:rPr>
                <w:rFonts w:ascii="Aptos" w:eastAsia="Aptos" w:hAnsi="Aptos" w:cs="Aptos"/>
                <w:color w:val="FF0000"/>
                <w:sz w:val="28"/>
                <w:szCs w:val="28"/>
              </w:rPr>
            </w:pPr>
            <w:r w:rsidRPr="01A31E0F">
              <w:rPr>
                <w:rFonts w:ascii="Aptos" w:eastAsia="Aptos" w:hAnsi="Aptos" w:cs="Aptos"/>
                <w:b/>
                <w:bCs/>
                <w:color w:val="FF0000"/>
                <w:sz w:val="28"/>
                <w:szCs w:val="28"/>
              </w:rPr>
              <w:t>2307193</w:t>
            </w:r>
          </w:p>
        </w:tc>
      </w:tr>
      <w:tr w:rsidR="00EC67D8" w14:paraId="0D4EC43C" w14:textId="77777777" w:rsidTr="004A7BB4">
        <w:trPr>
          <w:trHeight w:val="300"/>
        </w:trPr>
        <w:tc>
          <w:tcPr>
            <w:tcW w:w="31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5B9716C1" w14:textId="77777777" w:rsidR="00EC67D8" w:rsidRDefault="00EC67D8" w:rsidP="004A7BB4">
            <w:pPr>
              <w:spacing w:before="120" w:after="120"/>
              <w:rPr>
                <w:rFonts w:ascii="Tahoma" w:eastAsia="Tahoma" w:hAnsi="Tahoma" w:cs="Tahoma"/>
                <w:color w:val="000000" w:themeColor="text1"/>
                <w:sz w:val="31"/>
                <w:szCs w:val="31"/>
              </w:rPr>
            </w:pPr>
            <w:r w:rsidRPr="01A31E0F">
              <w:rPr>
                <w:rFonts w:ascii="Tahoma" w:eastAsia="Tahoma" w:hAnsi="Tahoma" w:cs="Tahoma"/>
                <w:color w:val="000000" w:themeColor="text1"/>
                <w:sz w:val="31"/>
                <w:szCs w:val="31"/>
              </w:rPr>
              <w:t>Module No:</w:t>
            </w:r>
          </w:p>
        </w:tc>
        <w:tc>
          <w:tcPr>
            <w:tcW w:w="588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E50D02A" w14:textId="0084B4BA" w:rsidR="00EC67D8" w:rsidRDefault="00EC67D8" w:rsidP="004A7BB4">
            <w:pPr>
              <w:spacing w:before="120" w:after="120"/>
              <w:rPr>
                <w:rFonts w:ascii="Tahoma" w:eastAsia="Tahoma" w:hAnsi="Tahoma" w:cs="Tahoma"/>
                <w:color w:val="FF0000"/>
                <w:sz w:val="31"/>
                <w:szCs w:val="31"/>
              </w:rPr>
            </w:pPr>
            <w:r>
              <w:rPr>
                <w:rFonts w:ascii="Tahoma" w:eastAsia="Tahoma" w:hAnsi="Tahoma" w:cs="Tahoma"/>
                <w:color w:val="FF0000"/>
                <w:sz w:val="31"/>
                <w:szCs w:val="31"/>
              </w:rPr>
              <w:t>BMSK6009</w:t>
            </w:r>
          </w:p>
        </w:tc>
      </w:tr>
      <w:tr w:rsidR="00EC67D8" w14:paraId="2004960D" w14:textId="77777777" w:rsidTr="004A7BB4">
        <w:trPr>
          <w:trHeight w:val="405"/>
        </w:trPr>
        <w:tc>
          <w:tcPr>
            <w:tcW w:w="31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21CAF7A2" w14:textId="77777777" w:rsidR="00EC67D8" w:rsidRDefault="00EC67D8" w:rsidP="004A7BB4">
            <w:pPr>
              <w:spacing w:before="120" w:after="120"/>
              <w:rPr>
                <w:rFonts w:ascii="Tahoma" w:eastAsia="Tahoma" w:hAnsi="Tahoma" w:cs="Tahoma"/>
                <w:color w:val="000000" w:themeColor="text1"/>
                <w:sz w:val="31"/>
                <w:szCs w:val="31"/>
              </w:rPr>
            </w:pPr>
            <w:r w:rsidRPr="01A31E0F">
              <w:rPr>
                <w:rFonts w:ascii="Tahoma" w:eastAsia="Tahoma" w:hAnsi="Tahoma" w:cs="Tahoma"/>
                <w:color w:val="000000" w:themeColor="text1"/>
                <w:sz w:val="31"/>
                <w:szCs w:val="31"/>
              </w:rPr>
              <w:t>Module Title:</w:t>
            </w:r>
          </w:p>
        </w:tc>
        <w:tc>
          <w:tcPr>
            <w:tcW w:w="588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28AC06C" w14:textId="729DD91B" w:rsidR="00EC67D8" w:rsidRDefault="00EC67D8" w:rsidP="004A7BB4">
            <w:pPr>
              <w:spacing w:before="120" w:after="120"/>
              <w:rPr>
                <w:rFonts w:ascii="Tahoma" w:eastAsia="Tahoma" w:hAnsi="Tahoma" w:cs="Tahoma"/>
                <w:color w:val="FF0000"/>
                <w:sz w:val="31"/>
                <w:szCs w:val="31"/>
              </w:rPr>
            </w:pPr>
            <w:r>
              <w:rPr>
                <w:rFonts w:ascii="Tahoma" w:eastAsia="Tahoma" w:hAnsi="Tahoma" w:cs="Tahoma"/>
                <w:color w:val="FF0000"/>
                <w:sz w:val="31"/>
                <w:szCs w:val="31"/>
              </w:rPr>
              <w:t xml:space="preserve"> </w:t>
            </w:r>
            <w:r>
              <w:rPr>
                <w:rFonts w:ascii="Tahoma" w:eastAsia="Tahoma" w:hAnsi="Tahoma" w:cs="Tahoma"/>
                <w:color w:val="FF0000"/>
                <w:sz w:val="31"/>
                <w:szCs w:val="31"/>
              </w:rPr>
              <w:t xml:space="preserve">Emotional Intelligence </w:t>
            </w:r>
          </w:p>
        </w:tc>
      </w:tr>
    </w:tbl>
    <w:p w14:paraId="6AFD27A5" w14:textId="77777777" w:rsidR="00EC67D8" w:rsidRDefault="00EC67D8" w:rsidP="00EC67D8">
      <w:pPr>
        <w:spacing w:after="165"/>
        <w:jc w:val="center"/>
        <w:rPr>
          <w:rFonts w:ascii="Tahoma" w:eastAsia="Tahoma" w:hAnsi="Tahoma" w:cs="Tahoma"/>
          <w:color w:val="000000" w:themeColor="text1"/>
          <w:sz w:val="40"/>
          <w:szCs w:val="40"/>
        </w:rPr>
      </w:pPr>
    </w:p>
    <w:p w14:paraId="0CE6DB42" w14:textId="77777777" w:rsidR="00EC67D8" w:rsidRDefault="00EC67D8" w:rsidP="00EC67D8">
      <w:pPr>
        <w:spacing w:after="165"/>
        <w:jc w:val="center"/>
        <w:rPr>
          <w:rFonts w:ascii="Tahoma" w:eastAsia="Tahoma" w:hAnsi="Tahoma" w:cs="Tahoma"/>
          <w:color w:val="000000" w:themeColor="text1"/>
          <w:sz w:val="40"/>
          <w:szCs w:val="40"/>
        </w:rPr>
      </w:pPr>
    </w:p>
    <w:p w14:paraId="0F761F43" w14:textId="77777777" w:rsidR="00EC67D8" w:rsidRDefault="00EC67D8" w:rsidP="00EC67D8">
      <w:pPr>
        <w:spacing w:after="165"/>
        <w:jc w:val="center"/>
        <w:rPr>
          <w:rFonts w:ascii="Tahoma" w:eastAsia="Tahoma" w:hAnsi="Tahoma" w:cs="Tahoma"/>
          <w:color w:val="000000" w:themeColor="text1"/>
          <w:sz w:val="40"/>
          <w:szCs w:val="40"/>
        </w:rPr>
      </w:pPr>
    </w:p>
    <w:p w14:paraId="419A0E3A" w14:textId="77777777" w:rsidR="00EC67D8" w:rsidRDefault="00EC67D8" w:rsidP="00EC67D8">
      <w:r w:rsidRPr="01A31E0F">
        <w:rPr>
          <w:rFonts w:ascii="Tahoma" w:eastAsia="Tahoma" w:hAnsi="Tahoma" w:cs="Tahoma"/>
          <w:color w:val="000000" w:themeColor="text1"/>
          <w:sz w:val="40"/>
          <w:szCs w:val="40"/>
        </w:rPr>
        <w:t>Applied Leadership and Management in the Workplace</w:t>
      </w:r>
    </w:p>
    <w:p w14:paraId="4E20AC73" w14:textId="77777777" w:rsidR="00EC67D8" w:rsidRDefault="00EC67D8" w:rsidP="00EC67D8">
      <w:pPr>
        <w:spacing w:after="165"/>
        <w:jc w:val="center"/>
      </w:pPr>
    </w:p>
    <w:p w14:paraId="56848866" w14:textId="77777777" w:rsidR="00EC67D8" w:rsidRDefault="00EC67D8" w:rsidP="00EC67D8">
      <w:pPr>
        <w:spacing w:after="165"/>
        <w:jc w:val="center"/>
      </w:pPr>
    </w:p>
    <w:p w14:paraId="1131D283" w14:textId="77777777" w:rsidR="00381674" w:rsidRDefault="00381674" w:rsidP="00EC67D8">
      <w:pPr>
        <w:spacing w:after="165"/>
        <w:jc w:val="center"/>
        <w:rPr>
          <w:rFonts w:ascii="Tahoma" w:eastAsia="Tahoma" w:hAnsi="Tahoma" w:cs="Tahoma"/>
          <w:color w:val="000000" w:themeColor="text1"/>
          <w:sz w:val="40"/>
          <w:szCs w:val="40"/>
        </w:rPr>
      </w:pPr>
    </w:p>
    <w:p w14:paraId="41370A2D" w14:textId="77777777" w:rsidR="00DF6147" w:rsidRDefault="00DF6147" w:rsidP="00EC67D8">
      <w:pPr>
        <w:spacing w:after="165"/>
        <w:jc w:val="center"/>
        <w:rPr>
          <w:rFonts w:ascii="Tahoma" w:eastAsia="Tahoma" w:hAnsi="Tahoma" w:cs="Tahoma"/>
          <w:color w:val="000000" w:themeColor="text1"/>
          <w:sz w:val="40"/>
          <w:szCs w:val="40"/>
        </w:rPr>
      </w:pPr>
    </w:p>
    <w:p w14:paraId="1060FC2E" w14:textId="37BBF872" w:rsidR="00FC3C05" w:rsidRDefault="00381674" w:rsidP="00DF6147">
      <w:pPr>
        <w:spacing w:after="165"/>
        <w:jc w:val="center"/>
        <w:rPr>
          <w:rFonts w:ascii="Tahoma" w:eastAsia="Tahoma" w:hAnsi="Tahoma" w:cs="Tahoma"/>
          <w:color w:val="000000" w:themeColor="text1"/>
          <w:sz w:val="40"/>
          <w:szCs w:val="40"/>
        </w:rPr>
      </w:pPr>
      <w:r w:rsidRPr="01A31E0F">
        <w:rPr>
          <w:rFonts w:ascii="Tahoma" w:eastAsia="Tahoma" w:hAnsi="Tahoma" w:cs="Tahoma"/>
          <w:color w:val="000000" w:themeColor="text1"/>
          <w:sz w:val="40"/>
          <w:szCs w:val="40"/>
        </w:rPr>
        <w:t>Module Assignment Submission</w:t>
      </w:r>
    </w:p>
    <w:p w14:paraId="259D5DA6" w14:textId="77777777" w:rsidR="00DF6147" w:rsidRPr="00DF6147" w:rsidRDefault="00DF6147" w:rsidP="00DF6147">
      <w:pPr>
        <w:spacing w:after="165"/>
        <w:rPr>
          <w:rFonts w:ascii="Segoe UI" w:eastAsia="Tahoma" w:hAnsi="Segoe UI" w:cs="Segoe UI"/>
          <w:color w:val="000000" w:themeColor="text1"/>
          <w:sz w:val="40"/>
          <w:szCs w:val="40"/>
        </w:rPr>
      </w:pPr>
    </w:p>
    <w:p w14:paraId="35719BFA" w14:textId="778E353D" w:rsidR="00EC67D8" w:rsidRDefault="00DF6147" w:rsidP="00DF6147">
      <w:pPr>
        <w:spacing w:after="165"/>
        <w:rPr>
          <w:rFonts w:ascii="Tahoma" w:eastAsia="Tahoma" w:hAnsi="Tahoma" w:cs="Tahoma"/>
          <w:color w:val="000000" w:themeColor="text1"/>
          <w:sz w:val="40"/>
          <w:szCs w:val="40"/>
        </w:rPr>
      </w:pPr>
      <w:r w:rsidRPr="00DF6147">
        <w:rPr>
          <w:rFonts w:ascii="Segoe UI" w:hAnsi="Segoe UI" w:cs="Segoe UI"/>
        </w:rPr>
        <w:t>Statement of confirmation of authenticity by the act of making this submission, the student declares that this is the work of the student named above. The work has not, in whole or in part, been knowingly presented elsewhere for assessment, or where assessment has been built on previous assessment, this has been identified. Where materials have been used from other sources it has been properly acknowledged. If this statement is untrue, the student acknowledges that an assessment offence has been committed. Attention is drawn to the plagiarism and unfair practice polices of both the University and of ILM.</w:t>
      </w:r>
      <w:r w:rsidR="00EC67D8">
        <w:br/>
      </w:r>
      <w:r w:rsidR="00EC67D8">
        <w:br/>
      </w:r>
    </w:p>
    <w:p w14:paraId="6279A760" w14:textId="77777777" w:rsidR="00EC67D8" w:rsidRDefault="00EC67D8" w:rsidP="00EC67D8"/>
    <w:p w14:paraId="7016FABE" w14:textId="77777777" w:rsidR="00EC67D8" w:rsidRDefault="00EC67D8" w:rsidP="00EC67D8"/>
    <w:p w14:paraId="10922A4F" w14:textId="51ED5421" w:rsidR="00EC67D8" w:rsidRDefault="00EC67D8">
      <w:r>
        <w:br w:type="page"/>
      </w:r>
    </w:p>
    <w:sdt>
      <w:sdtPr>
        <w:id w:val="-963418237"/>
        <w:docPartObj>
          <w:docPartGallery w:val="Table of Contents"/>
          <w:docPartUnique/>
        </w:docPartObj>
      </w:sdtPr>
      <w:sdtEndPr>
        <w:rPr>
          <w:rFonts w:ascii="Times New Roman" w:eastAsia="Times New Roman" w:hAnsi="Times New Roman" w:cs="Times New Roman"/>
          <w:noProof/>
          <w:color w:val="auto"/>
          <w:sz w:val="24"/>
          <w:szCs w:val="24"/>
          <w:lang w:val="en-GB"/>
        </w:rPr>
      </w:sdtEndPr>
      <w:sdtContent>
        <w:p w14:paraId="50DF094B" w14:textId="55922961" w:rsidR="00381674" w:rsidRDefault="00381674">
          <w:pPr>
            <w:pStyle w:val="TOCHeading"/>
          </w:pPr>
          <w:r>
            <w:t>Table of Contents</w:t>
          </w:r>
        </w:p>
        <w:p w14:paraId="66663BD2" w14:textId="23A34615" w:rsidR="00A14C3F" w:rsidRDefault="00381674">
          <w:pPr>
            <w:pStyle w:val="TOC1"/>
            <w:tabs>
              <w:tab w:val="right" w:leader="dot" w:pos="9016"/>
            </w:tabs>
            <w:rPr>
              <w:rFonts w:asciiTheme="minorHAnsi" w:eastAsiaTheme="minorEastAsia" w:hAnsiTheme="minorHAnsi" w:cstheme="minorBidi"/>
              <w:b w:val="0"/>
              <w:bCs w:val="0"/>
              <w:caps w:val="0"/>
              <w:noProof/>
              <w:kern w:val="2"/>
              <w:sz w:val="24"/>
              <w:szCs w:val="24"/>
              <w:u w:val="none"/>
              <w14:ligatures w14:val="standardContextual"/>
            </w:rPr>
          </w:pPr>
          <w:r>
            <w:rPr>
              <w:b w:val="0"/>
              <w:bCs w:val="0"/>
            </w:rPr>
            <w:fldChar w:fldCharType="begin"/>
          </w:r>
          <w:r>
            <w:instrText xml:space="preserve"> TOC \o "1-3" \h \z \u </w:instrText>
          </w:r>
          <w:r>
            <w:rPr>
              <w:b w:val="0"/>
              <w:bCs w:val="0"/>
            </w:rPr>
            <w:fldChar w:fldCharType="separate"/>
          </w:r>
          <w:hyperlink w:anchor="_Toc229830410" w:history="1">
            <w:r w:rsidR="00A14C3F" w:rsidRPr="00A23103">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Executive Summary</w:t>
            </w:r>
            <w:r w:rsidR="00A14C3F">
              <w:rPr>
                <w:noProof/>
                <w:webHidden/>
              </w:rPr>
              <w:tab/>
            </w:r>
            <w:r w:rsidR="00A14C3F">
              <w:rPr>
                <w:noProof/>
                <w:webHidden/>
              </w:rPr>
              <w:fldChar w:fldCharType="begin"/>
            </w:r>
            <w:r w:rsidR="00A14C3F">
              <w:rPr>
                <w:noProof/>
                <w:webHidden/>
              </w:rPr>
              <w:instrText xml:space="preserve"> PAGEREF _Toc229830410 \h </w:instrText>
            </w:r>
            <w:r w:rsidR="00A14C3F">
              <w:rPr>
                <w:noProof/>
                <w:webHidden/>
              </w:rPr>
            </w:r>
            <w:r w:rsidR="00A14C3F">
              <w:rPr>
                <w:noProof/>
                <w:webHidden/>
              </w:rPr>
              <w:fldChar w:fldCharType="separate"/>
            </w:r>
            <w:r w:rsidR="00A14C3F">
              <w:rPr>
                <w:noProof/>
                <w:webHidden/>
              </w:rPr>
              <w:t>4</w:t>
            </w:r>
            <w:r w:rsidR="00A14C3F">
              <w:rPr>
                <w:noProof/>
                <w:webHidden/>
              </w:rPr>
              <w:fldChar w:fldCharType="end"/>
            </w:r>
          </w:hyperlink>
        </w:p>
        <w:p w14:paraId="7B11E71D" w14:textId="0AA93FD2" w:rsidR="00A14C3F" w:rsidRDefault="00A14C3F">
          <w:pPr>
            <w:pStyle w:val="TOC2"/>
            <w:tabs>
              <w:tab w:val="right" w:leader="dot" w:pos="9016"/>
            </w:tabs>
            <w:rPr>
              <w:rFonts w:asciiTheme="minorHAnsi" w:eastAsiaTheme="minorEastAsia" w:hAnsiTheme="minorHAnsi" w:cstheme="minorBidi"/>
              <w:b w:val="0"/>
              <w:bCs w:val="0"/>
              <w:smallCaps w:val="0"/>
              <w:noProof/>
              <w:kern w:val="2"/>
              <w:sz w:val="24"/>
              <w:szCs w:val="24"/>
              <w14:ligatures w14:val="standardContextual"/>
            </w:rPr>
          </w:pPr>
          <w:hyperlink w:anchor="_Toc229830411" w:history="1">
            <w:r w:rsidRPr="00A23103">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1.Introduction</w:t>
            </w:r>
            <w:r>
              <w:rPr>
                <w:noProof/>
                <w:webHidden/>
              </w:rPr>
              <w:tab/>
            </w:r>
            <w:r>
              <w:rPr>
                <w:noProof/>
                <w:webHidden/>
              </w:rPr>
              <w:fldChar w:fldCharType="begin"/>
            </w:r>
            <w:r>
              <w:rPr>
                <w:noProof/>
                <w:webHidden/>
              </w:rPr>
              <w:instrText xml:space="preserve"> PAGEREF _Toc229830411 \h </w:instrText>
            </w:r>
            <w:r>
              <w:rPr>
                <w:noProof/>
                <w:webHidden/>
              </w:rPr>
            </w:r>
            <w:r>
              <w:rPr>
                <w:noProof/>
                <w:webHidden/>
              </w:rPr>
              <w:fldChar w:fldCharType="separate"/>
            </w:r>
            <w:r>
              <w:rPr>
                <w:noProof/>
                <w:webHidden/>
              </w:rPr>
              <w:t>4</w:t>
            </w:r>
            <w:r>
              <w:rPr>
                <w:noProof/>
                <w:webHidden/>
              </w:rPr>
              <w:fldChar w:fldCharType="end"/>
            </w:r>
          </w:hyperlink>
        </w:p>
        <w:p w14:paraId="78DC3F17" w14:textId="5AC9B4B6" w:rsidR="00A14C3F" w:rsidRDefault="00A14C3F">
          <w:pPr>
            <w:pStyle w:val="TOC2"/>
            <w:tabs>
              <w:tab w:val="right" w:leader="dot" w:pos="9016"/>
            </w:tabs>
            <w:rPr>
              <w:rFonts w:asciiTheme="minorHAnsi" w:eastAsiaTheme="minorEastAsia" w:hAnsiTheme="minorHAnsi" w:cstheme="minorBidi"/>
              <w:b w:val="0"/>
              <w:bCs w:val="0"/>
              <w:smallCaps w:val="0"/>
              <w:noProof/>
              <w:kern w:val="2"/>
              <w:sz w:val="24"/>
              <w:szCs w:val="24"/>
              <w14:ligatures w14:val="standardContextual"/>
            </w:rPr>
          </w:pPr>
          <w:hyperlink w:anchor="_Toc229830412" w:history="1">
            <w:r w:rsidRPr="00A23103">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Workforce development in Dental Practice</w:t>
            </w:r>
            <w:r>
              <w:rPr>
                <w:noProof/>
                <w:webHidden/>
              </w:rPr>
              <w:tab/>
            </w:r>
            <w:r>
              <w:rPr>
                <w:noProof/>
                <w:webHidden/>
              </w:rPr>
              <w:fldChar w:fldCharType="begin"/>
            </w:r>
            <w:r>
              <w:rPr>
                <w:noProof/>
                <w:webHidden/>
              </w:rPr>
              <w:instrText xml:space="preserve"> PAGEREF _Toc229830412 \h </w:instrText>
            </w:r>
            <w:r>
              <w:rPr>
                <w:noProof/>
                <w:webHidden/>
              </w:rPr>
            </w:r>
            <w:r>
              <w:rPr>
                <w:noProof/>
                <w:webHidden/>
              </w:rPr>
              <w:fldChar w:fldCharType="separate"/>
            </w:r>
            <w:r>
              <w:rPr>
                <w:noProof/>
                <w:webHidden/>
              </w:rPr>
              <w:t>5</w:t>
            </w:r>
            <w:r>
              <w:rPr>
                <w:noProof/>
                <w:webHidden/>
              </w:rPr>
              <w:fldChar w:fldCharType="end"/>
            </w:r>
          </w:hyperlink>
        </w:p>
        <w:p w14:paraId="346D436D" w14:textId="6E671FBB" w:rsidR="00A14C3F" w:rsidRDefault="00A14C3F">
          <w:pPr>
            <w:pStyle w:val="TOC2"/>
            <w:tabs>
              <w:tab w:val="right" w:leader="dot" w:pos="9016"/>
            </w:tabs>
            <w:rPr>
              <w:rFonts w:asciiTheme="minorHAnsi" w:eastAsiaTheme="minorEastAsia" w:hAnsiTheme="minorHAnsi" w:cstheme="minorBidi"/>
              <w:b w:val="0"/>
              <w:bCs w:val="0"/>
              <w:smallCaps w:val="0"/>
              <w:noProof/>
              <w:kern w:val="2"/>
              <w:sz w:val="24"/>
              <w:szCs w:val="24"/>
              <w14:ligatures w14:val="standardContextual"/>
            </w:rPr>
          </w:pPr>
          <w:hyperlink w:anchor="_Toc229830413" w:history="1">
            <w:r w:rsidRPr="00A23103">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 Definition of Workforce Development</w:t>
            </w:r>
            <w:r>
              <w:rPr>
                <w:noProof/>
                <w:webHidden/>
              </w:rPr>
              <w:tab/>
            </w:r>
            <w:r>
              <w:rPr>
                <w:noProof/>
                <w:webHidden/>
              </w:rPr>
              <w:fldChar w:fldCharType="begin"/>
            </w:r>
            <w:r>
              <w:rPr>
                <w:noProof/>
                <w:webHidden/>
              </w:rPr>
              <w:instrText xml:space="preserve"> PAGEREF _Toc229830413 \h </w:instrText>
            </w:r>
            <w:r>
              <w:rPr>
                <w:noProof/>
                <w:webHidden/>
              </w:rPr>
            </w:r>
            <w:r>
              <w:rPr>
                <w:noProof/>
                <w:webHidden/>
              </w:rPr>
              <w:fldChar w:fldCharType="separate"/>
            </w:r>
            <w:r>
              <w:rPr>
                <w:noProof/>
                <w:webHidden/>
              </w:rPr>
              <w:t>5</w:t>
            </w:r>
            <w:r>
              <w:rPr>
                <w:noProof/>
                <w:webHidden/>
              </w:rPr>
              <w:fldChar w:fldCharType="end"/>
            </w:r>
          </w:hyperlink>
        </w:p>
        <w:p w14:paraId="5EC07FFE" w14:textId="7E959977" w:rsidR="00A14C3F" w:rsidRDefault="00A14C3F">
          <w:pPr>
            <w:pStyle w:val="TOC2"/>
            <w:tabs>
              <w:tab w:val="right" w:leader="dot" w:pos="9016"/>
            </w:tabs>
            <w:rPr>
              <w:rFonts w:asciiTheme="minorHAnsi" w:eastAsiaTheme="minorEastAsia" w:hAnsiTheme="minorHAnsi" w:cstheme="minorBidi"/>
              <w:b w:val="0"/>
              <w:bCs w:val="0"/>
              <w:smallCaps w:val="0"/>
              <w:noProof/>
              <w:kern w:val="2"/>
              <w:sz w:val="24"/>
              <w:szCs w:val="24"/>
              <w14:ligatures w14:val="standardContextual"/>
            </w:rPr>
          </w:pPr>
          <w:hyperlink w:anchor="_Toc229830414" w:history="1">
            <w:r w:rsidRPr="00A23103">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 Definition of emotional intelligence</w:t>
            </w:r>
            <w:r>
              <w:rPr>
                <w:noProof/>
                <w:webHidden/>
              </w:rPr>
              <w:tab/>
            </w:r>
            <w:r>
              <w:rPr>
                <w:noProof/>
                <w:webHidden/>
              </w:rPr>
              <w:fldChar w:fldCharType="begin"/>
            </w:r>
            <w:r>
              <w:rPr>
                <w:noProof/>
                <w:webHidden/>
              </w:rPr>
              <w:instrText xml:space="preserve"> PAGEREF _Toc229830414 \h </w:instrText>
            </w:r>
            <w:r>
              <w:rPr>
                <w:noProof/>
                <w:webHidden/>
              </w:rPr>
            </w:r>
            <w:r>
              <w:rPr>
                <w:noProof/>
                <w:webHidden/>
              </w:rPr>
              <w:fldChar w:fldCharType="separate"/>
            </w:r>
            <w:r>
              <w:rPr>
                <w:noProof/>
                <w:webHidden/>
              </w:rPr>
              <w:t>7</w:t>
            </w:r>
            <w:r>
              <w:rPr>
                <w:noProof/>
                <w:webHidden/>
              </w:rPr>
              <w:fldChar w:fldCharType="end"/>
            </w:r>
          </w:hyperlink>
        </w:p>
        <w:p w14:paraId="19FB137C" w14:textId="051C98B7" w:rsidR="00A14C3F" w:rsidRDefault="00A14C3F">
          <w:pPr>
            <w:pStyle w:val="TOC2"/>
            <w:tabs>
              <w:tab w:val="right" w:leader="dot" w:pos="9016"/>
            </w:tabs>
            <w:rPr>
              <w:rFonts w:asciiTheme="minorHAnsi" w:eastAsiaTheme="minorEastAsia" w:hAnsiTheme="minorHAnsi" w:cstheme="minorBidi"/>
              <w:b w:val="0"/>
              <w:bCs w:val="0"/>
              <w:smallCaps w:val="0"/>
              <w:noProof/>
              <w:kern w:val="2"/>
              <w:sz w:val="24"/>
              <w:szCs w:val="24"/>
              <w14:ligatures w14:val="standardContextual"/>
            </w:rPr>
          </w:pPr>
          <w:hyperlink w:anchor="_Toc229830415" w:history="1">
            <w:r w:rsidRPr="00A23103">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 Key Theorist and perspectives</w:t>
            </w:r>
            <w:r>
              <w:rPr>
                <w:noProof/>
                <w:webHidden/>
              </w:rPr>
              <w:tab/>
            </w:r>
            <w:r>
              <w:rPr>
                <w:noProof/>
                <w:webHidden/>
              </w:rPr>
              <w:fldChar w:fldCharType="begin"/>
            </w:r>
            <w:r>
              <w:rPr>
                <w:noProof/>
                <w:webHidden/>
              </w:rPr>
              <w:instrText xml:space="preserve"> PAGEREF _Toc229830415 \h </w:instrText>
            </w:r>
            <w:r>
              <w:rPr>
                <w:noProof/>
                <w:webHidden/>
              </w:rPr>
            </w:r>
            <w:r>
              <w:rPr>
                <w:noProof/>
                <w:webHidden/>
              </w:rPr>
              <w:fldChar w:fldCharType="separate"/>
            </w:r>
            <w:r>
              <w:rPr>
                <w:noProof/>
                <w:webHidden/>
              </w:rPr>
              <w:t>8</w:t>
            </w:r>
            <w:r>
              <w:rPr>
                <w:noProof/>
                <w:webHidden/>
              </w:rPr>
              <w:fldChar w:fldCharType="end"/>
            </w:r>
          </w:hyperlink>
        </w:p>
        <w:p w14:paraId="50273837" w14:textId="76717382" w:rsidR="00A14C3F" w:rsidRDefault="00A14C3F">
          <w:pPr>
            <w:pStyle w:val="TOC2"/>
            <w:tabs>
              <w:tab w:val="right" w:leader="dot" w:pos="9016"/>
            </w:tabs>
            <w:rPr>
              <w:rFonts w:asciiTheme="minorHAnsi" w:eastAsiaTheme="minorEastAsia" w:hAnsiTheme="minorHAnsi" w:cstheme="minorBidi"/>
              <w:b w:val="0"/>
              <w:bCs w:val="0"/>
              <w:smallCaps w:val="0"/>
              <w:noProof/>
              <w:kern w:val="2"/>
              <w:sz w:val="24"/>
              <w:szCs w:val="24"/>
              <w14:ligatures w14:val="standardContextual"/>
            </w:rPr>
          </w:pPr>
          <w:hyperlink w:anchor="_Toc229830416" w:history="1">
            <w:r w:rsidRPr="00A23103">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2.4 Applied to Dental practice</w:t>
            </w:r>
            <w:r>
              <w:rPr>
                <w:noProof/>
                <w:webHidden/>
              </w:rPr>
              <w:tab/>
            </w:r>
            <w:r>
              <w:rPr>
                <w:noProof/>
                <w:webHidden/>
              </w:rPr>
              <w:fldChar w:fldCharType="begin"/>
            </w:r>
            <w:r>
              <w:rPr>
                <w:noProof/>
                <w:webHidden/>
              </w:rPr>
              <w:instrText xml:space="preserve"> PAGEREF _Toc229830416 \h </w:instrText>
            </w:r>
            <w:r>
              <w:rPr>
                <w:noProof/>
                <w:webHidden/>
              </w:rPr>
            </w:r>
            <w:r>
              <w:rPr>
                <w:noProof/>
                <w:webHidden/>
              </w:rPr>
              <w:fldChar w:fldCharType="separate"/>
            </w:r>
            <w:r>
              <w:rPr>
                <w:noProof/>
                <w:webHidden/>
              </w:rPr>
              <w:t>9</w:t>
            </w:r>
            <w:r>
              <w:rPr>
                <w:noProof/>
                <w:webHidden/>
              </w:rPr>
              <w:fldChar w:fldCharType="end"/>
            </w:r>
          </w:hyperlink>
        </w:p>
        <w:p w14:paraId="0BA46A5A" w14:textId="539F84BB" w:rsidR="00A14C3F" w:rsidRDefault="00A14C3F">
          <w:pPr>
            <w:pStyle w:val="TOC2"/>
            <w:tabs>
              <w:tab w:val="right" w:leader="dot" w:pos="9016"/>
            </w:tabs>
            <w:rPr>
              <w:rFonts w:asciiTheme="minorHAnsi" w:eastAsiaTheme="minorEastAsia" w:hAnsiTheme="minorHAnsi" w:cstheme="minorBidi"/>
              <w:b w:val="0"/>
              <w:bCs w:val="0"/>
              <w:smallCaps w:val="0"/>
              <w:noProof/>
              <w:kern w:val="2"/>
              <w:sz w:val="24"/>
              <w:szCs w:val="24"/>
              <w14:ligatures w14:val="standardContextual"/>
            </w:rPr>
          </w:pPr>
          <w:hyperlink w:anchor="_Toc229830417" w:history="1">
            <w:r w:rsidRPr="00A23103">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Emotional Intelligence and Business Performance</w:t>
            </w:r>
            <w:r>
              <w:rPr>
                <w:noProof/>
                <w:webHidden/>
              </w:rPr>
              <w:tab/>
            </w:r>
            <w:r>
              <w:rPr>
                <w:noProof/>
                <w:webHidden/>
              </w:rPr>
              <w:fldChar w:fldCharType="begin"/>
            </w:r>
            <w:r>
              <w:rPr>
                <w:noProof/>
                <w:webHidden/>
              </w:rPr>
              <w:instrText xml:space="preserve"> PAGEREF _Toc229830417 \h </w:instrText>
            </w:r>
            <w:r>
              <w:rPr>
                <w:noProof/>
                <w:webHidden/>
              </w:rPr>
            </w:r>
            <w:r>
              <w:rPr>
                <w:noProof/>
                <w:webHidden/>
              </w:rPr>
              <w:fldChar w:fldCharType="separate"/>
            </w:r>
            <w:r>
              <w:rPr>
                <w:noProof/>
                <w:webHidden/>
              </w:rPr>
              <w:t>11</w:t>
            </w:r>
            <w:r>
              <w:rPr>
                <w:noProof/>
                <w:webHidden/>
              </w:rPr>
              <w:fldChar w:fldCharType="end"/>
            </w:r>
          </w:hyperlink>
        </w:p>
        <w:p w14:paraId="3D90C667" w14:textId="73BBD9FE" w:rsidR="00A14C3F" w:rsidRDefault="00A14C3F">
          <w:pPr>
            <w:pStyle w:val="TOC2"/>
            <w:tabs>
              <w:tab w:val="right" w:leader="dot" w:pos="9016"/>
            </w:tabs>
            <w:rPr>
              <w:rFonts w:asciiTheme="minorHAnsi" w:eastAsiaTheme="minorEastAsia" w:hAnsiTheme="minorHAnsi" w:cstheme="minorBidi"/>
              <w:b w:val="0"/>
              <w:bCs w:val="0"/>
              <w:smallCaps w:val="0"/>
              <w:noProof/>
              <w:kern w:val="2"/>
              <w:sz w:val="24"/>
              <w:szCs w:val="24"/>
              <w14:ligatures w14:val="standardContextual"/>
            </w:rPr>
          </w:pPr>
          <w:hyperlink w:anchor="_Toc229830418" w:history="1">
            <w:r w:rsidRPr="00A23103">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 Impact on Performance in the Dental Practice</w:t>
            </w:r>
            <w:r>
              <w:rPr>
                <w:noProof/>
                <w:webHidden/>
              </w:rPr>
              <w:tab/>
            </w:r>
            <w:r>
              <w:rPr>
                <w:noProof/>
                <w:webHidden/>
              </w:rPr>
              <w:fldChar w:fldCharType="begin"/>
            </w:r>
            <w:r>
              <w:rPr>
                <w:noProof/>
                <w:webHidden/>
              </w:rPr>
              <w:instrText xml:space="preserve"> PAGEREF _Toc229830418 \h </w:instrText>
            </w:r>
            <w:r>
              <w:rPr>
                <w:noProof/>
                <w:webHidden/>
              </w:rPr>
            </w:r>
            <w:r>
              <w:rPr>
                <w:noProof/>
                <w:webHidden/>
              </w:rPr>
              <w:fldChar w:fldCharType="separate"/>
            </w:r>
            <w:r>
              <w:rPr>
                <w:noProof/>
                <w:webHidden/>
              </w:rPr>
              <w:t>11</w:t>
            </w:r>
            <w:r>
              <w:rPr>
                <w:noProof/>
                <w:webHidden/>
              </w:rPr>
              <w:fldChar w:fldCharType="end"/>
            </w:r>
          </w:hyperlink>
        </w:p>
        <w:p w14:paraId="761830BC" w14:textId="06C6BF2C" w:rsidR="00A14C3F" w:rsidRDefault="00A14C3F">
          <w:pPr>
            <w:pStyle w:val="TOC2"/>
            <w:tabs>
              <w:tab w:val="right" w:leader="dot" w:pos="9016"/>
            </w:tabs>
            <w:rPr>
              <w:rFonts w:asciiTheme="minorHAnsi" w:eastAsiaTheme="minorEastAsia" w:hAnsiTheme="minorHAnsi" w:cstheme="minorBidi"/>
              <w:b w:val="0"/>
              <w:bCs w:val="0"/>
              <w:smallCaps w:val="0"/>
              <w:noProof/>
              <w:kern w:val="2"/>
              <w:sz w:val="24"/>
              <w:szCs w:val="24"/>
              <w14:ligatures w14:val="standardContextual"/>
            </w:rPr>
          </w:pPr>
          <w:hyperlink w:anchor="_Toc229830419" w:history="1">
            <w:r w:rsidRPr="00A23103">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 Examples from Dental Practice</w:t>
            </w:r>
            <w:r>
              <w:rPr>
                <w:noProof/>
                <w:webHidden/>
              </w:rPr>
              <w:tab/>
            </w:r>
            <w:r>
              <w:rPr>
                <w:noProof/>
                <w:webHidden/>
              </w:rPr>
              <w:fldChar w:fldCharType="begin"/>
            </w:r>
            <w:r>
              <w:rPr>
                <w:noProof/>
                <w:webHidden/>
              </w:rPr>
              <w:instrText xml:space="preserve"> PAGEREF _Toc229830419 \h </w:instrText>
            </w:r>
            <w:r>
              <w:rPr>
                <w:noProof/>
                <w:webHidden/>
              </w:rPr>
            </w:r>
            <w:r>
              <w:rPr>
                <w:noProof/>
                <w:webHidden/>
              </w:rPr>
              <w:fldChar w:fldCharType="separate"/>
            </w:r>
            <w:r>
              <w:rPr>
                <w:noProof/>
                <w:webHidden/>
              </w:rPr>
              <w:t>12</w:t>
            </w:r>
            <w:r>
              <w:rPr>
                <w:noProof/>
                <w:webHidden/>
              </w:rPr>
              <w:fldChar w:fldCharType="end"/>
            </w:r>
          </w:hyperlink>
        </w:p>
        <w:p w14:paraId="19129BE7" w14:textId="5DF84387" w:rsidR="00A14C3F" w:rsidRDefault="00A14C3F">
          <w:pPr>
            <w:pStyle w:val="TOC2"/>
            <w:tabs>
              <w:tab w:val="right" w:leader="dot" w:pos="9016"/>
            </w:tabs>
            <w:rPr>
              <w:rFonts w:asciiTheme="minorHAnsi" w:eastAsiaTheme="minorEastAsia" w:hAnsiTheme="minorHAnsi" w:cstheme="minorBidi"/>
              <w:b w:val="0"/>
              <w:bCs w:val="0"/>
              <w:smallCaps w:val="0"/>
              <w:noProof/>
              <w:kern w:val="2"/>
              <w:sz w:val="24"/>
              <w:szCs w:val="24"/>
              <w14:ligatures w14:val="standardContextual"/>
            </w:rPr>
          </w:pPr>
          <w:hyperlink w:anchor="_Toc229830420" w:history="1">
            <w:r w:rsidRPr="00A23103">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3.3 Critical Evaluation</w:t>
            </w:r>
            <w:r>
              <w:rPr>
                <w:noProof/>
                <w:webHidden/>
              </w:rPr>
              <w:tab/>
            </w:r>
            <w:r>
              <w:rPr>
                <w:noProof/>
                <w:webHidden/>
              </w:rPr>
              <w:fldChar w:fldCharType="begin"/>
            </w:r>
            <w:r>
              <w:rPr>
                <w:noProof/>
                <w:webHidden/>
              </w:rPr>
              <w:instrText xml:space="preserve"> PAGEREF _Toc229830420 \h </w:instrText>
            </w:r>
            <w:r>
              <w:rPr>
                <w:noProof/>
                <w:webHidden/>
              </w:rPr>
            </w:r>
            <w:r>
              <w:rPr>
                <w:noProof/>
                <w:webHidden/>
              </w:rPr>
              <w:fldChar w:fldCharType="separate"/>
            </w:r>
            <w:r>
              <w:rPr>
                <w:noProof/>
                <w:webHidden/>
              </w:rPr>
              <w:t>13</w:t>
            </w:r>
            <w:r>
              <w:rPr>
                <w:noProof/>
                <w:webHidden/>
              </w:rPr>
              <w:fldChar w:fldCharType="end"/>
            </w:r>
          </w:hyperlink>
        </w:p>
        <w:p w14:paraId="79F3AD47" w14:textId="6EB0E1B5" w:rsidR="00A14C3F" w:rsidRDefault="00A14C3F">
          <w:pPr>
            <w:pStyle w:val="TOC2"/>
            <w:tabs>
              <w:tab w:val="right" w:leader="dot" w:pos="9016"/>
            </w:tabs>
            <w:rPr>
              <w:rFonts w:asciiTheme="minorHAnsi" w:eastAsiaTheme="minorEastAsia" w:hAnsiTheme="minorHAnsi" w:cstheme="minorBidi"/>
              <w:b w:val="0"/>
              <w:bCs w:val="0"/>
              <w:smallCaps w:val="0"/>
              <w:noProof/>
              <w:kern w:val="2"/>
              <w:sz w:val="24"/>
              <w:szCs w:val="24"/>
              <w14:ligatures w14:val="standardContextual"/>
            </w:rPr>
          </w:pPr>
          <w:hyperlink w:anchor="_Toc229830421" w:history="1">
            <w:r w:rsidRPr="00A23103">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 Mindfulness in the dental practice</w:t>
            </w:r>
            <w:r>
              <w:rPr>
                <w:noProof/>
                <w:webHidden/>
              </w:rPr>
              <w:tab/>
            </w:r>
            <w:r>
              <w:rPr>
                <w:noProof/>
                <w:webHidden/>
              </w:rPr>
              <w:fldChar w:fldCharType="begin"/>
            </w:r>
            <w:r>
              <w:rPr>
                <w:noProof/>
                <w:webHidden/>
              </w:rPr>
              <w:instrText xml:space="preserve"> PAGEREF _Toc229830421 \h </w:instrText>
            </w:r>
            <w:r>
              <w:rPr>
                <w:noProof/>
                <w:webHidden/>
              </w:rPr>
            </w:r>
            <w:r>
              <w:rPr>
                <w:noProof/>
                <w:webHidden/>
              </w:rPr>
              <w:fldChar w:fldCharType="separate"/>
            </w:r>
            <w:r>
              <w:rPr>
                <w:noProof/>
                <w:webHidden/>
              </w:rPr>
              <w:t>14</w:t>
            </w:r>
            <w:r>
              <w:rPr>
                <w:noProof/>
                <w:webHidden/>
              </w:rPr>
              <w:fldChar w:fldCharType="end"/>
            </w:r>
          </w:hyperlink>
        </w:p>
        <w:p w14:paraId="144B7E1F" w14:textId="4C288B7E" w:rsidR="00A14C3F" w:rsidRDefault="00A14C3F">
          <w:pPr>
            <w:pStyle w:val="TOC2"/>
            <w:tabs>
              <w:tab w:val="right" w:leader="dot" w:pos="9016"/>
            </w:tabs>
            <w:rPr>
              <w:rFonts w:asciiTheme="minorHAnsi" w:eastAsiaTheme="minorEastAsia" w:hAnsiTheme="minorHAnsi" w:cstheme="minorBidi"/>
              <w:b w:val="0"/>
              <w:bCs w:val="0"/>
              <w:smallCaps w:val="0"/>
              <w:noProof/>
              <w:kern w:val="2"/>
              <w:sz w:val="24"/>
              <w:szCs w:val="24"/>
              <w14:ligatures w14:val="standardContextual"/>
            </w:rPr>
          </w:pPr>
          <w:hyperlink w:anchor="_Toc229830422" w:history="1">
            <w:r w:rsidRPr="00A23103">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4.1 Definition of Mindfulness</w:t>
            </w:r>
            <w:r>
              <w:rPr>
                <w:noProof/>
                <w:webHidden/>
              </w:rPr>
              <w:tab/>
            </w:r>
            <w:r>
              <w:rPr>
                <w:noProof/>
                <w:webHidden/>
              </w:rPr>
              <w:fldChar w:fldCharType="begin"/>
            </w:r>
            <w:r>
              <w:rPr>
                <w:noProof/>
                <w:webHidden/>
              </w:rPr>
              <w:instrText xml:space="preserve"> PAGEREF _Toc229830422 \h </w:instrText>
            </w:r>
            <w:r>
              <w:rPr>
                <w:noProof/>
                <w:webHidden/>
              </w:rPr>
            </w:r>
            <w:r>
              <w:rPr>
                <w:noProof/>
                <w:webHidden/>
              </w:rPr>
              <w:fldChar w:fldCharType="separate"/>
            </w:r>
            <w:r>
              <w:rPr>
                <w:noProof/>
                <w:webHidden/>
              </w:rPr>
              <w:t>14</w:t>
            </w:r>
            <w:r>
              <w:rPr>
                <w:noProof/>
                <w:webHidden/>
              </w:rPr>
              <w:fldChar w:fldCharType="end"/>
            </w:r>
          </w:hyperlink>
        </w:p>
        <w:p w14:paraId="2F32325F" w14:textId="1CF532C9" w:rsidR="00A14C3F" w:rsidRDefault="00A14C3F">
          <w:pPr>
            <w:pStyle w:val="TOC2"/>
            <w:tabs>
              <w:tab w:val="right" w:leader="dot" w:pos="9016"/>
            </w:tabs>
            <w:rPr>
              <w:rFonts w:asciiTheme="minorHAnsi" w:eastAsiaTheme="minorEastAsia" w:hAnsiTheme="minorHAnsi" w:cstheme="minorBidi"/>
              <w:b w:val="0"/>
              <w:bCs w:val="0"/>
              <w:smallCaps w:val="0"/>
              <w:noProof/>
              <w:kern w:val="2"/>
              <w:sz w:val="24"/>
              <w:szCs w:val="24"/>
              <w14:ligatures w14:val="standardContextual"/>
            </w:rPr>
          </w:pPr>
          <w:hyperlink w:anchor="_Toc229830423" w:history="1">
            <w:r w:rsidRPr="00A23103">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4.2 Key Theorists</w:t>
            </w:r>
            <w:r>
              <w:rPr>
                <w:noProof/>
                <w:webHidden/>
              </w:rPr>
              <w:tab/>
            </w:r>
            <w:r>
              <w:rPr>
                <w:noProof/>
                <w:webHidden/>
              </w:rPr>
              <w:fldChar w:fldCharType="begin"/>
            </w:r>
            <w:r>
              <w:rPr>
                <w:noProof/>
                <w:webHidden/>
              </w:rPr>
              <w:instrText xml:space="preserve"> PAGEREF _Toc229830423 \h </w:instrText>
            </w:r>
            <w:r>
              <w:rPr>
                <w:noProof/>
                <w:webHidden/>
              </w:rPr>
            </w:r>
            <w:r>
              <w:rPr>
                <w:noProof/>
                <w:webHidden/>
              </w:rPr>
              <w:fldChar w:fldCharType="separate"/>
            </w:r>
            <w:r>
              <w:rPr>
                <w:noProof/>
                <w:webHidden/>
              </w:rPr>
              <w:t>14</w:t>
            </w:r>
            <w:r>
              <w:rPr>
                <w:noProof/>
                <w:webHidden/>
              </w:rPr>
              <w:fldChar w:fldCharType="end"/>
            </w:r>
          </w:hyperlink>
        </w:p>
        <w:p w14:paraId="33C32873" w14:textId="65F1FE2D" w:rsidR="00A14C3F" w:rsidRDefault="00A14C3F">
          <w:pPr>
            <w:pStyle w:val="TOC2"/>
            <w:tabs>
              <w:tab w:val="right" w:leader="dot" w:pos="9016"/>
            </w:tabs>
            <w:rPr>
              <w:rFonts w:asciiTheme="minorHAnsi" w:eastAsiaTheme="minorEastAsia" w:hAnsiTheme="minorHAnsi" w:cstheme="minorBidi"/>
              <w:b w:val="0"/>
              <w:bCs w:val="0"/>
              <w:smallCaps w:val="0"/>
              <w:noProof/>
              <w:kern w:val="2"/>
              <w:sz w:val="24"/>
              <w:szCs w:val="24"/>
              <w14:ligatures w14:val="standardContextual"/>
            </w:rPr>
          </w:pPr>
          <w:hyperlink w:anchor="_Toc229830424" w:history="1">
            <w:r w:rsidRPr="00A23103">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4.3 Importance to Dental Practice</w:t>
            </w:r>
            <w:r>
              <w:rPr>
                <w:noProof/>
                <w:webHidden/>
              </w:rPr>
              <w:tab/>
            </w:r>
            <w:r>
              <w:rPr>
                <w:noProof/>
                <w:webHidden/>
              </w:rPr>
              <w:fldChar w:fldCharType="begin"/>
            </w:r>
            <w:r>
              <w:rPr>
                <w:noProof/>
                <w:webHidden/>
              </w:rPr>
              <w:instrText xml:space="preserve"> PAGEREF _Toc229830424 \h </w:instrText>
            </w:r>
            <w:r>
              <w:rPr>
                <w:noProof/>
                <w:webHidden/>
              </w:rPr>
            </w:r>
            <w:r>
              <w:rPr>
                <w:noProof/>
                <w:webHidden/>
              </w:rPr>
              <w:fldChar w:fldCharType="separate"/>
            </w:r>
            <w:r>
              <w:rPr>
                <w:noProof/>
                <w:webHidden/>
              </w:rPr>
              <w:t>15</w:t>
            </w:r>
            <w:r>
              <w:rPr>
                <w:noProof/>
                <w:webHidden/>
              </w:rPr>
              <w:fldChar w:fldCharType="end"/>
            </w:r>
          </w:hyperlink>
        </w:p>
        <w:p w14:paraId="60F3979F" w14:textId="1305DE0C" w:rsidR="00A14C3F" w:rsidRDefault="00A14C3F">
          <w:pPr>
            <w:pStyle w:val="TOC2"/>
            <w:tabs>
              <w:tab w:val="right" w:leader="dot" w:pos="9016"/>
            </w:tabs>
            <w:rPr>
              <w:rFonts w:asciiTheme="minorHAnsi" w:eastAsiaTheme="minorEastAsia" w:hAnsiTheme="minorHAnsi" w:cstheme="minorBidi"/>
              <w:b w:val="0"/>
              <w:bCs w:val="0"/>
              <w:smallCaps w:val="0"/>
              <w:noProof/>
              <w:kern w:val="2"/>
              <w:sz w:val="24"/>
              <w:szCs w:val="24"/>
              <w14:ligatures w14:val="standardContextual"/>
            </w:rPr>
          </w:pPr>
          <w:hyperlink w:anchor="_Toc229830425" w:history="1">
            <w:r w:rsidRPr="00A23103">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4.4 Benefits vs Limitations</w:t>
            </w:r>
            <w:r>
              <w:rPr>
                <w:noProof/>
                <w:webHidden/>
              </w:rPr>
              <w:tab/>
            </w:r>
            <w:r>
              <w:rPr>
                <w:noProof/>
                <w:webHidden/>
              </w:rPr>
              <w:fldChar w:fldCharType="begin"/>
            </w:r>
            <w:r>
              <w:rPr>
                <w:noProof/>
                <w:webHidden/>
              </w:rPr>
              <w:instrText xml:space="preserve"> PAGEREF _Toc229830425 \h </w:instrText>
            </w:r>
            <w:r>
              <w:rPr>
                <w:noProof/>
                <w:webHidden/>
              </w:rPr>
            </w:r>
            <w:r>
              <w:rPr>
                <w:noProof/>
                <w:webHidden/>
              </w:rPr>
              <w:fldChar w:fldCharType="separate"/>
            </w:r>
            <w:r>
              <w:rPr>
                <w:noProof/>
                <w:webHidden/>
              </w:rPr>
              <w:t>15</w:t>
            </w:r>
            <w:r>
              <w:rPr>
                <w:noProof/>
                <w:webHidden/>
              </w:rPr>
              <w:fldChar w:fldCharType="end"/>
            </w:r>
          </w:hyperlink>
        </w:p>
        <w:p w14:paraId="7C0C926A" w14:textId="7E0B660E" w:rsidR="00A14C3F" w:rsidRDefault="00A14C3F">
          <w:pPr>
            <w:pStyle w:val="TOC2"/>
            <w:tabs>
              <w:tab w:val="right" w:leader="dot" w:pos="9016"/>
            </w:tabs>
            <w:rPr>
              <w:rFonts w:asciiTheme="minorHAnsi" w:eastAsiaTheme="minorEastAsia" w:hAnsiTheme="minorHAnsi" w:cstheme="minorBidi"/>
              <w:b w:val="0"/>
              <w:bCs w:val="0"/>
              <w:smallCaps w:val="0"/>
              <w:noProof/>
              <w:kern w:val="2"/>
              <w:sz w:val="24"/>
              <w:szCs w:val="24"/>
              <w14:ligatures w14:val="standardContextual"/>
            </w:rPr>
          </w:pPr>
          <w:hyperlink w:anchor="_Toc229830426" w:history="1">
            <w:r w:rsidRPr="00A23103">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 Relationship Between Emotional Intelligence and Mindfulness</w:t>
            </w:r>
            <w:r>
              <w:rPr>
                <w:noProof/>
                <w:webHidden/>
              </w:rPr>
              <w:tab/>
            </w:r>
            <w:r>
              <w:rPr>
                <w:noProof/>
                <w:webHidden/>
              </w:rPr>
              <w:fldChar w:fldCharType="begin"/>
            </w:r>
            <w:r>
              <w:rPr>
                <w:noProof/>
                <w:webHidden/>
              </w:rPr>
              <w:instrText xml:space="preserve"> PAGEREF _Toc229830426 \h </w:instrText>
            </w:r>
            <w:r>
              <w:rPr>
                <w:noProof/>
                <w:webHidden/>
              </w:rPr>
            </w:r>
            <w:r>
              <w:rPr>
                <w:noProof/>
                <w:webHidden/>
              </w:rPr>
              <w:fldChar w:fldCharType="separate"/>
            </w:r>
            <w:r>
              <w:rPr>
                <w:noProof/>
                <w:webHidden/>
              </w:rPr>
              <w:t>16</w:t>
            </w:r>
            <w:r>
              <w:rPr>
                <w:noProof/>
                <w:webHidden/>
              </w:rPr>
              <w:fldChar w:fldCharType="end"/>
            </w:r>
          </w:hyperlink>
        </w:p>
        <w:p w14:paraId="0959DCAE" w14:textId="28E9EF4A" w:rsidR="00A14C3F" w:rsidRDefault="00A14C3F">
          <w:pPr>
            <w:pStyle w:val="TOC2"/>
            <w:tabs>
              <w:tab w:val="right" w:leader="dot" w:pos="9016"/>
            </w:tabs>
            <w:rPr>
              <w:rFonts w:asciiTheme="minorHAnsi" w:eastAsiaTheme="minorEastAsia" w:hAnsiTheme="minorHAnsi" w:cstheme="minorBidi"/>
              <w:b w:val="0"/>
              <w:bCs w:val="0"/>
              <w:smallCaps w:val="0"/>
              <w:noProof/>
              <w:kern w:val="2"/>
              <w:sz w:val="24"/>
              <w:szCs w:val="24"/>
              <w14:ligatures w14:val="standardContextual"/>
            </w:rPr>
          </w:pPr>
          <w:hyperlink w:anchor="_Toc229830427" w:history="1">
            <w:r w:rsidRPr="00A23103">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 Reflection on own workplace performance</w:t>
            </w:r>
            <w:r>
              <w:rPr>
                <w:noProof/>
                <w:webHidden/>
              </w:rPr>
              <w:tab/>
            </w:r>
            <w:r>
              <w:rPr>
                <w:noProof/>
                <w:webHidden/>
              </w:rPr>
              <w:fldChar w:fldCharType="begin"/>
            </w:r>
            <w:r>
              <w:rPr>
                <w:noProof/>
                <w:webHidden/>
              </w:rPr>
              <w:instrText xml:space="preserve"> PAGEREF _Toc229830427 \h </w:instrText>
            </w:r>
            <w:r>
              <w:rPr>
                <w:noProof/>
                <w:webHidden/>
              </w:rPr>
            </w:r>
            <w:r>
              <w:rPr>
                <w:noProof/>
                <w:webHidden/>
              </w:rPr>
              <w:fldChar w:fldCharType="separate"/>
            </w:r>
            <w:r>
              <w:rPr>
                <w:noProof/>
                <w:webHidden/>
              </w:rPr>
              <w:t>17</w:t>
            </w:r>
            <w:r>
              <w:rPr>
                <w:noProof/>
                <w:webHidden/>
              </w:rPr>
              <w:fldChar w:fldCharType="end"/>
            </w:r>
          </w:hyperlink>
        </w:p>
        <w:p w14:paraId="5773AF8A" w14:textId="236726BD" w:rsidR="00A14C3F" w:rsidRDefault="00A14C3F">
          <w:pPr>
            <w:pStyle w:val="TOC2"/>
            <w:tabs>
              <w:tab w:val="right" w:leader="dot" w:pos="9016"/>
            </w:tabs>
            <w:rPr>
              <w:rFonts w:asciiTheme="minorHAnsi" w:eastAsiaTheme="minorEastAsia" w:hAnsiTheme="minorHAnsi" w:cstheme="minorBidi"/>
              <w:b w:val="0"/>
              <w:bCs w:val="0"/>
              <w:smallCaps w:val="0"/>
              <w:noProof/>
              <w:kern w:val="2"/>
              <w:sz w:val="24"/>
              <w:szCs w:val="24"/>
              <w14:ligatures w14:val="standardContextual"/>
            </w:rPr>
          </w:pPr>
          <w:hyperlink w:anchor="_Toc229830428" w:history="1">
            <w:r w:rsidRPr="00A23103">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 Conclusion</w:t>
            </w:r>
            <w:r>
              <w:rPr>
                <w:noProof/>
                <w:webHidden/>
              </w:rPr>
              <w:tab/>
            </w:r>
            <w:r>
              <w:rPr>
                <w:noProof/>
                <w:webHidden/>
              </w:rPr>
              <w:fldChar w:fldCharType="begin"/>
            </w:r>
            <w:r>
              <w:rPr>
                <w:noProof/>
                <w:webHidden/>
              </w:rPr>
              <w:instrText xml:space="preserve"> PAGEREF _Toc229830428 \h </w:instrText>
            </w:r>
            <w:r>
              <w:rPr>
                <w:noProof/>
                <w:webHidden/>
              </w:rPr>
            </w:r>
            <w:r>
              <w:rPr>
                <w:noProof/>
                <w:webHidden/>
              </w:rPr>
              <w:fldChar w:fldCharType="separate"/>
            </w:r>
            <w:r>
              <w:rPr>
                <w:noProof/>
                <w:webHidden/>
              </w:rPr>
              <w:t>19</w:t>
            </w:r>
            <w:r>
              <w:rPr>
                <w:noProof/>
                <w:webHidden/>
              </w:rPr>
              <w:fldChar w:fldCharType="end"/>
            </w:r>
          </w:hyperlink>
        </w:p>
        <w:p w14:paraId="0C22210B" w14:textId="60604C6C" w:rsidR="00A14C3F" w:rsidRDefault="00A14C3F">
          <w:pPr>
            <w:pStyle w:val="TOC2"/>
            <w:tabs>
              <w:tab w:val="right" w:leader="dot" w:pos="9016"/>
            </w:tabs>
            <w:rPr>
              <w:rFonts w:asciiTheme="minorHAnsi" w:eastAsiaTheme="minorEastAsia" w:hAnsiTheme="minorHAnsi" w:cstheme="minorBidi"/>
              <w:b w:val="0"/>
              <w:bCs w:val="0"/>
              <w:smallCaps w:val="0"/>
              <w:noProof/>
              <w:kern w:val="2"/>
              <w:sz w:val="24"/>
              <w:szCs w:val="24"/>
              <w14:ligatures w14:val="standardContextual"/>
            </w:rPr>
          </w:pPr>
          <w:hyperlink w:anchor="_Toc229830429" w:history="1">
            <w:r w:rsidRPr="00A23103">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 References</w:t>
            </w:r>
            <w:r>
              <w:rPr>
                <w:noProof/>
                <w:webHidden/>
              </w:rPr>
              <w:tab/>
            </w:r>
            <w:r>
              <w:rPr>
                <w:noProof/>
                <w:webHidden/>
              </w:rPr>
              <w:fldChar w:fldCharType="begin"/>
            </w:r>
            <w:r>
              <w:rPr>
                <w:noProof/>
                <w:webHidden/>
              </w:rPr>
              <w:instrText xml:space="preserve"> PAGEREF _Toc229830429 \h </w:instrText>
            </w:r>
            <w:r>
              <w:rPr>
                <w:noProof/>
                <w:webHidden/>
              </w:rPr>
            </w:r>
            <w:r>
              <w:rPr>
                <w:noProof/>
                <w:webHidden/>
              </w:rPr>
              <w:fldChar w:fldCharType="separate"/>
            </w:r>
            <w:r>
              <w:rPr>
                <w:noProof/>
                <w:webHidden/>
              </w:rPr>
              <w:t>19</w:t>
            </w:r>
            <w:r>
              <w:rPr>
                <w:noProof/>
                <w:webHidden/>
              </w:rPr>
              <w:fldChar w:fldCharType="end"/>
            </w:r>
          </w:hyperlink>
        </w:p>
        <w:p w14:paraId="145A69A8" w14:textId="403B86F0" w:rsidR="00A14C3F" w:rsidRDefault="00A14C3F">
          <w:pPr>
            <w:pStyle w:val="TOC1"/>
            <w:tabs>
              <w:tab w:val="right" w:leader="dot" w:pos="9016"/>
            </w:tabs>
            <w:rPr>
              <w:rFonts w:asciiTheme="minorHAnsi" w:eastAsiaTheme="minorEastAsia" w:hAnsiTheme="minorHAnsi" w:cstheme="minorBidi"/>
              <w:b w:val="0"/>
              <w:bCs w:val="0"/>
              <w:caps w:val="0"/>
              <w:noProof/>
              <w:kern w:val="2"/>
              <w:sz w:val="24"/>
              <w:szCs w:val="24"/>
              <w:u w:val="none"/>
              <w14:ligatures w14:val="standardContextual"/>
            </w:rPr>
          </w:pPr>
          <w:hyperlink w:anchor="_Toc229830430" w:history="1">
            <w:r w:rsidRPr="00A23103">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10.Bibliograph</w:t>
            </w:r>
            <w:r w:rsidRPr="00A23103">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w:t>
            </w:r>
            <w:r>
              <w:rPr>
                <w:noProof/>
                <w:webHidden/>
              </w:rPr>
              <w:tab/>
            </w:r>
            <w:r>
              <w:rPr>
                <w:noProof/>
                <w:webHidden/>
              </w:rPr>
              <w:fldChar w:fldCharType="begin"/>
            </w:r>
            <w:r>
              <w:rPr>
                <w:noProof/>
                <w:webHidden/>
              </w:rPr>
              <w:instrText xml:space="preserve"> PAGEREF _Toc229830430 \h </w:instrText>
            </w:r>
            <w:r>
              <w:rPr>
                <w:noProof/>
                <w:webHidden/>
              </w:rPr>
            </w:r>
            <w:r>
              <w:rPr>
                <w:noProof/>
                <w:webHidden/>
              </w:rPr>
              <w:fldChar w:fldCharType="separate"/>
            </w:r>
            <w:r>
              <w:rPr>
                <w:noProof/>
                <w:webHidden/>
              </w:rPr>
              <w:t>24</w:t>
            </w:r>
            <w:r>
              <w:rPr>
                <w:noProof/>
                <w:webHidden/>
              </w:rPr>
              <w:fldChar w:fldCharType="end"/>
            </w:r>
          </w:hyperlink>
        </w:p>
        <w:p w14:paraId="6B941085" w14:textId="1703CF80" w:rsidR="00A14C3F" w:rsidRDefault="00A14C3F">
          <w:pPr>
            <w:pStyle w:val="TOC2"/>
            <w:tabs>
              <w:tab w:val="right" w:leader="dot" w:pos="9016"/>
            </w:tabs>
            <w:rPr>
              <w:rFonts w:asciiTheme="minorHAnsi" w:eastAsiaTheme="minorEastAsia" w:hAnsiTheme="minorHAnsi" w:cstheme="minorBidi"/>
              <w:b w:val="0"/>
              <w:bCs w:val="0"/>
              <w:smallCaps w:val="0"/>
              <w:noProof/>
              <w:kern w:val="2"/>
              <w:sz w:val="24"/>
              <w:szCs w:val="24"/>
              <w14:ligatures w14:val="standardContextual"/>
            </w:rPr>
          </w:pPr>
          <w:hyperlink w:anchor="_Toc229830431" w:history="1">
            <w:r w:rsidRPr="00A23103">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Appendices</w:t>
            </w:r>
            <w:r>
              <w:rPr>
                <w:noProof/>
                <w:webHidden/>
              </w:rPr>
              <w:tab/>
            </w:r>
            <w:r>
              <w:rPr>
                <w:noProof/>
                <w:webHidden/>
              </w:rPr>
              <w:fldChar w:fldCharType="begin"/>
            </w:r>
            <w:r>
              <w:rPr>
                <w:noProof/>
                <w:webHidden/>
              </w:rPr>
              <w:instrText xml:space="preserve"> PAGEREF _Toc229830431 \h </w:instrText>
            </w:r>
            <w:r>
              <w:rPr>
                <w:noProof/>
                <w:webHidden/>
              </w:rPr>
            </w:r>
            <w:r>
              <w:rPr>
                <w:noProof/>
                <w:webHidden/>
              </w:rPr>
              <w:fldChar w:fldCharType="separate"/>
            </w:r>
            <w:r>
              <w:rPr>
                <w:noProof/>
                <w:webHidden/>
              </w:rPr>
              <w:t>30</w:t>
            </w:r>
            <w:r>
              <w:rPr>
                <w:noProof/>
                <w:webHidden/>
              </w:rPr>
              <w:fldChar w:fldCharType="end"/>
            </w:r>
          </w:hyperlink>
        </w:p>
        <w:p w14:paraId="177454E5" w14:textId="2A4AAAE4" w:rsidR="00381674" w:rsidRDefault="00381674">
          <w:r>
            <w:rPr>
              <w:b/>
              <w:bCs/>
              <w:noProof/>
            </w:rPr>
            <w:fldChar w:fldCharType="end"/>
          </w:r>
        </w:p>
      </w:sdtContent>
    </w:sdt>
    <w:p w14:paraId="18C1646F" w14:textId="77777777" w:rsidR="00EC67D8" w:rsidRDefault="00EC67D8"/>
    <w:p w14:paraId="449C2415" w14:textId="77777777" w:rsidR="00381674" w:rsidRDefault="00381674"/>
    <w:p w14:paraId="53A97519" w14:textId="77777777" w:rsidR="00381674" w:rsidRDefault="00381674"/>
    <w:p w14:paraId="7DC7DDCF" w14:textId="77777777" w:rsidR="00381674" w:rsidRDefault="00381674"/>
    <w:p w14:paraId="331C178D" w14:textId="77777777" w:rsidR="00381674" w:rsidRDefault="00381674"/>
    <w:p w14:paraId="086D7898" w14:textId="77777777" w:rsidR="00381674" w:rsidRDefault="00381674"/>
    <w:p w14:paraId="44033908" w14:textId="77777777" w:rsidR="00DF6147" w:rsidRDefault="00DF6147"/>
    <w:p w14:paraId="53C54CC4" w14:textId="77777777" w:rsidR="00DF6147" w:rsidRDefault="00DF6147"/>
    <w:p w14:paraId="60615E5B" w14:textId="77777777" w:rsidR="00DF6147" w:rsidRDefault="00DF6147"/>
    <w:p w14:paraId="172B33E5" w14:textId="77777777" w:rsidR="00DF6147" w:rsidRDefault="00DF6147"/>
    <w:p w14:paraId="1C41C44F" w14:textId="77777777" w:rsidR="00DF6147" w:rsidRDefault="00DF6147"/>
    <w:p w14:paraId="110453B2" w14:textId="77777777" w:rsidR="00DF6147" w:rsidRDefault="00DF6147"/>
    <w:p w14:paraId="1CE76D1A" w14:textId="77777777" w:rsidR="00DF6147" w:rsidRDefault="00DF6147"/>
    <w:p w14:paraId="48C6A775" w14:textId="77777777" w:rsidR="00DF6147" w:rsidRDefault="00DF6147"/>
    <w:p w14:paraId="4B9CBE21" w14:textId="77777777" w:rsidR="00DF6147" w:rsidRDefault="00DF6147"/>
    <w:p w14:paraId="6CFFC4FA" w14:textId="77777777" w:rsidR="00DF6147" w:rsidRDefault="00DF6147"/>
    <w:p w14:paraId="1EEDD2CA" w14:textId="77777777" w:rsidR="00DF6147" w:rsidRDefault="00DF6147"/>
    <w:p w14:paraId="7DA2D225" w14:textId="77777777" w:rsidR="00381674" w:rsidRDefault="00381674"/>
    <w:p w14:paraId="2439796D" w14:textId="77777777" w:rsidR="00381674" w:rsidRDefault="00381674"/>
    <w:p w14:paraId="50A46D09" w14:textId="4F138B02" w:rsidR="00381674" w:rsidRDefault="00381674" w:rsidP="00381674">
      <w:pPr>
        <w:pStyle w:val="Title"/>
      </w:pPr>
      <w:r>
        <w:t>Emotional Intelligence in Leadership and Management</w:t>
      </w:r>
    </w:p>
    <w:p w14:paraId="6A746200" w14:textId="24BC5EF5" w:rsidR="00381674" w:rsidRDefault="00381674" w:rsidP="00DF6147">
      <w:pPr>
        <w:pStyle w:val="Subtitle"/>
      </w:pPr>
      <w:r>
        <w:t>Module Assignment Submission – BMSK6009</w:t>
      </w:r>
    </w:p>
    <w:p w14:paraId="5CD44A93" w14:textId="77777777" w:rsidR="00DF6147" w:rsidRPr="00A14C3F" w:rsidRDefault="00DF6147" w:rsidP="00DF6147">
      <w:pPr>
        <w:pStyle w:val="Heading1"/>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229830410"/>
      <w:r w:rsidRPr="00A14C3F">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Executive Summary</w:t>
      </w:r>
      <w:bookmarkEnd w:id="0"/>
    </w:p>
    <w:p w14:paraId="5C4754A0" w14:textId="1C0EB4FA" w:rsidR="00381674" w:rsidRPr="00DF6147" w:rsidRDefault="00DF6147" w:rsidP="00DF6147">
      <w:pPr>
        <w:spacing w:line="360" w:lineRule="auto"/>
        <w:rPr>
          <w:rFonts w:ascii="Segoe UI" w:hAnsi="Segoe UI" w:cs="Segoe UI"/>
        </w:rPr>
      </w:pPr>
      <w:r w:rsidRPr="00DF6147">
        <w:rPr>
          <w:rFonts w:ascii="Segoe UI" w:hAnsi="Segoe UI" w:cs="Segoe UI"/>
        </w:rPr>
        <w:t xml:space="preserve">This </w:t>
      </w:r>
      <w:r w:rsidR="00A14C3F">
        <w:rPr>
          <w:rFonts w:ascii="Segoe UI" w:hAnsi="Segoe UI" w:cs="Segoe UI"/>
        </w:rPr>
        <w:t>module assignment</w:t>
      </w:r>
      <w:r w:rsidRPr="00DF6147">
        <w:rPr>
          <w:rFonts w:ascii="Segoe UI" w:hAnsi="Segoe UI" w:cs="Segoe UI"/>
        </w:rPr>
        <w:t xml:space="preserve"> explores the role of workforce development within dental </w:t>
      </w:r>
      <w:r w:rsidR="00A14C3F" w:rsidRPr="00DF6147">
        <w:rPr>
          <w:rFonts w:ascii="Segoe UI" w:hAnsi="Segoe UI" w:cs="Segoe UI"/>
        </w:rPr>
        <w:t>practice,</w:t>
      </w:r>
      <w:r w:rsidRPr="00DF6147">
        <w:rPr>
          <w:rFonts w:ascii="Segoe UI" w:hAnsi="Segoe UI" w:cs="Segoe UI"/>
        </w:rPr>
        <w:t xml:space="preserve"> </w:t>
      </w:r>
      <w:r>
        <w:rPr>
          <w:rFonts w:ascii="Segoe UI" w:hAnsi="Segoe UI" w:cs="Segoe UI"/>
        </w:rPr>
        <w:t xml:space="preserve">while focusing on emotional intelligence and mindfulness </w:t>
      </w:r>
      <w:r w:rsidR="00A14C3F">
        <w:rPr>
          <w:rFonts w:ascii="Segoe UI" w:hAnsi="Segoe UI" w:cs="Segoe UI"/>
        </w:rPr>
        <w:t>d</w:t>
      </w:r>
      <w:r w:rsidRPr="00DF6147">
        <w:rPr>
          <w:rFonts w:ascii="Segoe UI" w:hAnsi="Segoe UI" w:cs="Segoe UI"/>
        </w:rPr>
        <w:t>rawing on</w:t>
      </w:r>
      <w:r>
        <w:rPr>
          <w:rFonts w:ascii="Segoe UI" w:hAnsi="Segoe UI" w:cs="Segoe UI"/>
        </w:rPr>
        <w:t xml:space="preserve"> valuable </w:t>
      </w:r>
      <w:r w:rsidR="00A14C3F">
        <w:rPr>
          <w:rFonts w:ascii="Segoe UI" w:hAnsi="Segoe UI" w:cs="Segoe UI"/>
        </w:rPr>
        <w:t>framework’s considering their point of views.</w:t>
      </w:r>
      <w:r w:rsidRPr="00DF6147">
        <w:rPr>
          <w:rFonts w:ascii="Segoe UI" w:hAnsi="Segoe UI" w:cs="Segoe UI"/>
        </w:rPr>
        <w:t xml:space="preserve"> </w:t>
      </w:r>
      <w:r w:rsidR="00A14C3F">
        <w:rPr>
          <w:rFonts w:ascii="Segoe UI" w:hAnsi="Segoe UI" w:cs="Segoe UI"/>
        </w:rPr>
        <w:t>T</w:t>
      </w:r>
      <w:r w:rsidRPr="00DF6147">
        <w:rPr>
          <w:rFonts w:ascii="Segoe UI" w:hAnsi="Segoe UI" w:cs="Segoe UI"/>
        </w:rPr>
        <w:t>he report evaluates their impact on communication, leadership, and team collaboration in clinical settings. T</w:t>
      </w:r>
      <w:r w:rsidR="00A14C3F">
        <w:rPr>
          <w:rFonts w:ascii="Segoe UI" w:hAnsi="Segoe UI" w:cs="Segoe UI"/>
        </w:rPr>
        <w:t xml:space="preserve">his </w:t>
      </w:r>
      <w:r w:rsidRPr="00DF6147">
        <w:rPr>
          <w:rFonts w:ascii="Segoe UI" w:hAnsi="Segoe UI" w:cs="Segoe UI"/>
        </w:rPr>
        <w:t xml:space="preserve">analysis </w:t>
      </w:r>
      <w:r w:rsidR="00A14C3F">
        <w:rPr>
          <w:rFonts w:ascii="Segoe UI" w:hAnsi="Segoe UI" w:cs="Segoe UI"/>
        </w:rPr>
        <w:t>aspect</w:t>
      </w:r>
      <w:r>
        <w:rPr>
          <w:rFonts w:ascii="Segoe UI" w:hAnsi="Segoe UI" w:cs="Segoe UI"/>
        </w:rPr>
        <w:t>s</w:t>
      </w:r>
      <w:r w:rsidR="00A14C3F">
        <w:rPr>
          <w:rFonts w:ascii="Segoe UI" w:hAnsi="Segoe UI" w:cs="Segoe UI"/>
        </w:rPr>
        <w:t xml:space="preserve"> the major impacts of organisational issues </w:t>
      </w:r>
      <w:r w:rsidR="00A14C3F" w:rsidRPr="00DF6147">
        <w:rPr>
          <w:rFonts w:ascii="Segoe UI" w:hAnsi="Segoe UI" w:cs="Segoe UI"/>
        </w:rPr>
        <w:t>such</w:t>
      </w:r>
      <w:r w:rsidR="00A14C3F">
        <w:rPr>
          <w:rFonts w:ascii="Segoe UI" w:hAnsi="Segoe UI" w:cs="Segoe UI"/>
        </w:rPr>
        <w:t xml:space="preserve"> as resource limitations, cultured and workload </w:t>
      </w:r>
      <w:r w:rsidRPr="00DF6147">
        <w:rPr>
          <w:rFonts w:ascii="Segoe UI" w:hAnsi="Segoe UI" w:cs="Segoe UI"/>
        </w:rPr>
        <w:t xml:space="preserve">benefits. Through critical reflection, the report offers </w:t>
      </w:r>
      <w:r w:rsidR="00A14C3F">
        <w:rPr>
          <w:rFonts w:ascii="Segoe UI" w:hAnsi="Segoe UI" w:cs="Segoe UI"/>
        </w:rPr>
        <w:t>research and different viewpoints</w:t>
      </w:r>
      <w:r w:rsidRPr="00DF6147">
        <w:rPr>
          <w:rFonts w:ascii="Segoe UI" w:hAnsi="Segoe UI" w:cs="Segoe UI"/>
        </w:rPr>
        <w:t xml:space="preserve"> </w:t>
      </w:r>
      <w:r w:rsidR="00A14C3F">
        <w:rPr>
          <w:rFonts w:ascii="Segoe UI" w:hAnsi="Segoe UI" w:cs="Segoe UI"/>
        </w:rPr>
        <w:t>on</w:t>
      </w:r>
      <w:r w:rsidRPr="00DF6147">
        <w:rPr>
          <w:rFonts w:ascii="Segoe UI" w:hAnsi="Segoe UI" w:cs="Segoe UI"/>
        </w:rPr>
        <w:t xml:space="preserve"> how EI and mindfulness can</w:t>
      </w:r>
      <w:r w:rsidR="00A14C3F">
        <w:rPr>
          <w:rFonts w:ascii="Segoe UI" w:hAnsi="Segoe UI" w:cs="Segoe UI"/>
        </w:rPr>
        <w:t xml:space="preserve"> better</w:t>
      </w:r>
      <w:r w:rsidRPr="00DF6147">
        <w:rPr>
          <w:rFonts w:ascii="Segoe UI" w:hAnsi="Segoe UI" w:cs="Segoe UI"/>
        </w:rPr>
        <w:t xml:space="preserve"> </w:t>
      </w:r>
      <w:r w:rsidR="00A14C3F" w:rsidRPr="00DF6147">
        <w:rPr>
          <w:rFonts w:ascii="Segoe UI" w:hAnsi="Segoe UI" w:cs="Segoe UI"/>
        </w:rPr>
        <w:t>patient</w:t>
      </w:r>
      <w:r w:rsidR="00A14C3F">
        <w:rPr>
          <w:rFonts w:ascii="Segoe UI" w:hAnsi="Segoe UI" w:cs="Segoe UI"/>
        </w:rPr>
        <w:t xml:space="preserve">s </w:t>
      </w:r>
      <w:r w:rsidRPr="00DF6147">
        <w:rPr>
          <w:rFonts w:ascii="Segoe UI" w:hAnsi="Segoe UI" w:cs="Segoe UI"/>
        </w:rPr>
        <w:t xml:space="preserve">experience and staff </w:t>
      </w:r>
      <w:r w:rsidR="00A14C3F">
        <w:rPr>
          <w:rFonts w:ascii="Segoe UI" w:hAnsi="Segoe UI" w:cs="Segoe UI"/>
        </w:rPr>
        <w:t>mental health</w:t>
      </w:r>
      <w:r w:rsidRPr="00DF6147">
        <w:rPr>
          <w:rFonts w:ascii="Segoe UI" w:hAnsi="Segoe UI" w:cs="Segoe UI"/>
        </w:rPr>
        <w:t>, providing a balanced overview of their potential to support sustainable workforce development in</w:t>
      </w:r>
      <w:r w:rsidR="00A14C3F">
        <w:rPr>
          <w:rFonts w:ascii="Segoe UI" w:hAnsi="Segoe UI" w:cs="Segoe UI"/>
        </w:rPr>
        <w:t xml:space="preserve"> the modern world of </w:t>
      </w:r>
      <w:r w:rsidRPr="00DF6147">
        <w:rPr>
          <w:rFonts w:ascii="Segoe UI" w:hAnsi="Segoe UI" w:cs="Segoe UI"/>
        </w:rPr>
        <w:t>dental practice.</w:t>
      </w:r>
    </w:p>
    <w:p w14:paraId="295C26E1" w14:textId="77777777" w:rsidR="00DF6147" w:rsidRPr="00DF6147" w:rsidRDefault="00DF6147" w:rsidP="00DF6147"/>
    <w:p w14:paraId="1A1B7911" w14:textId="13FFF2DF" w:rsidR="00381674" w:rsidRDefault="00DF6147" w:rsidP="00DF6147">
      <w:pPr>
        <w:pStyle w:val="Heading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229830411"/>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381674" w:rsidRPr="0038167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bookmarkEnd w:id="1"/>
    </w:p>
    <w:p w14:paraId="6565983D" w14:textId="08041FD3" w:rsidR="00DF6147" w:rsidRDefault="00A14C3F" w:rsidP="00DF6147">
      <w:pPr>
        <w:spacing w:line="360" w:lineRule="auto"/>
        <w:rPr>
          <w:rFonts w:ascii="Segoe UI" w:hAnsi="Segoe UI" w:cs="Segoe UI"/>
        </w:rPr>
      </w:pPr>
      <w:r>
        <w:rPr>
          <w:rFonts w:ascii="Segoe UI" w:hAnsi="Segoe UI" w:cs="Segoe UI"/>
        </w:rPr>
        <w:t>W</w:t>
      </w:r>
      <w:r w:rsidR="00DF6147">
        <w:rPr>
          <w:rFonts w:ascii="Segoe UI" w:hAnsi="Segoe UI" w:cs="Segoe UI"/>
        </w:rPr>
        <w:t>orkforce development</w:t>
      </w:r>
      <w:r>
        <w:rPr>
          <w:rFonts w:ascii="Segoe UI" w:hAnsi="Segoe UI" w:cs="Segoe UI"/>
        </w:rPr>
        <w:t xml:space="preserve"> the role it has played in a dental setting</w:t>
      </w:r>
      <w:r w:rsidR="00DF6147">
        <w:rPr>
          <w:rFonts w:ascii="Segoe UI" w:hAnsi="Segoe UI" w:cs="Segoe UI"/>
        </w:rPr>
        <w:t xml:space="preserve"> is covered in this assignment, with a special focus on emotional intelligence (EI) and mindfulness.</w:t>
      </w:r>
      <w:r>
        <w:rPr>
          <w:rFonts w:ascii="Segoe UI" w:hAnsi="Segoe UI" w:cs="Segoe UI"/>
        </w:rPr>
        <w:t xml:space="preserve"> The report will look</w:t>
      </w:r>
      <w:r w:rsidR="00DF6147">
        <w:rPr>
          <w:rFonts w:ascii="Segoe UI" w:hAnsi="Segoe UI" w:cs="Segoe UI"/>
        </w:rPr>
        <w:t xml:space="preserve"> at key theories and perspectives, which include</w:t>
      </w:r>
      <w:r>
        <w:rPr>
          <w:rFonts w:ascii="Segoe UI" w:hAnsi="Segoe UI" w:cs="Segoe UI"/>
        </w:rPr>
        <w:t xml:space="preserve">s many theories put </w:t>
      </w:r>
      <w:r w:rsidR="00DF6147">
        <w:rPr>
          <w:rFonts w:ascii="Segoe UI" w:hAnsi="Segoe UI" w:cs="Segoe UI"/>
        </w:rPr>
        <w:t xml:space="preserve">forward by Salovey, Mayer and Goleman, </w:t>
      </w:r>
      <w:r>
        <w:rPr>
          <w:rFonts w:ascii="Segoe UI" w:hAnsi="Segoe UI" w:cs="Segoe UI"/>
        </w:rPr>
        <w:t xml:space="preserve">besides these, the report will look at </w:t>
      </w:r>
      <w:r w:rsidR="00DF6147">
        <w:rPr>
          <w:rFonts w:ascii="Segoe UI" w:hAnsi="Segoe UI" w:cs="Segoe UI"/>
        </w:rPr>
        <w:t xml:space="preserve">mindfulness approaches developed by Kabat Zinn and Hanh, while examining how these factors impact on dental environment and patient centred care. </w:t>
      </w:r>
    </w:p>
    <w:p w14:paraId="6BA6A38B" w14:textId="6743D024" w:rsidR="00DF6147" w:rsidRDefault="00DF6147" w:rsidP="00DF6147">
      <w:pPr>
        <w:spacing w:line="360" w:lineRule="auto"/>
        <w:rPr>
          <w:rFonts w:ascii="Segoe UI" w:hAnsi="Segoe UI" w:cs="Segoe UI"/>
        </w:rPr>
      </w:pPr>
      <w:r>
        <w:rPr>
          <w:rFonts w:ascii="Segoe UI" w:hAnsi="Segoe UI" w:cs="Segoe UI"/>
        </w:rPr>
        <w:t xml:space="preserve">The report will consider their practical application within dental settings and how the concepts play attribute to effective communication, leadership development and team collaboration. </w:t>
      </w:r>
    </w:p>
    <w:p w14:paraId="7D9BBEF7" w14:textId="78CE89EE" w:rsidR="00DF6147" w:rsidRDefault="00DF6147" w:rsidP="00DF6147">
      <w:pPr>
        <w:spacing w:line="360" w:lineRule="auto"/>
        <w:rPr>
          <w:rFonts w:ascii="Segoe UI" w:hAnsi="Segoe UI" w:cs="Segoe UI"/>
        </w:rPr>
      </w:pPr>
      <w:r>
        <w:rPr>
          <w:rFonts w:ascii="Segoe UI" w:hAnsi="Segoe UI" w:cs="Segoe UI"/>
        </w:rPr>
        <w:t>Furthermore, the report critically evaluates the extent to which EI and mindfulness influence individual and organisational performance, recognising that outcomes are often shaped by a wider range of factors such as workload pressures, organisational culture and resource availability</w:t>
      </w:r>
      <w:r w:rsidR="00A14C3F">
        <w:rPr>
          <w:rFonts w:ascii="Segoe UI" w:hAnsi="Segoe UI" w:cs="Segoe UI"/>
        </w:rPr>
        <w:t xml:space="preserve">, using tools of SWOT and PESTLE to support this. </w:t>
      </w:r>
      <w:r>
        <w:rPr>
          <w:rFonts w:ascii="Segoe UI" w:hAnsi="Segoe UI" w:cs="Segoe UI"/>
        </w:rPr>
        <w:t xml:space="preserve">Specifically paying attention to how the concepts can be implemented within real clinical settings to improve patient experience and staff wellbeing. The report will discuss how reflection is an important factor in implementation towards EI and mindfulness in regard to the job role as a dental professional. </w:t>
      </w:r>
    </w:p>
    <w:p w14:paraId="5773A4E9" w14:textId="00BB1C9D" w:rsidR="00DF6147" w:rsidRPr="00DF6147" w:rsidRDefault="00DF6147" w:rsidP="00DF6147">
      <w:pPr>
        <w:spacing w:line="360" w:lineRule="auto"/>
        <w:rPr>
          <w:rFonts w:ascii="Segoe UI" w:hAnsi="Segoe UI" w:cs="Segoe UI"/>
        </w:rPr>
      </w:pPr>
      <w:r>
        <w:rPr>
          <w:rFonts w:ascii="Segoe UI" w:hAnsi="Segoe UI" w:cs="Segoe UI"/>
        </w:rPr>
        <w:t xml:space="preserve">In summary, the report aims to </w:t>
      </w:r>
      <w:r w:rsidR="00A14C3F">
        <w:rPr>
          <w:rFonts w:ascii="Segoe UI" w:hAnsi="Segoe UI" w:cs="Segoe UI"/>
        </w:rPr>
        <w:t xml:space="preserve">objectively weigh up the positive and negatives of both concepts and provide a clear understanding </w:t>
      </w:r>
      <w:r>
        <w:rPr>
          <w:rFonts w:ascii="Segoe UI" w:hAnsi="Segoe UI" w:cs="Segoe UI"/>
        </w:rPr>
        <w:t xml:space="preserve">of how EI and mindfulness can support workforce development, while acknowledging the barriers and challenges associated with their application in modern dental practice. </w:t>
      </w:r>
    </w:p>
    <w:p w14:paraId="3C482DFC" w14:textId="77777777" w:rsidR="00FC3C05" w:rsidRPr="00DF6147" w:rsidRDefault="00FC3C05" w:rsidP="00DF6147">
      <w:pPr>
        <w:spacing w:line="360" w:lineRule="auto"/>
        <w:rPr>
          <w:rFonts w:ascii="Segoe UI" w:hAnsi="Segoe UI" w:cs="Segoe UI"/>
        </w:rPr>
      </w:pPr>
    </w:p>
    <w:p w14:paraId="7C08E3AD" w14:textId="7C136C97" w:rsidR="00DF6147" w:rsidRPr="00DF6147" w:rsidRDefault="00381674" w:rsidP="00DF6147">
      <w:pPr>
        <w:pStyle w:val="Heading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229830412"/>
      <w:r w:rsidRPr="0038167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Workforce development in Dental Practice</w:t>
      </w:r>
      <w:bookmarkEnd w:id="2"/>
      <w:r w:rsidRPr="0038167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94DE521" w14:textId="77777777" w:rsidR="00381674" w:rsidRDefault="00381674" w:rsidP="00381674">
      <w:pPr>
        <w:pStyle w:val="Heading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229830413"/>
      <w:r w:rsidRPr="0038167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 Definition of Workforce Development</w:t>
      </w:r>
      <w:bookmarkEnd w:id="3"/>
    </w:p>
    <w:p w14:paraId="76C5B38B" w14:textId="7D7A3F38" w:rsidR="001A0FF1" w:rsidRPr="001A0FF1" w:rsidRDefault="001A0FF1" w:rsidP="001A0FF1">
      <w:pPr>
        <w:pStyle w:val="NormalWeb"/>
        <w:spacing w:line="360" w:lineRule="auto"/>
        <w:rPr>
          <w:rFonts w:ascii="Segoe UI" w:hAnsi="Segoe UI" w:cs="Segoe UI"/>
          <w:color w:val="000000"/>
        </w:rPr>
      </w:pPr>
      <w:r w:rsidRPr="001A0FF1">
        <w:rPr>
          <w:rFonts w:ascii="Segoe UI" w:hAnsi="Segoe UI" w:cs="Segoe UI"/>
          <w:color w:val="000000"/>
        </w:rPr>
        <w:t xml:space="preserve">Workforce development can be defined as a range of planned </w:t>
      </w:r>
      <w:r w:rsidR="00151C4C">
        <w:rPr>
          <w:rFonts w:ascii="Segoe UI" w:hAnsi="Segoe UI" w:cs="Segoe UI"/>
          <w:color w:val="000000"/>
        </w:rPr>
        <w:t>task</w:t>
      </w:r>
      <w:r w:rsidRPr="001A0FF1">
        <w:rPr>
          <w:rFonts w:ascii="Segoe UI" w:hAnsi="Segoe UI" w:cs="Segoe UI"/>
          <w:color w:val="000000"/>
        </w:rPr>
        <w:t>s within the dental environment that are</w:t>
      </w:r>
      <w:r w:rsidR="001D1822">
        <w:rPr>
          <w:rFonts w:ascii="Segoe UI" w:hAnsi="Segoe UI" w:cs="Segoe UI"/>
          <w:color w:val="000000"/>
        </w:rPr>
        <w:t xml:space="preserve"> specifically designed to improve</w:t>
      </w:r>
      <w:r w:rsidRPr="001A0FF1">
        <w:rPr>
          <w:rFonts w:ascii="Segoe UI" w:hAnsi="Segoe UI" w:cs="Segoe UI"/>
          <w:color w:val="000000"/>
        </w:rPr>
        <w:t xml:space="preserve"> the knowledge, skills, and capabilities of individuals. </w:t>
      </w:r>
      <w:r w:rsidR="00DF6147">
        <w:rPr>
          <w:rFonts w:ascii="Segoe UI" w:hAnsi="Segoe UI" w:cs="Segoe UI"/>
          <w:color w:val="000000"/>
        </w:rPr>
        <w:t xml:space="preserve">Regardless of this, the </w:t>
      </w:r>
      <w:r w:rsidRPr="001A0FF1">
        <w:rPr>
          <w:rFonts w:ascii="Segoe UI" w:hAnsi="Segoe UI" w:cs="Segoe UI"/>
          <w:color w:val="000000"/>
        </w:rPr>
        <w:t xml:space="preserve">definition </w:t>
      </w:r>
      <w:r w:rsidR="00DF6147">
        <w:rPr>
          <w:rFonts w:ascii="Segoe UI" w:hAnsi="Segoe UI" w:cs="Segoe UI"/>
          <w:color w:val="000000"/>
        </w:rPr>
        <w:t>highlights</w:t>
      </w:r>
      <w:r w:rsidRPr="001A0FF1">
        <w:rPr>
          <w:rFonts w:ascii="Segoe UI" w:hAnsi="Segoe UI" w:cs="Segoe UI"/>
          <w:color w:val="000000"/>
        </w:rPr>
        <w:t xml:space="preserve"> structured improvement, it may overlook the practical </w:t>
      </w:r>
      <w:r w:rsidR="00151C4C" w:rsidRPr="001A0FF1">
        <w:rPr>
          <w:rFonts w:ascii="Segoe UI" w:hAnsi="Segoe UI" w:cs="Segoe UI"/>
          <w:color w:val="000000"/>
        </w:rPr>
        <w:t>c</w:t>
      </w:r>
      <w:r w:rsidR="00151C4C">
        <w:rPr>
          <w:rFonts w:ascii="Segoe UI" w:hAnsi="Segoe UI" w:cs="Segoe UI"/>
          <w:color w:val="000000"/>
        </w:rPr>
        <w:t>hallenges</w:t>
      </w:r>
      <w:r w:rsidRPr="001A0FF1">
        <w:rPr>
          <w:rFonts w:ascii="Segoe UI" w:hAnsi="Segoe UI" w:cs="Segoe UI"/>
          <w:color w:val="000000"/>
        </w:rPr>
        <w:t xml:space="preserve"> </w:t>
      </w:r>
      <w:r w:rsidR="00151C4C">
        <w:rPr>
          <w:rFonts w:ascii="Segoe UI" w:hAnsi="Segoe UI" w:cs="Segoe UI"/>
          <w:color w:val="000000"/>
        </w:rPr>
        <w:t>the</w:t>
      </w:r>
      <w:r w:rsidRPr="001A0FF1">
        <w:rPr>
          <w:rFonts w:ascii="Segoe UI" w:hAnsi="Segoe UI" w:cs="Segoe UI"/>
          <w:color w:val="000000"/>
        </w:rPr>
        <w:t xml:space="preserve"> dental </w:t>
      </w:r>
      <w:r w:rsidR="00151C4C">
        <w:rPr>
          <w:rFonts w:ascii="Segoe UI" w:hAnsi="Segoe UI" w:cs="Segoe UI"/>
          <w:color w:val="000000"/>
        </w:rPr>
        <w:t>team face</w:t>
      </w:r>
      <w:r w:rsidRPr="001A0FF1">
        <w:rPr>
          <w:rFonts w:ascii="Segoe UI" w:hAnsi="Segoe UI" w:cs="Segoe UI"/>
          <w:color w:val="000000"/>
        </w:rPr>
        <w:t xml:space="preserve">, where time pressures and limited resources can </w:t>
      </w:r>
      <w:r w:rsidR="00DF6147">
        <w:rPr>
          <w:rFonts w:ascii="Segoe UI" w:hAnsi="Segoe UI" w:cs="Segoe UI"/>
          <w:color w:val="000000"/>
        </w:rPr>
        <w:t>stop</w:t>
      </w:r>
      <w:r w:rsidRPr="001A0FF1">
        <w:rPr>
          <w:rFonts w:ascii="Segoe UI" w:hAnsi="Segoe UI" w:cs="Segoe UI"/>
          <w:color w:val="000000"/>
        </w:rPr>
        <w:t xml:space="preserve"> the </w:t>
      </w:r>
      <w:r w:rsidR="00DF6147">
        <w:rPr>
          <w:rFonts w:ascii="Segoe UI" w:hAnsi="Segoe UI" w:cs="Segoe UI"/>
          <w:color w:val="000000"/>
        </w:rPr>
        <w:t>regular</w:t>
      </w:r>
      <w:r w:rsidRPr="001A0FF1">
        <w:rPr>
          <w:rFonts w:ascii="Segoe UI" w:hAnsi="Segoe UI" w:cs="Segoe UI"/>
          <w:color w:val="000000"/>
        </w:rPr>
        <w:t xml:space="preserve"> implementation of such initiatives. </w:t>
      </w:r>
      <w:r w:rsidR="00DF6147">
        <w:rPr>
          <w:rFonts w:ascii="Segoe UI" w:hAnsi="Segoe UI" w:cs="Segoe UI"/>
          <w:color w:val="000000"/>
        </w:rPr>
        <w:t>To enable the employees are ready to react</w:t>
      </w:r>
      <w:r w:rsidRPr="001A0FF1">
        <w:rPr>
          <w:rFonts w:ascii="Segoe UI" w:hAnsi="Segoe UI" w:cs="Segoe UI"/>
          <w:color w:val="000000"/>
        </w:rPr>
        <w:t xml:space="preserve"> on </w:t>
      </w:r>
      <w:r w:rsidR="00DF6147">
        <w:rPr>
          <w:rFonts w:ascii="Segoe UI" w:hAnsi="Segoe UI" w:cs="Segoe UI"/>
          <w:color w:val="000000"/>
        </w:rPr>
        <w:t>the forever evolving healthcare environment and the challenges of patient needs, workforce development focuses on creating pathways (Carmichael 2024)</w:t>
      </w:r>
      <w:r w:rsidRPr="001A0FF1">
        <w:rPr>
          <w:rFonts w:ascii="Segoe UI" w:hAnsi="Segoe UI" w:cs="Segoe UI"/>
          <w:color w:val="000000"/>
        </w:rPr>
        <w:t xml:space="preserve">. </w:t>
      </w:r>
      <w:r w:rsidR="00151C4C">
        <w:rPr>
          <w:rFonts w:ascii="Segoe UI" w:hAnsi="Segoe UI" w:cs="Segoe UI"/>
          <w:color w:val="000000"/>
        </w:rPr>
        <w:t xml:space="preserve">While </w:t>
      </w:r>
      <w:r w:rsidRPr="001A0FF1">
        <w:rPr>
          <w:rFonts w:ascii="Segoe UI" w:hAnsi="Segoe UI" w:cs="Segoe UI"/>
          <w:color w:val="000000"/>
        </w:rPr>
        <w:t xml:space="preserve">this assumes that </w:t>
      </w:r>
      <w:r w:rsidR="00DF6147">
        <w:rPr>
          <w:rFonts w:ascii="Segoe UI" w:hAnsi="Segoe UI" w:cs="Segoe UI"/>
          <w:color w:val="000000"/>
        </w:rPr>
        <w:t xml:space="preserve">there are measures in place by the organisations to </w:t>
      </w:r>
      <w:r w:rsidRPr="001A0FF1">
        <w:rPr>
          <w:rFonts w:ascii="Segoe UI" w:hAnsi="Segoe UI" w:cs="Segoe UI"/>
          <w:color w:val="000000"/>
        </w:rPr>
        <w:t>support</w:t>
      </w:r>
      <w:r w:rsidR="00DF6147">
        <w:rPr>
          <w:rFonts w:ascii="Segoe UI" w:hAnsi="Segoe UI" w:cs="Segoe UI"/>
          <w:color w:val="000000"/>
        </w:rPr>
        <w:t xml:space="preserve"> such compliance</w:t>
      </w:r>
      <w:r w:rsidRPr="001A0FF1">
        <w:rPr>
          <w:rFonts w:ascii="Segoe UI" w:hAnsi="Segoe UI" w:cs="Segoe UI"/>
          <w:color w:val="000000"/>
        </w:rPr>
        <w:t xml:space="preserve">, </w:t>
      </w:r>
      <w:r w:rsidR="00151C4C">
        <w:rPr>
          <w:rFonts w:ascii="Segoe UI" w:hAnsi="Segoe UI" w:cs="Segoe UI"/>
          <w:color w:val="000000"/>
        </w:rPr>
        <w:t>this</w:t>
      </w:r>
      <w:r w:rsidRPr="001A0FF1">
        <w:rPr>
          <w:rFonts w:ascii="Segoe UI" w:hAnsi="Segoe UI" w:cs="Segoe UI"/>
          <w:color w:val="000000"/>
        </w:rPr>
        <w:t xml:space="preserve"> may not always be the case in smaller or </w:t>
      </w:r>
      <w:bookmarkStart w:id="4" w:name="OLE_LINK3"/>
      <w:r w:rsidR="00151C4C">
        <w:rPr>
          <w:rFonts w:ascii="Segoe UI" w:hAnsi="Segoe UI" w:cs="Segoe UI"/>
          <w:color w:val="000000"/>
        </w:rPr>
        <w:t xml:space="preserve">limited resource </w:t>
      </w:r>
      <w:r w:rsidRPr="001A0FF1">
        <w:rPr>
          <w:rFonts w:ascii="Segoe UI" w:hAnsi="Segoe UI" w:cs="Segoe UI"/>
          <w:color w:val="000000"/>
        </w:rPr>
        <w:t>practices</w:t>
      </w:r>
      <w:r w:rsidR="00DF6147">
        <w:rPr>
          <w:rFonts w:ascii="Segoe UI" w:hAnsi="Segoe UI" w:cs="Segoe UI"/>
          <w:color w:val="000000"/>
        </w:rPr>
        <w:t xml:space="preserve"> particularly private rather than NHS practices who have constant yearly funding</w:t>
      </w:r>
      <w:r w:rsidRPr="001A0FF1">
        <w:rPr>
          <w:rFonts w:ascii="Segoe UI" w:hAnsi="Segoe UI" w:cs="Segoe UI"/>
          <w:color w:val="000000"/>
        </w:rPr>
        <w:t>.</w:t>
      </w:r>
    </w:p>
    <w:bookmarkEnd w:id="4"/>
    <w:p w14:paraId="1985E3DE" w14:textId="6B488675" w:rsidR="001A0FF1" w:rsidRPr="001A0FF1" w:rsidRDefault="001A0FF1" w:rsidP="001A0FF1">
      <w:pPr>
        <w:pStyle w:val="NormalWeb"/>
        <w:spacing w:line="360" w:lineRule="auto"/>
        <w:rPr>
          <w:rFonts w:ascii="Segoe UI" w:hAnsi="Segoe UI" w:cs="Segoe UI"/>
          <w:color w:val="000000"/>
        </w:rPr>
      </w:pPr>
      <w:r w:rsidRPr="001A0FF1">
        <w:rPr>
          <w:rFonts w:ascii="Segoe UI" w:hAnsi="Segoe UI" w:cs="Segoe UI"/>
          <w:color w:val="000000"/>
        </w:rPr>
        <w:t xml:space="preserve">Harris et al. (2013) describe workforce development as a </w:t>
      </w:r>
      <w:bookmarkStart w:id="5" w:name="OLE_LINK4"/>
      <w:r w:rsidRPr="001A0FF1">
        <w:rPr>
          <w:rFonts w:ascii="Segoe UI" w:hAnsi="Segoe UI" w:cs="Segoe UI"/>
          <w:color w:val="000000"/>
        </w:rPr>
        <w:t>multifaceted</w:t>
      </w:r>
      <w:bookmarkEnd w:id="5"/>
      <w:r w:rsidRPr="001A0FF1">
        <w:rPr>
          <w:rFonts w:ascii="Segoe UI" w:hAnsi="Segoe UI" w:cs="Segoe UI"/>
          <w:color w:val="000000"/>
        </w:rPr>
        <w:t xml:space="preserve"> and evolving concept that extends beyond training, highlighting its importance in achieving organisational sustainability and meeting employer demands. </w:t>
      </w:r>
      <w:r w:rsidR="00DF6147">
        <w:rPr>
          <w:rFonts w:ascii="Segoe UI" w:hAnsi="Segoe UI" w:cs="Segoe UI"/>
          <w:color w:val="000000"/>
        </w:rPr>
        <w:t xml:space="preserve">Although this view </w:t>
      </w:r>
      <w:r w:rsidRPr="001A0FF1">
        <w:rPr>
          <w:rFonts w:ascii="Segoe UI" w:hAnsi="Segoe UI" w:cs="Segoe UI"/>
          <w:color w:val="000000"/>
        </w:rPr>
        <w:t xml:space="preserve">recognises the strategic </w:t>
      </w:r>
      <w:r w:rsidR="00DF6147">
        <w:rPr>
          <w:rFonts w:ascii="Segoe UI" w:hAnsi="Segoe UI" w:cs="Segoe UI"/>
          <w:color w:val="000000"/>
        </w:rPr>
        <w:t>necessity</w:t>
      </w:r>
      <w:r w:rsidRPr="001A0FF1">
        <w:rPr>
          <w:rFonts w:ascii="Segoe UI" w:hAnsi="Segoe UI" w:cs="Segoe UI"/>
          <w:color w:val="000000"/>
        </w:rPr>
        <w:t xml:space="preserve"> of workforce development, it </w:t>
      </w:r>
      <w:r w:rsidR="00DF6147">
        <w:rPr>
          <w:rFonts w:ascii="Segoe UI" w:hAnsi="Segoe UI" w:cs="Segoe UI"/>
          <w:color w:val="000000"/>
        </w:rPr>
        <w:t xml:space="preserve">can be questionable </w:t>
      </w:r>
      <w:r w:rsidRPr="001A0FF1">
        <w:rPr>
          <w:rFonts w:ascii="Segoe UI" w:hAnsi="Segoe UI" w:cs="Segoe UI"/>
          <w:color w:val="000000"/>
        </w:rPr>
        <w:t xml:space="preserve">regarding </w:t>
      </w:r>
      <w:r w:rsidR="00DF6147">
        <w:rPr>
          <w:rFonts w:ascii="Segoe UI" w:hAnsi="Segoe UI" w:cs="Segoe UI"/>
          <w:color w:val="000000"/>
        </w:rPr>
        <w:t xml:space="preserve">the extent to which the </w:t>
      </w:r>
      <w:r w:rsidRPr="001A0FF1">
        <w:rPr>
          <w:rFonts w:ascii="Segoe UI" w:hAnsi="Segoe UI" w:cs="Segoe UI"/>
          <w:color w:val="000000"/>
        </w:rPr>
        <w:t xml:space="preserve">frameworks can be </w:t>
      </w:r>
      <w:r w:rsidR="00DF6147">
        <w:rPr>
          <w:rFonts w:ascii="Segoe UI" w:hAnsi="Segoe UI" w:cs="Segoe UI"/>
          <w:color w:val="000000"/>
        </w:rPr>
        <w:t>practiced</w:t>
      </w:r>
      <w:r w:rsidRPr="001A0FF1">
        <w:rPr>
          <w:rFonts w:ascii="Segoe UI" w:hAnsi="Segoe UI" w:cs="Segoe UI"/>
          <w:color w:val="000000"/>
        </w:rPr>
        <w:t xml:space="preserve"> within the real</w:t>
      </w:r>
      <w:r w:rsidR="00151C4C">
        <w:rPr>
          <w:rFonts w:ascii="Segoe UI" w:hAnsi="Segoe UI" w:cs="Segoe UI"/>
          <w:color w:val="000000"/>
        </w:rPr>
        <w:t xml:space="preserve"> running’s</w:t>
      </w:r>
      <w:r w:rsidRPr="001A0FF1">
        <w:rPr>
          <w:rFonts w:ascii="Segoe UI" w:hAnsi="Segoe UI" w:cs="Segoe UI"/>
          <w:color w:val="000000"/>
        </w:rPr>
        <w:t xml:space="preserve"> of dental practice. This </w:t>
      </w:r>
      <w:r w:rsidR="00DF6147">
        <w:rPr>
          <w:rFonts w:ascii="Segoe UI" w:hAnsi="Segoe UI" w:cs="Segoe UI"/>
          <w:color w:val="000000"/>
        </w:rPr>
        <w:t>applies directly to</w:t>
      </w:r>
      <w:r w:rsidRPr="001A0FF1">
        <w:rPr>
          <w:rFonts w:ascii="Segoe UI" w:hAnsi="Segoe UI" w:cs="Segoe UI"/>
          <w:color w:val="000000"/>
        </w:rPr>
        <w:t xml:space="preserve"> </w:t>
      </w:r>
      <w:r w:rsidR="00DF6147">
        <w:rPr>
          <w:rFonts w:ascii="Segoe UI" w:hAnsi="Segoe UI" w:cs="Segoe UI"/>
          <w:color w:val="000000"/>
        </w:rPr>
        <w:t>the situation of</w:t>
      </w:r>
      <w:r w:rsidRPr="001A0FF1">
        <w:rPr>
          <w:rFonts w:ascii="Segoe UI" w:hAnsi="Segoe UI" w:cs="Segoe UI"/>
          <w:color w:val="000000"/>
        </w:rPr>
        <w:t xml:space="preserve"> healthcare </w:t>
      </w:r>
      <w:r w:rsidR="00DF6147">
        <w:rPr>
          <w:rFonts w:ascii="Segoe UI" w:hAnsi="Segoe UI" w:cs="Segoe UI"/>
          <w:color w:val="000000"/>
        </w:rPr>
        <w:t xml:space="preserve">in today society due to the </w:t>
      </w:r>
      <w:r w:rsidRPr="001A0FF1">
        <w:rPr>
          <w:rFonts w:ascii="Segoe UI" w:hAnsi="Segoe UI" w:cs="Segoe UI"/>
          <w:color w:val="000000"/>
        </w:rPr>
        <w:t>pressures</w:t>
      </w:r>
      <w:r w:rsidR="00DF6147">
        <w:rPr>
          <w:rFonts w:ascii="Segoe UI" w:hAnsi="Segoe UI" w:cs="Segoe UI"/>
          <w:color w:val="000000"/>
        </w:rPr>
        <w:t xml:space="preserve"> of </w:t>
      </w:r>
      <w:r w:rsidRPr="001A0FF1">
        <w:rPr>
          <w:rFonts w:ascii="Segoe UI" w:hAnsi="Segoe UI" w:cs="Segoe UI"/>
          <w:color w:val="000000"/>
        </w:rPr>
        <w:t>staff shortages, increased patient demand, and concerns surrounding workforce wellbeing.</w:t>
      </w:r>
    </w:p>
    <w:p w14:paraId="4083859A" w14:textId="21EF6D23" w:rsidR="001A0FF1" w:rsidRPr="001A0FF1" w:rsidRDefault="00DF6147" w:rsidP="001A0FF1">
      <w:pPr>
        <w:pStyle w:val="NormalWeb"/>
        <w:spacing w:line="360" w:lineRule="auto"/>
        <w:rPr>
          <w:rFonts w:ascii="Segoe UI" w:hAnsi="Segoe UI" w:cs="Segoe UI"/>
          <w:color w:val="000000"/>
        </w:rPr>
      </w:pPr>
      <w:r>
        <w:rPr>
          <w:rFonts w:ascii="Segoe UI" w:hAnsi="Segoe UI" w:cs="Segoe UI"/>
          <w:color w:val="000000"/>
        </w:rPr>
        <w:t xml:space="preserve">As reported by </w:t>
      </w:r>
      <w:r w:rsidR="001A0FF1" w:rsidRPr="001A0FF1">
        <w:rPr>
          <w:rFonts w:ascii="Segoe UI" w:hAnsi="Segoe UI" w:cs="Segoe UI"/>
          <w:color w:val="000000"/>
        </w:rPr>
        <w:t xml:space="preserve">Health Education and Improvement Wales (2025) </w:t>
      </w:r>
      <w:r>
        <w:rPr>
          <w:rFonts w:ascii="Segoe UI" w:hAnsi="Segoe UI" w:cs="Segoe UI"/>
          <w:color w:val="000000"/>
        </w:rPr>
        <w:t xml:space="preserve">there are </w:t>
      </w:r>
      <w:r w:rsidR="001A0FF1" w:rsidRPr="001A0FF1">
        <w:rPr>
          <w:rFonts w:ascii="Segoe UI" w:hAnsi="Segoe UI" w:cs="Segoe UI"/>
          <w:color w:val="000000"/>
        </w:rPr>
        <w:t xml:space="preserve">ongoing </w:t>
      </w:r>
      <w:r>
        <w:rPr>
          <w:rFonts w:ascii="Segoe UI" w:hAnsi="Segoe UI" w:cs="Segoe UI"/>
          <w:color w:val="000000"/>
        </w:rPr>
        <w:t xml:space="preserve">problems </w:t>
      </w:r>
      <w:r w:rsidR="001A0FF1" w:rsidRPr="001A0FF1">
        <w:rPr>
          <w:rFonts w:ascii="Segoe UI" w:hAnsi="Segoe UI" w:cs="Segoe UI"/>
          <w:color w:val="000000"/>
        </w:rPr>
        <w:t xml:space="preserve">within the dental </w:t>
      </w:r>
      <w:r>
        <w:rPr>
          <w:rFonts w:ascii="Segoe UI" w:hAnsi="Segoe UI" w:cs="Segoe UI"/>
          <w:color w:val="000000"/>
        </w:rPr>
        <w:t>profession</w:t>
      </w:r>
      <w:r w:rsidR="001A0FF1" w:rsidRPr="001A0FF1">
        <w:rPr>
          <w:rFonts w:ascii="Segoe UI" w:hAnsi="Segoe UI" w:cs="Segoe UI"/>
          <w:color w:val="000000"/>
        </w:rPr>
        <w:t xml:space="preserve">, </w:t>
      </w:r>
      <w:r w:rsidR="00A14C3F">
        <w:rPr>
          <w:rFonts w:ascii="Segoe UI" w:hAnsi="Segoe UI" w:cs="Segoe UI"/>
          <w:color w:val="000000"/>
        </w:rPr>
        <w:t>due to</w:t>
      </w:r>
      <w:r w:rsidR="001A0FF1" w:rsidRPr="001A0FF1">
        <w:rPr>
          <w:rFonts w:ascii="Segoe UI" w:hAnsi="Segoe UI" w:cs="Segoe UI"/>
          <w:color w:val="000000"/>
        </w:rPr>
        <w:t xml:space="preserve"> </w:t>
      </w:r>
      <w:r>
        <w:rPr>
          <w:rFonts w:ascii="Segoe UI" w:hAnsi="Segoe UI" w:cs="Segoe UI"/>
          <w:color w:val="000000"/>
        </w:rPr>
        <w:t>the constant barriers</w:t>
      </w:r>
      <w:r w:rsidR="001A0FF1" w:rsidRPr="001A0FF1">
        <w:rPr>
          <w:rFonts w:ascii="Segoe UI" w:hAnsi="Segoe UI" w:cs="Segoe UI"/>
          <w:color w:val="000000"/>
        </w:rPr>
        <w:t xml:space="preserve"> on </w:t>
      </w:r>
      <w:r w:rsidR="00151C4C">
        <w:rPr>
          <w:rFonts w:ascii="Segoe UI" w:hAnsi="Segoe UI" w:cs="Segoe UI"/>
          <w:color w:val="000000"/>
        </w:rPr>
        <w:t xml:space="preserve">overseas </w:t>
      </w:r>
      <w:r w:rsidR="001A0FF1" w:rsidRPr="001A0FF1">
        <w:rPr>
          <w:rFonts w:ascii="Segoe UI" w:hAnsi="Segoe UI" w:cs="Segoe UI"/>
          <w:color w:val="000000"/>
        </w:rPr>
        <w:t>recruitment</w:t>
      </w:r>
      <w:r w:rsidR="00A14C3F">
        <w:rPr>
          <w:rFonts w:ascii="Segoe UI" w:hAnsi="Segoe UI" w:cs="Segoe UI"/>
          <w:color w:val="000000"/>
        </w:rPr>
        <w:t xml:space="preserve"> which involves legal process of rules and regulations</w:t>
      </w:r>
      <w:r w:rsidR="001A0FF1" w:rsidRPr="001A0FF1">
        <w:rPr>
          <w:rFonts w:ascii="Segoe UI" w:hAnsi="Segoe UI" w:cs="Segoe UI"/>
          <w:color w:val="000000"/>
        </w:rPr>
        <w:t xml:space="preserve">, staff sickness, and </w:t>
      </w:r>
      <w:r>
        <w:rPr>
          <w:rFonts w:ascii="Segoe UI" w:hAnsi="Segoe UI" w:cs="Segoe UI"/>
          <w:color w:val="000000"/>
        </w:rPr>
        <w:t xml:space="preserve">issues maintaining </w:t>
      </w:r>
      <w:r w:rsidR="001A0FF1" w:rsidRPr="001A0FF1">
        <w:rPr>
          <w:rFonts w:ascii="Segoe UI" w:hAnsi="Segoe UI" w:cs="Segoe UI"/>
          <w:color w:val="000000"/>
        </w:rPr>
        <w:t xml:space="preserve">experienced </w:t>
      </w:r>
      <w:r w:rsidRPr="001A0FF1">
        <w:rPr>
          <w:rFonts w:ascii="Segoe UI" w:hAnsi="Segoe UI" w:cs="Segoe UI"/>
          <w:color w:val="000000"/>
        </w:rPr>
        <w:t>professionals. This</w:t>
      </w:r>
      <w:r w:rsidR="001A0FF1" w:rsidRPr="001A0FF1">
        <w:rPr>
          <w:rFonts w:ascii="Segoe UI" w:hAnsi="Segoe UI" w:cs="Segoe UI"/>
          <w:color w:val="000000"/>
        </w:rPr>
        <w:t xml:space="preserve"> </w:t>
      </w:r>
      <w:r>
        <w:rPr>
          <w:rFonts w:ascii="Segoe UI" w:hAnsi="Segoe UI" w:cs="Segoe UI"/>
          <w:color w:val="000000"/>
        </w:rPr>
        <w:t xml:space="preserve">points out that </w:t>
      </w:r>
      <w:r w:rsidR="001A0FF1" w:rsidRPr="001A0FF1">
        <w:rPr>
          <w:rFonts w:ascii="Segoe UI" w:hAnsi="Segoe UI" w:cs="Segoe UI"/>
          <w:color w:val="000000"/>
        </w:rPr>
        <w:t>the</w:t>
      </w:r>
      <w:r w:rsidR="00A14C3F">
        <w:rPr>
          <w:rFonts w:ascii="Segoe UI" w:hAnsi="Segoe UI" w:cs="Segoe UI"/>
          <w:color w:val="000000"/>
        </w:rPr>
        <w:t>re is a</w:t>
      </w:r>
      <w:r w:rsidR="001A0FF1" w:rsidRPr="001A0FF1">
        <w:rPr>
          <w:rFonts w:ascii="Segoe UI" w:hAnsi="Segoe UI" w:cs="Segoe UI"/>
          <w:color w:val="000000"/>
        </w:rPr>
        <w:t xml:space="preserve"> need for </w:t>
      </w:r>
      <w:r w:rsidR="00A14C3F">
        <w:rPr>
          <w:rFonts w:ascii="Segoe UI" w:hAnsi="Segoe UI" w:cs="Segoe UI"/>
          <w:color w:val="000000"/>
        </w:rPr>
        <w:t xml:space="preserve">detailed </w:t>
      </w:r>
      <w:r w:rsidR="001A0FF1" w:rsidRPr="001A0FF1">
        <w:rPr>
          <w:rFonts w:ascii="Segoe UI" w:hAnsi="Segoe UI" w:cs="Segoe UI"/>
          <w:color w:val="000000"/>
        </w:rPr>
        <w:t>workforce development strategies, it also suggests that workforce issues are com</w:t>
      </w:r>
      <w:r w:rsidR="00C30C22">
        <w:rPr>
          <w:rFonts w:ascii="Segoe UI" w:hAnsi="Segoe UI" w:cs="Segoe UI"/>
          <w:color w:val="000000"/>
        </w:rPr>
        <w:t>plicated</w:t>
      </w:r>
      <w:r w:rsidR="00A14C3F">
        <w:rPr>
          <w:rFonts w:ascii="Segoe UI" w:hAnsi="Segoe UI" w:cs="Segoe UI"/>
          <w:color w:val="000000"/>
        </w:rPr>
        <w:t xml:space="preserve"> due to the barriers that have developed organisational factors (Endalamaw et al.,2024) and individuals that make up the business are unique, different, never the same</w:t>
      </w:r>
      <w:r w:rsidR="001A0FF1" w:rsidRPr="001A0FF1">
        <w:rPr>
          <w:rFonts w:ascii="Segoe UI" w:hAnsi="Segoe UI" w:cs="Segoe UI"/>
          <w:color w:val="000000"/>
        </w:rPr>
        <w:t xml:space="preserve"> </w:t>
      </w:r>
      <w:r w:rsidR="00A14C3F">
        <w:rPr>
          <w:rFonts w:ascii="Segoe UI" w:hAnsi="Segoe UI" w:cs="Segoe UI"/>
          <w:color w:val="000000"/>
        </w:rPr>
        <w:t>therefore</w:t>
      </w:r>
      <w:r w:rsidR="001A0FF1" w:rsidRPr="001A0FF1">
        <w:rPr>
          <w:rFonts w:ascii="Segoe UI" w:hAnsi="Segoe UI" w:cs="Segoe UI"/>
          <w:color w:val="000000"/>
        </w:rPr>
        <w:t xml:space="preserve"> may not be fully resolved through</w:t>
      </w:r>
      <w:r w:rsidR="00A14C3F">
        <w:rPr>
          <w:rFonts w:ascii="Segoe UI" w:hAnsi="Segoe UI" w:cs="Segoe UI"/>
          <w:color w:val="000000"/>
        </w:rPr>
        <w:t xml:space="preserve"> basic </w:t>
      </w:r>
      <w:r w:rsidR="001A0FF1" w:rsidRPr="001A0FF1">
        <w:rPr>
          <w:rFonts w:ascii="Segoe UI" w:hAnsi="Segoe UI" w:cs="Segoe UI"/>
          <w:color w:val="000000"/>
        </w:rPr>
        <w:t xml:space="preserve">development </w:t>
      </w:r>
      <w:r w:rsidR="00A14C3F">
        <w:rPr>
          <w:rFonts w:ascii="Segoe UI" w:hAnsi="Segoe UI" w:cs="Segoe UI"/>
          <w:color w:val="000000"/>
        </w:rPr>
        <w:t>programmes</w:t>
      </w:r>
      <w:r w:rsidR="00A14C3F" w:rsidRPr="001A0FF1">
        <w:rPr>
          <w:rFonts w:ascii="Segoe UI" w:hAnsi="Segoe UI" w:cs="Segoe UI"/>
          <w:color w:val="000000"/>
        </w:rPr>
        <w:t>.</w:t>
      </w:r>
      <w:r w:rsidR="00A14C3F">
        <w:rPr>
          <w:rFonts w:ascii="Segoe UI" w:hAnsi="Segoe UI" w:cs="Segoe UI"/>
          <w:color w:val="000000"/>
        </w:rPr>
        <w:t xml:space="preserve"> Indicating t</w:t>
      </w:r>
      <w:r w:rsidR="001A0FF1" w:rsidRPr="001A0FF1">
        <w:rPr>
          <w:rFonts w:ascii="Segoe UI" w:hAnsi="Segoe UI" w:cs="Segoe UI"/>
          <w:color w:val="000000"/>
        </w:rPr>
        <w:t xml:space="preserve">he importance of considering </w:t>
      </w:r>
      <w:r w:rsidR="00A14C3F">
        <w:rPr>
          <w:rFonts w:ascii="Segoe UI" w:hAnsi="Segoe UI" w:cs="Segoe UI"/>
          <w:color w:val="000000"/>
        </w:rPr>
        <w:t>the use of</w:t>
      </w:r>
      <w:r w:rsidR="001A0FF1" w:rsidRPr="001A0FF1">
        <w:rPr>
          <w:rFonts w:ascii="Segoe UI" w:hAnsi="Segoe UI" w:cs="Segoe UI"/>
          <w:color w:val="000000"/>
        </w:rPr>
        <w:t xml:space="preserve"> organisational and systemic</w:t>
      </w:r>
      <w:r w:rsidR="00A14C3F">
        <w:rPr>
          <w:rFonts w:ascii="Segoe UI" w:hAnsi="Segoe UI" w:cs="Segoe UI"/>
          <w:color w:val="000000"/>
        </w:rPr>
        <w:t xml:space="preserve"> factors</w:t>
      </w:r>
      <w:r w:rsidR="00C30C22">
        <w:rPr>
          <w:rFonts w:ascii="Segoe UI" w:hAnsi="Segoe UI" w:cs="Segoe UI"/>
          <w:color w:val="000000"/>
        </w:rPr>
        <w:t xml:space="preserve"> </w:t>
      </w:r>
      <w:r w:rsidR="00A14C3F">
        <w:rPr>
          <w:rFonts w:ascii="Segoe UI" w:hAnsi="Segoe UI" w:cs="Segoe UI"/>
          <w:color w:val="000000"/>
        </w:rPr>
        <w:t xml:space="preserve">especially when considering workforce responsibilities. </w:t>
      </w:r>
    </w:p>
    <w:p w14:paraId="10A94981" w14:textId="063483E2" w:rsidR="001A0FF1" w:rsidRPr="001A0FF1" w:rsidRDefault="00A14C3F" w:rsidP="001A0FF1">
      <w:pPr>
        <w:pStyle w:val="NormalWeb"/>
        <w:spacing w:line="360" w:lineRule="auto"/>
        <w:rPr>
          <w:rFonts w:ascii="Segoe UI" w:hAnsi="Segoe UI" w:cs="Segoe UI"/>
          <w:color w:val="000000"/>
        </w:rPr>
      </w:pPr>
      <w:r>
        <w:rPr>
          <w:rFonts w:ascii="Segoe UI" w:hAnsi="Segoe UI" w:cs="Segoe UI"/>
          <w:color w:val="000000"/>
        </w:rPr>
        <w:t>In order to provide care that is patient focused w</w:t>
      </w:r>
      <w:r w:rsidR="00DF6147">
        <w:rPr>
          <w:rFonts w:ascii="Segoe UI" w:hAnsi="Segoe UI" w:cs="Segoe UI"/>
          <w:color w:val="000000"/>
        </w:rPr>
        <w:t>orkforce development has integrated nonclinical expertise in combination with</w:t>
      </w:r>
      <w:r w:rsidR="001A0FF1" w:rsidRPr="001A0FF1">
        <w:rPr>
          <w:rFonts w:ascii="Segoe UI" w:hAnsi="Segoe UI" w:cs="Segoe UI"/>
          <w:color w:val="000000"/>
        </w:rPr>
        <w:t xml:space="preserve"> clinical skills,</w:t>
      </w:r>
      <w:r>
        <w:rPr>
          <w:rFonts w:ascii="Segoe UI" w:hAnsi="Segoe UI" w:cs="Segoe UI"/>
          <w:color w:val="000000"/>
        </w:rPr>
        <w:t xml:space="preserve"> </w:t>
      </w:r>
      <w:r w:rsidR="001A0FF1" w:rsidRPr="001A0FF1">
        <w:rPr>
          <w:rFonts w:ascii="Segoe UI" w:hAnsi="Segoe UI" w:cs="Segoe UI"/>
          <w:color w:val="000000"/>
        </w:rPr>
        <w:t>EI, communication skills, and wellbeing support</w:t>
      </w:r>
      <w:r>
        <w:rPr>
          <w:rFonts w:ascii="Segoe UI" w:hAnsi="Segoe UI" w:cs="Segoe UI"/>
          <w:color w:val="000000"/>
        </w:rPr>
        <w:t xml:space="preserve"> (GDC 2025)</w:t>
      </w:r>
      <w:r w:rsidR="00DF6147" w:rsidRPr="001A0FF1">
        <w:rPr>
          <w:rFonts w:ascii="Segoe UI" w:hAnsi="Segoe UI" w:cs="Segoe UI"/>
          <w:color w:val="000000"/>
        </w:rPr>
        <w:t>.</w:t>
      </w:r>
      <w:r w:rsidR="00DF6147">
        <w:rPr>
          <w:rFonts w:ascii="Segoe UI" w:hAnsi="Segoe UI" w:cs="Segoe UI"/>
          <w:color w:val="000000"/>
        </w:rPr>
        <w:t xml:space="preserve"> On the basis of</w:t>
      </w:r>
      <w:r w:rsidR="001A0FF1" w:rsidRPr="001A0FF1">
        <w:rPr>
          <w:rFonts w:ascii="Segoe UI" w:hAnsi="Segoe UI" w:cs="Segoe UI"/>
          <w:color w:val="000000"/>
        </w:rPr>
        <w:t xml:space="preserve"> Powell et al. (2024) indicate</w:t>
      </w:r>
      <w:r w:rsidR="00DF6147">
        <w:rPr>
          <w:rFonts w:ascii="Segoe UI" w:hAnsi="Segoe UI" w:cs="Segoe UI"/>
          <w:color w:val="000000"/>
        </w:rPr>
        <w:t>s</w:t>
      </w:r>
      <w:r w:rsidR="001A0FF1" w:rsidRPr="001A0FF1">
        <w:rPr>
          <w:rFonts w:ascii="Segoe UI" w:hAnsi="Segoe UI" w:cs="Segoe UI"/>
          <w:color w:val="000000"/>
        </w:rPr>
        <w:t xml:space="preserve"> that EI contributes positively to staff wellbeing and team performance; however, its direct </w:t>
      </w:r>
      <w:r w:rsidR="00DF6147">
        <w:rPr>
          <w:rFonts w:ascii="Segoe UI" w:hAnsi="Segoe UI" w:cs="Segoe UI"/>
          <w:color w:val="000000"/>
        </w:rPr>
        <w:t xml:space="preserve">influence </w:t>
      </w:r>
      <w:r w:rsidR="001A0FF1" w:rsidRPr="001A0FF1">
        <w:rPr>
          <w:rFonts w:ascii="Segoe UI" w:hAnsi="Segoe UI" w:cs="Segoe UI"/>
          <w:color w:val="000000"/>
        </w:rPr>
        <w:t xml:space="preserve">on </w:t>
      </w:r>
      <w:r w:rsidR="00DF6147">
        <w:rPr>
          <w:rFonts w:ascii="Segoe UI" w:hAnsi="Segoe UI" w:cs="Segoe UI"/>
          <w:color w:val="000000"/>
        </w:rPr>
        <w:t>performance is yet to be clear</w:t>
      </w:r>
      <w:r w:rsidR="001A0FF1" w:rsidRPr="001A0FF1">
        <w:rPr>
          <w:rFonts w:ascii="Segoe UI" w:hAnsi="Segoe UI" w:cs="Segoe UI"/>
          <w:color w:val="000000"/>
        </w:rPr>
        <w:t>, as performance is also influenced by factors such as</w:t>
      </w:r>
      <w:r>
        <w:rPr>
          <w:rFonts w:ascii="Segoe UI" w:hAnsi="Segoe UI" w:cs="Segoe UI"/>
          <w:color w:val="000000"/>
        </w:rPr>
        <w:t xml:space="preserve"> what type of leaders there are due to the many different styles of leaders (Ronquillo et al,.2023) as well as</w:t>
      </w:r>
      <w:r w:rsidR="001A0FF1" w:rsidRPr="001A0FF1">
        <w:rPr>
          <w:rFonts w:ascii="Segoe UI" w:hAnsi="Segoe UI" w:cs="Segoe UI"/>
          <w:color w:val="000000"/>
        </w:rPr>
        <w:t xml:space="preserve">, organisational culture, and workload pressures. Similarly, </w:t>
      </w:r>
      <w:r w:rsidR="00DF6147">
        <w:rPr>
          <w:rFonts w:ascii="Segoe UI" w:hAnsi="Segoe UI" w:cs="Segoe UI"/>
          <w:color w:val="000000"/>
        </w:rPr>
        <w:t xml:space="preserve">on this </w:t>
      </w:r>
      <w:r w:rsidR="001A0FF1" w:rsidRPr="001A0FF1">
        <w:rPr>
          <w:rFonts w:ascii="Segoe UI" w:hAnsi="Segoe UI" w:cs="Segoe UI"/>
          <w:color w:val="000000"/>
        </w:rPr>
        <w:t xml:space="preserve">professional development </w:t>
      </w:r>
      <w:r w:rsidR="00DF6147">
        <w:rPr>
          <w:rFonts w:ascii="Segoe UI" w:hAnsi="Segoe UI" w:cs="Segoe UI"/>
          <w:color w:val="000000"/>
        </w:rPr>
        <w:t>courses</w:t>
      </w:r>
      <w:r w:rsidR="001A0FF1" w:rsidRPr="001A0FF1">
        <w:rPr>
          <w:rFonts w:ascii="Segoe UI" w:hAnsi="Segoe UI" w:cs="Segoe UI"/>
          <w:color w:val="000000"/>
        </w:rPr>
        <w:t xml:space="preserve"> can </w:t>
      </w:r>
      <w:r w:rsidR="00DF6147">
        <w:rPr>
          <w:rFonts w:ascii="Segoe UI" w:hAnsi="Segoe UI" w:cs="Segoe UI"/>
          <w:color w:val="000000"/>
        </w:rPr>
        <w:t xml:space="preserve">improve </w:t>
      </w:r>
      <w:r w:rsidR="001A0FF1" w:rsidRPr="001A0FF1">
        <w:rPr>
          <w:rFonts w:ascii="Segoe UI" w:hAnsi="Segoe UI" w:cs="Segoe UI"/>
          <w:color w:val="000000"/>
        </w:rPr>
        <w:t>these skills and support lifelong learning (Marino et al., 2026</w:t>
      </w:r>
      <w:r>
        <w:rPr>
          <w:rFonts w:ascii="Segoe UI" w:hAnsi="Segoe UI" w:cs="Segoe UI"/>
          <w:color w:val="000000"/>
        </w:rPr>
        <w:t xml:space="preserve"> despite the fact that</w:t>
      </w:r>
      <w:r w:rsidR="001A0FF1" w:rsidRPr="001A0FF1">
        <w:rPr>
          <w:rFonts w:ascii="Segoe UI" w:hAnsi="Segoe UI" w:cs="Segoe UI"/>
          <w:color w:val="000000"/>
        </w:rPr>
        <w:t xml:space="preserve"> </w:t>
      </w:r>
      <w:r w:rsidRPr="001A0FF1">
        <w:rPr>
          <w:rFonts w:ascii="Segoe UI" w:hAnsi="Segoe UI" w:cs="Segoe UI"/>
          <w:color w:val="000000"/>
        </w:rPr>
        <w:t>access</w:t>
      </w:r>
      <w:r>
        <w:rPr>
          <w:rFonts w:ascii="Segoe UI" w:hAnsi="Segoe UI" w:cs="Segoe UI"/>
          <w:color w:val="000000"/>
        </w:rPr>
        <w:t>ibility</w:t>
      </w:r>
      <w:r w:rsidR="001A0FF1" w:rsidRPr="001A0FF1">
        <w:rPr>
          <w:rFonts w:ascii="Segoe UI" w:hAnsi="Segoe UI" w:cs="Segoe UI"/>
          <w:color w:val="000000"/>
        </w:rPr>
        <w:t xml:space="preserve"> to </w:t>
      </w:r>
      <w:r>
        <w:rPr>
          <w:rFonts w:ascii="Segoe UI" w:hAnsi="Segoe UI" w:cs="Segoe UI"/>
          <w:color w:val="000000"/>
        </w:rPr>
        <w:t xml:space="preserve">variety of courses </w:t>
      </w:r>
      <w:r w:rsidR="00DF6147" w:rsidRPr="001A0FF1">
        <w:rPr>
          <w:rFonts w:ascii="Segoe UI" w:hAnsi="Segoe UI" w:cs="Segoe UI"/>
          <w:color w:val="000000"/>
        </w:rPr>
        <w:t xml:space="preserve">may </w:t>
      </w:r>
      <w:r w:rsidR="00DF6147">
        <w:rPr>
          <w:rFonts w:ascii="Segoe UI" w:hAnsi="Segoe UI" w:cs="Segoe UI"/>
          <w:color w:val="000000"/>
        </w:rPr>
        <w:t xml:space="preserve">be different </w:t>
      </w:r>
      <w:r w:rsidR="001A0FF1" w:rsidRPr="001A0FF1">
        <w:rPr>
          <w:rFonts w:ascii="Segoe UI" w:hAnsi="Segoe UI" w:cs="Segoe UI"/>
          <w:color w:val="000000"/>
        </w:rPr>
        <w:t>between dental practices.</w:t>
      </w:r>
    </w:p>
    <w:p w14:paraId="49758433" w14:textId="39F643A4" w:rsidR="001A0FF1" w:rsidRDefault="00DF6147" w:rsidP="001A0FF1">
      <w:pPr>
        <w:pStyle w:val="NormalWeb"/>
        <w:spacing w:line="360" w:lineRule="auto"/>
        <w:rPr>
          <w:rFonts w:ascii="Segoe UI" w:hAnsi="Segoe UI" w:cs="Segoe UI"/>
          <w:color w:val="000000"/>
          <w:sz w:val="21"/>
          <w:szCs w:val="21"/>
        </w:rPr>
      </w:pPr>
      <w:r>
        <w:rPr>
          <w:rFonts w:ascii="Segoe UI" w:hAnsi="Segoe UI" w:cs="Segoe UI"/>
          <w:color w:val="000000"/>
        </w:rPr>
        <w:t>Regardless of</w:t>
      </w:r>
      <w:r w:rsidR="001A0FF1" w:rsidRPr="001A0FF1">
        <w:rPr>
          <w:rFonts w:ascii="Segoe UI" w:hAnsi="Segoe UI" w:cs="Segoe UI"/>
          <w:color w:val="000000"/>
        </w:rPr>
        <w:t xml:space="preserve"> its </w:t>
      </w:r>
      <w:r>
        <w:rPr>
          <w:rFonts w:ascii="Segoe UI" w:hAnsi="Segoe UI" w:cs="Segoe UI"/>
          <w:color w:val="000000"/>
        </w:rPr>
        <w:t>known</w:t>
      </w:r>
      <w:r w:rsidR="001A0FF1" w:rsidRPr="001A0FF1">
        <w:rPr>
          <w:rFonts w:ascii="Segoe UI" w:hAnsi="Segoe UI" w:cs="Segoe UI"/>
          <w:color w:val="000000"/>
        </w:rPr>
        <w:t xml:space="preserve"> importance, workforce development presents </w:t>
      </w:r>
      <w:r>
        <w:rPr>
          <w:rFonts w:ascii="Segoe UI" w:hAnsi="Segoe UI" w:cs="Segoe UI"/>
          <w:color w:val="000000"/>
        </w:rPr>
        <w:t xml:space="preserve">high rate of </w:t>
      </w:r>
      <w:r w:rsidR="001A0FF1" w:rsidRPr="001A0FF1">
        <w:rPr>
          <w:rFonts w:ascii="Segoe UI" w:hAnsi="Segoe UI" w:cs="Segoe UI"/>
          <w:color w:val="000000"/>
        </w:rPr>
        <w:t xml:space="preserve">challenges, </w:t>
      </w:r>
      <w:r>
        <w:rPr>
          <w:rFonts w:ascii="Segoe UI" w:hAnsi="Segoe UI" w:cs="Segoe UI"/>
          <w:color w:val="000000"/>
        </w:rPr>
        <w:t>specifically within</w:t>
      </w:r>
      <w:r w:rsidR="001A0FF1" w:rsidRPr="001A0FF1">
        <w:rPr>
          <w:rFonts w:ascii="Segoe UI" w:hAnsi="Segoe UI" w:cs="Segoe UI"/>
          <w:color w:val="000000"/>
        </w:rPr>
        <w:t xml:space="preserve"> smaller practices</w:t>
      </w:r>
      <w:r>
        <w:rPr>
          <w:rFonts w:ascii="Segoe UI" w:hAnsi="Segoe UI" w:cs="Segoe UI"/>
          <w:color w:val="000000"/>
        </w:rPr>
        <w:t>,</w:t>
      </w:r>
      <w:r w:rsidR="001A0FF1" w:rsidRPr="001A0FF1">
        <w:rPr>
          <w:rFonts w:ascii="Segoe UI" w:hAnsi="Segoe UI" w:cs="Segoe UI"/>
          <w:color w:val="000000"/>
        </w:rPr>
        <w:t xml:space="preserve"> </w:t>
      </w:r>
      <w:r>
        <w:rPr>
          <w:rFonts w:ascii="Segoe UI" w:hAnsi="Segoe UI" w:cs="Segoe UI"/>
          <w:color w:val="000000"/>
        </w:rPr>
        <w:t>l</w:t>
      </w:r>
      <w:r w:rsidR="001A0FF1" w:rsidRPr="001A0FF1">
        <w:rPr>
          <w:rFonts w:ascii="Segoe UI" w:hAnsi="Segoe UI" w:cs="Segoe UI"/>
          <w:color w:val="000000"/>
        </w:rPr>
        <w:t xml:space="preserve">imited NHS funding, time </w:t>
      </w:r>
      <w:r>
        <w:rPr>
          <w:rFonts w:ascii="Segoe UI" w:hAnsi="Segoe UI" w:cs="Segoe UI"/>
          <w:color w:val="000000"/>
        </w:rPr>
        <w:t>pressures,</w:t>
      </w:r>
      <w:r w:rsidR="001A0FF1" w:rsidRPr="001A0FF1">
        <w:rPr>
          <w:rFonts w:ascii="Segoe UI" w:hAnsi="Segoe UI" w:cs="Segoe UI"/>
          <w:color w:val="000000"/>
        </w:rPr>
        <w:t xml:space="preserve"> and competing clinical demands can restrict the implementation of development programmes. This highlights a key </w:t>
      </w:r>
      <w:r>
        <w:rPr>
          <w:rFonts w:ascii="Segoe UI" w:hAnsi="Segoe UI" w:cs="Segoe UI"/>
          <w:color w:val="000000"/>
        </w:rPr>
        <w:t>barrier</w:t>
      </w:r>
      <w:r w:rsidR="001A0FF1" w:rsidRPr="001A0FF1">
        <w:rPr>
          <w:rFonts w:ascii="Segoe UI" w:hAnsi="Segoe UI" w:cs="Segoe UI"/>
          <w:color w:val="000000"/>
        </w:rPr>
        <w:t xml:space="preserve"> of workforce development frameworks, which often assume </w:t>
      </w:r>
      <w:r>
        <w:rPr>
          <w:rFonts w:ascii="Segoe UI" w:hAnsi="Segoe UI" w:cs="Segoe UI"/>
          <w:color w:val="000000"/>
        </w:rPr>
        <w:t xml:space="preserve">perfect working </w:t>
      </w:r>
      <w:r w:rsidR="001A0FF1" w:rsidRPr="001A0FF1">
        <w:rPr>
          <w:rFonts w:ascii="Segoe UI" w:hAnsi="Segoe UI" w:cs="Segoe UI"/>
          <w:color w:val="000000"/>
        </w:rPr>
        <w:t>conditions that may not</w:t>
      </w:r>
      <w:r>
        <w:rPr>
          <w:rFonts w:ascii="Segoe UI" w:hAnsi="Segoe UI" w:cs="Segoe UI"/>
          <w:color w:val="000000"/>
        </w:rPr>
        <w:t xml:space="preserve"> actually</w:t>
      </w:r>
      <w:r w:rsidR="001A0FF1" w:rsidRPr="001A0FF1">
        <w:rPr>
          <w:rFonts w:ascii="Segoe UI" w:hAnsi="Segoe UI" w:cs="Segoe UI"/>
          <w:color w:val="000000"/>
        </w:rPr>
        <w:t xml:space="preserve"> reflect the real</w:t>
      </w:r>
      <w:r>
        <w:rPr>
          <w:rFonts w:ascii="Segoe UI" w:hAnsi="Segoe UI" w:cs="Segoe UI"/>
          <w:color w:val="000000"/>
        </w:rPr>
        <w:t xml:space="preserve"> facts</w:t>
      </w:r>
      <w:r w:rsidR="001A0FF1" w:rsidRPr="001A0FF1">
        <w:rPr>
          <w:rFonts w:ascii="Segoe UI" w:hAnsi="Segoe UI" w:cs="Segoe UI"/>
          <w:color w:val="000000"/>
        </w:rPr>
        <w:t xml:space="preserve"> of practice. Therefore, while integrating EI into workforce development provides a practical approach to improving individual capability and team effectiveness, its success is dependent on sustained organisational support and realistic implementation.</w:t>
      </w:r>
      <w:r>
        <w:rPr>
          <w:rFonts w:ascii="Segoe UI" w:hAnsi="Segoe UI" w:cs="Segoe UI"/>
          <w:color w:val="000000"/>
        </w:rPr>
        <w:t xml:space="preserve"> What’s more to consider with workforce development is generational differences within the dental practice, as differing levels of experience, communication styles and standards between the Gen Z generation and the more experienced dental professionals the baby boomers can create challenges within the team alongside learning approaches (GDC 2020) underlining the need for critical training programmes to carter to this need.</w:t>
      </w:r>
    </w:p>
    <w:p w14:paraId="7E60C515" w14:textId="772C21F6" w:rsidR="00FC3C05" w:rsidRPr="00FC3C05" w:rsidRDefault="00FC3C05" w:rsidP="00FC3C05">
      <w:pPr>
        <w:spacing w:line="360" w:lineRule="auto"/>
      </w:pPr>
    </w:p>
    <w:p w14:paraId="1E2956CD" w14:textId="3B361C61" w:rsidR="00381674" w:rsidRDefault="00381674" w:rsidP="00381674">
      <w:pPr>
        <w:pStyle w:val="Heading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229830414"/>
      <w:r w:rsidRPr="0038167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2.2 </w:t>
      </w:r>
      <w:r w:rsidR="0081494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Definition of emotional intelligence</w:t>
      </w:r>
      <w:bookmarkEnd w:id="6"/>
      <w:r w:rsidR="0081494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51F8720" w14:textId="39776A1B" w:rsidR="00EB537F" w:rsidRDefault="00F765FC" w:rsidP="00F765FC">
      <w:pPr>
        <w:spacing w:line="360" w:lineRule="auto"/>
        <w:rPr>
          <w:rFonts w:ascii="Segoe UI" w:hAnsi="Segoe UI" w:cs="Segoe UI"/>
          <w:color w:val="000000"/>
        </w:rPr>
      </w:pPr>
      <w:r w:rsidRPr="00F765FC">
        <w:rPr>
          <w:rFonts w:ascii="Segoe UI" w:hAnsi="Segoe UI" w:cs="Segoe UI"/>
        </w:rPr>
        <w:t xml:space="preserve"> </w:t>
      </w:r>
      <w:r>
        <w:rPr>
          <w:rFonts w:ascii="Segoe UI" w:hAnsi="Segoe UI" w:cs="Segoe UI"/>
        </w:rPr>
        <w:t>EI</w:t>
      </w:r>
      <w:r w:rsidR="003E3FF3">
        <w:rPr>
          <w:rFonts w:ascii="Segoe UI" w:hAnsi="Segoe UI" w:cs="Segoe UI"/>
        </w:rPr>
        <w:t xml:space="preserve"> </w:t>
      </w:r>
      <w:r w:rsidR="00CE7C2A">
        <w:rPr>
          <w:rFonts w:ascii="Segoe UI" w:hAnsi="Segoe UI" w:cs="Segoe UI"/>
        </w:rPr>
        <w:t xml:space="preserve">is the ability to recognise, understand, and manage </w:t>
      </w:r>
      <w:r w:rsidR="0070039A">
        <w:rPr>
          <w:rFonts w:ascii="Segoe UI" w:hAnsi="Segoe UI" w:cs="Segoe UI"/>
        </w:rPr>
        <w:t>one’s</w:t>
      </w:r>
      <w:r w:rsidR="00CE7C2A">
        <w:rPr>
          <w:rFonts w:ascii="Segoe UI" w:hAnsi="Segoe UI" w:cs="Segoe UI"/>
        </w:rPr>
        <w:t xml:space="preserve"> own </w:t>
      </w:r>
      <w:r w:rsidR="00426AE8">
        <w:rPr>
          <w:rFonts w:ascii="Segoe UI" w:hAnsi="Segoe UI" w:cs="Segoe UI"/>
        </w:rPr>
        <w:t>emotion</w:t>
      </w:r>
      <w:r w:rsidR="00CE7C2A">
        <w:rPr>
          <w:rFonts w:ascii="Segoe UI" w:hAnsi="Segoe UI" w:cs="Segoe UI"/>
        </w:rPr>
        <w:t xml:space="preserve"> as well as recognise and respond to othe</w:t>
      </w:r>
      <w:r w:rsidR="0070039A">
        <w:rPr>
          <w:rFonts w:ascii="Segoe UI" w:hAnsi="Segoe UI" w:cs="Segoe UI"/>
        </w:rPr>
        <w:t>r</w:t>
      </w:r>
      <w:r w:rsidR="00CE7C2A">
        <w:rPr>
          <w:rFonts w:ascii="Segoe UI" w:hAnsi="Segoe UI" w:cs="Segoe UI"/>
        </w:rPr>
        <w:t>s</w:t>
      </w:r>
      <w:r w:rsidR="0070039A">
        <w:rPr>
          <w:rFonts w:ascii="Segoe UI" w:hAnsi="Segoe UI" w:cs="Segoe UI"/>
        </w:rPr>
        <w:t xml:space="preserve">’ </w:t>
      </w:r>
      <w:r w:rsidR="00CE7C2A">
        <w:rPr>
          <w:rFonts w:ascii="Segoe UI" w:hAnsi="Segoe UI" w:cs="Segoe UI"/>
        </w:rPr>
        <w:t xml:space="preserve">emotion. </w:t>
      </w:r>
      <w:r w:rsidR="00426AE8">
        <w:rPr>
          <w:rFonts w:ascii="Segoe UI" w:hAnsi="Segoe UI" w:cs="Segoe UI"/>
        </w:rPr>
        <w:t>In healthcare context EI is associated with a range of different leadership styles and interpersonal competencies. Research</w:t>
      </w:r>
      <w:r w:rsidR="00C22FB8">
        <w:rPr>
          <w:rFonts w:ascii="Segoe UI" w:hAnsi="Segoe UI" w:cs="Segoe UI"/>
        </w:rPr>
        <w:t xml:space="preserve"> conducted</w:t>
      </w:r>
      <w:r w:rsidR="00426AE8">
        <w:rPr>
          <w:rFonts w:ascii="Segoe UI" w:hAnsi="Segoe UI" w:cs="Segoe UI"/>
        </w:rPr>
        <w:t xml:space="preserve"> by Heikkinen et al (2025) </w:t>
      </w:r>
      <w:r w:rsidR="00426AE8" w:rsidRPr="00426AE8">
        <w:rPr>
          <w:rFonts w:ascii="Segoe UI" w:hAnsi="Segoe UI" w:cs="Segoe UI"/>
          <w:color w:val="000000"/>
        </w:rPr>
        <w:t>identifies emotional intelligence as e</w:t>
      </w:r>
      <w:r w:rsidR="00C22FB8">
        <w:rPr>
          <w:rFonts w:ascii="Segoe UI" w:hAnsi="Segoe UI" w:cs="Segoe UI"/>
          <w:color w:val="000000"/>
        </w:rPr>
        <w:t>mbracing</w:t>
      </w:r>
      <w:r w:rsidR="00426AE8" w:rsidRPr="00426AE8">
        <w:rPr>
          <w:rFonts w:ascii="Segoe UI" w:hAnsi="Segoe UI" w:cs="Segoe UI"/>
          <w:color w:val="000000"/>
        </w:rPr>
        <w:t xml:space="preserve"> leadership qualities, management skills, and supportive behavioural styles that contribute to improved staff wellbeing, organisational performance, and patient care outcomes. This </w:t>
      </w:r>
      <w:r w:rsidR="00C22FB8">
        <w:rPr>
          <w:rFonts w:ascii="Segoe UI" w:hAnsi="Segoe UI" w:cs="Segoe UI"/>
          <w:color w:val="000000"/>
        </w:rPr>
        <w:t>mean</w:t>
      </w:r>
      <w:r w:rsidR="00426AE8" w:rsidRPr="00426AE8">
        <w:rPr>
          <w:rFonts w:ascii="Segoe UI" w:hAnsi="Segoe UI" w:cs="Segoe UI"/>
          <w:color w:val="000000"/>
        </w:rPr>
        <w:t xml:space="preserve">s that </w:t>
      </w:r>
      <w:r w:rsidR="00C22FB8">
        <w:rPr>
          <w:rFonts w:ascii="Segoe UI" w:hAnsi="Segoe UI" w:cs="Segoe UI"/>
          <w:color w:val="000000"/>
        </w:rPr>
        <w:t xml:space="preserve">EI is not restricted to an </w:t>
      </w:r>
      <w:r w:rsidR="00C22FB8" w:rsidRPr="00426AE8">
        <w:rPr>
          <w:rFonts w:ascii="Segoe UI" w:hAnsi="Segoe UI" w:cs="Segoe UI"/>
          <w:color w:val="000000"/>
        </w:rPr>
        <w:t>individual abilit</w:t>
      </w:r>
      <w:r w:rsidR="00C22FB8">
        <w:rPr>
          <w:rFonts w:ascii="Segoe UI" w:hAnsi="Segoe UI" w:cs="Segoe UI"/>
          <w:color w:val="000000"/>
        </w:rPr>
        <w:t>y</w:t>
      </w:r>
      <w:r w:rsidR="00426AE8" w:rsidRPr="00426AE8">
        <w:rPr>
          <w:rFonts w:ascii="Segoe UI" w:hAnsi="Segoe UI" w:cs="Segoe UI"/>
          <w:color w:val="000000"/>
        </w:rPr>
        <w:t xml:space="preserve"> </w:t>
      </w:r>
      <w:r w:rsidR="00C22FB8">
        <w:rPr>
          <w:rFonts w:ascii="Segoe UI" w:hAnsi="Segoe UI" w:cs="Segoe UI"/>
          <w:color w:val="000000"/>
        </w:rPr>
        <w:t xml:space="preserve">in fact </w:t>
      </w:r>
      <w:r w:rsidR="00426AE8" w:rsidRPr="00426AE8">
        <w:rPr>
          <w:rFonts w:ascii="Segoe UI" w:hAnsi="Segoe UI" w:cs="Segoe UI"/>
          <w:color w:val="000000"/>
        </w:rPr>
        <w:t>its application</w:t>
      </w:r>
      <w:r w:rsidR="00C22FB8">
        <w:rPr>
          <w:rFonts w:ascii="Segoe UI" w:hAnsi="Segoe UI" w:cs="Segoe UI"/>
          <w:color w:val="000000"/>
        </w:rPr>
        <w:t xml:space="preserve"> is useful</w:t>
      </w:r>
      <w:r w:rsidR="00426AE8" w:rsidRPr="00426AE8">
        <w:rPr>
          <w:rFonts w:ascii="Segoe UI" w:hAnsi="Segoe UI" w:cs="Segoe UI"/>
          <w:color w:val="000000"/>
        </w:rPr>
        <w:t xml:space="preserve"> within professional and organisational settings, making it highly relevant to workforce development in dental practice</w:t>
      </w:r>
      <w:r w:rsidR="00AC7A97">
        <w:rPr>
          <w:rFonts w:ascii="Segoe UI" w:hAnsi="Segoe UI" w:cs="Segoe UI"/>
          <w:color w:val="000000"/>
        </w:rPr>
        <w:t xml:space="preserve">. </w:t>
      </w:r>
      <w:r w:rsidR="00121522">
        <w:rPr>
          <w:rFonts w:ascii="Segoe UI" w:hAnsi="Segoe UI" w:cs="Segoe UI"/>
          <w:color w:val="000000"/>
        </w:rPr>
        <w:t>However,</w:t>
      </w:r>
      <w:r w:rsidR="00AC7A97">
        <w:rPr>
          <w:rFonts w:ascii="Segoe UI" w:hAnsi="Segoe UI" w:cs="Segoe UI"/>
          <w:color w:val="000000"/>
        </w:rPr>
        <w:t xml:space="preserve"> a critical issue arises as studies often report associations rather than proving direct causation.</w:t>
      </w:r>
      <w:r w:rsidR="00121522">
        <w:rPr>
          <w:rFonts w:ascii="Segoe UI" w:hAnsi="Segoe UI" w:cs="Segoe UI"/>
          <w:color w:val="000000"/>
        </w:rPr>
        <w:t xml:space="preserve"> This is very important in dentistry, as improvements in outcomes may also reflect leadership structures, staffing levels and workload pressure rather than EI solely. </w:t>
      </w:r>
    </w:p>
    <w:p w14:paraId="2AF2AF80" w14:textId="2F8CD0E6" w:rsidR="003E3FF3" w:rsidRPr="003E3FF3" w:rsidRDefault="00EB537F" w:rsidP="00F765FC">
      <w:pPr>
        <w:spacing w:line="360" w:lineRule="auto"/>
        <w:rPr>
          <w:rFonts w:ascii="Segoe UI" w:hAnsi="Segoe UI" w:cs="Segoe UI"/>
          <w:color w:val="000000"/>
        </w:rPr>
      </w:pPr>
      <w:r>
        <w:rPr>
          <w:rFonts w:ascii="Segoe UI" w:hAnsi="Segoe UI" w:cs="Segoe UI"/>
          <w:color w:val="000000"/>
        </w:rPr>
        <w:t xml:space="preserve">Although from a </w:t>
      </w:r>
      <w:r w:rsidR="005F50F2">
        <w:rPr>
          <w:rFonts w:ascii="Segoe UI" w:hAnsi="Segoe UI" w:cs="Segoe UI"/>
          <w:color w:val="000000"/>
        </w:rPr>
        <w:t>psychological</w:t>
      </w:r>
      <w:r>
        <w:rPr>
          <w:rFonts w:ascii="Segoe UI" w:hAnsi="Segoe UI" w:cs="Segoe UI"/>
          <w:color w:val="000000"/>
        </w:rPr>
        <w:t xml:space="preserve"> view EI </w:t>
      </w:r>
      <w:r w:rsidR="00155623">
        <w:rPr>
          <w:rFonts w:ascii="Segoe UI" w:hAnsi="Segoe UI" w:cs="Segoe UI"/>
          <w:color w:val="000000"/>
        </w:rPr>
        <w:t xml:space="preserve">has many frameworks that </w:t>
      </w:r>
      <w:r w:rsidR="00AC7A97">
        <w:rPr>
          <w:rFonts w:ascii="Segoe UI" w:hAnsi="Segoe UI" w:cs="Segoe UI"/>
          <w:color w:val="000000"/>
        </w:rPr>
        <w:t>emphasises</w:t>
      </w:r>
      <w:r w:rsidR="00155623">
        <w:rPr>
          <w:rFonts w:ascii="Segoe UI" w:hAnsi="Segoe UI" w:cs="Segoe UI"/>
          <w:color w:val="000000"/>
        </w:rPr>
        <w:t xml:space="preserve"> the mental processes involved in managing behaviour</w:t>
      </w:r>
      <w:r w:rsidR="005F50F2">
        <w:rPr>
          <w:rFonts w:ascii="Segoe UI" w:hAnsi="Segoe UI" w:cs="Segoe UI"/>
          <w:color w:val="000000"/>
        </w:rPr>
        <w:t>.</w:t>
      </w:r>
      <w:r w:rsidR="00155623">
        <w:rPr>
          <w:rFonts w:ascii="Segoe UI" w:hAnsi="Segoe UI" w:cs="Segoe UI"/>
          <w:color w:val="000000"/>
        </w:rPr>
        <w:t xml:space="preserve">, </w:t>
      </w:r>
      <w:r w:rsidR="005F50F2">
        <w:rPr>
          <w:rFonts w:ascii="Segoe UI" w:hAnsi="Segoe UI" w:cs="Segoe UI"/>
          <w:color w:val="000000"/>
        </w:rPr>
        <w:t>A</w:t>
      </w:r>
      <w:r w:rsidR="00155623">
        <w:rPr>
          <w:rFonts w:ascii="Segoe UI" w:hAnsi="Segoe UI" w:cs="Segoe UI"/>
          <w:color w:val="000000"/>
        </w:rPr>
        <w:t>pplying this to dental practice can be difficult due to each individual differences and emotional awareness</w:t>
      </w:r>
      <w:r w:rsidR="005F50F2">
        <w:rPr>
          <w:rFonts w:ascii="Segoe UI" w:hAnsi="Segoe UI" w:cs="Segoe UI"/>
          <w:color w:val="000000"/>
        </w:rPr>
        <w:t xml:space="preserve">. However, a study presented by Deepasakthi et al. (2025) </w:t>
      </w:r>
      <w:r w:rsidR="00C30C22">
        <w:rPr>
          <w:rFonts w:ascii="Segoe UI" w:hAnsi="Segoe UI" w:cs="Segoe UI"/>
          <w:color w:val="000000"/>
        </w:rPr>
        <w:t>revealed that</w:t>
      </w:r>
      <w:r w:rsidR="005F50F2">
        <w:rPr>
          <w:rFonts w:ascii="Segoe UI" w:hAnsi="Segoe UI" w:cs="Segoe UI"/>
          <w:color w:val="000000"/>
        </w:rPr>
        <w:t xml:space="preserve"> 40% of dentis</w:t>
      </w:r>
      <w:r w:rsidR="0070039A">
        <w:rPr>
          <w:rFonts w:ascii="Segoe UI" w:hAnsi="Segoe UI" w:cs="Segoe UI"/>
          <w:color w:val="000000"/>
        </w:rPr>
        <w:t xml:space="preserve">ts </w:t>
      </w:r>
      <w:r w:rsidR="00C30C22">
        <w:rPr>
          <w:rFonts w:ascii="Segoe UI" w:hAnsi="Segoe UI" w:cs="Segoe UI"/>
          <w:color w:val="000000"/>
        </w:rPr>
        <w:t>agree that</w:t>
      </w:r>
      <w:r w:rsidR="005F50F2">
        <w:rPr>
          <w:rFonts w:ascii="Segoe UI" w:hAnsi="Segoe UI" w:cs="Segoe UI"/>
          <w:color w:val="000000"/>
        </w:rPr>
        <w:t xml:space="preserve"> EI</w:t>
      </w:r>
      <w:r w:rsidR="00E567D3">
        <w:rPr>
          <w:rFonts w:ascii="Segoe UI" w:hAnsi="Segoe UI" w:cs="Segoe UI"/>
          <w:color w:val="000000"/>
        </w:rPr>
        <w:t xml:space="preserve"> </w:t>
      </w:r>
      <w:r w:rsidR="00C30C22">
        <w:rPr>
          <w:rFonts w:ascii="Segoe UI" w:hAnsi="Segoe UI" w:cs="Segoe UI"/>
          <w:color w:val="000000"/>
        </w:rPr>
        <w:t>can aid</w:t>
      </w:r>
      <w:r w:rsidR="00DF6147">
        <w:rPr>
          <w:rFonts w:ascii="Segoe UI" w:hAnsi="Segoe UI" w:cs="Segoe UI"/>
          <w:color w:val="000000"/>
        </w:rPr>
        <w:t xml:space="preserve"> good choices regarding</w:t>
      </w:r>
      <w:r w:rsidR="00C30C22">
        <w:rPr>
          <w:rFonts w:ascii="Segoe UI" w:hAnsi="Segoe UI" w:cs="Segoe UI"/>
          <w:color w:val="000000"/>
        </w:rPr>
        <w:t xml:space="preserve"> </w:t>
      </w:r>
      <w:r w:rsidR="005F50F2">
        <w:rPr>
          <w:rFonts w:ascii="Segoe UI" w:hAnsi="Segoe UI" w:cs="Segoe UI"/>
          <w:color w:val="000000"/>
        </w:rPr>
        <w:t>ethical de</w:t>
      </w:r>
      <w:r w:rsidR="00E567D3">
        <w:rPr>
          <w:rFonts w:ascii="Segoe UI" w:hAnsi="Segoe UI" w:cs="Segoe UI"/>
          <w:color w:val="000000"/>
        </w:rPr>
        <w:t>cision</w:t>
      </w:r>
      <w:r w:rsidR="005F50F2">
        <w:rPr>
          <w:rFonts w:ascii="Segoe UI" w:hAnsi="Segoe UI" w:cs="Segoe UI"/>
          <w:color w:val="000000"/>
        </w:rPr>
        <w:t xml:space="preserve"> making</w:t>
      </w:r>
      <w:r w:rsidR="00DF6147">
        <w:rPr>
          <w:rFonts w:ascii="Segoe UI" w:hAnsi="Segoe UI" w:cs="Segoe UI"/>
          <w:color w:val="000000"/>
        </w:rPr>
        <w:t xml:space="preserve"> by including psychological</w:t>
      </w:r>
      <w:r w:rsidR="00E567D3">
        <w:rPr>
          <w:rFonts w:ascii="Segoe UI" w:hAnsi="Segoe UI" w:cs="Segoe UI"/>
          <w:color w:val="000000"/>
        </w:rPr>
        <w:t xml:space="preserve"> </w:t>
      </w:r>
      <w:r w:rsidR="00DF6147">
        <w:rPr>
          <w:rFonts w:ascii="Segoe UI" w:hAnsi="Segoe UI" w:cs="Segoe UI"/>
          <w:color w:val="000000"/>
        </w:rPr>
        <w:t>elements</w:t>
      </w:r>
      <w:r w:rsidR="00E567D3">
        <w:rPr>
          <w:rFonts w:ascii="Segoe UI" w:hAnsi="Segoe UI" w:cs="Segoe UI"/>
          <w:color w:val="000000"/>
        </w:rPr>
        <w:t xml:space="preserve"> in the</w:t>
      </w:r>
      <w:r w:rsidR="00DF6147">
        <w:rPr>
          <w:rFonts w:ascii="Segoe UI" w:hAnsi="Segoe UI" w:cs="Segoe UI"/>
          <w:color w:val="000000"/>
        </w:rPr>
        <w:t xml:space="preserve"> choices</w:t>
      </w:r>
      <w:r w:rsidR="00E567D3">
        <w:rPr>
          <w:rFonts w:ascii="Segoe UI" w:hAnsi="Segoe UI" w:cs="Segoe UI"/>
          <w:color w:val="000000"/>
        </w:rPr>
        <w:t xml:space="preserve"> such as empathy, trust, communication skills, trust building</w:t>
      </w:r>
      <w:r w:rsidR="00A14C3F">
        <w:rPr>
          <w:rFonts w:ascii="Segoe UI" w:hAnsi="Segoe UI" w:cs="Segoe UI"/>
          <w:color w:val="000000"/>
        </w:rPr>
        <w:t xml:space="preserve"> </w:t>
      </w:r>
      <w:r w:rsidR="00E567D3" w:rsidRPr="003E3FF3">
        <w:rPr>
          <w:rFonts w:ascii="Segoe UI" w:hAnsi="Segoe UI" w:cs="Segoe UI"/>
          <w:color w:val="000000"/>
        </w:rPr>
        <w:t>.</w:t>
      </w:r>
      <w:r w:rsidR="00A14C3F">
        <w:rPr>
          <w:rFonts w:ascii="Segoe UI" w:hAnsi="Segoe UI" w:cs="Segoe UI"/>
          <w:color w:val="000000"/>
        </w:rPr>
        <w:t>Adhering to this view is</w:t>
      </w:r>
      <w:r w:rsidR="00E567D3" w:rsidRPr="003E3FF3">
        <w:rPr>
          <w:rFonts w:ascii="Segoe UI" w:hAnsi="Segoe UI" w:cs="Segoe UI"/>
          <w:color w:val="000000"/>
        </w:rPr>
        <w:t xml:space="preserve"> </w:t>
      </w:r>
      <w:r w:rsidR="00A14C3F">
        <w:rPr>
          <w:rFonts w:ascii="Segoe UI" w:hAnsi="Segoe UI" w:cs="Segoe UI"/>
          <w:color w:val="000000"/>
        </w:rPr>
        <w:t xml:space="preserve"> a study </w:t>
      </w:r>
      <w:r w:rsidR="003E3FF3" w:rsidRPr="003E3FF3">
        <w:rPr>
          <w:rFonts w:ascii="Segoe UI" w:hAnsi="Segoe UI" w:cs="Segoe UI"/>
          <w:color w:val="000000"/>
        </w:rPr>
        <w:t xml:space="preserve">by Jahan et al. (2022) </w:t>
      </w:r>
      <w:r w:rsidR="00A14C3F">
        <w:rPr>
          <w:rFonts w:ascii="Segoe UI" w:hAnsi="Segoe UI" w:cs="Segoe UI"/>
          <w:color w:val="000000"/>
        </w:rPr>
        <w:t xml:space="preserve">containing </w:t>
      </w:r>
      <w:r w:rsidR="003E3FF3" w:rsidRPr="003E3FF3">
        <w:rPr>
          <w:rFonts w:ascii="Segoe UI" w:hAnsi="Segoe UI" w:cs="Segoe UI"/>
          <w:color w:val="000000"/>
        </w:rPr>
        <w:t xml:space="preserve">that </w:t>
      </w:r>
      <w:r w:rsidR="00A14C3F">
        <w:rPr>
          <w:rFonts w:ascii="Segoe UI" w:hAnsi="Segoe UI" w:cs="Segoe UI"/>
          <w:color w:val="000000"/>
        </w:rPr>
        <w:t xml:space="preserve">EI </w:t>
      </w:r>
      <w:r w:rsidR="003E3FF3" w:rsidRPr="003E3FF3">
        <w:rPr>
          <w:rFonts w:ascii="Segoe UI" w:hAnsi="Segoe UI" w:cs="Segoe UI"/>
          <w:color w:val="000000"/>
        </w:rPr>
        <w:t>contributes to,</w:t>
      </w:r>
      <w:r w:rsidR="00C30C22">
        <w:rPr>
          <w:rFonts w:ascii="Segoe UI" w:hAnsi="Segoe UI" w:cs="Segoe UI"/>
          <w:color w:val="000000"/>
        </w:rPr>
        <w:t xml:space="preserve"> increasing</w:t>
      </w:r>
      <w:r w:rsidR="003E3FF3" w:rsidRPr="003E3FF3">
        <w:rPr>
          <w:rFonts w:ascii="Segoe UI" w:hAnsi="Segoe UI" w:cs="Segoe UI"/>
          <w:color w:val="000000"/>
        </w:rPr>
        <w:t xml:space="preserve"> </w:t>
      </w:r>
      <w:r w:rsidR="00A14C3F" w:rsidRPr="003E3FF3">
        <w:rPr>
          <w:rFonts w:ascii="Segoe UI" w:hAnsi="Segoe UI" w:cs="Segoe UI"/>
          <w:color w:val="000000"/>
        </w:rPr>
        <w:t>leadership</w:t>
      </w:r>
      <w:r w:rsidR="00A14C3F">
        <w:rPr>
          <w:rFonts w:ascii="Segoe UI" w:hAnsi="Segoe UI" w:cs="Segoe UI"/>
          <w:color w:val="000000"/>
        </w:rPr>
        <w:t xml:space="preserve"> potential</w:t>
      </w:r>
      <w:r w:rsidR="003E3FF3" w:rsidRPr="003E3FF3">
        <w:rPr>
          <w:rFonts w:ascii="Segoe UI" w:hAnsi="Segoe UI" w:cs="Segoe UI"/>
          <w:color w:val="000000"/>
        </w:rPr>
        <w:t xml:space="preserve">, </w:t>
      </w:r>
      <w:r w:rsidR="00C30C22" w:rsidRPr="003E3FF3">
        <w:rPr>
          <w:rFonts w:ascii="Segoe UI" w:hAnsi="Segoe UI" w:cs="Segoe UI"/>
          <w:color w:val="000000"/>
        </w:rPr>
        <w:t xml:space="preserve">and </w:t>
      </w:r>
      <w:r w:rsidR="00C30C22">
        <w:rPr>
          <w:rFonts w:ascii="Segoe UI" w:hAnsi="Segoe UI" w:cs="Segoe UI"/>
          <w:color w:val="000000"/>
        </w:rPr>
        <w:t>reducing</w:t>
      </w:r>
      <w:r w:rsidR="00A14C3F">
        <w:rPr>
          <w:rFonts w:ascii="Segoe UI" w:hAnsi="Segoe UI" w:cs="Segoe UI"/>
          <w:color w:val="000000"/>
        </w:rPr>
        <w:t xml:space="preserve"> levels of</w:t>
      </w:r>
      <w:r w:rsidR="00C30C22">
        <w:rPr>
          <w:rFonts w:ascii="Segoe UI" w:hAnsi="Segoe UI" w:cs="Segoe UI"/>
          <w:color w:val="000000"/>
        </w:rPr>
        <w:t xml:space="preserve"> </w:t>
      </w:r>
      <w:r w:rsidR="003E3FF3" w:rsidRPr="003E3FF3">
        <w:rPr>
          <w:rFonts w:ascii="Segoe UI" w:hAnsi="Segoe UI" w:cs="Segoe UI"/>
          <w:color w:val="000000"/>
        </w:rPr>
        <w:t>stress</w:t>
      </w:r>
      <w:r w:rsidR="00A14C3F">
        <w:rPr>
          <w:rFonts w:ascii="Segoe UI" w:hAnsi="Segoe UI" w:cs="Segoe UI"/>
          <w:color w:val="000000"/>
        </w:rPr>
        <w:t xml:space="preserve"> and anxiety while increasing academic achievement</w:t>
      </w:r>
      <w:r w:rsidR="003E3FF3" w:rsidRPr="003E3FF3">
        <w:rPr>
          <w:rFonts w:ascii="Segoe UI" w:hAnsi="Segoe UI" w:cs="Segoe UI"/>
          <w:color w:val="000000"/>
        </w:rPr>
        <w:t xml:space="preserve"> in dental education. These </w:t>
      </w:r>
      <w:r w:rsidR="00A14C3F">
        <w:rPr>
          <w:rFonts w:ascii="Segoe UI" w:hAnsi="Segoe UI" w:cs="Segoe UI"/>
          <w:color w:val="000000"/>
        </w:rPr>
        <w:t>results</w:t>
      </w:r>
      <w:r w:rsidR="003E3FF3" w:rsidRPr="003E3FF3">
        <w:rPr>
          <w:rFonts w:ascii="Segoe UI" w:hAnsi="Segoe UI" w:cs="Segoe UI"/>
          <w:color w:val="000000"/>
        </w:rPr>
        <w:t xml:space="preserve"> </w:t>
      </w:r>
      <w:r w:rsidR="00C30C22">
        <w:rPr>
          <w:rFonts w:ascii="Segoe UI" w:hAnsi="Segoe UI" w:cs="Segoe UI"/>
          <w:color w:val="000000"/>
        </w:rPr>
        <w:t>strengthen</w:t>
      </w:r>
      <w:r w:rsidR="003E3FF3" w:rsidRPr="003E3FF3">
        <w:rPr>
          <w:rFonts w:ascii="Segoe UI" w:hAnsi="Segoe UI" w:cs="Segoe UI"/>
          <w:color w:val="000000"/>
        </w:rPr>
        <w:t xml:space="preserve"> the work </w:t>
      </w:r>
      <w:r w:rsidR="00A14C3F">
        <w:rPr>
          <w:rFonts w:ascii="Segoe UI" w:hAnsi="Segoe UI" w:cs="Segoe UI"/>
          <w:color w:val="000000"/>
        </w:rPr>
        <w:t>discussed by</w:t>
      </w:r>
      <w:r w:rsidR="003E3FF3" w:rsidRPr="003E3FF3">
        <w:rPr>
          <w:rFonts w:ascii="Segoe UI" w:hAnsi="Segoe UI" w:cs="Segoe UI"/>
          <w:color w:val="000000"/>
        </w:rPr>
        <w:t xml:space="preserve"> Deepasakthi et al. (2025), which highlights the role of </w:t>
      </w:r>
      <w:r w:rsidR="00A14C3F">
        <w:rPr>
          <w:rFonts w:ascii="Segoe UI" w:hAnsi="Segoe UI" w:cs="Segoe UI"/>
          <w:color w:val="000000"/>
        </w:rPr>
        <w:t xml:space="preserve">EI </w:t>
      </w:r>
      <w:r w:rsidR="003E3FF3" w:rsidRPr="003E3FF3">
        <w:rPr>
          <w:rFonts w:ascii="Segoe UI" w:hAnsi="Segoe UI" w:cs="Segoe UI"/>
          <w:color w:val="000000"/>
        </w:rPr>
        <w:t>in supporting</w:t>
      </w:r>
      <w:r w:rsidR="00A14C3F">
        <w:rPr>
          <w:rFonts w:ascii="Segoe UI" w:hAnsi="Segoe UI" w:cs="Segoe UI"/>
          <w:color w:val="000000"/>
        </w:rPr>
        <w:t xml:space="preserve"> correct choices when</w:t>
      </w:r>
      <w:r w:rsidR="003E3FF3" w:rsidRPr="003E3FF3">
        <w:rPr>
          <w:rFonts w:ascii="Segoe UI" w:hAnsi="Segoe UI" w:cs="Segoe UI"/>
          <w:color w:val="000000"/>
        </w:rPr>
        <w:t xml:space="preserve"> ethical decision-making</w:t>
      </w:r>
      <w:r w:rsidR="00A14C3F">
        <w:rPr>
          <w:rFonts w:ascii="Segoe UI" w:hAnsi="Segoe UI" w:cs="Segoe UI"/>
          <w:color w:val="000000"/>
        </w:rPr>
        <w:t xml:space="preserve"> is needed</w:t>
      </w:r>
      <w:r w:rsidR="003E3FF3" w:rsidRPr="003E3FF3">
        <w:rPr>
          <w:rFonts w:ascii="Segoe UI" w:hAnsi="Segoe UI" w:cs="Segoe UI"/>
          <w:color w:val="000000"/>
        </w:rPr>
        <w:t xml:space="preserve"> </w:t>
      </w:r>
      <w:r w:rsidR="00A14C3F">
        <w:rPr>
          <w:rFonts w:ascii="Segoe UI" w:hAnsi="Segoe UI" w:cs="Segoe UI"/>
          <w:color w:val="000000"/>
        </w:rPr>
        <w:t>which includes</w:t>
      </w:r>
      <w:r w:rsidR="003E3FF3" w:rsidRPr="003E3FF3">
        <w:rPr>
          <w:rFonts w:ascii="Segoe UI" w:hAnsi="Segoe UI" w:cs="Segoe UI"/>
          <w:color w:val="000000"/>
        </w:rPr>
        <w:t xml:space="preserve"> key interpersonal skills such as empathy</w:t>
      </w:r>
      <w:r w:rsidR="00045BA1">
        <w:rPr>
          <w:rFonts w:ascii="Segoe UI" w:hAnsi="Segoe UI" w:cs="Segoe UI"/>
          <w:color w:val="000000"/>
        </w:rPr>
        <w:t xml:space="preserve">, </w:t>
      </w:r>
      <w:r w:rsidR="003E3FF3" w:rsidRPr="003E3FF3">
        <w:rPr>
          <w:rFonts w:ascii="Segoe UI" w:hAnsi="Segoe UI" w:cs="Segoe UI"/>
          <w:color w:val="000000"/>
        </w:rPr>
        <w:t xml:space="preserve">communication within dental </w:t>
      </w:r>
      <w:r w:rsidR="00A14C3F" w:rsidRPr="003E3FF3">
        <w:rPr>
          <w:rFonts w:ascii="Segoe UI" w:hAnsi="Segoe UI" w:cs="Segoe UI"/>
          <w:color w:val="000000"/>
        </w:rPr>
        <w:t>practice.</w:t>
      </w:r>
      <w:r w:rsidR="00A14C3F">
        <w:rPr>
          <w:rFonts w:ascii="Segoe UI" w:hAnsi="Segoe UI" w:cs="Segoe UI"/>
          <w:color w:val="000000"/>
        </w:rPr>
        <w:t xml:space="preserve"> To gain greater </w:t>
      </w:r>
      <w:r w:rsidR="00A14C3F" w:rsidRPr="00A14C3F">
        <w:rPr>
          <w:rFonts w:ascii="Segoe UI" w:hAnsi="Segoe UI" w:cs="Segoe UI"/>
          <w:color w:val="000000"/>
        </w:rPr>
        <w:t>understanding there</w:t>
      </w:r>
      <w:r w:rsidR="00AC7A97">
        <w:rPr>
          <w:rFonts w:ascii="Segoe UI" w:hAnsi="Segoe UI" w:cs="Segoe UI"/>
          <w:color w:val="000000"/>
        </w:rPr>
        <w:t xml:space="preserve"> is a</w:t>
      </w:r>
      <w:r w:rsidR="003E3FF3" w:rsidRPr="003E3FF3">
        <w:rPr>
          <w:rFonts w:ascii="Segoe UI" w:hAnsi="Segoe UI" w:cs="Segoe UI"/>
          <w:color w:val="000000"/>
        </w:rPr>
        <w:t xml:space="preserve"> </w:t>
      </w:r>
      <w:r w:rsidR="00A14C3F">
        <w:rPr>
          <w:rFonts w:ascii="Segoe UI" w:hAnsi="Segoe UI" w:cs="Segoe UI"/>
          <w:color w:val="000000"/>
        </w:rPr>
        <w:t xml:space="preserve">necessary need </w:t>
      </w:r>
      <w:r w:rsidR="003E3FF3" w:rsidRPr="003E3FF3">
        <w:rPr>
          <w:rFonts w:ascii="Segoe UI" w:hAnsi="Segoe UI" w:cs="Segoe UI"/>
          <w:color w:val="000000"/>
        </w:rPr>
        <w:t xml:space="preserve">to </w:t>
      </w:r>
      <w:r w:rsidR="00AC7A97">
        <w:rPr>
          <w:rFonts w:ascii="Segoe UI" w:hAnsi="Segoe UI" w:cs="Segoe UI"/>
          <w:color w:val="000000"/>
        </w:rPr>
        <w:t>look into</w:t>
      </w:r>
      <w:r w:rsidR="00A14C3F">
        <w:rPr>
          <w:rFonts w:ascii="Segoe UI" w:hAnsi="Segoe UI" w:cs="Segoe UI"/>
          <w:color w:val="000000"/>
        </w:rPr>
        <w:t xml:space="preserve"> </w:t>
      </w:r>
      <w:r w:rsidR="003E3FF3" w:rsidRPr="003E3FF3">
        <w:rPr>
          <w:rFonts w:ascii="Segoe UI" w:hAnsi="Segoe UI" w:cs="Segoe UI"/>
          <w:color w:val="000000"/>
        </w:rPr>
        <w:t xml:space="preserve">theoretical </w:t>
      </w:r>
      <w:r w:rsidR="00A14C3F">
        <w:rPr>
          <w:rFonts w:ascii="Segoe UI" w:hAnsi="Segoe UI" w:cs="Segoe UI"/>
          <w:color w:val="000000"/>
        </w:rPr>
        <w:t xml:space="preserve">views </w:t>
      </w:r>
      <w:r w:rsidR="003E3FF3" w:rsidRPr="003E3FF3">
        <w:rPr>
          <w:rFonts w:ascii="Segoe UI" w:hAnsi="Segoe UI" w:cs="Segoe UI"/>
          <w:color w:val="000000"/>
        </w:rPr>
        <w:t xml:space="preserve">of </w:t>
      </w:r>
      <w:r w:rsidR="00A14C3F">
        <w:rPr>
          <w:rFonts w:ascii="Segoe UI" w:hAnsi="Segoe UI" w:cs="Segoe UI"/>
          <w:color w:val="000000"/>
        </w:rPr>
        <w:t xml:space="preserve">EI </w:t>
      </w:r>
      <w:r w:rsidR="003E3FF3" w:rsidRPr="003E3FF3">
        <w:rPr>
          <w:rFonts w:ascii="Segoe UI" w:hAnsi="Segoe UI" w:cs="Segoe UI"/>
          <w:color w:val="000000"/>
        </w:rPr>
        <w:t xml:space="preserve">in greater depth, </w:t>
      </w:r>
      <w:r w:rsidR="00A14C3F">
        <w:rPr>
          <w:rFonts w:ascii="Segoe UI" w:hAnsi="Segoe UI" w:cs="Segoe UI"/>
          <w:color w:val="000000"/>
        </w:rPr>
        <w:t xml:space="preserve">therefore allowing better </w:t>
      </w:r>
      <w:r w:rsidR="003E3FF3" w:rsidRPr="003E3FF3">
        <w:rPr>
          <w:rFonts w:ascii="Segoe UI" w:hAnsi="Segoe UI" w:cs="Segoe UI"/>
          <w:color w:val="000000"/>
        </w:rPr>
        <w:t>understand</w:t>
      </w:r>
      <w:r w:rsidR="00A14C3F">
        <w:rPr>
          <w:rFonts w:ascii="Segoe UI" w:hAnsi="Segoe UI" w:cs="Segoe UI"/>
          <w:color w:val="000000"/>
        </w:rPr>
        <w:t>ing of</w:t>
      </w:r>
      <w:r w:rsidR="003E3FF3" w:rsidRPr="003E3FF3">
        <w:rPr>
          <w:rFonts w:ascii="Segoe UI" w:hAnsi="Segoe UI" w:cs="Segoe UI"/>
          <w:color w:val="000000"/>
        </w:rPr>
        <w:t xml:space="preserve"> how these concepts can be applied effectively within dental workforce development.</w:t>
      </w:r>
    </w:p>
    <w:p w14:paraId="56BFCD87" w14:textId="77777777" w:rsidR="0040673A" w:rsidRPr="0040673A" w:rsidRDefault="0040673A" w:rsidP="0040673A"/>
    <w:p w14:paraId="3E21FB66" w14:textId="77777777" w:rsidR="00814944" w:rsidRPr="00814944" w:rsidRDefault="00814944" w:rsidP="00814944"/>
    <w:p w14:paraId="37B649E2" w14:textId="3134FA49" w:rsidR="00381674" w:rsidRDefault="00814944" w:rsidP="00381674">
      <w:pPr>
        <w:pStyle w:val="Heading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229830415"/>
      <w:r w:rsidRPr="0038167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2.3 </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Key Theorist and perspectives</w:t>
      </w:r>
      <w:bookmarkEnd w:id="7"/>
    </w:p>
    <w:p w14:paraId="49131C17" w14:textId="47E3DAFE" w:rsidR="00814944" w:rsidRDefault="00814944" w:rsidP="00814944">
      <w:pPr>
        <w:spacing w:line="360" w:lineRule="auto"/>
        <w:rPr>
          <w:rFonts w:ascii="Segoe UI" w:hAnsi="Segoe UI" w:cs="Segoe UI"/>
          <w:color w:val="000000"/>
        </w:rPr>
      </w:pPr>
      <w:r>
        <w:rPr>
          <w:rFonts w:ascii="Segoe UI" w:hAnsi="Segoe UI" w:cs="Segoe UI"/>
        </w:rPr>
        <w:t xml:space="preserve"> EI has been extensively researched by a wide range of key theorists, each offering insight on how EI effects workforce development. Salovey &amp; Mayer (1990) first blended the concept of emotion and intelligence to produce EI signifying how such ability to perceive, understand, manage and regulate one’s own emotions as well as others. Kaur (2026) research </w:t>
      </w:r>
      <w:r w:rsidRPr="00CD6F81">
        <w:rPr>
          <w:rFonts w:ascii="Segoe UI" w:hAnsi="Segoe UI" w:cs="Segoe UI"/>
        </w:rPr>
        <w:t xml:space="preserve">suggests </w:t>
      </w:r>
      <w:r w:rsidRPr="00CD6F81">
        <w:rPr>
          <w:rFonts w:ascii="Segoe UI" w:hAnsi="Segoe UI" w:cs="Segoe UI"/>
          <w:color w:val="000000"/>
        </w:rPr>
        <w:t>that</w:t>
      </w:r>
      <w:r w:rsidRPr="00CD6F81">
        <w:rPr>
          <w:rFonts w:ascii="Segoe UI" w:hAnsi="Segoe UI" w:cs="Segoe UI"/>
          <w:color w:val="000000"/>
        </w:rPr>
        <w:t xml:space="preserve"> emotional intelligence </w:t>
      </w:r>
      <w:r>
        <w:rPr>
          <w:rFonts w:ascii="Segoe UI" w:hAnsi="Segoe UI" w:cs="Segoe UI"/>
          <w:color w:val="000000"/>
        </w:rPr>
        <w:t>includes</w:t>
      </w:r>
      <w:r w:rsidRPr="00CD6F81">
        <w:rPr>
          <w:rFonts w:ascii="Segoe UI" w:hAnsi="Segoe UI" w:cs="Segoe UI"/>
          <w:color w:val="000000"/>
        </w:rPr>
        <w:t xml:space="preserve"> a broad range of interpersonal and intrapersonal skills and recognises multiple emotional states, with theorists such as Ekman identifying up to six basic emotions. This contrasts with the more structured ability model proposed by</w:t>
      </w:r>
      <w:r w:rsidRPr="00CD6F81">
        <w:rPr>
          <w:rStyle w:val="apple-converted-space"/>
          <w:rFonts w:ascii="Segoe UI" w:eastAsiaTheme="majorEastAsia" w:hAnsi="Segoe UI" w:cs="Segoe UI"/>
          <w:color w:val="000000"/>
        </w:rPr>
        <w:t> </w:t>
      </w:r>
      <w:r w:rsidRPr="00CD6F81">
        <w:rPr>
          <w:rStyle w:val="whitespace-normal"/>
          <w:rFonts w:ascii="Segoe UI" w:eastAsiaTheme="majorEastAsia" w:hAnsi="Segoe UI" w:cs="Segoe UI"/>
          <w:color w:val="000000"/>
        </w:rPr>
        <w:t>Peter Salovey</w:t>
      </w:r>
      <w:r w:rsidRPr="00CD6F81">
        <w:rPr>
          <w:rStyle w:val="apple-converted-space"/>
          <w:rFonts w:ascii="Segoe UI" w:eastAsiaTheme="majorEastAsia" w:hAnsi="Segoe UI" w:cs="Segoe UI"/>
          <w:color w:val="000000"/>
        </w:rPr>
        <w:t> </w:t>
      </w:r>
      <w:r w:rsidRPr="00CD6F81">
        <w:rPr>
          <w:rFonts w:ascii="Segoe UI" w:hAnsi="Segoe UI" w:cs="Segoe UI"/>
          <w:color w:val="000000"/>
        </w:rPr>
        <w:t>and</w:t>
      </w:r>
      <w:r w:rsidRPr="00CD6F81">
        <w:rPr>
          <w:rStyle w:val="apple-converted-space"/>
          <w:rFonts w:ascii="Segoe UI" w:eastAsiaTheme="majorEastAsia" w:hAnsi="Segoe UI" w:cs="Segoe UI"/>
          <w:color w:val="000000"/>
        </w:rPr>
        <w:t> </w:t>
      </w:r>
      <w:r w:rsidRPr="00CD6F81">
        <w:rPr>
          <w:rStyle w:val="whitespace-normal"/>
          <w:rFonts w:ascii="Segoe UI" w:eastAsiaTheme="majorEastAsia" w:hAnsi="Segoe UI" w:cs="Segoe UI"/>
          <w:color w:val="000000"/>
        </w:rPr>
        <w:t>John Mayer</w:t>
      </w:r>
      <w:r w:rsidRPr="00CD6F81">
        <w:rPr>
          <w:rStyle w:val="apple-converted-space"/>
          <w:rFonts w:ascii="Segoe UI" w:eastAsiaTheme="majorEastAsia" w:hAnsi="Segoe UI" w:cs="Segoe UI"/>
          <w:color w:val="000000"/>
        </w:rPr>
        <w:t> </w:t>
      </w:r>
      <w:r w:rsidRPr="00CD6F81">
        <w:rPr>
          <w:rFonts w:ascii="Segoe UI" w:hAnsi="Segoe UI" w:cs="Segoe UI"/>
          <w:color w:val="000000"/>
        </w:rPr>
        <w:t>(1990), which focuses less on categorising emotions and more on the cognitive processes involved in perceiving, understanding, and managing them.</w:t>
      </w:r>
    </w:p>
    <w:p w14:paraId="03F5F74B" w14:textId="5EF7DDAA" w:rsidR="006C69E0" w:rsidRPr="00CD6F81" w:rsidRDefault="006C69E0" w:rsidP="00814944">
      <w:pPr>
        <w:spacing w:line="360" w:lineRule="auto"/>
        <w:rPr>
          <w:rFonts w:ascii="Segoe UI" w:hAnsi="Segoe UI" w:cs="Segoe UI"/>
        </w:rPr>
      </w:pPr>
      <w:r>
        <w:rPr>
          <w:rFonts w:ascii="Segoe UI" w:hAnsi="Segoe UI" w:cs="Segoe UI"/>
          <w:color w:val="000000"/>
        </w:rPr>
        <w:t xml:space="preserve"> On the other </w:t>
      </w:r>
      <w:r w:rsidR="008B6952">
        <w:rPr>
          <w:rFonts w:ascii="Segoe UI" w:hAnsi="Segoe UI" w:cs="Segoe UI"/>
          <w:color w:val="000000"/>
        </w:rPr>
        <w:t>hand,</w:t>
      </w:r>
      <w:r>
        <w:rPr>
          <w:rFonts w:ascii="Segoe UI" w:hAnsi="Segoe UI" w:cs="Segoe UI"/>
          <w:color w:val="000000"/>
        </w:rPr>
        <w:t xml:space="preserve"> Goleman (1995) came forward with a mixed model of EI </w:t>
      </w:r>
      <w:r w:rsidR="008B6952">
        <w:rPr>
          <w:rFonts w:ascii="Segoe UI" w:hAnsi="Segoe UI" w:cs="Segoe UI"/>
          <w:color w:val="000000"/>
        </w:rPr>
        <w:t xml:space="preserve">while introducing many competencies such as self-awareness, social skills and so on. The theory is questionable due to its lack of </w:t>
      </w:r>
      <w:r w:rsidR="008B6952" w:rsidRPr="008B6952">
        <w:rPr>
          <w:rFonts w:ascii="Segoe UI" w:hAnsi="Segoe UI" w:cs="Segoe UI"/>
          <w:color w:val="000000"/>
        </w:rPr>
        <w:t>broader structural and individual factors, suggesting that success cannot be attributed to a single form of intelligence</w:t>
      </w:r>
      <w:r w:rsidR="008B6952">
        <w:rPr>
          <w:rFonts w:ascii="-webkit-standard" w:hAnsi="-webkit-standard"/>
          <w:color w:val="000000"/>
          <w:sz w:val="27"/>
          <w:szCs w:val="27"/>
        </w:rPr>
        <w:t>.</w:t>
      </w:r>
      <w:r w:rsidR="008B6952">
        <w:rPr>
          <w:rFonts w:ascii="-webkit-standard" w:hAnsi="-webkit-standard"/>
          <w:color w:val="000000"/>
          <w:sz w:val="27"/>
          <w:szCs w:val="27"/>
        </w:rPr>
        <w:t xml:space="preserve"> </w:t>
      </w:r>
    </w:p>
    <w:p w14:paraId="4A2D5B44" w14:textId="77777777" w:rsidR="00814944" w:rsidRPr="00814944" w:rsidRDefault="00814944" w:rsidP="00814944"/>
    <w:p w14:paraId="61211C70" w14:textId="53020776" w:rsidR="00381674" w:rsidRDefault="00381674" w:rsidP="00381674">
      <w:pPr>
        <w:pStyle w:val="Heading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8" w:name="_Toc229830416"/>
      <w:r w:rsidRPr="0038167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2.4 </w:t>
      </w:r>
      <w:r w:rsidR="0081494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Applied to Dental practice</w:t>
      </w:r>
      <w:bookmarkEnd w:id="8"/>
    </w:p>
    <w:p w14:paraId="764138D2" w14:textId="20B02512" w:rsidR="00244B5C" w:rsidRPr="00244B5C" w:rsidRDefault="00DF6147" w:rsidP="00244B5C">
      <w:pPr>
        <w:pStyle w:val="NormalWeb"/>
        <w:spacing w:line="360" w:lineRule="auto"/>
        <w:rPr>
          <w:rFonts w:ascii="Segoe UI" w:hAnsi="Segoe UI" w:cs="Segoe UI"/>
          <w:color w:val="000000"/>
        </w:rPr>
      </w:pPr>
      <w:r>
        <w:rPr>
          <w:rFonts w:ascii="Segoe UI" w:hAnsi="Segoe UI" w:cs="Segoe UI"/>
          <w:color w:val="000000"/>
        </w:rPr>
        <w:t>Quality of care for patients and the effective functioning of the dental team are greatly facilitated by the use of EI in dental practice</w:t>
      </w:r>
      <w:r w:rsidR="00244B5C" w:rsidRPr="00244B5C">
        <w:rPr>
          <w:rFonts w:ascii="Segoe UI" w:hAnsi="Segoe UI" w:cs="Segoe UI"/>
          <w:color w:val="000000"/>
        </w:rPr>
        <w:t xml:space="preserve">. Dental professionals </w:t>
      </w:r>
      <w:r>
        <w:rPr>
          <w:rFonts w:ascii="Segoe UI" w:hAnsi="Segoe UI" w:cs="Segoe UI"/>
          <w:color w:val="000000"/>
        </w:rPr>
        <w:t xml:space="preserve">on average </w:t>
      </w:r>
      <w:r w:rsidR="00244B5C" w:rsidRPr="00244B5C">
        <w:rPr>
          <w:rFonts w:ascii="Segoe UI" w:hAnsi="Segoe UI" w:cs="Segoe UI"/>
          <w:color w:val="000000"/>
        </w:rPr>
        <w:t xml:space="preserve">encounter emotionally sensitive situations, such as managing patient anxiety, </w:t>
      </w:r>
      <w:r>
        <w:rPr>
          <w:rFonts w:ascii="Segoe UI" w:hAnsi="Segoe UI" w:cs="Segoe UI"/>
          <w:color w:val="000000"/>
        </w:rPr>
        <w:t xml:space="preserve">explaining in depth </w:t>
      </w:r>
      <w:r w:rsidR="00244B5C" w:rsidRPr="00244B5C">
        <w:rPr>
          <w:rFonts w:ascii="Segoe UI" w:hAnsi="Segoe UI" w:cs="Segoe UI"/>
          <w:color w:val="000000"/>
        </w:rPr>
        <w:t xml:space="preserve">treatment plans, and </w:t>
      </w:r>
      <w:r>
        <w:rPr>
          <w:rFonts w:ascii="Segoe UI" w:hAnsi="Segoe UI" w:cs="Segoe UI"/>
          <w:color w:val="000000"/>
        </w:rPr>
        <w:t xml:space="preserve">preforming tasks in high stress </w:t>
      </w:r>
      <w:r w:rsidR="00244B5C" w:rsidRPr="00244B5C">
        <w:rPr>
          <w:rFonts w:ascii="Segoe UI" w:hAnsi="Segoe UI" w:cs="Segoe UI"/>
          <w:color w:val="000000"/>
        </w:rPr>
        <w:t>clinical environments</w:t>
      </w:r>
      <w:r>
        <w:rPr>
          <w:rFonts w:ascii="Segoe UI" w:hAnsi="Segoe UI" w:cs="Segoe UI"/>
          <w:color w:val="000000"/>
        </w:rPr>
        <w:t>, these are just some of what the team has to face on a day-to-day basis</w:t>
      </w:r>
      <w:r w:rsidR="00244B5C" w:rsidRPr="00244B5C">
        <w:rPr>
          <w:rFonts w:ascii="Segoe UI" w:hAnsi="Segoe UI" w:cs="Segoe UI"/>
          <w:color w:val="000000"/>
        </w:rPr>
        <w:t>. In these c</w:t>
      </w:r>
      <w:r>
        <w:rPr>
          <w:rFonts w:ascii="Segoe UI" w:hAnsi="Segoe UI" w:cs="Segoe UI"/>
          <w:color w:val="000000"/>
        </w:rPr>
        <w:t>ircumstances</w:t>
      </w:r>
      <w:r w:rsidR="00244B5C" w:rsidRPr="00244B5C">
        <w:rPr>
          <w:rFonts w:ascii="Segoe UI" w:hAnsi="Segoe UI" w:cs="Segoe UI"/>
          <w:color w:val="000000"/>
        </w:rPr>
        <w:t>, EI</w:t>
      </w:r>
      <w:r>
        <w:rPr>
          <w:rFonts w:ascii="Segoe UI" w:hAnsi="Segoe UI" w:cs="Segoe UI"/>
          <w:color w:val="000000"/>
        </w:rPr>
        <w:t xml:space="preserve"> can encourage different emotional responses including </w:t>
      </w:r>
      <w:r w:rsidR="00244B5C" w:rsidRPr="00244B5C">
        <w:rPr>
          <w:rFonts w:ascii="Segoe UI" w:hAnsi="Segoe UI" w:cs="Segoe UI"/>
          <w:color w:val="000000"/>
        </w:rPr>
        <w:t xml:space="preserve">empathy, emotional </w:t>
      </w:r>
      <w:r>
        <w:rPr>
          <w:rFonts w:ascii="Segoe UI" w:hAnsi="Segoe UI" w:cs="Segoe UI"/>
          <w:color w:val="000000"/>
        </w:rPr>
        <w:t>control</w:t>
      </w:r>
      <w:r w:rsidR="00244B5C" w:rsidRPr="00244B5C">
        <w:rPr>
          <w:rFonts w:ascii="Segoe UI" w:hAnsi="Segoe UI" w:cs="Segoe UI"/>
          <w:color w:val="000000"/>
        </w:rPr>
        <w:t xml:space="preserve">, and </w:t>
      </w:r>
      <w:r>
        <w:rPr>
          <w:rFonts w:ascii="Segoe UI" w:hAnsi="Segoe UI" w:cs="Segoe UI"/>
          <w:color w:val="000000"/>
        </w:rPr>
        <w:t xml:space="preserve">successful </w:t>
      </w:r>
      <w:r w:rsidR="00244B5C" w:rsidRPr="00244B5C">
        <w:rPr>
          <w:rFonts w:ascii="Segoe UI" w:hAnsi="Segoe UI" w:cs="Segoe UI"/>
          <w:color w:val="000000"/>
        </w:rPr>
        <w:t xml:space="preserve">communication, all of which are </w:t>
      </w:r>
      <w:r>
        <w:rPr>
          <w:rFonts w:ascii="Segoe UI" w:hAnsi="Segoe UI" w:cs="Segoe UI"/>
          <w:color w:val="000000"/>
        </w:rPr>
        <w:t>essential part to protect</w:t>
      </w:r>
      <w:r w:rsidR="00244B5C" w:rsidRPr="00244B5C">
        <w:rPr>
          <w:rFonts w:ascii="Segoe UI" w:hAnsi="Segoe UI" w:cs="Segoe UI"/>
          <w:color w:val="000000"/>
        </w:rPr>
        <w:t xml:space="preserve"> patient trust</w:t>
      </w:r>
      <w:r>
        <w:rPr>
          <w:rFonts w:ascii="Segoe UI" w:hAnsi="Segoe UI" w:cs="Segoe UI"/>
          <w:color w:val="000000"/>
        </w:rPr>
        <w:t xml:space="preserve"> while the dental team all work together </w:t>
      </w:r>
      <w:r w:rsidR="00244B5C" w:rsidRPr="00244B5C">
        <w:rPr>
          <w:rFonts w:ascii="Segoe UI" w:hAnsi="Segoe UI" w:cs="Segoe UI"/>
          <w:color w:val="000000"/>
        </w:rPr>
        <w:t xml:space="preserve">However, </w:t>
      </w:r>
      <w:r>
        <w:rPr>
          <w:rFonts w:ascii="Segoe UI" w:hAnsi="Segoe UI" w:cs="Segoe UI"/>
          <w:color w:val="000000"/>
        </w:rPr>
        <w:t xml:space="preserve">a variety of factors including workload pressures, organisational culture, and individual emotional awareness could impact how </w:t>
      </w:r>
      <w:r w:rsidR="00244B5C" w:rsidRPr="00244B5C">
        <w:rPr>
          <w:rFonts w:ascii="Segoe UI" w:hAnsi="Segoe UI" w:cs="Segoe UI"/>
          <w:color w:val="000000"/>
        </w:rPr>
        <w:t>consistently</w:t>
      </w:r>
      <w:r>
        <w:rPr>
          <w:rFonts w:ascii="Segoe UI" w:hAnsi="Segoe UI" w:cs="Segoe UI"/>
          <w:color w:val="000000"/>
        </w:rPr>
        <w:t xml:space="preserve"> EI can be carried out.</w:t>
      </w:r>
      <w:r w:rsidR="00244B5C" w:rsidRPr="00244B5C">
        <w:rPr>
          <w:rFonts w:ascii="Segoe UI" w:hAnsi="Segoe UI" w:cs="Segoe UI"/>
          <w:color w:val="000000"/>
        </w:rPr>
        <w:t xml:space="preserve"> </w:t>
      </w:r>
    </w:p>
    <w:p w14:paraId="3F2DBCEF" w14:textId="0B81A223" w:rsidR="00244B5C" w:rsidRPr="00244B5C" w:rsidRDefault="00DF6147" w:rsidP="00244B5C">
      <w:pPr>
        <w:pStyle w:val="NormalWeb"/>
        <w:spacing w:line="360" w:lineRule="auto"/>
        <w:rPr>
          <w:rFonts w:ascii="Segoe UI" w:hAnsi="Segoe UI" w:cs="Segoe UI"/>
          <w:color w:val="000000"/>
        </w:rPr>
      </w:pPr>
      <w:r>
        <w:rPr>
          <w:rFonts w:ascii="Segoe UI" w:hAnsi="Segoe UI" w:cs="Segoe UI"/>
          <w:color w:val="000000"/>
        </w:rPr>
        <w:t>Based on the r</w:t>
      </w:r>
      <w:r w:rsidR="00244B5C" w:rsidRPr="00244B5C">
        <w:rPr>
          <w:rFonts w:ascii="Segoe UI" w:hAnsi="Segoe UI" w:cs="Segoe UI"/>
          <w:color w:val="000000"/>
        </w:rPr>
        <w:t xml:space="preserve">esearch by Arunratanothai et al. (2026) suggests that the application of EI among dental professionals </w:t>
      </w:r>
      <w:r>
        <w:rPr>
          <w:rFonts w:ascii="Segoe UI" w:hAnsi="Segoe UI" w:cs="Segoe UI"/>
          <w:color w:val="000000"/>
        </w:rPr>
        <w:t>that use EI show</w:t>
      </w:r>
      <w:r w:rsidR="00244B5C" w:rsidRPr="00244B5C">
        <w:rPr>
          <w:rFonts w:ascii="Segoe UI" w:hAnsi="Segoe UI" w:cs="Segoe UI"/>
          <w:color w:val="000000"/>
        </w:rPr>
        <w:t xml:space="preserve"> </w:t>
      </w:r>
      <w:r>
        <w:rPr>
          <w:rFonts w:ascii="Segoe UI" w:hAnsi="Segoe UI" w:cs="Segoe UI"/>
          <w:color w:val="000000"/>
        </w:rPr>
        <w:t xml:space="preserve">robust emotions </w:t>
      </w:r>
      <w:r w:rsidR="00244B5C" w:rsidRPr="00244B5C">
        <w:rPr>
          <w:rFonts w:ascii="Segoe UI" w:hAnsi="Segoe UI" w:cs="Segoe UI"/>
          <w:color w:val="000000"/>
        </w:rPr>
        <w:t>and</w:t>
      </w:r>
      <w:r>
        <w:rPr>
          <w:rFonts w:ascii="Segoe UI" w:hAnsi="Segoe UI" w:cs="Segoe UI"/>
          <w:color w:val="000000"/>
        </w:rPr>
        <w:t xml:space="preserve"> better </w:t>
      </w:r>
      <w:r w:rsidR="00244B5C" w:rsidRPr="00244B5C">
        <w:rPr>
          <w:rFonts w:ascii="Segoe UI" w:hAnsi="Segoe UI" w:cs="Segoe UI"/>
          <w:color w:val="000000"/>
        </w:rPr>
        <w:t xml:space="preserve">coping </w:t>
      </w:r>
      <w:r>
        <w:rPr>
          <w:rFonts w:ascii="Segoe UI" w:hAnsi="Segoe UI" w:cs="Segoe UI"/>
          <w:color w:val="000000"/>
        </w:rPr>
        <w:t xml:space="preserve">mechanisms </w:t>
      </w:r>
      <w:r w:rsidR="00244B5C" w:rsidRPr="00244B5C">
        <w:rPr>
          <w:rFonts w:ascii="Segoe UI" w:hAnsi="Segoe UI" w:cs="Segoe UI"/>
          <w:color w:val="000000"/>
        </w:rPr>
        <w:t xml:space="preserve">in </w:t>
      </w:r>
      <w:r>
        <w:rPr>
          <w:rFonts w:ascii="Segoe UI" w:hAnsi="Segoe UI" w:cs="Segoe UI"/>
          <w:color w:val="000000"/>
        </w:rPr>
        <w:t>intense</w:t>
      </w:r>
      <w:r w:rsidR="00244B5C" w:rsidRPr="00244B5C">
        <w:rPr>
          <w:rFonts w:ascii="Segoe UI" w:hAnsi="Segoe UI" w:cs="Segoe UI"/>
          <w:color w:val="000000"/>
        </w:rPr>
        <w:t xml:space="preserve"> clinical </w:t>
      </w:r>
      <w:r>
        <w:rPr>
          <w:rFonts w:ascii="Segoe UI" w:hAnsi="Segoe UI" w:cs="Segoe UI"/>
          <w:color w:val="000000"/>
        </w:rPr>
        <w:t>situations</w:t>
      </w:r>
      <w:r w:rsidR="00244B5C" w:rsidRPr="00244B5C">
        <w:rPr>
          <w:rFonts w:ascii="Segoe UI" w:hAnsi="Segoe UI" w:cs="Segoe UI"/>
          <w:color w:val="000000"/>
        </w:rPr>
        <w:t>.</w:t>
      </w:r>
      <w:r>
        <w:rPr>
          <w:rFonts w:ascii="Segoe UI" w:hAnsi="Segoe UI" w:cs="Segoe UI"/>
          <w:color w:val="000000"/>
        </w:rPr>
        <w:t xml:space="preserve"> Although this research shows</w:t>
      </w:r>
      <w:r w:rsidR="00244B5C" w:rsidRPr="00244B5C">
        <w:rPr>
          <w:rFonts w:ascii="Segoe UI" w:hAnsi="Segoe UI" w:cs="Segoe UI"/>
          <w:color w:val="000000"/>
        </w:rPr>
        <w:t xml:space="preserve"> the potential value of EI in supporting staff </w:t>
      </w:r>
      <w:r>
        <w:rPr>
          <w:rFonts w:ascii="Segoe UI" w:hAnsi="Segoe UI" w:cs="Segoe UI"/>
          <w:color w:val="000000"/>
        </w:rPr>
        <w:t>members and their mental state</w:t>
      </w:r>
      <w:r w:rsidR="00244B5C" w:rsidRPr="00244B5C">
        <w:rPr>
          <w:rFonts w:ascii="Segoe UI" w:hAnsi="Segoe UI" w:cs="Segoe UI"/>
          <w:color w:val="000000"/>
        </w:rPr>
        <w:t xml:space="preserve"> </w:t>
      </w:r>
      <w:r>
        <w:rPr>
          <w:rFonts w:ascii="Segoe UI" w:hAnsi="Segoe UI" w:cs="Segoe UI"/>
          <w:color w:val="000000"/>
        </w:rPr>
        <w:t>along with</w:t>
      </w:r>
      <w:r w:rsidR="00244B5C" w:rsidRPr="00244B5C">
        <w:rPr>
          <w:rFonts w:ascii="Segoe UI" w:hAnsi="Segoe UI" w:cs="Segoe UI"/>
          <w:color w:val="000000"/>
        </w:rPr>
        <w:t xml:space="preserve"> performance</w:t>
      </w:r>
      <w:r>
        <w:rPr>
          <w:rFonts w:ascii="Segoe UI" w:hAnsi="Segoe UI" w:cs="Segoe UI"/>
          <w:color w:val="000000"/>
        </w:rPr>
        <w:t xml:space="preserve"> in high pressure situations. I</w:t>
      </w:r>
      <w:r w:rsidR="00244B5C" w:rsidRPr="00244B5C">
        <w:rPr>
          <w:rFonts w:ascii="Segoe UI" w:hAnsi="Segoe UI" w:cs="Segoe UI"/>
          <w:color w:val="000000"/>
        </w:rPr>
        <w:t xml:space="preserve">t </w:t>
      </w:r>
      <w:r>
        <w:rPr>
          <w:rFonts w:ascii="Segoe UI" w:hAnsi="Segoe UI" w:cs="Segoe UI"/>
          <w:color w:val="000000"/>
        </w:rPr>
        <w:t xml:space="preserve">has come to the attention </w:t>
      </w:r>
      <w:r w:rsidR="00244B5C" w:rsidRPr="00244B5C">
        <w:rPr>
          <w:rFonts w:ascii="Segoe UI" w:hAnsi="Segoe UI" w:cs="Segoe UI"/>
          <w:color w:val="000000"/>
        </w:rPr>
        <w:t xml:space="preserve">that </w:t>
      </w:r>
      <w:r>
        <w:rPr>
          <w:rFonts w:ascii="Segoe UI" w:hAnsi="Segoe UI" w:cs="Segoe UI"/>
          <w:color w:val="000000"/>
        </w:rPr>
        <w:t>these</w:t>
      </w:r>
      <w:r w:rsidR="00244B5C" w:rsidRPr="00244B5C">
        <w:rPr>
          <w:rFonts w:ascii="Segoe UI" w:hAnsi="Segoe UI" w:cs="Segoe UI"/>
          <w:color w:val="000000"/>
        </w:rPr>
        <w:t xml:space="preserve"> findings are often based on self</w:t>
      </w:r>
      <w:r w:rsidR="00244B5C" w:rsidRPr="00244B5C">
        <w:rPr>
          <w:rFonts w:ascii="Segoe UI" w:hAnsi="Segoe UI" w:cs="Segoe UI"/>
          <w:color w:val="000000"/>
        </w:rPr>
        <w:noBreakHyphen/>
        <w:t xml:space="preserve">reported data, which may </w:t>
      </w:r>
      <w:r>
        <w:rPr>
          <w:rFonts w:ascii="Segoe UI" w:hAnsi="Segoe UI" w:cs="Segoe UI"/>
          <w:color w:val="000000"/>
        </w:rPr>
        <w:t>produce</w:t>
      </w:r>
      <w:r w:rsidRPr="00244B5C">
        <w:rPr>
          <w:rFonts w:ascii="Segoe UI" w:hAnsi="Segoe UI" w:cs="Segoe UI"/>
          <w:color w:val="000000"/>
        </w:rPr>
        <w:t xml:space="preserve"> </w:t>
      </w:r>
      <w:r>
        <w:rPr>
          <w:rFonts w:ascii="Segoe UI" w:hAnsi="Segoe UI" w:cs="Segoe UI"/>
          <w:color w:val="000000"/>
        </w:rPr>
        <w:t xml:space="preserve">individual </w:t>
      </w:r>
      <w:r w:rsidR="00244B5C" w:rsidRPr="00244B5C">
        <w:rPr>
          <w:rFonts w:ascii="Segoe UI" w:hAnsi="Segoe UI" w:cs="Segoe UI"/>
          <w:color w:val="000000"/>
        </w:rPr>
        <w:t xml:space="preserve">bias and </w:t>
      </w:r>
      <w:r>
        <w:rPr>
          <w:rFonts w:ascii="Segoe UI" w:hAnsi="Segoe UI" w:cs="Segoe UI"/>
          <w:color w:val="000000"/>
        </w:rPr>
        <w:t>decrease the accuracy of outcomes</w:t>
      </w:r>
      <w:r w:rsidR="00244B5C" w:rsidRPr="00244B5C">
        <w:rPr>
          <w:rFonts w:ascii="Segoe UI" w:hAnsi="Segoe UI" w:cs="Segoe UI"/>
          <w:color w:val="000000"/>
        </w:rPr>
        <w:t xml:space="preserve">. This raises </w:t>
      </w:r>
      <w:r>
        <w:rPr>
          <w:rFonts w:ascii="Segoe UI" w:hAnsi="Segoe UI" w:cs="Segoe UI"/>
          <w:color w:val="000000"/>
        </w:rPr>
        <w:t xml:space="preserve">issues about the data being received is corresponding to </w:t>
      </w:r>
      <w:r w:rsidR="00244B5C" w:rsidRPr="00244B5C">
        <w:rPr>
          <w:rFonts w:ascii="Segoe UI" w:hAnsi="Segoe UI" w:cs="Segoe UI"/>
          <w:color w:val="000000"/>
        </w:rPr>
        <w:t xml:space="preserve">reflect actual behavioural change in </w:t>
      </w:r>
      <w:r>
        <w:rPr>
          <w:rFonts w:ascii="Segoe UI" w:hAnsi="Segoe UI" w:cs="Segoe UI"/>
          <w:color w:val="000000"/>
        </w:rPr>
        <w:t>the workplace.</w:t>
      </w:r>
    </w:p>
    <w:p w14:paraId="58B60533" w14:textId="3AB8EAD8" w:rsidR="00244B5C" w:rsidRPr="00244B5C" w:rsidRDefault="00244B5C" w:rsidP="00244B5C">
      <w:pPr>
        <w:pStyle w:val="NormalWeb"/>
        <w:spacing w:line="360" w:lineRule="auto"/>
        <w:rPr>
          <w:rFonts w:ascii="Segoe UI" w:hAnsi="Segoe UI" w:cs="Segoe UI"/>
          <w:color w:val="000000"/>
        </w:rPr>
      </w:pPr>
      <w:r w:rsidRPr="00244B5C">
        <w:rPr>
          <w:rFonts w:ascii="Segoe UI" w:hAnsi="Segoe UI" w:cs="Segoe UI"/>
          <w:color w:val="000000"/>
        </w:rPr>
        <w:t xml:space="preserve">One </w:t>
      </w:r>
      <w:r w:rsidR="00A14C3F">
        <w:rPr>
          <w:rFonts w:ascii="Segoe UI" w:hAnsi="Segoe UI" w:cs="Segoe UI"/>
          <w:color w:val="000000"/>
        </w:rPr>
        <w:t>method</w:t>
      </w:r>
      <w:r w:rsidRPr="00244B5C">
        <w:rPr>
          <w:rFonts w:ascii="Segoe UI" w:hAnsi="Segoe UI" w:cs="Segoe UI"/>
          <w:color w:val="000000"/>
        </w:rPr>
        <w:t xml:space="preserve"> to apply EI within dental practice is through reflective learning models, such as Kolb’s Experiential Learning Cycle, which involves a continuous process of experience, reflection, </w:t>
      </w:r>
      <w:r w:rsidR="00A14C3F">
        <w:rPr>
          <w:rFonts w:ascii="Segoe UI" w:hAnsi="Segoe UI" w:cs="Segoe UI"/>
          <w:color w:val="000000"/>
        </w:rPr>
        <w:t>progressing</w:t>
      </w:r>
      <w:r w:rsidRPr="00244B5C">
        <w:rPr>
          <w:rFonts w:ascii="Segoe UI" w:hAnsi="Segoe UI" w:cs="Segoe UI"/>
          <w:color w:val="000000"/>
        </w:rPr>
        <w:t>, and active experimentation</w:t>
      </w:r>
      <w:r w:rsidR="00A14C3F">
        <w:rPr>
          <w:rFonts w:ascii="Segoe UI" w:hAnsi="Segoe UI" w:cs="Segoe UI"/>
          <w:color w:val="000000"/>
        </w:rPr>
        <w:t xml:space="preserve"> (Khan &amp; Pasteur 2025)</w:t>
      </w:r>
      <w:r w:rsidRPr="00244B5C">
        <w:rPr>
          <w:rFonts w:ascii="Segoe UI" w:hAnsi="Segoe UI" w:cs="Segoe UI"/>
          <w:color w:val="000000"/>
        </w:rPr>
        <w:t xml:space="preserve">. For example, a </w:t>
      </w:r>
      <w:r w:rsidR="00542906">
        <w:rPr>
          <w:rFonts w:ascii="Segoe UI" w:hAnsi="Segoe UI" w:cs="Segoe UI"/>
          <w:color w:val="000000"/>
        </w:rPr>
        <w:t>dental team member</w:t>
      </w:r>
      <w:r w:rsidRPr="00244B5C">
        <w:rPr>
          <w:rFonts w:ascii="Segoe UI" w:hAnsi="Segoe UI" w:cs="Segoe UI"/>
          <w:color w:val="000000"/>
        </w:rPr>
        <w:t xml:space="preserve"> may reflect on a</w:t>
      </w:r>
      <w:r w:rsidR="00A14C3F">
        <w:rPr>
          <w:rFonts w:ascii="Segoe UI" w:hAnsi="Segoe UI" w:cs="Segoe UI"/>
          <w:color w:val="000000"/>
        </w:rPr>
        <w:t xml:space="preserve"> disagreement with a team member regarding decontamination rules, by </w:t>
      </w:r>
      <w:r w:rsidR="00A14C3F" w:rsidRPr="00244B5C">
        <w:rPr>
          <w:rFonts w:ascii="Segoe UI" w:hAnsi="Segoe UI" w:cs="Segoe UI"/>
          <w:color w:val="000000"/>
        </w:rPr>
        <w:t>identif</w:t>
      </w:r>
      <w:r w:rsidR="00A14C3F">
        <w:rPr>
          <w:rFonts w:ascii="Segoe UI" w:hAnsi="Segoe UI" w:cs="Segoe UI"/>
          <w:color w:val="000000"/>
        </w:rPr>
        <w:t>ying</w:t>
      </w:r>
      <w:r w:rsidRPr="00244B5C">
        <w:rPr>
          <w:rFonts w:ascii="Segoe UI" w:hAnsi="Segoe UI" w:cs="Segoe UI"/>
          <w:color w:val="000000"/>
        </w:rPr>
        <w:t xml:space="preserve"> their emotional response</w:t>
      </w:r>
      <w:r w:rsidR="00A14C3F">
        <w:rPr>
          <w:rFonts w:ascii="Segoe UI" w:hAnsi="Segoe UI" w:cs="Segoe UI"/>
          <w:color w:val="000000"/>
        </w:rPr>
        <w:t xml:space="preserve"> </w:t>
      </w:r>
      <w:r w:rsidRPr="00244B5C">
        <w:rPr>
          <w:rFonts w:ascii="Segoe UI" w:hAnsi="Segoe UI" w:cs="Segoe UI"/>
          <w:color w:val="000000"/>
        </w:rPr>
        <w:t>and adapt</w:t>
      </w:r>
      <w:r w:rsidR="00A14C3F">
        <w:rPr>
          <w:rFonts w:ascii="Segoe UI" w:hAnsi="Segoe UI" w:cs="Segoe UI"/>
          <w:color w:val="000000"/>
        </w:rPr>
        <w:t>ing</w:t>
      </w:r>
      <w:r w:rsidRPr="00244B5C">
        <w:rPr>
          <w:rFonts w:ascii="Segoe UI" w:hAnsi="Segoe UI" w:cs="Segoe UI"/>
          <w:color w:val="000000"/>
        </w:rPr>
        <w:t xml:space="preserve"> their communication </w:t>
      </w:r>
      <w:r w:rsidR="00A14C3F">
        <w:rPr>
          <w:rFonts w:ascii="Segoe UI" w:hAnsi="Segoe UI" w:cs="Segoe UI"/>
          <w:color w:val="000000"/>
        </w:rPr>
        <w:t>approaches</w:t>
      </w:r>
      <w:r w:rsidRPr="00244B5C">
        <w:rPr>
          <w:rFonts w:ascii="Segoe UI" w:hAnsi="Segoe UI" w:cs="Segoe UI"/>
          <w:color w:val="000000"/>
        </w:rPr>
        <w:t xml:space="preserve"> in</w:t>
      </w:r>
      <w:r w:rsidR="00A14C3F">
        <w:rPr>
          <w:rFonts w:ascii="Segoe UI" w:hAnsi="Segoe UI" w:cs="Segoe UI"/>
          <w:color w:val="000000"/>
        </w:rPr>
        <w:t xml:space="preserve"> potential</w:t>
      </w:r>
      <w:r w:rsidRPr="00244B5C">
        <w:rPr>
          <w:rFonts w:ascii="Segoe UI" w:hAnsi="Segoe UI" w:cs="Segoe UI"/>
          <w:color w:val="000000"/>
        </w:rPr>
        <w:t xml:space="preserve"> future situations. This</w:t>
      </w:r>
      <w:r w:rsidR="00A14C3F">
        <w:rPr>
          <w:rFonts w:ascii="Segoe UI" w:hAnsi="Segoe UI" w:cs="Segoe UI"/>
          <w:color w:val="000000"/>
        </w:rPr>
        <w:t xml:space="preserve"> system</w:t>
      </w:r>
      <w:r w:rsidRPr="00244B5C">
        <w:rPr>
          <w:rFonts w:ascii="Segoe UI" w:hAnsi="Segoe UI" w:cs="Segoe UI"/>
          <w:color w:val="000000"/>
        </w:rPr>
        <w:t xml:space="preserve"> supports the development of emotional awareness and behavioural change </w:t>
      </w:r>
      <w:r w:rsidR="00A14C3F" w:rsidRPr="00244B5C">
        <w:rPr>
          <w:rFonts w:ascii="Segoe UI" w:hAnsi="Segoe UI" w:cs="Segoe UI"/>
          <w:color w:val="000000"/>
        </w:rPr>
        <w:t>over</w:t>
      </w:r>
      <w:r w:rsidR="00A14C3F">
        <w:rPr>
          <w:rFonts w:ascii="Segoe UI" w:hAnsi="Segoe UI" w:cs="Segoe UI"/>
          <w:color w:val="000000"/>
        </w:rPr>
        <w:t xml:space="preserve"> a period of</w:t>
      </w:r>
      <w:r w:rsidRPr="00244B5C">
        <w:rPr>
          <w:rFonts w:ascii="Segoe UI" w:hAnsi="Segoe UI" w:cs="Segoe UI"/>
          <w:color w:val="000000"/>
        </w:rPr>
        <w:t xml:space="preserve"> time. However, reflective practice is dependent on the individual’s willingness to engage and the availability of time within busy clinical environments.</w:t>
      </w:r>
      <w:r w:rsidR="008A0FD3">
        <w:rPr>
          <w:rFonts w:ascii="Segoe UI" w:hAnsi="Segoe UI" w:cs="Segoe UI"/>
          <w:color w:val="000000"/>
        </w:rPr>
        <w:t xml:space="preserve"> Koshy et al. (2017) implies that “reflective practice can improve skills if done well”. Nevertheless, this perspective may not fully consider the real</w:t>
      </w:r>
      <w:r w:rsidR="00542906">
        <w:rPr>
          <w:rFonts w:ascii="Segoe UI" w:hAnsi="Segoe UI" w:cs="Segoe UI"/>
          <w:color w:val="000000"/>
        </w:rPr>
        <w:t xml:space="preserve"> time concept </w:t>
      </w:r>
      <w:r w:rsidR="008A0FD3">
        <w:rPr>
          <w:rFonts w:ascii="Segoe UI" w:hAnsi="Segoe UI" w:cs="Segoe UI"/>
          <w:color w:val="000000"/>
        </w:rPr>
        <w:t xml:space="preserve">of dental practices, where time </w:t>
      </w:r>
      <w:r w:rsidR="00542906">
        <w:rPr>
          <w:rFonts w:ascii="Segoe UI" w:hAnsi="Segoe UI" w:cs="Segoe UI"/>
          <w:color w:val="000000"/>
        </w:rPr>
        <w:t>pressures</w:t>
      </w:r>
      <w:r w:rsidR="008A0FD3">
        <w:rPr>
          <w:rFonts w:ascii="Segoe UI" w:hAnsi="Segoe UI" w:cs="Segoe UI"/>
          <w:color w:val="000000"/>
        </w:rPr>
        <w:t xml:space="preserve"> and clinical pressures can limit opportunities for meaningful reflection.</w:t>
      </w:r>
      <w:r w:rsidR="00D94BEF">
        <w:rPr>
          <w:rFonts w:ascii="Segoe UI" w:hAnsi="Segoe UI" w:cs="Segoe UI"/>
          <w:color w:val="000000"/>
        </w:rPr>
        <w:t xml:space="preserve"> </w:t>
      </w:r>
      <w:r w:rsidRPr="00244B5C">
        <w:rPr>
          <w:rFonts w:ascii="Segoe UI" w:hAnsi="Segoe UI" w:cs="Segoe UI"/>
          <w:color w:val="000000"/>
        </w:rPr>
        <w:t>Additionally, without structured guidance or feedback, reflection alone may not lead to sustained improvements in behaviour, highlighting a limitation in its practical application</w:t>
      </w:r>
      <w:r w:rsidR="00D94BEF">
        <w:rPr>
          <w:rFonts w:ascii="Segoe UI" w:hAnsi="Segoe UI" w:cs="Segoe UI"/>
          <w:color w:val="000000"/>
        </w:rPr>
        <w:t xml:space="preserve"> (Welsh Government, 2018).</w:t>
      </w:r>
    </w:p>
    <w:p w14:paraId="59F25057" w14:textId="0E5B6EC4" w:rsidR="00244B5C" w:rsidRPr="00244B5C" w:rsidRDefault="00DF6147" w:rsidP="00244B5C">
      <w:pPr>
        <w:pStyle w:val="NormalWeb"/>
        <w:spacing w:line="360" w:lineRule="auto"/>
        <w:rPr>
          <w:rFonts w:ascii="Segoe UI" w:hAnsi="Segoe UI" w:cs="Segoe UI"/>
          <w:color w:val="000000"/>
        </w:rPr>
      </w:pPr>
      <w:r>
        <w:rPr>
          <w:rFonts w:ascii="Segoe UI" w:hAnsi="Segoe UI" w:cs="Segoe UI"/>
          <w:color w:val="000000"/>
        </w:rPr>
        <w:t>EI can be nurtured in addition to reflective practice</w:t>
      </w:r>
      <w:r w:rsidR="00244B5C" w:rsidRPr="00244B5C">
        <w:rPr>
          <w:rFonts w:ascii="Segoe UI" w:hAnsi="Segoe UI" w:cs="Segoe UI"/>
          <w:color w:val="000000"/>
        </w:rPr>
        <w:t xml:space="preserve">, </w:t>
      </w:r>
      <w:r>
        <w:rPr>
          <w:rFonts w:ascii="Segoe UI" w:hAnsi="Segoe UI" w:cs="Segoe UI"/>
          <w:color w:val="000000"/>
        </w:rPr>
        <w:t>by making use</w:t>
      </w:r>
      <w:r w:rsidR="00244B5C" w:rsidRPr="00244B5C">
        <w:rPr>
          <w:rFonts w:ascii="Segoe UI" w:hAnsi="Segoe UI" w:cs="Segoe UI"/>
          <w:color w:val="000000"/>
        </w:rPr>
        <w:t xml:space="preserve"> of self</w:t>
      </w:r>
      <w:r w:rsidR="00244B5C" w:rsidRPr="00244B5C">
        <w:rPr>
          <w:rFonts w:ascii="Segoe UI" w:hAnsi="Segoe UI" w:cs="Segoe UI"/>
          <w:color w:val="000000"/>
        </w:rPr>
        <w:noBreakHyphen/>
        <w:t xml:space="preserve">assessment tools, </w:t>
      </w:r>
      <w:r>
        <w:rPr>
          <w:rFonts w:ascii="Segoe UI" w:hAnsi="Segoe UI" w:cs="Segoe UI"/>
          <w:color w:val="000000"/>
        </w:rPr>
        <w:t xml:space="preserve">that enable </w:t>
      </w:r>
      <w:r w:rsidR="00244B5C" w:rsidRPr="00244B5C">
        <w:rPr>
          <w:rFonts w:ascii="Segoe UI" w:hAnsi="Segoe UI" w:cs="Segoe UI"/>
          <w:color w:val="000000"/>
        </w:rPr>
        <w:t xml:space="preserve">dental professionals to </w:t>
      </w:r>
      <w:r>
        <w:rPr>
          <w:rFonts w:ascii="Segoe UI" w:hAnsi="Segoe UI" w:cs="Segoe UI"/>
          <w:color w:val="000000"/>
        </w:rPr>
        <w:t>review</w:t>
      </w:r>
      <w:r w:rsidR="00244B5C" w:rsidRPr="00244B5C">
        <w:rPr>
          <w:rFonts w:ascii="Segoe UI" w:hAnsi="Segoe UI" w:cs="Segoe UI"/>
          <w:color w:val="000000"/>
        </w:rPr>
        <w:t xml:space="preserve"> their emotional awareness, communication style, and interpersonal effectiveness. Models such as the Emotional Quotient Inventory (EQ</w:t>
      </w:r>
      <w:r w:rsidR="00244B5C" w:rsidRPr="00244B5C">
        <w:rPr>
          <w:rFonts w:ascii="Segoe UI" w:hAnsi="Segoe UI" w:cs="Segoe UI"/>
          <w:color w:val="000000"/>
        </w:rPr>
        <w:noBreakHyphen/>
      </w:r>
      <w:proofErr w:type="spellStart"/>
      <w:r w:rsidR="00244B5C" w:rsidRPr="00244B5C">
        <w:rPr>
          <w:rFonts w:ascii="Segoe UI" w:hAnsi="Segoe UI" w:cs="Segoe UI"/>
          <w:color w:val="000000"/>
        </w:rPr>
        <w:t>i</w:t>
      </w:r>
      <w:proofErr w:type="spellEnd"/>
      <w:r w:rsidR="00244B5C" w:rsidRPr="00244B5C">
        <w:rPr>
          <w:rFonts w:ascii="Segoe UI" w:hAnsi="Segoe UI" w:cs="Segoe UI"/>
          <w:color w:val="000000"/>
        </w:rPr>
        <w:t xml:space="preserve">) and frameworks based on Goleman’s competencies allow individuals to identify strengths and areas for development, </w:t>
      </w:r>
      <w:r>
        <w:rPr>
          <w:rFonts w:ascii="Segoe UI" w:hAnsi="Segoe UI" w:cs="Segoe UI"/>
          <w:color w:val="000000"/>
        </w:rPr>
        <w:t xml:space="preserve">specifically </w:t>
      </w:r>
      <w:r w:rsidRPr="00244B5C">
        <w:rPr>
          <w:rFonts w:ascii="Segoe UI" w:hAnsi="Segoe UI" w:cs="Segoe UI"/>
          <w:color w:val="000000"/>
        </w:rPr>
        <w:t xml:space="preserve">in </w:t>
      </w:r>
      <w:r>
        <w:rPr>
          <w:rFonts w:ascii="Segoe UI" w:hAnsi="Segoe UI" w:cs="Segoe UI"/>
          <w:color w:val="000000"/>
        </w:rPr>
        <w:t>regard to</w:t>
      </w:r>
      <w:r w:rsidR="00244B5C" w:rsidRPr="00244B5C">
        <w:rPr>
          <w:rFonts w:ascii="Segoe UI" w:hAnsi="Segoe UI" w:cs="Segoe UI"/>
          <w:color w:val="000000"/>
        </w:rPr>
        <w:t xml:space="preserve"> empathy, self</w:t>
      </w:r>
      <w:r w:rsidR="00244B5C" w:rsidRPr="00244B5C">
        <w:rPr>
          <w:rFonts w:ascii="Segoe UI" w:hAnsi="Segoe UI" w:cs="Segoe UI"/>
          <w:color w:val="000000"/>
        </w:rPr>
        <w:noBreakHyphen/>
        <w:t xml:space="preserve">regulation, and social skills. Within dental practice, this can support practitioners in recognising how their emotional responses </w:t>
      </w:r>
      <w:r>
        <w:rPr>
          <w:rFonts w:ascii="Segoe UI" w:hAnsi="Segoe UI" w:cs="Segoe UI"/>
          <w:color w:val="000000"/>
        </w:rPr>
        <w:t>whether that be positive or negative effect</w:t>
      </w:r>
      <w:r w:rsidR="00244B5C" w:rsidRPr="00244B5C">
        <w:rPr>
          <w:rFonts w:ascii="Segoe UI" w:hAnsi="Segoe UI" w:cs="Segoe UI"/>
          <w:color w:val="000000"/>
        </w:rPr>
        <w:t xml:space="preserve"> patient interactions and team dynamics. However,</w:t>
      </w:r>
      <w:r>
        <w:rPr>
          <w:rFonts w:ascii="Segoe UI" w:hAnsi="Segoe UI" w:cs="Segoe UI"/>
          <w:color w:val="000000"/>
        </w:rPr>
        <w:t xml:space="preserve"> there are issues related to the accuracy</w:t>
      </w:r>
      <w:r w:rsidR="00244B5C" w:rsidRPr="00244B5C">
        <w:rPr>
          <w:rFonts w:ascii="Segoe UI" w:hAnsi="Segoe UI" w:cs="Segoe UI"/>
          <w:color w:val="000000"/>
        </w:rPr>
        <w:t xml:space="preserve"> self</w:t>
      </w:r>
      <w:r w:rsidR="00244B5C" w:rsidRPr="00244B5C">
        <w:rPr>
          <w:rFonts w:ascii="Segoe UI" w:hAnsi="Segoe UI" w:cs="Segoe UI"/>
          <w:color w:val="000000"/>
        </w:rPr>
        <w:noBreakHyphen/>
        <w:t>assessment tool</w:t>
      </w:r>
      <w:r>
        <w:rPr>
          <w:rFonts w:ascii="Segoe UI" w:hAnsi="Segoe UI" w:cs="Segoe UI"/>
          <w:color w:val="000000"/>
        </w:rPr>
        <w:t>s as subjective opinion occurs and</w:t>
      </w:r>
      <w:r w:rsidR="00244B5C" w:rsidRPr="00244B5C">
        <w:rPr>
          <w:rFonts w:ascii="Segoe UI" w:hAnsi="Segoe UI" w:cs="Segoe UI"/>
          <w:color w:val="000000"/>
        </w:rPr>
        <w:t xml:space="preserve"> may be influenced by personal bias or limited self</w:t>
      </w:r>
      <w:r w:rsidR="00244B5C" w:rsidRPr="00244B5C">
        <w:rPr>
          <w:rFonts w:ascii="Segoe UI" w:hAnsi="Segoe UI" w:cs="Segoe UI"/>
          <w:color w:val="000000"/>
        </w:rPr>
        <w:noBreakHyphen/>
        <w:t xml:space="preserve">awareness, </w:t>
      </w:r>
      <w:r>
        <w:rPr>
          <w:rFonts w:ascii="Segoe UI" w:hAnsi="Segoe UI" w:cs="Segoe UI"/>
          <w:color w:val="000000"/>
        </w:rPr>
        <w:t xml:space="preserve">allowing concerns on whether they are reliable as just </w:t>
      </w:r>
      <w:r w:rsidR="00244B5C" w:rsidRPr="00244B5C">
        <w:rPr>
          <w:rFonts w:ascii="Segoe UI" w:hAnsi="Segoe UI" w:cs="Segoe UI"/>
          <w:color w:val="000000"/>
        </w:rPr>
        <w:t>standalone measures of EI.</w:t>
      </w:r>
    </w:p>
    <w:p w14:paraId="4000F924" w14:textId="7178FC0A" w:rsidR="00244B5C" w:rsidRPr="00244B5C" w:rsidRDefault="00244B5C" w:rsidP="00244B5C">
      <w:pPr>
        <w:pStyle w:val="NormalWeb"/>
        <w:spacing w:line="360" w:lineRule="auto"/>
        <w:rPr>
          <w:rFonts w:ascii="Segoe UI" w:hAnsi="Segoe UI" w:cs="Segoe UI"/>
          <w:color w:val="000000"/>
        </w:rPr>
      </w:pPr>
      <w:r w:rsidRPr="00244B5C">
        <w:rPr>
          <w:rFonts w:ascii="Segoe UI" w:hAnsi="Segoe UI" w:cs="Segoe UI"/>
          <w:color w:val="000000"/>
        </w:rPr>
        <w:t>O</w:t>
      </w:r>
      <w:r w:rsidR="00DF6147">
        <w:rPr>
          <w:rFonts w:ascii="Segoe UI" w:hAnsi="Segoe UI" w:cs="Segoe UI"/>
          <w:color w:val="000000"/>
        </w:rPr>
        <w:t>n the whole,</w:t>
      </w:r>
      <w:r w:rsidRPr="00244B5C">
        <w:rPr>
          <w:rFonts w:ascii="Segoe UI" w:hAnsi="Segoe UI" w:cs="Segoe UI"/>
          <w:color w:val="000000"/>
        </w:rPr>
        <w:t xml:space="preserve"> while both reflective learning and self</w:t>
      </w:r>
      <w:r w:rsidRPr="00244B5C">
        <w:rPr>
          <w:rFonts w:ascii="Segoe UI" w:hAnsi="Segoe UI" w:cs="Segoe UI"/>
          <w:color w:val="000000"/>
        </w:rPr>
        <w:noBreakHyphen/>
        <w:t xml:space="preserve">assessment approaches offer </w:t>
      </w:r>
      <w:r w:rsidR="00DF6147">
        <w:rPr>
          <w:rFonts w:ascii="Segoe UI" w:hAnsi="Segoe UI" w:cs="Segoe UI"/>
          <w:color w:val="000000"/>
        </w:rPr>
        <w:t xml:space="preserve">provide helpful </w:t>
      </w:r>
      <w:r w:rsidRPr="00244B5C">
        <w:rPr>
          <w:rFonts w:ascii="Segoe UI" w:hAnsi="Segoe UI" w:cs="Segoe UI"/>
          <w:color w:val="000000"/>
        </w:rPr>
        <w:t>methods for developing</w:t>
      </w:r>
      <w:r w:rsidR="00DF6147">
        <w:rPr>
          <w:rFonts w:ascii="Segoe UI" w:hAnsi="Segoe UI" w:cs="Segoe UI"/>
          <w:color w:val="000000"/>
        </w:rPr>
        <w:t xml:space="preserve"> EI</w:t>
      </w:r>
      <w:r w:rsidRPr="00244B5C">
        <w:rPr>
          <w:rFonts w:ascii="Segoe UI" w:hAnsi="Segoe UI" w:cs="Segoe UI"/>
          <w:color w:val="000000"/>
        </w:rPr>
        <w:t xml:space="preserve">, their </w:t>
      </w:r>
      <w:r w:rsidR="00DF6147">
        <w:rPr>
          <w:rFonts w:ascii="Segoe UI" w:hAnsi="Segoe UI" w:cs="Segoe UI"/>
          <w:color w:val="000000"/>
        </w:rPr>
        <w:t>true potential</w:t>
      </w:r>
      <w:r w:rsidRPr="00244B5C">
        <w:rPr>
          <w:rFonts w:ascii="Segoe UI" w:hAnsi="Segoe UI" w:cs="Segoe UI"/>
          <w:color w:val="000000"/>
        </w:rPr>
        <w:t xml:space="preserve"> is </w:t>
      </w:r>
      <w:r w:rsidR="00DF6147">
        <w:rPr>
          <w:rFonts w:ascii="Segoe UI" w:hAnsi="Segoe UI" w:cs="Segoe UI"/>
          <w:color w:val="000000"/>
        </w:rPr>
        <w:t xml:space="preserve">relayed upon </w:t>
      </w:r>
      <w:r w:rsidR="00AB5E04">
        <w:rPr>
          <w:rFonts w:ascii="Segoe UI" w:hAnsi="Segoe UI" w:cs="Segoe UI"/>
          <w:color w:val="000000"/>
        </w:rPr>
        <w:t xml:space="preserve">wider </w:t>
      </w:r>
      <w:r w:rsidRPr="00244B5C">
        <w:rPr>
          <w:rFonts w:ascii="Segoe UI" w:hAnsi="Segoe UI" w:cs="Segoe UI"/>
          <w:color w:val="000000"/>
        </w:rPr>
        <w:t>organisational support.</w:t>
      </w:r>
      <w:r>
        <w:rPr>
          <w:rFonts w:ascii="Segoe UI" w:hAnsi="Segoe UI" w:cs="Segoe UI"/>
          <w:color w:val="000000"/>
        </w:rPr>
        <w:t xml:space="preserve"> These wider external influences are further</w:t>
      </w:r>
      <w:r w:rsidR="00DF6147">
        <w:rPr>
          <w:rFonts w:ascii="Segoe UI" w:hAnsi="Segoe UI" w:cs="Segoe UI"/>
          <w:color w:val="000000"/>
        </w:rPr>
        <w:t xml:space="preserve"> revealed</w:t>
      </w:r>
      <w:r>
        <w:rPr>
          <w:rFonts w:ascii="Segoe UI" w:hAnsi="Segoe UI" w:cs="Segoe UI"/>
          <w:color w:val="000000"/>
        </w:rPr>
        <w:t xml:space="preserve"> in the PESTLE analysis (see appendix 1), which underlines how political, economic, and organisational factors can </w:t>
      </w:r>
      <w:r w:rsidR="00DF6147">
        <w:rPr>
          <w:rFonts w:ascii="Segoe UI" w:hAnsi="Segoe UI" w:cs="Segoe UI"/>
          <w:color w:val="000000"/>
        </w:rPr>
        <w:t>massively</w:t>
      </w:r>
      <w:r>
        <w:rPr>
          <w:rFonts w:ascii="Segoe UI" w:hAnsi="Segoe UI" w:cs="Segoe UI"/>
          <w:color w:val="000000"/>
        </w:rPr>
        <w:t xml:space="preserve"> impact the </w:t>
      </w:r>
      <w:r w:rsidR="00DF6147">
        <w:rPr>
          <w:rFonts w:ascii="Segoe UI" w:hAnsi="Segoe UI" w:cs="Segoe UI"/>
          <w:color w:val="000000"/>
        </w:rPr>
        <w:t>application</w:t>
      </w:r>
      <w:r>
        <w:rPr>
          <w:rFonts w:ascii="Segoe UI" w:hAnsi="Segoe UI" w:cs="Segoe UI"/>
          <w:color w:val="000000"/>
        </w:rPr>
        <w:t xml:space="preserve"> of workforce development and </w:t>
      </w:r>
      <w:r w:rsidR="00DF6147">
        <w:rPr>
          <w:rFonts w:ascii="Segoe UI" w:hAnsi="Segoe UI" w:cs="Segoe UI"/>
          <w:color w:val="000000"/>
        </w:rPr>
        <w:t>methods</w:t>
      </w:r>
      <w:r>
        <w:rPr>
          <w:rFonts w:ascii="Segoe UI" w:hAnsi="Segoe UI" w:cs="Segoe UI"/>
          <w:color w:val="000000"/>
        </w:rPr>
        <w:t xml:space="preserve"> within the dental practice.</w:t>
      </w:r>
      <w:r w:rsidRPr="00244B5C">
        <w:rPr>
          <w:rFonts w:ascii="Segoe UI" w:hAnsi="Segoe UI" w:cs="Segoe UI"/>
          <w:color w:val="000000"/>
        </w:rPr>
        <w:t xml:space="preserve"> Without structured training, </w:t>
      </w:r>
      <w:r w:rsidR="00DF6147">
        <w:rPr>
          <w:rFonts w:ascii="Segoe UI" w:hAnsi="Segoe UI" w:cs="Segoe UI"/>
          <w:color w:val="000000"/>
        </w:rPr>
        <w:t xml:space="preserve">constant </w:t>
      </w:r>
      <w:r w:rsidRPr="00244B5C">
        <w:rPr>
          <w:rFonts w:ascii="Segoe UI" w:hAnsi="Segoe UI" w:cs="Segoe UI"/>
          <w:color w:val="000000"/>
        </w:rPr>
        <w:t xml:space="preserve">feedback, and leadership engagement, these approaches may have </w:t>
      </w:r>
      <w:r w:rsidR="00DF6147">
        <w:rPr>
          <w:rFonts w:ascii="Segoe UI" w:hAnsi="Segoe UI" w:cs="Segoe UI"/>
          <w:color w:val="000000"/>
        </w:rPr>
        <w:t>little use</w:t>
      </w:r>
      <w:r w:rsidRPr="00244B5C">
        <w:rPr>
          <w:rFonts w:ascii="Segoe UI" w:hAnsi="Segoe UI" w:cs="Segoe UI"/>
          <w:color w:val="000000"/>
        </w:rPr>
        <w:t xml:space="preserve">. Therefore, </w:t>
      </w:r>
      <w:r w:rsidR="00DF6147">
        <w:rPr>
          <w:rFonts w:ascii="Segoe UI" w:hAnsi="Segoe UI" w:cs="Segoe UI"/>
          <w:color w:val="000000"/>
        </w:rPr>
        <w:t>in order to get long lasting results of</w:t>
      </w:r>
      <w:r w:rsidRPr="00244B5C">
        <w:rPr>
          <w:rFonts w:ascii="Segoe UI" w:hAnsi="Segoe UI" w:cs="Segoe UI"/>
          <w:color w:val="000000"/>
        </w:rPr>
        <w:t xml:space="preserve"> EI into dental workforce development should be supported through a combination of individual commitment and organisational strategies to ensure meaningful and </w:t>
      </w:r>
      <w:r w:rsidR="00DF6147">
        <w:rPr>
          <w:rFonts w:ascii="Segoe UI" w:hAnsi="Segoe UI" w:cs="Segoe UI"/>
          <w:color w:val="000000"/>
        </w:rPr>
        <w:t>long-term</w:t>
      </w:r>
      <w:r w:rsidRPr="00244B5C">
        <w:rPr>
          <w:rFonts w:ascii="Segoe UI" w:hAnsi="Segoe UI" w:cs="Segoe UI"/>
          <w:color w:val="000000"/>
        </w:rPr>
        <w:t xml:space="preserve"> behavioural change.</w:t>
      </w:r>
    </w:p>
    <w:p w14:paraId="19E64FFB" w14:textId="234CA9A7" w:rsidR="00381674" w:rsidRDefault="0040673A" w:rsidP="00381674">
      <w:pPr>
        <w:pStyle w:val="Heading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9" w:name="_Toc229830417"/>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00381674" w:rsidRPr="0038167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Emotional Intelligence and Business Performance</w:t>
      </w:r>
      <w:bookmarkEnd w:id="9"/>
      <w:r w:rsidR="00381674" w:rsidRPr="0038167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3F28FA8D" w14:textId="77777777" w:rsidR="00244B5C" w:rsidRPr="00244B5C" w:rsidRDefault="00244B5C" w:rsidP="00244B5C"/>
    <w:p w14:paraId="7990F6FB" w14:textId="49A903DE" w:rsidR="00381674" w:rsidRDefault="0040673A" w:rsidP="00381674">
      <w:pPr>
        <w:pStyle w:val="Heading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0" w:name="_Toc229830418"/>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00381674" w:rsidRPr="0038167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Impact on Performance in the Dental Practice</w:t>
      </w:r>
      <w:bookmarkEnd w:id="10"/>
    </w:p>
    <w:p w14:paraId="3AD8F12A" w14:textId="77777777" w:rsidR="0015436F" w:rsidRDefault="0015436F" w:rsidP="0015436F">
      <w:pPr>
        <w:spacing w:line="360" w:lineRule="auto"/>
      </w:pPr>
    </w:p>
    <w:p w14:paraId="79FD68DF" w14:textId="65AA2800" w:rsidR="0015436F" w:rsidRPr="0015436F" w:rsidRDefault="0015436F" w:rsidP="003614E0">
      <w:pPr>
        <w:spacing w:line="360" w:lineRule="auto"/>
      </w:pPr>
      <w:r>
        <w:rPr>
          <w:rFonts w:ascii="Segoe UI" w:hAnsi="Segoe UI" w:cs="Segoe UI"/>
        </w:rPr>
        <w:t>EI has played an import</w:t>
      </w:r>
      <w:r w:rsidR="00DF6147">
        <w:rPr>
          <w:rFonts w:ascii="Segoe UI" w:hAnsi="Segoe UI" w:cs="Segoe UI"/>
        </w:rPr>
        <w:t>ant impact</w:t>
      </w:r>
      <w:r>
        <w:rPr>
          <w:rFonts w:ascii="Segoe UI" w:hAnsi="Segoe UI" w:cs="Segoe UI"/>
        </w:rPr>
        <w:t xml:space="preserve"> in the performance of a dental practice </w:t>
      </w:r>
      <w:r w:rsidR="00841E47">
        <w:rPr>
          <w:rFonts w:ascii="Segoe UI" w:hAnsi="Segoe UI" w:cs="Segoe UI"/>
        </w:rPr>
        <w:t>influencing key area</w:t>
      </w:r>
      <w:r w:rsidR="003C2313">
        <w:rPr>
          <w:rFonts w:ascii="Segoe UI" w:hAnsi="Segoe UI" w:cs="Segoe UI"/>
        </w:rPr>
        <w:t>s</w:t>
      </w:r>
      <w:r w:rsidR="00841E47">
        <w:rPr>
          <w:rFonts w:ascii="Segoe UI" w:hAnsi="Segoe UI" w:cs="Segoe UI"/>
        </w:rPr>
        <w:t xml:space="preserve"> such as patient satisfaction, team collaboration, leadership, and effective decision making (Muhammad, 2024).</w:t>
      </w:r>
      <w:r w:rsidR="00D94BEF">
        <w:rPr>
          <w:rFonts w:ascii="Segoe UI" w:hAnsi="Segoe UI" w:cs="Segoe UI"/>
        </w:rPr>
        <w:t xml:space="preserve"> </w:t>
      </w:r>
      <w:r w:rsidR="00A940CF">
        <w:rPr>
          <w:rFonts w:ascii="Segoe UI" w:hAnsi="Segoe UI" w:cs="Segoe UI"/>
        </w:rPr>
        <w:t>However,</w:t>
      </w:r>
      <w:r w:rsidR="00D94BEF">
        <w:rPr>
          <w:rFonts w:ascii="Segoe UI" w:hAnsi="Segoe UI" w:cs="Segoe UI"/>
        </w:rPr>
        <w:t xml:space="preserve"> depending on the individual standards of EI </w:t>
      </w:r>
      <w:r w:rsidR="003C2313">
        <w:rPr>
          <w:rFonts w:ascii="Segoe UI" w:hAnsi="Segoe UI" w:cs="Segoe UI"/>
        </w:rPr>
        <w:t>can</w:t>
      </w:r>
      <w:r w:rsidR="00D94BEF">
        <w:rPr>
          <w:rFonts w:ascii="Segoe UI" w:hAnsi="Segoe UI" w:cs="Segoe UI"/>
        </w:rPr>
        <w:t xml:space="preserve"> affect performance</w:t>
      </w:r>
      <w:r w:rsidR="00A940CF">
        <w:rPr>
          <w:rFonts w:ascii="Segoe UI" w:hAnsi="Segoe UI" w:cs="Segoe UI"/>
        </w:rPr>
        <w:t xml:space="preserve"> considerably. W</w:t>
      </w:r>
      <w:r w:rsidR="00D94BEF">
        <w:rPr>
          <w:rFonts w:ascii="Segoe UI" w:hAnsi="Segoe UI" w:cs="Segoe UI"/>
        </w:rPr>
        <w:t xml:space="preserve">hereas </w:t>
      </w:r>
      <w:r w:rsidR="00A940CF">
        <w:rPr>
          <w:rFonts w:ascii="Segoe UI" w:hAnsi="Segoe UI" w:cs="Segoe UI"/>
        </w:rPr>
        <w:t>dental professionals with a high EI level can manage stressful situations while remaining positive with their patients, along with maintaining a collaborative working environment. Therefore, leading to reduced conflict and increased staff retention while providing a high standard of patient care</w:t>
      </w:r>
      <w:r w:rsidR="00045BA1">
        <w:rPr>
          <w:rFonts w:ascii="Segoe UI" w:hAnsi="Segoe UI" w:cs="Segoe UI"/>
        </w:rPr>
        <w:t>. Research by Lomas &amp; Downey (2026) discussed how traits of EI are linked to resilience and adaptive coping mechanisms agreeing with the view of individuals with high EI. However, the research does not necessarily link to the working environment. The</w:t>
      </w:r>
      <w:r w:rsidR="000F5FB5">
        <w:rPr>
          <w:rFonts w:ascii="Segoe UI" w:hAnsi="Segoe UI" w:cs="Segoe UI"/>
        </w:rPr>
        <w:t xml:space="preserve"> application of Maslow’s Hierarchy of needs further explains how EI plays a role in performance within a dental setting</w:t>
      </w:r>
      <w:r w:rsidR="004D643B">
        <w:rPr>
          <w:rFonts w:ascii="Segoe UI" w:hAnsi="Segoe UI" w:cs="Segoe UI"/>
        </w:rPr>
        <w:t xml:space="preserve">, when applied can enhance both patient outcomes and staff wellbeing. Although </w:t>
      </w:r>
      <w:r w:rsidR="003C2313">
        <w:rPr>
          <w:rFonts w:ascii="Segoe UI" w:hAnsi="Segoe UI" w:cs="Segoe UI"/>
        </w:rPr>
        <w:t>the framework is a useful tool to use in business when applied to dentistry the simple structured concept of the model does not predict patient behaviour and staff responses which can be unpredictable and influenced by external factors.</w:t>
      </w:r>
      <w:r w:rsidR="006D6F50">
        <w:rPr>
          <w:rFonts w:ascii="Segoe UI" w:hAnsi="Segoe UI" w:cs="Segoe UI"/>
        </w:rPr>
        <w:t xml:space="preserve"> On the other hand, Emanuel (2023) disagrees as the view of Maslow Hierarchy is vital in shaping the NHS future to better serve the population as a whole</w:t>
      </w:r>
      <w:r w:rsidR="002C4337">
        <w:rPr>
          <w:rFonts w:ascii="Segoe UI" w:hAnsi="Segoe UI" w:cs="Segoe UI"/>
        </w:rPr>
        <w:t xml:space="preserve">, this is referring the NHS to a whole business repeatedly not seeking out individual practices with different forms of methods used along with needs met by multiple EI levels of performance. </w:t>
      </w:r>
      <w:r w:rsidR="002A3D92">
        <w:rPr>
          <w:rFonts w:ascii="Segoe UI" w:hAnsi="Segoe UI" w:cs="Segoe UI"/>
        </w:rPr>
        <w:t xml:space="preserve">Arthur (2026) as shown in appendix 2 shows the dynamics of EI both high and low </w:t>
      </w:r>
      <w:r w:rsidR="003614E0">
        <w:rPr>
          <w:rFonts w:ascii="Segoe UI" w:hAnsi="Segoe UI" w:cs="Segoe UI"/>
        </w:rPr>
        <w:t xml:space="preserve">indicating the leadership roles of an individual with high EI climb the Maslow pyramid higher by acquiring self-esteem and self-actualisation due to their ability to regulate own emotions, support team wellbeing and communicate effectively. Alternatively, the lower EI individuals may struggle to might the higher level of the pyramid effecting working performance and team effectiveness. </w:t>
      </w:r>
      <w:r w:rsidR="000223BB">
        <w:rPr>
          <w:rFonts w:ascii="Segoe UI" w:hAnsi="Segoe UI" w:cs="Segoe UI"/>
        </w:rPr>
        <w:t>In addition, alternative models may provide a more practical approach for individuals with lower EI. For example, Goleman’s emotional intelligence as discussed in 2.3 section would fit well due to emotional skills that can be developed over time through experience and adequate training. Therefore, although EI can contribute to improved performance, it should not be viewed as the only solution, as both individual and organisational factors contribute to the influence of outcomes within the dental practice.</w:t>
      </w:r>
    </w:p>
    <w:p w14:paraId="480B98C6" w14:textId="57C66448" w:rsidR="000223BB" w:rsidRDefault="0040673A" w:rsidP="00DF6147">
      <w:pPr>
        <w:pStyle w:val="Heading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1" w:name="_Toc229830419"/>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00381674" w:rsidRPr="0038167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Examples from Dental Pract</w:t>
      </w:r>
      <w:r w:rsidR="000223BB">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ice</w:t>
      </w:r>
      <w:bookmarkEnd w:id="11"/>
    </w:p>
    <w:p w14:paraId="40DD3092" w14:textId="77777777" w:rsidR="00DF6147" w:rsidRDefault="00DF6147" w:rsidP="00DF6147">
      <w:pPr>
        <w:spacing w:line="360" w:lineRule="auto"/>
        <w:rPr>
          <w:rFonts w:ascii="Segoe UI" w:hAnsi="Segoe UI" w:cs="Segoe UI"/>
        </w:rPr>
      </w:pPr>
      <w:r>
        <w:rPr>
          <w:rFonts w:ascii="Segoe UI" w:hAnsi="Segoe UI" w:cs="Segoe UI"/>
        </w:rPr>
        <w:t>In dental practices there are a variety of examples that all require the need for EI due to the constant communication channels needed for patient communication and collaborative teamwork. To achieve effective communication a use of multiple communication channels is needed these include verbal, non-verbal and written communication all these channels are supported by EI through a variety of emotions empathy, clarity and understanding.  For example, a professional who demonstrates high EI behaviours such as encouraging team empowerment and supporting patient autonomy, all link to improved patient quality care and performance outcomes (Junious 2026).This can be illustrated by a patient who attends treatment can be distressed or nervous regarding the process, a dental professional with high EI can recognise these cues verbal or non-verbal therefore respond with empathy, understanding, reassurance and clear communication thereby improving cooperation and overall experience (Young &amp; Johnsen 2025).</w:t>
      </w:r>
    </w:p>
    <w:p w14:paraId="29DBBBE5" w14:textId="77777777" w:rsidR="00DF6147" w:rsidRDefault="00DF6147" w:rsidP="00DF6147">
      <w:pPr>
        <w:spacing w:line="360" w:lineRule="auto"/>
        <w:rPr>
          <w:rFonts w:ascii="Segoe UI" w:hAnsi="Segoe UI" w:cs="Segoe UI"/>
        </w:rPr>
      </w:pPr>
    </w:p>
    <w:p w14:paraId="7399830C" w14:textId="5B21F5BD" w:rsidR="00DF6147" w:rsidRDefault="00DF6147" w:rsidP="00DF6147">
      <w:pPr>
        <w:spacing w:line="360" w:lineRule="auto"/>
        <w:rPr>
          <w:rFonts w:ascii="Segoe UI" w:hAnsi="Segoe UI" w:cs="Segoe UI"/>
        </w:rPr>
      </w:pPr>
      <w:r>
        <w:rPr>
          <w:rFonts w:ascii="Segoe UI" w:hAnsi="Segoe UI" w:cs="Segoe UI"/>
        </w:rPr>
        <w:t xml:space="preserve"> However, does EI for less experienced professionals have the same outcomes on these particular situations. New starts may lack the practical experience and emotional awareness required to regularly demonstrate these behaviours. These negative effects can have an impact in patient results as well as patients not fully understating their treatment plans (Ho et al,.2024). Furthermore, this highlights the importance of training and development in supporting EI application in practice.</w:t>
      </w:r>
    </w:p>
    <w:p w14:paraId="1D1D4D6E" w14:textId="25706539" w:rsidR="003614E0" w:rsidRPr="00DF6147" w:rsidRDefault="00DF6147" w:rsidP="00DF6147">
      <w:pPr>
        <w:spacing w:line="360" w:lineRule="auto"/>
        <w:rPr>
          <w:rFonts w:ascii="Segoe UI" w:hAnsi="Segoe UI" w:cs="Segoe UI"/>
        </w:rPr>
      </w:pPr>
      <w:r>
        <w:rPr>
          <w:rFonts w:ascii="Segoe UI" w:hAnsi="Segoe UI" w:cs="Segoe UI"/>
        </w:rPr>
        <w:t>Similar examples involving EI include team conflict within the dental practice, where disagreements can develop due to the workload stress, communication breakdowns or differing in clinical decision making. Therefore, requires EI response to manage relationships and maintain a positive working environment.</w:t>
      </w:r>
    </w:p>
    <w:p w14:paraId="29EBD90B" w14:textId="77777777" w:rsidR="003614E0" w:rsidRDefault="003614E0" w:rsidP="003614E0"/>
    <w:p w14:paraId="1CFB5FF4" w14:textId="350D0B32" w:rsidR="00381674" w:rsidRDefault="0040673A" w:rsidP="00381674">
      <w:pPr>
        <w:pStyle w:val="Heading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2" w:name="_Toc229830420"/>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00381674" w:rsidRPr="0038167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Critical Evaluation</w:t>
      </w:r>
      <w:bookmarkEnd w:id="12"/>
    </w:p>
    <w:p w14:paraId="1D9A2ACE" w14:textId="68FFB39C" w:rsidR="00DF6147" w:rsidRPr="00DF6147" w:rsidRDefault="00DF6147" w:rsidP="00DF6147">
      <w:pPr>
        <w:spacing w:line="360" w:lineRule="auto"/>
        <w:rPr>
          <w:rFonts w:ascii="Segoe UI" w:hAnsi="Segoe UI" w:cs="Segoe UI"/>
        </w:rPr>
      </w:pPr>
      <w:r>
        <w:rPr>
          <w:rFonts w:ascii="Segoe UI" w:hAnsi="Segoe UI" w:cs="Segoe UI"/>
        </w:rPr>
        <w:t xml:space="preserve">The extent to which EI greatly influences the outcomes is still up for question, considering the fact that EI is frequently associated to improve performance in dental practice. Higher levels of EI are positively associated with communication, patient satisfaction, leadership and teamwork given the broad range of research discussed. This reinforces the theory that professionals within EI are better able to deal with their emotions and handle difficult clinical situations and maintain a healthy working relationship. As an outcome improved workplace morale, patient centred care and employee retention are continuously linked to EI. A detailed SWOT analysis highlighting the benefits and limitations of EI in dental practice can be shown in Appendix 3. Ultimately, the impact of EI on performance should be viewed as influential rather than definitive, needing the integration with organisational strategies and practical experience to achieve stable and viable improvements in dental practice. </w:t>
      </w:r>
    </w:p>
    <w:p w14:paraId="43312C19" w14:textId="77777777" w:rsidR="008B6662" w:rsidRPr="008B6662" w:rsidRDefault="008B6662" w:rsidP="008B6662"/>
    <w:p w14:paraId="21DD9611" w14:textId="4CD2D687" w:rsidR="00DF6147" w:rsidRPr="00DF6147" w:rsidRDefault="0040673A" w:rsidP="00DF6147">
      <w:pPr>
        <w:pStyle w:val="Heading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3" w:name="_Toc229830421"/>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00381674" w:rsidRPr="0038167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Mindfulness in the dental practice</w:t>
      </w:r>
      <w:bookmarkEnd w:id="13"/>
    </w:p>
    <w:p w14:paraId="4B458742" w14:textId="79BE4A1F" w:rsidR="00381674" w:rsidRDefault="0040673A" w:rsidP="00381674">
      <w:pPr>
        <w:pStyle w:val="Heading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4" w:name="_Toc229830422"/>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00381674" w:rsidRPr="0038167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 Definition of Mindfulness</w:t>
      </w:r>
      <w:bookmarkEnd w:id="14"/>
    </w:p>
    <w:p w14:paraId="5629F0E6" w14:textId="2FC6291B" w:rsidR="00DF6147" w:rsidRPr="00DF6147" w:rsidRDefault="00DF6147" w:rsidP="00DF6147">
      <w:pPr>
        <w:spacing w:line="360" w:lineRule="auto"/>
        <w:rPr>
          <w:rFonts w:ascii="Segoe UI" w:hAnsi="Segoe UI" w:cs="Segoe UI"/>
        </w:rPr>
      </w:pPr>
      <w:r>
        <w:rPr>
          <w:rFonts w:ascii="Segoe UI" w:hAnsi="Segoe UI" w:cs="Segoe UI"/>
        </w:rPr>
        <w:t xml:space="preserve">Mindfulness requires an individual to be aware not only of their thoughts and feelings but also surroundings. There are many definitions of mindfulness studies by theorists, who have produced stress strategies from mindfulness. Kabat- Zinn (1994) defines mindfulness as the awareness that develops through paying attention purposely in the present moment. In healthcare environment it is known that mindfulness has aided the concept to clinical interventions by enhancing focus and emotional regulation (Keng et al., 2011) Consequently, mindfulness has been linked to improve psychological well-being and reduced stress among the dental team. These differences of definitions and concepts highlight the value of theoretical frameworks in forming the understanding of mindfulness. </w:t>
      </w:r>
    </w:p>
    <w:p w14:paraId="033A13B3" w14:textId="77777777" w:rsidR="00DF6147" w:rsidRPr="00DF6147" w:rsidRDefault="00DF6147" w:rsidP="00DF6147"/>
    <w:p w14:paraId="6522D89D" w14:textId="5538729F" w:rsidR="00381674" w:rsidRDefault="0040673A" w:rsidP="00381674">
      <w:pPr>
        <w:pStyle w:val="Heading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5" w:name="_Toc229830423"/>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00381674" w:rsidRPr="0038167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Key Theorists</w:t>
      </w:r>
      <w:bookmarkEnd w:id="15"/>
    </w:p>
    <w:p w14:paraId="1EF212F0" w14:textId="4806DB28" w:rsidR="00DF6147" w:rsidRDefault="00DF6147" w:rsidP="00DF6147">
      <w:pPr>
        <w:spacing w:line="360" w:lineRule="auto"/>
        <w:rPr>
          <w:rFonts w:ascii="Segoe UI" w:hAnsi="Segoe UI" w:cs="Segoe UI"/>
        </w:rPr>
      </w:pPr>
      <w:r>
        <w:rPr>
          <w:rFonts w:ascii="Segoe UI" w:hAnsi="Segoe UI" w:cs="Segoe UI"/>
        </w:rPr>
        <w:t>There are two key theorists whose frameworks of mindfulness have contributed massively to healthcare and professional practice (Kabat Zinn, 2013; Hanh, 2001). Kabat Zinn (1994) created a Mindfullness-Based Stress Reduction (MBSR) programme aiming to help individuals manage stress, strengthen their ability to concentrate and overall improve psychological health. Behan (2020) clarifies how many systematic reviews of mindfulness-based practices have demonstrated a vast improvement in levels of anxiety, depression, and pain additionally supporting their relevance to healthcare.</w:t>
      </w:r>
    </w:p>
    <w:p w14:paraId="70C733B2" w14:textId="4645DEAA" w:rsidR="00DF6147" w:rsidRPr="00DF6147" w:rsidRDefault="00DF6147" w:rsidP="00DF6147">
      <w:pPr>
        <w:spacing w:line="360" w:lineRule="auto"/>
        <w:rPr>
          <w:rFonts w:ascii="Segoe UI" w:hAnsi="Segoe UI" w:cs="Segoe UI"/>
        </w:rPr>
      </w:pPr>
      <w:r>
        <w:rPr>
          <w:rFonts w:ascii="Segoe UI" w:hAnsi="Segoe UI" w:cs="Segoe UI"/>
        </w:rPr>
        <w:t>However, Thich Nhat Hanh concept takes a holistic approach to mindfulness, drawing attention to everyday life which considers practice settings including compassion, self-awareness and presence (Sankapal 2024). The teachings focus on the value of being fully active in both personal and professional interactions, which are appropriate when it comes to effective communication in a dental practice the key for successful relationships are vital in a healthcare environment. Collectively these perspectives provide an in depth understanding of mindfulness, showing the tool is needed for both clinical and practical application in dentistry (Islam et al., 2026).</w:t>
      </w:r>
    </w:p>
    <w:p w14:paraId="28480470" w14:textId="77777777" w:rsidR="00DF6147" w:rsidRPr="00DF6147" w:rsidRDefault="00DF6147" w:rsidP="00DF6147"/>
    <w:p w14:paraId="31BA2FB6" w14:textId="77777777" w:rsidR="00DF6147" w:rsidRPr="00DF6147" w:rsidRDefault="00DF6147" w:rsidP="00DF6147"/>
    <w:p w14:paraId="09C770DA" w14:textId="77777777" w:rsidR="00DF6147" w:rsidRPr="00DF6147" w:rsidRDefault="00DF6147" w:rsidP="00DF6147">
      <w:pPr>
        <w:rPr>
          <w:rFonts w:ascii="Segoe UI" w:hAnsi="Segoe UI" w:cs="Segoe UI"/>
        </w:rPr>
      </w:pPr>
    </w:p>
    <w:p w14:paraId="19763B75" w14:textId="0D9495A1" w:rsidR="00381674" w:rsidRDefault="0040673A" w:rsidP="00381674">
      <w:pPr>
        <w:pStyle w:val="Heading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6" w:name="_Toc229830424"/>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00381674" w:rsidRPr="0038167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Importance to Dental Practice</w:t>
      </w:r>
      <w:bookmarkEnd w:id="16"/>
    </w:p>
    <w:p w14:paraId="06C8B656" w14:textId="1322157A" w:rsidR="00DF6147" w:rsidRDefault="00DF6147" w:rsidP="00DF6147">
      <w:pPr>
        <w:spacing w:line="360" w:lineRule="auto"/>
        <w:rPr>
          <w:rFonts w:ascii="Segoe UI" w:hAnsi="Segoe UI" w:cs="Segoe UI"/>
        </w:rPr>
      </w:pPr>
      <w:r>
        <w:rPr>
          <w:rFonts w:ascii="Segoe UI" w:hAnsi="Segoe UI" w:cs="Segoe UI"/>
        </w:rPr>
        <w:t xml:space="preserve">Mindfulness importance to the dental practice can be implemented in a variety of areas due to the high pressures and faced pace clinical environment. Dental professionals are required to manage many tasks at the same time for example technical procedures, admin, infection control (Mamon,2012). These tasks can lead to increase stress levels. Mindfulness can support professionals in maintaining focus, improving emotional regulation and managing stress levels. Based on the research by Matthais et al, (2024) revealed the positive outcomes of mindfulness-based method the study showed improvement on psychological wellbeing along with reduce perceptions of stress and anxiety in the dental field. </w:t>
      </w:r>
    </w:p>
    <w:p w14:paraId="52918158" w14:textId="0F6A0F68" w:rsidR="00DF6147" w:rsidRPr="00DF6147" w:rsidRDefault="00DF6147" w:rsidP="00DF6147">
      <w:pPr>
        <w:spacing w:line="360" w:lineRule="auto"/>
        <w:rPr>
          <w:rFonts w:ascii="Segoe UI" w:hAnsi="Segoe UI" w:cs="Segoe UI"/>
        </w:rPr>
      </w:pPr>
      <w:r>
        <w:rPr>
          <w:rFonts w:ascii="Segoe UI" w:hAnsi="Segoe UI" w:cs="Segoe UI"/>
        </w:rPr>
        <w:t xml:space="preserve">An advantage of mindfulness is its effectiveness on patient interactions, dental patients who attend majority of them feel emotions of fear and anxiety. The dental team who are mindful are more equipped to remain present and attentive during appointments. Turer et al (2023) highlights mindfulness reduces stress in the dental environment but can also enhance physiological responses such as lower cortisol levels and lower blood pressure. However, in certain clinical situations a patient who is anxious when administering local anaesthetic some patients may demonstrate physical reaction which includes shaking or increased heart rate. This hints while mindfulness can support regulation, it may not fully control physical responses indicating a limitation within clinical practice. </w:t>
      </w:r>
    </w:p>
    <w:p w14:paraId="09E16E41" w14:textId="77777777" w:rsidR="00DF6147" w:rsidRPr="00DF6147" w:rsidRDefault="00DF6147" w:rsidP="00DF6147"/>
    <w:p w14:paraId="33126A0C" w14:textId="4E2F8EDB" w:rsidR="00381674" w:rsidRDefault="00381674" w:rsidP="00381674"/>
    <w:p w14:paraId="4DC1E51D" w14:textId="74BF82B6" w:rsidR="00381674" w:rsidRDefault="0040673A" w:rsidP="00381674">
      <w:pPr>
        <w:pStyle w:val="Heading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7" w:name="_Toc229830425"/>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00381674" w:rsidRPr="0038167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 Benefits vs Limitations</w:t>
      </w:r>
      <w:bookmarkEnd w:id="17"/>
    </w:p>
    <w:p w14:paraId="1325B2AA" w14:textId="3BB952DC" w:rsidR="00DF6147" w:rsidRDefault="00DF6147" w:rsidP="00DF6147">
      <w:pPr>
        <w:spacing w:line="360" w:lineRule="auto"/>
        <w:rPr>
          <w:rFonts w:ascii="Segoe UI" w:hAnsi="Segoe UI" w:cs="Segoe UI"/>
        </w:rPr>
      </w:pPr>
      <w:r>
        <w:rPr>
          <w:rFonts w:ascii="Segoe UI" w:hAnsi="Segoe UI" w:cs="Segoe UI"/>
        </w:rPr>
        <w:t>The benefits and limitations of mindfulness within dental practice can be outlined in the table below.</w:t>
      </w:r>
    </w:p>
    <w:p w14:paraId="6A5FC034" w14:textId="5EA8434A" w:rsidR="00DF6147" w:rsidRPr="00DF6147" w:rsidRDefault="00DF6147" w:rsidP="00DF6147">
      <w:pPr>
        <w:spacing w:line="360" w:lineRule="auto"/>
        <w:rPr>
          <w:rFonts w:ascii="Segoe UI" w:hAnsi="Segoe UI" w:cs="Segoe UI"/>
          <w:u w:val="single"/>
        </w:rPr>
      </w:pPr>
      <w:r w:rsidRPr="00DF6147">
        <w:rPr>
          <w:rFonts w:ascii="Segoe UI" w:hAnsi="Segoe UI" w:cs="Segoe UI"/>
          <w:u w:val="single"/>
        </w:rPr>
        <w:t>Table – 1 Benefits vs limitations Dental Practice</w:t>
      </w:r>
    </w:p>
    <w:tbl>
      <w:tblPr>
        <w:tblStyle w:val="TableGrid"/>
        <w:tblW w:w="0" w:type="auto"/>
        <w:tblLook w:val="04A0" w:firstRow="1" w:lastRow="0" w:firstColumn="1" w:lastColumn="0" w:noHBand="0" w:noVBand="1"/>
      </w:tblPr>
      <w:tblGrid>
        <w:gridCol w:w="4508"/>
        <w:gridCol w:w="4508"/>
      </w:tblGrid>
      <w:tr w:rsidR="00DF6147" w14:paraId="32D8BBA6" w14:textId="77777777" w:rsidTr="00DF6147">
        <w:tc>
          <w:tcPr>
            <w:tcW w:w="4508" w:type="dxa"/>
          </w:tcPr>
          <w:p w14:paraId="33DF00B2" w14:textId="28837BC6" w:rsidR="00DF6147" w:rsidRPr="00DF6147" w:rsidRDefault="00DF6147" w:rsidP="00DF6147">
            <w:pPr>
              <w:spacing w:line="360" w:lineRule="auto"/>
              <w:rPr>
                <w:rFonts w:ascii="Segoe UI" w:hAnsi="Segoe UI" w:cs="Segoe UI"/>
                <w:b/>
                <w:bCs/>
              </w:rPr>
            </w:pPr>
            <w:r w:rsidRPr="00DF6147">
              <w:rPr>
                <w:rFonts w:ascii="Segoe UI" w:hAnsi="Segoe UI" w:cs="Segoe UI"/>
                <w:b/>
                <w:bCs/>
              </w:rPr>
              <w:t>Benefits of Mindfulness</w:t>
            </w:r>
          </w:p>
        </w:tc>
        <w:tc>
          <w:tcPr>
            <w:tcW w:w="4508" w:type="dxa"/>
          </w:tcPr>
          <w:p w14:paraId="0D2A8263" w14:textId="42C9974B" w:rsidR="00DF6147" w:rsidRPr="00DF6147" w:rsidRDefault="00DF6147" w:rsidP="00DF6147">
            <w:pPr>
              <w:spacing w:line="360" w:lineRule="auto"/>
              <w:rPr>
                <w:rFonts w:ascii="Segoe UI" w:hAnsi="Segoe UI" w:cs="Segoe UI"/>
                <w:b/>
                <w:bCs/>
              </w:rPr>
            </w:pPr>
            <w:r w:rsidRPr="00DF6147">
              <w:rPr>
                <w:rFonts w:ascii="Segoe UI" w:hAnsi="Segoe UI" w:cs="Segoe UI"/>
                <w:b/>
                <w:bCs/>
              </w:rPr>
              <w:t>Limitations of Mindfulness</w:t>
            </w:r>
          </w:p>
        </w:tc>
      </w:tr>
      <w:tr w:rsidR="00DF6147" w14:paraId="383BBFB8" w14:textId="77777777" w:rsidTr="00DF6147">
        <w:tc>
          <w:tcPr>
            <w:tcW w:w="4508" w:type="dxa"/>
          </w:tcPr>
          <w:p w14:paraId="3FA3A52C" w14:textId="6966479D" w:rsidR="00DF6147" w:rsidRDefault="00DF6147" w:rsidP="00DF6147">
            <w:pPr>
              <w:spacing w:line="360" w:lineRule="auto"/>
              <w:rPr>
                <w:rFonts w:ascii="Segoe UI" w:hAnsi="Segoe UI" w:cs="Segoe UI"/>
              </w:rPr>
            </w:pPr>
            <w:r>
              <w:rPr>
                <w:rFonts w:ascii="Segoe UI" w:hAnsi="Segoe UI" w:cs="Segoe UI"/>
              </w:rPr>
              <w:t>Strengthens patient communication by encouraging active listing, attentiveness, empathy in non-clinical and clinical situations.</w:t>
            </w:r>
          </w:p>
        </w:tc>
        <w:tc>
          <w:tcPr>
            <w:tcW w:w="4508" w:type="dxa"/>
          </w:tcPr>
          <w:p w14:paraId="040468F9" w14:textId="5CD4F8F1" w:rsidR="00DF6147" w:rsidRDefault="00DF6147" w:rsidP="00DF6147">
            <w:pPr>
              <w:spacing w:line="360" w:lineRule="auto"/>
              <w:rPr>
                <w:rFonts w:ascii="Segoe UI" w:hAnsi="Segoe UI" w:cs="Segoe UI"/>
              </w:rPr>
            </w:pPr>
            <w:r>
              <w:rPr>
                <w:rFonts w:ascii="Segoe UI" w:hAnsi="Segoe UI" w:cs="Segoe UI"/>
              </w:rPr>
              <w:t xml:space="preserve">Can be time consuming under clinical time constraints and high-pressure environments to concentrate. </w:t>
            </w:r>
          </w:p>
        </w:tc>
      </w:tr>
      <w:tr w:rsidR="00DF6147" w14:paraId="5710DE37" w14:textId="77777777" w:rsidTr="00DF6147">
        <w:tc>
          <w:tcPr>
            <w:tcW w:w="4508" w:type="dxa"/>
          </w:tcPr>
          <w:p w14:paraId="6736D693" w14:textId="0E1C69F4" w:rsidR="00DF6147" w:rsidRDefault="00DF6147" w:rsidP="00DF6147">
            <w:pPr>
              <w:spacing w:line="360" w:lineRule="auto"/>
              <w:rPr>
                <w:rFonts w:ascii="Segoe UI" w:hAnsi="Segoe UI" w:cs="Segoe UI"/>
              </w:rPr>
            </w:pPr>
            <w:r>
              <w:rPr>
                <w:rFonts w:ascii="Segoe UI" w:hAnsi="Segoe UI" w:cs="Segoe UI"/>
              </w:rPr>
              <w:t xml:space="preserve">Supports staff wellbeing reducing stress and pressures of high workload. </w:t>
            </w:r>
          </w:p>
        </w:tc>
        <w:tc>
          <w:tcPr>
            <w:tcW w:w="4508" w:type="dxa"/>
          </w:tcPr>
          <w:p w14:paraId="3DD2B259" w14:textId="2F64287D" w:rsidR="00DF6147" w:rsidRDefault="00DF6147" w:rsidP="00DF6147">
            <w:pPr>
              <w:spacing w:line="360" w:lineRule="auto"/>
              <w:rPr>
                <w:rFonts w:ascii="Segoe UI" w:hAnsi="Segoe UI" w:cs="Segoe UI"/>
              </w:rPr>
            </w:pPr>
            <w:r>
              <w:rPr>
                <w:rFonts w:ascii="Segoe UI" w:hAnsi="Segoe UI" w:cs="Segoe UI"/>
              </w:rPr>
              <w:t xml:space="preserve">Effectiveness may vary depending on the individual and their interactions plus experience. </w:t>
            </w:r>
          </w:p>
        </w:tc>
      </w:tr>
      <w:tr w:rsidR="00DF6147" w14:paraId="4850C969" w14:textId="77777777" w:rsidTr="00DF6147">
        <w:tc>
          <w:tcPr>
            <w:tcW w:w="4508" w:type="dxa"/>
          </w:tcPr>
          <w:p w14:paraId="3D29D4AC" w14:textId="70C499CE" w:rsidR="00DF6147" w:rsidRDefault="00DF6147" w:rsidP="00DF6147">
            <w:pPr>
              <w:spacing w:line="360" w:lineRule="auto"/>
              <w:rPr>
                <w:rFonts w:ascii="Segoe UI" w:hAnsi="Segoe UI" w:cs="Segoe UI"/>
              </w:rPr>
            </w:pPr>
            <w:r>
              <w:rPr>
                <w:rFonts w:ascii="Segoe UI" w:hAnsi="Segoe UI" w:cs="Segoe UI"/>
              </w:rPr>
              <w:t>Improves focus in clinical situations reduced the risk of clinical mistakes.</w:t>
            </w:r>
          </w:p>
        </w:tc>
        <w:tc>
          <w:tcPr>
            <w:tcW w:w="4508" w:type="dxa"/>
          </w:tcPr>
          <w:p w14:paraId="08D0AB85" w14:textId="780C3963" w:rsidR="00DF6147" w:rsidRDefault="00DF6147" w:rsidP="00DF6147">
            <w:pPr>
              <w:spacing w:line="360" w:lineRule="auto"/>
              <w:rPr>
                <w:rFonts w:ascii="Segoe UI" w:hAnsi="Segoe UI" w:cs="Segoe UI"/>
              </w:rPr>
            </w:pPr>
            <w:r>
              <w:rPr>
                <w:rFonts w:ascii="Segoe UI" w:hAnsi="Segoe UI" w:cs="Segoe UI"/>
              </w:rPr>
              <w:t xml:space="preserve">Restricted effectiveness if organisation does not put in place time for training. </w:t>
            </w:r>
          </w:p>
        </w:tc>
      </w:tr>
      <w:tr w:rsidR="00DF6147" w14:paraId="3CF89EE2" w14:textId="77777777" w:rsidTr="00DF6147">
        <w:trPr>
          <w:trHeight w:val="1455"/>
        </w:trPr>
        <w:tc>
          <w:tcPr>
            <w:tcW w:w="4508" w:type="dxa"/>
          </w:tcPr>
          <w:p w14:paraId="5E4B8E8B" w14:textId="5E13311F" w:rsidR="00DF6147" w:rsidRDefault="00DF6147" w:rsidP="00DF6147">
            <w:pPr>
              <w:spacing w:line="360" w:lineRule="auto"/>
              <w:rPr>
                <w:rFonts w:ascii="Segoe UI" w:hAnsi="Segoe UI" w:cs="Segoe UI"/>
              </w:rPr>
            </w:pPr>
            <w:r>
              <w:rPr>
                <w:rFonts w:ascii="Segoe UI" w:hAnsi="Segoe UI" w:cs="Segoe UI"/>
              </w:rPr>
              <w:t>Fosters a better team dynamic, collaboration and working environment</w:t>
            </w:r>
          </w:p>
        </w:tc>
        <w:tc>
          <w:tcPr>
            <w:tcW w:w="4508" w:type="dxa"/>
          </w:tcPr>
          <w:p w14:paraId="13A85CB1" w14:textId="4FDBAA05" w:rsidR="00DF6147" w:rsidRDefault="00DF6147" w:rsidP="00DF6147">
            <w:pPr>
              <w:spacing w:line="360" w:lineRule="auto"/>
              <w:rPr>
                <w:rFonts w:ascii="Segoe UI" w:hAnsi="Segoe UI" w:cs="Segoe UI"/>
              </w:rPr>
            </w:pPr>
            <w:r>
              <w:rPr>
                <w:rFonts w:ascii="Segoe UI" w:hAnsi="Segoe UI" w:cs="Segoe UI"/>
              </w:rPr>
              <w:t xml:space="preserve">Can be viewed as a basic solution to more complex workforce. </w:t>
            </w:r>
          </w:p>
        </w:tc>
      </w:tr>
    </w:tbl>
    <w:p w14:paraId="28D59891" w14:textId="4ACBE947" w:rsidR="00DF6147" w:rsidRPr="00DF6147" w:rsidRDefault="00DF6147" w:rsidP="00DF6147">
      <w:pPr>
        <w:spacing w:line="360" w:lineRule="auto"/>
        <w:rPr>
          <w:rFonts w:ascii="Segoe UI" w:hAnsi="Segoe UI" w:cs="Segoe UI"/>
        </w:rPr>
      </w:pPr>
      <w:r>
        <w:rPr>
          <w:rFonts w:ascii="Segoe UI" w:hAnsi="Segoe UI" w:cs="Segoe UI"/>
        </w:rPr>
        <w:t xml:space="preserve">When all is considered, mindfulness has a lot to offer in supporting the areas of patient care and staff wellbeing, its success is reliant on constant practice and should be combined with more extensive organisational plans to achieve maintainable improvements within a dental practice. </w:t>
      </w:r>
    </w:p>
    <w:p w14:paraId="73F9D669" w14:textId="7CDD6DE6" w:rsidR="00381674" w:rsidRDefault="0040673A" w:rsidP="00381674">
      <w:pPr>
        <w:pStyle w:val="Heading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8" w:name="_Toc229830426"/>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381674" w:rsidRPr="0038167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Relationship Between Emotional Intelligence and Mindfulness</w:t>
      </w:r>
      <w:bookmarkEnd w:id="18"/>
      <w:r w:rsidR="00381674" w:rsidRPr="0038167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63BF356" w14:textId="21C97CB4" w:rsidR="00DF6147" w:rsidRDefault="00DF6147" w:rsidP="00DF6147">
      <w:pPr>
        <w:spacing w:line="360" w:lineRule="auto"/>
        <w:rPr>
          <w:rFonts w:ascii="Segoe UI" w:hAnsi="Segoe UI" w:cs="Segoe UI"/>
        </w:rPr>
      </w:pPr>
      <w:r w:rsidRPr="00DF6147">
        <w:rPr>
          <w:rFonts w:ascii="Segoe UI" w:hAnsi="Segoe UI" w:cs="Segoe UI"/>
        </w:rPr>
        <w:t>EI and mindfulness</w:t>
      </w:r>
      <w:r>
        <w:rPr>
          <w:rFonts w:ascii="Segoe UI" w:hAnsi="Segoe UI" w:cs="Segoe UI"/>
        </w:rPr>
        <w:t xml:space="preserve"> are very much linked to one another to work successfully they require balance from each other. Both frameworks applied within dentistry use emotional awareness, self-regulation and effective communication (Lovas et al., 2020). EI works on recognising, understanding and managing while mindfulness focus on the present awareness complementing one another in this process. Although EI can function without mindfulness it can reduce its effectiveness, as the ability to remain present and regulate attention is essential for a clinical environment (Jimenez et al., 2021). </w:t>
      </w:r>
    </w:p>
    <w:p w14:paraId="40ED775A" w14:textId="5BCB400B" w:rsidR="00DF6147" w:rsidRPr="00DF6147" w:rsidRDefault="00DF6147" w:rsidP="00DF6147">
      <w:pPr>
        <w:spacing w:line="360" w:lineRule="auto"/>
        <w:rPr>
          <w:rFonts w:ascii="Segoe UI" w:hAnsi="Segoe UI" w:cs="Segoe UI"/>
        </w:rPr>
      </w:pPr>
      <w:r>
        <w:rPr>
          <w:rFonts w:ascii="Segoe UI" w:hAnsi="Segoe UI" w:cs="Segoe UI"/>
        </w:rPr>
        <w:t xml:space="preserve">Despite the similarities between the two concepts there are also clear differences. EI focuses on leadership and interpersonal relationships whereas mindfulness focus on the now what is happening in real time to be self-aware in current situations. Despite this when both concepts are used together can strengthen the practice by better decision making, control emotions, boost psychological resilience (Harris &amp; Eaton 2025). While both promote communication, staff wellbeing and patient centred approach in a dental practice. Mindfulness and EI are compatible once used together rather than independently (Miao et al 2018). </w:t>
      </w:r>
    </w:p>
    <w:p w14:paraId="69DBD813" w14:textId="77777777" w:rsidR="00DF6147" w:rsidRPr="00DF6147" w:rsidRDefault="00DF6147" w:rsidP="00DF6147"/>
    <w:p w14:paraId="2A8E4711" w14:textId="77777777" w:rsidR="00DF6147" w:rsidRPr="00DF6147" w:rsidRDefault="00DF6147" w:rsidP="00DF6147">
      <w:pPr>
        <w:rPr>
          <w:rFonts w:ascii="Segoe UI" w:hAnsi="Segoe UI" w:cs="Segoe UI"/>
        </w:rPr>
      </w:pPr>
    </w:p>
    <w:p w14:paraId="28858F37" w14:textId="77777777" w:rsidR="00DF6147" w:rsidRDefault="00DF6147" w:rsidP="00DF6147"/>
    <w:p w14:paraId="70AB9B83" w14:textId="77777777" w:rsidR="00DF6147" w:rsidRDefault="00DF6147" w:rsidP="00DF6147"/>
    <w:p w14:paraId="1A373795" w14:textId="77777777" w:rsidR="00DF6147" w:rsidRPr="00DF6147" w:rsidRDefault="00DF6147" w:rsidP="00DF6147"/>
    <w:p w14:paraId="1598766D" w14:textId="5A189A3E" w:rsidR="00381674" w:rsidRDefault="0040673A" w:rsidP="00381674">
      <w:pPr>
        <w:pStyle w:val="Heading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9" w:name="_Toc229830427"/>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00381674" w:rsidRPr="0038167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Reflection on own workplace performance</w:t>
      </w:r>
      <w:bookmarkEnd w:id="19"/>
      <w:r w:rsidR="00381674" w:rsidRPr="0038167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7FE1B2B" w14:textId="77777777" w:rsidR="00DF6147" w:rsidRPr="00DF6147" w:rsidRDefault="00DF6147" w:rsidP="00DF6147">
      <w:pPr>
        <w:rPr>
          <w:rFonts w:ascii="Segoe UI" w:hAnsi="Segoe UI" w:cs="Segoe UI"/>
        </w:rPr>
      </w:pPr>
    </w:p>
    <w:p w14:paraId="7EC79AD2" w14:textId="77777777" w:rsidR="00DF6147" w:rsidRDefault="00DF6147" w:rsidP="00DF6147">
      <w:pPr>
        <w:spacing w:line="360" w:lineRule="auto"/>
        <w:rPr>
          <w:rFonts w:ascii="Segoe UI" w:hAnsi="Segoe UI" w:cs="Segoe UI"/>
        </w:rPr>
      </w:pPr>
      <w:r>
        <w:rPr>
          <w:rFonts w:ascii="Segoe UI" w:hAnsi="Segoe UI" w:cs="Segoe UI"/>
        </w:rPr>
        <w:t xml:space="preserve">Reflection on personal performance in the workplace demonstrates how EI can be applied in everyday application of a dental practice. In my role, I have acknowledged how EI plays a key role in managing challenging situations, focusing on key areas that are common with anxious patients or during high pressure clinical procedures. To Further evaluate my EI, I completed an EI self-assessment (see Appendix 4), which provided be with in detail breakdown into my strength and weakness, showing what I need to develop. The results showed aspects of emotional awareness and regulation that require improvement. Although while such assessment tools can provide guidance and findings of one’s own EI. Their accuracy and reliability are in judgement due to the questions asked. For example, in what context and in what situation are the questions referring to seems unclear. This suggests that although the EI Questionnaire are a useful starting point for reflection they should be understood with vigilance and supported by practical experience of the workplace setting. </w:t>
      </w:r>
    </w:p>
    <w:p w14:paraId="60398443" w14:textId="77777777" w:rsidR="00DF6147" w:rsidRDefault="00DF6147" w:rsidP="00DF6147">
      <w:pPr>
        <w:spacing w:line="360" w:lineRule="auto"/>
        <w:rPr>
          <w:rFonts w:ascii="Segoe UI" w:hAnsi="Segoe UI" w:cs="Segoe UI"/>
        </w:rPr>
      </w:pPr>
    </w:p>
    <w:p w14:paraId="55A70FBC" w14:textId="4BFE8881" w:rsidR="00DF6147" w:rsidRDefault="00DF6147" w:rsidP="00DF6147">
      <w:pPr>
        <w:spacing w:line="360" w:lineRule="auto"/>
        <w:rPr>
          <w:rFonts w:ascii="Segoe UI" w:hAnsi="Segoe UI" w:cs="Segoe UI"/>
        </w:rPr>
      </w:pPr>
      <w:r>
        <w:rPr>
          <w:rFonts w:ascii="Segoe UI" w:hAnsi="Segoe UI" w:cs="Segoe UI"/>
        </w:rPr>
        <w:t xml:space="preserve">To manage these areas for development Coveys (1992) circle of influence delivers a useful framework, as it indicates the importance of factors within an individual control. In the dental practice there are many external pressures which I cannot control such as workload demands time pressures and anxious patients. Therefore, by focusing on my circle of influence such for example my emotional responses to that patient or workload demand I am able to respond more effectively to difficult situations by using calm empathetic approach, which integrates with the circle of concern allowing overwhelming thoughts to occur of things they cannot control. From the circle of concern, you can however fall into the drama triangle which has consequences such as unproductive behaviours which leads to roles such as victim, rescuer, or persecutor. In the dental practice this may develop when dentist becomes frustrated with workload pressure (persecutor) feels unable to manage the situation she becomes the (victim) the dental nurse therefore may come in to play the role as the (rescuer) to make attempts to fix issues in any possible way. Yet by focusing on the circle of influence the roles can be avoided and instead take a more useful approach. </w:t>
      </w:r>
    </w:p>
    <w:p w14:paraId="5362448C" w14:textId="77777777" w:rsidR="00DF6147" w:rsidRDefault="00DF6147" w:rsidP="00DF6147">
      <w:pPr>
        <w:spacing w:line="360" w:lineRule="auto"/>
        <w:rPr>
          <w:rFonts w:ascii="Segoe UI" w:hAnsi="Segoe UI" w:cs="Segoe UI"/>
        </w:rPr>
      </w:pPr>
    </w:p>
    <w:p w14:paraId="5AF0767E" w14:textId="5597635B" w:rsidR="00DF6147" w:rsidRDefault="00DF6147" w:rsidP="00DF6147">
      <w:pPr>
        <w:spacing w:line="360" w:lineRule="auto"/>
        <w:rPr>
          <w:rFonts w:ascii="Segoe UI" w:hAnsi="Segoe UI" w:cs="Segoe UI"/>
        </w:rPr>
      </w:pPr>
      <w:r>
        <w:rPr>
          <w:rFonts w:ascii="Segoe UI" w:hAnsi="Segoe UI" w:cs="Segoe UI"/>
        </w:rPr>
        <w:t xml:space="preserve">This reflection can be further understood through the Disposition Diamond which demonstrates the relationships between thoughts, emotions and behaviours. The model is useful in dental practice in situations of conflict whether that be patients or team members physical and emotional responses can occur allowing negativity anxiety to be present. However, becoming more aware of thought process by using the model allows effective responses to these situations not only benefiting the individuals but the organisation. </w:t>
      </w:r>
    </w:p>
    <w:p w14:paraId="2977868A" w14:textId="77777777" w:rsidR="00DF6147" w:rsidRDefault="00DF6147" w:rsidP="00DF6147">
      <w:pPr>
        <w:spacing w:line="360" w:lineRule="auto"/>
        <w:rPr>
          <w:rFonts w:ascii="Segoe UI" w:hAnsi="Segoe UI" w:cs="Segoe UI"/>
        </w:rPr>
      </w:pPr>
    </w:p>
    <w:p w14:paraId="3616AFCE" w14:textId="77777777" w:rsidR="00DF6147" w:rsidRDefault="00DF6147" w:rsidP="00DF6147">
      <w:pPr>
        <w:spacing w:line="360" w:lineRule="auto"/>
        <w:rPr>
          <w:rFonts w:ascii="Segoe UI" w:hAnsi="Segoe UI" w:cs="Segoe UI"/>
        </w:rPr>
      </w:pPr>
    </w:p>
    <w:p w14:paraId="246CAFD8" w14:textId="77777777" w:rsidR="00DF6147" w:rsidRPr="00DF6147" w:rsidRDefault="00DF6147" w:rsidP="00DF6147">
      <w:pPr>
        <w:spacing w:line="360" w:lineRule="auto"/>
        <w:rPr>
          <w:rFonts w:ascii="Segoe UI" w:hAnsi="Segoe UI" w:cs="Segoe UI"/>
        </w:rPr>
      </w:pPr>
    </w:p>
    <w:p w14:paraId="055AB34C" w14:textId="77777777" w:rsidR="00DF6147" w:rsidRPr="00DF6147" w:rsidRDefault="00DF6147" w:rsidP="00DF6147"/>
    <w:p w14:paraId="61DFD0FE" w14:textId="77777777" w:rsidR="00381674" w:rsidRDefault="00381674" w:rsidP="00381674"/>
    <w:p w14:paraId="52FACF0C" w14:textId="77777777" w:rsidR="00381674" w:rsidRPr="00381674" w:rsidRDefault="00381674" w:rsidP="00381674"/>
    <w:p w14:paraId="5086DCE9" w14:textId="6B399A29" w:rsidR="00381674" w:rsidRDefault="0040673A" w:rsidP="00381674">
      <w:pPr>
        <w:pStyle w:val="Heading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0" w:name="_Toc229830428"/>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w:t>
      </w:r>
      <w:r w:rsidR="00381674" w:rsidRPr="0038167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Conclusion</w:t>
      </w:r>
      <w:bookmarkEnd w:id="20"/>
      <w:r w:rsidR="00381674" w:rsidRPr="0038167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1F77DD5" w14:textId="38CCA5D8" w:rsidR="00DF6147" w:rsidRDefault="00DF6147" w:rsidP="00DF6147">
      <w:pPr>
        <w:spacing w:line="360" w:lineRule="auto"/>
        <w:rPr>
          <w:rFonts w:ascii="Segoe UI" w:hAnsi="Segoe UI" w:cs="Segoe UI"/>
        </w:rPr>
      </w:pPr>
      <w:r>
        <w:rPr>
          <w:rFonts w:ascii="Segoe UI" w:hAnsi="Segoe UI" w:cs="Segoe UI"/>
        </w:rPr>
        <w:t xml:space="preserve">To conclude, this report has displayed the importance workforce development has on a dental practice with great emphasis on EI and mindfulness. The report demonstrated the value and contribution to areas of a dental practice such as communication, leadership, patient centred care and teamwork. The concepts illustrated while both have similarities there were differences, showing the concepts impact the working environment when working together rather than independently. </w:t>
      </w:r>
    </w:p>
    <w:p w14:paraId="7AEA06A5" w14:textId="755A2241" w:rsidR="00DF6147" w:rsidRPr="00DF6147" w:rsidRDefault="00DF6147" w:rsidP="00DF6147">
      <w:pPr>
        <w:spacing w:line="360" w:lineRule="auto"/>
        <w:rPr>
          <w:rFonts w:ascii="Segoe UI" w:hAnsi="Segoe UI" w:cs="Segoe UI"/>
        </w:rPr>
      </w:pPr>
      <w:r>
        <w:rPr>
          <w:rFonts w:ascii="Segoe UI" w:hAnsi="Segoe UI" w:cs="Segoe UI"/>
        </w:rPr>
        <w:t>However, the report highlighted how external factors cannot be controlled and therefore influenced how effective EI can work in situations these including workload pressures, resources available and staff experiences. Finally, applying these concepts into workforce development programmes can support long term organisational success while improving the patient outcomes and staff wellbeing within a dental practice.</w:t>
      </w:r>
    </w:p>
    <w:p w14:paraId="50B7B73F" w14:textId="77777777" w:rsidR="00381674" w:rsidRDefault="00381674" w:rsidP="00DF6147">
      <w:pPr>
        <w:spacing w:line="360" w:lineRule="auto"/>
      </w:pPr>
    </w:p>
    <w:p w14:paraId="4B74EF4E" w14:textId="77777777" w:rsidR="00381674" w:rsidRDefault="00381674" w:rsidP="00DF6147">
      <w:pPr>
        <w:spacing w:line="360" w:lineRule="auto"/>
      </w:pPr>
    </w:p>
    <w:p w14:paraId="7ACDC3C0" w14:textId="77777777" w:rsidR="00381674" w:rsidRPr="00381674" w:rsidRDefault="00381674" w:rsidP="00DF6147">
      <w:pPr>
        <w:spacing w:line="360" w:lineRule="auto"/>
      </w:pPr>
    </w:p>
    <w:p w14:paraId="412E29B4" w14:textId="77777777" w:rsidR="00381674" w:rsidRDefault="00381674" w:rsidP="00381674"/>
    <w:p w14:paraId="3A3D22CA" w14:textId="77777777" w:rsidR="00381674" w:rsidRDefault="00381674" w:rsidP="00381674"/>
    <w:p w14:paraId="16E9DA1F" w14:textId="77777777" w:rsidR="00381674" w:rsidRDefault="00381674" w:rsidP="00381674"/>
    <w:p w14:paraId="4C1471D7" w14:textId="77777777" w:rsidR="00381674" w:rsidRPr="00381674" w:rsidRDefault="00381674" w:rsidP="00381674"/>
    <w:p w14:paraId="5EB06C5D" w14:textId="77777777" w:rsidR="00381674" w:rsidRDefault="00381674" w:rsidP="00381674"/>
    <w:p w14:paraId="19B75FA5" w14:textId="77777777" w:rsidR="00381674" w:rsidRPr="00381674" w:rsidRDefault="00381674" w:rsidP="00381674"/>
    <w:p w14:paraId="21445ABC" w14:textId="797CFC16" w:rsidR="00A14C3F" w:rsidRPr="00A14C3F" w:rsidRDefault="0040673A" w:rsidP="00A14C3F">
      <w:pPr>
        <w:pStyle w:val="Heading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1" w:name="_Toc229830429"/>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sidR="00381674" w:rsidRPr="0038167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References</w:t>
      </w:r>
      <w:bookmarkEnd w:id="21"/>
    </w:p>
    <w:p w14:paraId="5659AB79" w14:textId="77777777" w:rsidR="00A14C3F" w:rsidRPr="00A14C3F" w:rsidRDefault="00A14C3F" w:rsidP="00A14C3F">
      <w:pPr>
        <w:spacing w:line="480" w:lineRule="atLeast"/>
        <w:ind w:left="720" w:hanging="720"/>
        <w:rPr>
          <w:color w:val="000000"/>
        </w:rPr>
      </w:pPr>
      <w:r w:rsidRPr="00A14C3F">
        <w:rPr>
          <w:color w:val="000000"/>
        </w:rPr>
        <w:t>Arthur, Robin. “Emotional Intelligence in Healthcare: Driving High-Quality Care and Team Performance.” </w:t>
      </w:r>
      <w:r w:rsidRPr="00A14C3F">
        <w:rPr>
          <w:i/>
          <w:iCs/>
          <w:color w:val="000000"/>
        </w:rPr>
        <w:t>OccupationalTherapy.com</w:t>
      </w:r>
      <w:r w:rsidRPr="00A14C3F">
        <w:rPr>
          <w:color w:val="000000"/>
        </w:rPr>
        <w:t>, 2026, www.occupationaltherapy.com/articles/emotional-intelligence-in-healthcare-driving-5859? Accessed 8 May 2026.</w:t>
      </w:r>
    </w:p>
    <w:p w14:paraId="49141E3E" w14:textId="77777777" w:rsidR="00A14C3F" w:rsidRPr="00A14C3F" w:rsidRDefault="00A14C3F" w:rsidP="00A14C3F">
      <w:pPr>
        <w:spacing w:line="480" w:lineRule="atLeast"/>
        <w:ind w:left="720" w:hanging="720"/>
        <w:rPr>
          <w:color w:val="000000"/>
        </w:rPr>
      </w:pPr>
      <w:r w:rsidRPr="00A14C3F">
        <w:rPr>
          <w:color w:val="000000"/>
        </w:rPr>
        <w:t>Arunratanothai, Tanit, et al. “Global Trends in Non‐Technical Skills Research in Dental Education: Bibliometric Review and a Curricular Case Study.” </w:t>
      </w:r>
      <w:r w:rsidRPr="00A14C3F">
        <w:rPr>
          <w:i/>
          <w:iCs/>
          <w:color w:val="000000"/>
        </w:rPr>
        <w:t>International Journal of Dentistry</w:t>
      </w:r>
      <w:r w:rsidRPr="00A14C3F">
        <w:rPr>
          <w:color w:val="000000"/>
        </w:rPr>
        <w:t>, vol. 2026, no. 1, Jan. 2026, https://doi.org/10.1155/ijod/8633389. Accessed 7 May 2026.</w:t>
      </w:r>
    </w:p>
    <w:p w14:paraId="23D90FD6" w14:textId="77777777" w:rsidR="00A14C3F" w:rsidRPr="00A14C3F" w:rsidRDefault="00A14C3F" w:rsidP="00A14C3F">
      <w:pPr>
        <w:spacing w:line="480" w:lineRule="atLeast"/>
        <w:ind w:left="720" w:hanging="720"/>
        <w:rPr>
          <w:color w:val="000000"/>
        </w:rPr>
      </w:pPr>
      <w:r w:rsidRPr="00A14C3F">
        <w:rPr>
          <w:color w:val="000000"/>
        </w:rPr>
        <w:t>Behan, C. “The Benefits of Meditation and Mindfulness Practices during Times of Crisis such as Covid-19.” </w:t>
      </w:r>
      <w:r w:rsidRPr="00A14C3F">
        <w:rPr>
          <w:i/>
          <w:iCs/>
          <w:color w:val="000000"/>
        </w:rPr>
        <w:t>Irish Journal of Psychological Medicine</w:t>
      </w:r>
      <w:r w:rsidRPr="00A14C3F">
        <w:rPr>
          <w:color w:val="000000"/>
        </w:rPr>
        <w:t>, vol. 37, no. 4, 14 May 2020, pp. 1–8, https://doi.org/10.1017/ipm.2020.38.</w:t>
      </w:r>
    </w:p>
    <w:p w14:paraId="59413A04" w14:textId="77777777" w:rsidR="00A14C3F" w:rsidRPr="00A14C3F" w:rsidRDefault="00A14C3F" w:rsidP="00A14C3F">
      <w:pPr>
        <w:spacing w:line="480" w:lineRule="atLeast"/>
        <w:ind w:left="720" w:hanging="720"/>
        <w:rPr>
          <w:color w:val="000000"/>
        </w:rPr>
      </w:pPr>
      <w:r w:rsidRPr="00A14C3F">
        <w:rPr>
          <w:color w:val="000000"/>
        </w:rPr>
        <w:t>Carmichael, Neil. “NHS Dentistry: A Changed Landscape - Dentistry.” </w:t>
      </w:r>
      <w:r w:rsidRPr="00A14C3F">
        <w:rPr>
          <w:i/>
          <w:iCs/>
          <w:color w:val="000000"/>
        </w:rPr>
        <w:t>Dentistry.co.uk</w:t>
      </w:r>
      <w:r w:rsidRPr="00A14C3F">
        <w:rPr>
          <w:color w:val="000000"/>
        </w:rPr>
        <w:t>, Dentistry Online, 14 Nov. 2024, dentistry.co.uk/2024/11/14/</w:t>
      </w:r>
      <w:proofErr w:type="spellStart"/>
      <w:r w:rsidRPr="00A14C3F">
        <w:rPr>
          <w:color w:val="000000"/>
        </w:rPr>
        <w:t>nhs</w:t>
      </w:r>
      <w:proofErr w:type="spellEnd"/>
      <w:r w:rsidRPr="00A14C3F">
        <w:rPr>
          <w:color w:val="000000"/>
        </w:rPr>
        <w:t>-dentistry-a-changed-landscape/.</w:t>
      </w:r>
    </w:p>
    <w:p w14:paraId="365B8AEA" w14:textId="77777777" w:rsidR="00A14C3F" w:rsidRPr="00A14C3F" w:rsidRDefault="00A14C3F" w:rsidP="00A14C3F">
      <w:pPr>
        <w:spacing w:line="480" w:lineRule="atLeast"/>
        <w:ind w:left="720" w:hanging="720"/>
        <w:rPr>
          <w:color w:val="000000"/>
        </w:rPr>
      </w:pPr>
      <w:proofErr w:type="gramStart"/>
      <w:r w:rsidRPr="00A14C3F">
        <w:rPr>
          <w:color w:val="000000"/>
        </w:rPr>
        <w:t>Covey ,</w:t>
      </w:r>
      <w:proofErr w:type="gramEnd"/>
      <w:r w:rsidRPr="00A14C3F">
        <w:rPr>
          <w:color w:val="000000"/>
        </w:rPr>
        <w:t xml:space="preserve"> Stephen. “Principle-</w:t>
      </w:r>
      <w:proofErr w:type="spellStart"/>
      <w:r w:rsidRPr="00A14C3F">
        <w:rPr>
          <w:color w:val="000000"/>
        </w:rPr>
        <w:t>Centered</w:t>
      </w:r>
      <w:proofErr w:type="spellEnd"/>
      <w:r w:rsidRPr="00A14C3F">
        <w:rPr>
          <w:color w:val="000000"/>
        </w:rPr>
        <w:t xml:space="preserve"> Leadership.” </w:t>
      </w:r>
      <w:r w:rsidRPr="00A14C3F">
        <w:rPr>
          <w:i/>
          <w:iCs/>
          <w:color w:val="000000"/>
        </w:rPr>
        <w:t>Google Books</w:t>
      </w:r>
      <w:r w:rsidRPr="00A14C3F">
        <w:rPr>
          <w:color w:val="000000"/>
        </w:rPr>
        <w:t>, 2026, books.google.co.uk/books/about/Principle_centered_Leadership.html?id=HmdaAAAAYAAJ&amp;redir_esc=y. Accessed 14 May 2026.</w:t>
      </w:r>
    </w:p>
    <w:p w14:paraId="70ECF637" w14:textId="77777777" w:rsidR="00A14C3F" w:rsidRPr="00A14C3F" w:rsidRDefault="00A14C3F" w:rsidP="00A14C3F">
      <w:pPr>
        <w:spacing w:line="480" w:lineRule="atLeast"/>
        <w:ind w:left="720" w:hanging="720"/>
        <w:rPr>
          <w:color w:val="000000"/>
        </w:rPr>
      </w:pPr>
      <w:r w:rsidRPr="00A14C3F">
        <w:rPr>
          <w:color w:val="000000"/>
        </w:rPr>
        <w:t>Deepasakthi, J, et al. “Influence of Emotional Intelligence on Patient-Dentist Relationships: A Questionnaire Development, Validation and Pilot Study.” </w:t>
      </w:r>
      <w:r w:rsidRPr="00A14C3F">
        <w:rPr>
          <w:i/>
          <w:iCs/>
          <w:color w:val="000000"/>
        </w:rPr>
        <w:t>Journal of Oral Biology and Craniofacial Research</w:t>
      </w:r>
      <w:r w:rsidRPr="00A14C3F">
        <w:rPr>
          <w:color w:val="000000"/>
        </w:rPr>
        <w:t>, vol. 15, no. 4, 18 Apr. 2025, pp. 670–676, www.sciencedirect.com/science/article/pii/S2212426825000880, https://doi.org/10.1016/j.jobcr.2025.04.003.</w:t>
      </w:r>
    </w:p>
    <w:p w14:paraId="4DAE998F" w14:textId="77777777" w:rsidR="00A14C3F" w:rsidRPr="00A14C3F" w:rsidRDefault="00A14C3F" w:rsidP="00A14C3F">
      <w:pPr>
        <w:spacing w:line="480" w:lineRule="atLeast"/>
        <w:ind w:left="720" w:hanging="720"/>
        <w:rPr>
          <w:color w:val="000000"/>
        </w:rPr>
      </w:pPr>
      <w:r w:rsidRPr="00A14C3F">
        <w:rPr>
          <w:color w:val="000000"/>
        </w:rPr>
        <w:t>Emanuel, Robert. “Maslow’s Hierarchy of Need Pyramid - a Model for Planning NHS Dental Services?” </w:t>
      </w:r>
      <w:r w:rsidRPr="00A14C3F">
        <w:rPr>
          <w:i/>
          <w:iCs/>
          <w:color w:val="000000"/>
        </w:rPr>
        <w:t>British Dental Journal</w:t>
      </w:r>
      <w:r w:rsidRPr="00A14C3F">
        <w:rPr>
          <w:color w:val="000000"/>
        </w:rPr>
        <w:t>, vol. 235, no. 3, 1 Aug. 2023, pp. 177–179, pubmed.ncbi.nlm.nih.gov/37563384/, https://doi.org/10.1038/s41415-023-6066-4.</w:t>
      </w:r>
    </w:p>
    <w:p w14:paraId="3E45ED46" w14:textId="77777777" w:rsidR="00A14C3F" w:rsidRPr="00A14C3F" w:rsidRDefault="00A14C3F" w:rsidP="00A14C3F">
      <w:pPr>
        <w:spacing w:line="480" w:lineRule="atLeast"/>
        <w:ind w:left="720" w:hanging="720"/>
        <w:rPr>
          <w:color w:val="000000"/>
        </w:rPr>
      </w:pPr>
      <w:r w:rsidRPr="00A14C3F">
        <w:rPr>
          <w:color w:val="000000"/>
        </w:rPr>
        <w:t>Endalamaw, Aklilu, et al. “Barriers and Strategies for Primary Health Care Workforce Development: Synthesis of Evidence.” </w:t>
      </w:r>
      <w:r w:rsidRPr="00A14C3F">
        <w:rPr>
          <w:i/>
          <w:iCs/>
          <w:color w:val="000000"/>
        </w:rPr>
        <w:t>BMC Primary Care</w:t>
      </w:r>
      <w:r w:rsidRPr="00A14C3F">
        <w:rPr>
          <w:color w:val="000000"/>
        </w:rPr>
        <w:t>, vol. 25, no. 1, 2024, pmc.ncbi.nlm.nih.gov/articles/PMC10967164/, https://doi.org/10.1186/s12875-024-02336-1.</w:t>
      </w:r>
    </w:p>
    <w:p w14:paraId="1BAC669B" w14:textId="77777777" w:rsidR="00A14C3F" w:rsidRPr="00A14C3F" w:rsidRDefault="00A14C3F" w:rsidP="00A14C3F">
      <w:pPr>
        <w:spacing w:line="480" w:lineRule="atLeast"/>
        <w:ind w:left="720" w:hanging="720"/>
        <w:rPr>
          <w:color w:val="000000"/>
        </w:rPr>
      </w:pPr>
      <w:r w:rsidRPr="00A14C3F">
        <w:rPr>
          <w:color w:val="000000"/>
        </w:rPr>
        <w:t>GDC. “Association for Dental Education in Europe (ADEE).” July 2020.</w:t>
      </w:r>
    </w:p>
    <w:p w14:paraId="3FE9096C" w14:textId="77777777" w:rsidR="00A14C3F" w:rsidRPr="00A14C3F" w:rsidRDefault="00A14C3F" w:rsidP="00A14C3F">
      <w:pPr>
        <w:spacing w:line="480" w:lineRule="atLeast"/>
        <w:ind w:left="720" w:hanging="720"/>
        <w:rPr>
          <w:color w:val="000000"/>
        </w:rPr>
      </w:pPr>
      <w:r w:rsidRPr="00A14C3F">
        <w:rPr>
          <w:color w:val="000000"/>
        </w:rPr>
        <w:t>---. “General Dental Council - Communicate Effectively with Patients.” </w:t>
      </w:r>
      <w:r w:rsidRPr="00A14C3F">
        <w:rPr>
          <w:i/>
          <w:iCs/>
          <w:color w:val="000000"/>
        </w:rPr>
        <w:t>Gdc-Uk.org</w:t>
      </w:r>
      <w:r w:rsidRPr="00A14C3F">
        <w:rPr>
          <w:color w:val="000000"/>
        </w:rPr>
        <w:t>, 2025, standards.gdc-uk.org/pages/principle2/principle2.</w:t>
      </w:r>
    </w:p>
    <w:p w14:paraId="6A1B4827" w14:textId="77777777" w:rsidR="00A14C3F" w:rsidRPr="00A14C3F" w:rsidRDefault="00A14C3F" w:rsidP="00A14C3F">
      <w:pPr>
        <w:spacing w:line="480" w:lineRule="atLeast"/>
        <w:ind w:left="720" w:hanging="720"/>
        <w:rPr>
          <w:color w:val="000000"/>
        </w:rPr>
      </w:pPr>
      <w:r w:rsidRPr="00A14C3F">
        <w:rPr>
          <w:color w:val="000000"/>
        </w:rPr>
        <w:t>Goleman, Daniel. “Emotional Intelligence.” </w:t>
      </w:r>
      <w:r w:rsidRPr="00A14C3F">
        <w:rPr>
          <w:i/>
          <w:iCs/>
          <w:color w:val="000000"/>
        </w:rPr>
        <w:t>Psycnet.apa.org</w:t>
      </w:r>
      <w:r w:rsidRPr="00A14C3F">
        <w:rPr>
          <w:color w:val="000000"/>
        </w:rPr>
        <w:t>, 1995, psycnet.apa.org/record/1995-98387-000.</w:t>
      </w:r>
    </w:p>
    <w:p w14:paraId="33ABEACB" w14:textId="77777777" w:rsidR="00A14C3F" w:rsidRPr="00A14C3F" w:rsidRDefault="00A14C3F" w:rsidP="00A14C3F">
      <w:pPr>
        <w:spacing w:line="480" w:lineRule="atLeast"/>
        <w:ind w:left="720" w:hanging="720"/>
        <w:rPr>
          <w:color w:val="000000"/>
        </w:rPr>
      </w:pPr>
      <w:r w:rsidRPr="00A14C3F">
        <w:rPr>
          <w:color w:val="000000"/>
        </w:rPr>
        <w:t>Harris, Marina, and Kenneth Eaton. “Exploring Dental Professionals’ Perceptions of Resilience to Dental Environment Stress: A Qualitative Study.” </w:t>
      </w:r>
      <w:r w:rsidRPr="00A14C3F">
        <w:rPr>
          <w:i/>
          <w:iCs/>
          <w:color w:val="000000"/>
        </w:rPr>
        <w:t>BDJ</w:t>
      </w:r>
      <w:r w:rsidRPr="00A14C3F">
        <w:rPr>
          <w:color w:val="000000"/>
        </w:rPr>
        <w:t>, vol. 238, no. 6, 28 Mar. 2025, pp. 395–402, www.nature.com/articles/s41415-024-7953-z, https://doi.org/10.1038/s41415-024-7953-z.</w:t>
      </w:r>
    </w:p>
    <w:p w14:paraId="655B336D" w14:textId="77777777" w:rsidR="00A14C3F" w:rsidRPr="00A14C3F" w:rsidRDefault="00A14C3F" w:rsidP="00A14C3F">
      <w:pPr>
        <w:spacing w:line="480" w:lineRule="atLeast"/>
        <w:ind w:left="720" w:hanging="720"/>
        <w:rPr>
          <w:color w:val="000000"/>
        </w:rPr>
      </w:pPr>
      <w:r w:rsidRPr="00A14C3F">
        <w:rPr>
          <w:color w:val="000000"/>
        </w:rPr>
        <w:t>Harris, Roger, and Tom Short. “Exploring the Notion of Workforce Development.” </w:t>
      </w:r>
      <w:r w:rsidRPr="00A14C3F">
        <w:rPr>
          <w:i/>
          <w:iCs/>
          <w:color w:val="000000"/>
        </w:rPr>
        <w:t>Workforce Development</w:t>
      </w:r>
      <w:r w:rsidRPr="00A14C3F">
        <w:rPr>
          <w:color w:val="000000"/>
        </w:rPr>
        <w:t>, 20 Nov. 2013, pp. 1–16, https://doi.org/10.1007/978-981-4560-58-0_1. Accessed 1 Aug. 2022.</w:t>
      </w:r>
    </w:p>
    <w:p w14:paraId="76D0D9F3" w14:textId="77777777" w:rsidR="00A14C3F" w:rsidRPr="00A14C3F" w:rsidRDefault="00A14C3F" w:rsidP="00A14C3F">
      <w:pPr>
        <w:spacing w:line="480" w:lineRule="atLeast"/>
        <w:ind w:left="720" w:hanging="720"/>
        <w:rPr>
          <w:color w:val="000000"/>
        </w:rPr>
      </w:pPr>
      <w:r w:rsidRPr="00A14C3F">
        <w:rPr>
          <w:color w:val="000000"/>
        </w:rPr>
        <w:t>Heikkinen, Heini, et al. “Exploring the Core of Emotional Intelligence in Healthcare Leadership: A Concept Analysis.” </w:t>
      </w:r>
      <w:r w:rsidRPr="00A14C3F">
        <w:rPr>
          <w:i/>
          <w:iCs/>
          <w:color w:val="000000"/>
        </w:rPr>
        <w:t>Journal of Advanced Nursing</w:t>
      </w:r>
      <w:r w:rsidRPr="00A14C3F">
        <w:rPr>
          <w:color w:val="000000"/>
        </w:rPr>
        <w:t>, 7 May 2025, https://doi.org/10.1111/jan.17023.</w:t>
      </w:r>
    </w:p>
    <w:p w14:paraId="45463B0F" w14:textId="77777777" w:rsidR="00A14C3F" w:rsidRPr="00A14C3F" w:rsidRDefault="00A14C3F" w:rsidP="00A14C3F">
      <w:pPr>
        <w:spacing w:line="480" w:lineRule="atLeast"/>
        <w:ind w:left="720" w:hanging="720"/>
        <w:rPr>
          <w:color w:val="000000"/>
        </w:rPr>
      </w:pPr>
      <w:r w:rsidRPr="00A14C3F">
        <w:rPr>
          <w:color w:val="000000"/>
        </w:rPr>
        <w:t>Ho, Jasmine Cheuk Ying, et al. “Strategies for Effective Dentist-Patient Communication: A Literature Review.” </w:t>
      </w:r>
      <w:r w:rsidRPr="00A14C3F">
        <w:rPr>
          <w:i/>
          <w:iCs/>
          <w:color w:val="000000"/>
        </w:rPr>
        <w:t>Patient Preference and Adherence</w:t>
      </w:r>
      <w:r w:rsidRPr="00A14C3F">
        <w:rPr>
          <w:color w:val="000000"/>
        </w:rPr>
        <w:t>, vol. 18, 1 July 2024, pp. 1385–1394, www.dovepress.com/strategies-for-effective-dentist-patient-communication-a-literature-re-peer-reviewed-fulltext-article-PPA#:~:text=Factors%20such%20as%20time%20constraints, https://doi.org/10.2147/PPA.S465221.</w:t>
      </w:r>
    </w:p>
    <w:p w14:paraId="32548AFD" w14:textId="77777777" w:rsidR="00A14C3F" w:rsidRPr="00A14C3F" w:rsidRDefault="00A14C3F" w:rsidP="00A14C3F">
      <w:pPr>
        <w:spacing w:line="480" w:lineRule="atLeast"/>
        <w:ind w:left="720" w:hanging="720"/>
        <w:rPr>
          <w:color w:val="000000"/>
        </w:rPr>
      </w:pPr>
      <w:r w:rsidRPr="00A14C3F">
        <w:rPr>
          <w:color w:val="000000"/>
        </w:rPr>
        <w:t>Howells, Alex. “Understanding the Workforce.” </w:t>
      </w:r>
      <w:r w:rsidRPr="00A14C3F">
        <w:rPr>
          <w:i/>
          <w:iCs/>
          <w:color w:val="000000"/>
        </w:rPr>
        <w:t>HEIW</w:t>
      </w:r>
      <w:r w:rsidRPr="00A14C3F">
        <w:rPr>
          <w:color w:val="000000"/>
        </w:rPr>
        <w:t xml:space="preserve">, 2024, </w:t>
      </w:r>
      <w:proofErr w:type="gramStart"/>
      <w:r w:rsidRPr="00A14C3F">
        <w:rPr>
          <w:color w:val="000000"/>
        </w:rPr>
        <w:t>heiw.nhs.wales</w:t>
      </w:r>
      <w:proofErr w:type="gramEnd"/>
      <w:r w:rsidRPr="00A14C3F">
        <w:rPr>
          <w:color w:val="000000"/>
        </w:rPr>
        <w:t>/workforce/workforce-intelligence-and-planning/workforce-observatory/understanding-the-workforce/.</w:t>
      </w:r>
    </w:p>
    <w:p w14:paraId="7064CBE5" w14:textId="77777777" w:rsidR="00A14C3F" w:rsidRPr="00A14C3F" w:rsidRDefault="00A14C3F" w:rsidP="00A14C3F">
      <w:pPr>
        <w:spacing w:line="480" w:lineRule="atLeast"/>
        <w:ind w:left="720" w:hanging="720"/>
        <w:rPr>
          <w:color w:val="000000"/>
        </w:rPr>
      </w:pPr>
      <w:r w:rsidRPr="00A14C3F">
        <w:rPr>
          <w:color w:val="000000"/>
        </w:rPr>
        <w:t>https://www.facebook.com/DentalProtectionLimited. “Combatting Workforce Shortages.” </w:t>
      </w:r>
      <w:r w:rsidRPr="00A14C3F">
        <w:rPr>
          <w:i/>
          <w:iCs/>
          <w:color w:val="000000"/>
        </w:rPr>
        <w:t>Articles</w:t>
      </w:r>
      <w:r w:rsidRPr="00A14C3F">
        <w:rPr>
          <w:color w:val="000000"/>
        </w:rPr>
        <w:t>, 2024, www.dentalprotection.org/uk/articles/combatting-workforce-shortages.</w:t>
      </w:r>
    </w:p>
    <w:p w14:paraId="65EF150A" w14:textId="77777777" w:rsidR="00A14C3F" w:rsidRPr="00A14C3F" w:rsidRDefault="00A14C3F" w:rsidP="00A14C3F">
      <w:pPr>
        <w:spacing w:line="480" w:lineRule="atLeast"/>
        <w:ind w:left="720" w:hanging="720"/>
        <w:rPr>
          <w:color w:val="000000"/>
        </w:rPr>
      </w:pPr>
      <w:r w:rsidRPr="00A14C3F">
        <w:rPr>
          <w:color w:val="000000"/>
        </w:rPr>
        <w:t>Islam, Aliya, et al. “Investigating the Effectiveness of Structured Mindfulness Sessions in Mitigating Burnout among Final-Year Dental Students: A Mixed-Methods Analysis.” </w:t>
      </w:r>
      <w:r w:rsidRPr="00A14C3F">
        <w:rPr>
          <w:i/>
          <w:iCs/>
          <w:color w:val="000000"/>
        </w:rPr>
        <w:t>PLOS One</w:t>
      </w:r>
      <w:r w:rsidRPr="00A14C3F">
        <w:rPr>
          <w:color w:val="000000"/>
        </w:rPr>
        <w:t>, vol. 21, no. 2, 5 Feb. 2026, p. e0342017, https://doi.org/10.1371/journal.pone.0342017. Accessed 1 Mar. 2026.</w:t>
      </w:r>
    </w:p>
    <w:p w14:paraId="2006FC6C" w14:textId="77777777" w:rsidR="00A14C3F" w:rsidRPr="00A14C3F" w:rsidRDefault="00A14C3F" w:rsidP="00A14C3F">
      <w:pPr>
        <w:spacing w:line="480" w:lineRule="atLeast"/>
        <w:ind w:left="720" w:hanging="720"/>
        <w:rPr>
          <w:color w:val="000000"/>
        </w:rPr>
      </w:pPr>
      <w:r w:rsidRPr="00A14C3F">
        <w:rPr>
          <w:color w:val="000000"/>
        </w:rPr>
        <w:t>Jahan, Shah Saif, et al. “Exploring the Association between Emotional Intelligence and Academic Performance and Stress Factors among Dental Students: A Scoping Review.” </w:t>
      </w:r>
      <w:r w:rsidRPr="00A14C3F">
        <w:rPr>
          <w:i/>
          <w:iCs/>
          <w:color w:val="000000"/>
        </w:rPr>
        <w:t>Dentistry Journal</w:t>
      </w:r>
      <w:r w:rsidRPr="00A14C3F">
        <w:rPr>
          <w:color w:val="000000"/>
        </w:rPr>
        <w:t>, vol. 10, no. 4, 7 Apr. 2022, p. 67, https://doi.org/10.3390/dj10040067.</w:t>
      </w:r>
    </w:p>
    <w:p w14:paraId="470E8244" w14:textId="77777777" w:rsidR="00A14C3F" w:rsidRPr="00A14C3F" w:rsidRDefault="00A14C3F" w:rsidP="00A14C3F">
      <w:pPr>
        <w:spacing w:line="480" w:lineRule="atLeast"/>
        <w:ind w:left="720" w:hanging="720"/>
        <w:rPr>
          <w:color w:val="000000"/>
        </w:rPr>
      </w:pPr>
      <w:r w:rsidRPr="00A14C3F">
        <w:rPr>
          <w:color w:val="000000"/>
        </w:rPr>
        <w:t>Jiménez-Picón, Nerea, et al. “The Relationship between Mindfulness and Emotional Intelligence as a Protective Factor for Healthcare Professionals: Systematic Review.” </w:t>
      </w:r>
      <w:r w:rsidRPr="00A14C3F">
        <w:rPr>
          <w:i/>
          <w:iCs/>
          <w:color w:val="000000"/>
        </w:rPr>
        <w:t>International Journal of Environmental Research and Public Health</w:t>
      </w:r>
      <w:r w:rsidRPr="00A14C3F">
        <w:rPr>
          <w:color w:val="000000"/>
        </w:rPr>
        <w:t>, vol. 18, no. 10, 20 May 2021, pp. 1–14, www.ncbi.nlm.nih.gov/pmc/articles/PMC8161054/, https://doi.org/10.3390/ijerph18105491.</w:t>
      </w:r>
    </w:p>
    <w:p w14:paraId="12A84C0A" w14:textId="77777777" w:rsidR="00A14C3F" w:rsidRPr="00A14C3F" w:rsidRDefault="00A14C3F" w:rsidP="00A14C3F">
      <w:pPr>
        <w:spacing w:line="480" w:lineRule="atLeast"/>
        <w:ind w:left="720" w:hanging="720"/>
        <w:rPr>
          <w:color w:val="000000"/>
        </w:rPr>
      </w:pPr>
      <w:r w:rsidRPr="00A14C3F">
        <w:rPr>
          <w:color w:val="000000"/>
        </w:rPr>
        <w:t>Junious, DeMonica L. “Emotional Intelligence in Executive Nurse Leader Programs: Setting the Tone for a Successful Trajectory of Leadership.” </w:t>
      </w:r>
      <w:r w:rsidRPr="00A14C3F">
        <w:rPr>
          <w:i/>
          <w:iCs/>
          <w:color w:val="000000"/>
        </w:rPr>
        <w:t>Journal of Radiology Nursing</w:t>
      </w:r>
      <w:r w:rsidRPr="00A14C3F">
        <w:rPr>
          <w:color w:val="000000"/>
        </w:rPr>
        <w:t>, vol. 45, Mar. 2026, p. 101361, www.sciencedirect.com/science/article/pii/S1546084325002299#bbib9, https://doi.org/10.1016/j.jradnu.2025.101361.</w:t>
      </w:r>
    </w:p>
    <w:p w14:paraId="5D79CD3C" w14:textId="77777777" w:rsidR="00A14C3F" w:rsidRPr="00A14C3F" w:rsidRDefault="00A14C3F" w:rsidP="00A14C3F">
      <w:pPr>
        <w:spacing w:line="480" w:lineRule="atLeast"/>
        <w:ind w:left="720" w:hanging="720"/>
        <w:rPr>
          <w:color w:val="000000"/>
        </w:rPr>
      </w:pPr>
      <w:r w:rsidRPr="00A14C3F">
        <w:rPr>
          <w:color w:val="000000"/>
        </w:rPr>
        <w:t>Kabat-Zinn, Jon. </w:t>
      </w:r>
      <w:r w:rsidRPr="00A14C3F">
        <w:rPr>
          <w:i/>
          <w:iCs/>
          <w:color w:val="000000"/>
        </w:rPr>
        <w:t>Full Catastrophe Living: Using the Wisdom of Your Body and Mind to Face Stress, Pain, and Illness</w:t>
      </w:r>
      <w:r w:rsidRPr="00A14C3F">
        <w:rPr>
          <w:color w:val="000000"/>
        </w:rPr>
        <w:t>. 1990. New York, Bantam Books, 2013.</w:t>
      </w:r>
    </w:p>
    <w:p w14:paraId="24C35A14" w14:textId="77777777" w:rsidR="00A14C3F" w:rsidRPr="00A14C3F" w:rsidRDefault="00A14C3F" w:rsidP="00A14C3F">
      <w:pPr>
        <w:spacing w:line="480" w:lineRule="atLeast"/>
        <w:ind w:left="720" w:hanging="720"/>
        <w:rPr>
          <w:color w:val="000000"/>
        </w:rPr>
      </w:pPr>
      <w:r w:rsidRPr="00A14C3F">
        <w:rPr>
          <w:color w:val="000000"/>
        </w:rPr>
        <w:t>---. </w:t>
      </w:r>
      <w:r w:rsidRPr="00A14C3F">
        <w:rPr>
          <w:i/>
          <w:iCs/>
          <w:color w:val="000000"/>
        </w:rPr>
        <w:t xml:space="preserve">Wherever You Go, There You </w:t>
      </w:r>
      <w:proofErr w:type="gramStart"/>
      <w:r w:rsidRPr="00A14C3F">
        <w:rPr>
          <w:i/>
          <w:iCs/>
          <w:color w:val="000000"/>
        </w:rPr>
        <w:t>Are :</w:t>
      </w:r>
      <w:proofErr w:type="gramEnd"/>
      <w:r w:rsidRPr="00A14C3F">
        <w:rPr>
          <w:i/>
          <w:iCs/>
          <w:color w:val="000000"/>
        </w:rPr>
        <w:t xml:space="preserve"> Mindfulness Meditation in Everyday Life</w:t>
      </w:r>
      <w:r w:rsidRPr="00A14C3F">
        <w:rPr>
          <w:color w:val="000000"/>
        </w:rPr>
        <w:t>. New York, Hyperion, 1994.</w:t>
      </w:r>
    </w:p>
    <w:p w14:paraId="75637E97" w14:textId="77777777" w:rsidR="00A14C3F" w:rsidRPr="00A14C3F" w:rsidRDefault="00A14C3F" w:rsidP="00A14C3F">
      <w:pPr>
        <w:spacing w:line="480" w:lineRule="atLeast"/>
        <w:ind w:left="720" w:hanging="720"/>
        <w:rPr>
          <w:color w:val="000000"/>
        </w:rPr>
      </w:pPr>
      <w:r w:rsidRPr="00A14C3F">
        <w:rPr>
          <w:color w:val="000000"/>
        </w:rPr>
        <w:t>Kaur, Harwinder. </w:t>
      </w:r>
      <w:r w:rsidRPr="00A14C3F">
        <w:rPr>
          <w:i/>
          <w:iCs/>
          <w:color w:val="000000"/>
        </w:rPr>
        <w:t>Emotional Intelligence in the 21st Century: Enhancing Learning, Leadership, and Well-Being</w:t>
      </w:r>
      <w:r w:rsidRPr="00A14C3F">
        <w:rPr>
          <w:color w:val="000000"/>
        </w:rPr>
        <w:t>. 1 Apr. 2026, www.researchgate.net/profile/Harwinder-Kaur-13/publication/403983081_Emotional_Intelligence_in_the_21st_Century_Enhancing_Learning_Leadership_and_Well-being/links/69e646fdceb1c90114eb942b/Emotional-Intelligence-in-the-21st-Century-Enhancing-Learning-Leadership-and-Well-being.pdf.</w:t>
      </w:r>
    </w:p>
    <w:p w14:paraId="04FC5215" w14:textId="77777777" w:rsidR="00A14C3F" w:rsidRPr="00A14C3F" w:rsidRDefault="00A14C3F" w:rsidP="00A14C3F">
      <w:pPr>
        <w:spacing w:line="480" w:lineRule="atLeast"/>
        <w:ind w:left="720" w:hanging="720"/>
        <w:rPr>
          <w:color w:val="000000"/>
        </w:rPr>
      </w:pPr>
      <w:r w:rsidRPr="00A14C3F">
        <w:rPr>
          <w:color w:val="000000"/>
        </w:rPr>
        <w:t>Keng, Shian Ling, et al. “Effects of Mindfulness on Psychological Health: A Review of Empirical Studies.” </w:t>
      </w:r>
      <w:r w:rsidRPr="00A14C3F">
        <w:rPr>
          <w:i/>
          <w:iCs/>
          <w:color w:val="000000"/>
        </w:rPr>
        <w:t>Clinical Psychology Review</w:t>
      </w:r>
      <w:r w:rsidRPr="00A14C3F">
        <w:rPr>
          <w:color w:val="000000"/>
        </w:rPr>
        <w:t>, vol. 31, no. 6, 2011, pp. 1041–1056, pmc.ncbi.nlm.nih.gov/articles/PMC3679190/, https://doi.org/10.1016/j.cpr.2011.04.006.</w:t>
      </w:r>
    </w:p>
    <w:p w14:paraId="5EE5A068" w14:textId="77777777" w:rsidR="00A14C3F" w:rsidRPr="00A14C3F" w:rsidRDefault="00A14C3F" w:rsidP="00A14C3F">
      <w:pPr>
        <w:spacing w:line="480" w:lineRule="atLeast"/>
        <w:ind w:left="720" w:hanging="720"/>
        <w:rPr>
          <w:color w:val="000000"/>
        </w:rPr>
      </w:pPr>
      <w:r w:rsidRPr="00A14C3F">
        <w:rPr>
          <w:color w:val="000000"/>
        </w:rPr>
        <w:t>Khan, Tareef, and Priscila Saint Pasteur. “Evaluating Student Learning Outcomes Using Kolb Learning Style Inventory.” </w:t>
      </w:r>
      <w:r w:rsidRPr="00A14C3F">
        <w:rPr>
          <w:i/>
          <w:iCs/>
          <w:color w:val="000000"/>
        </w:rPr>
        <w:t>International Journal of Built Environment and Sustainability</w:t>
      </w:r>
      <w:r w:rsidRPr="00A14C3F">
        <w:rPr>
          <w:color w:val="000000"/>
        </w:rPr>
        <w:t>, vol. 13, no. 1, 30 Dec. 2025, pp. 1–13, https://doi.org/10.11113/ijbes.v13.n1.1464.</w:t>
      </w:r>
    </w:p>
    <w:p w14:paraId="2A479923" w14:textId="77777777" w:rsidR="00A14C3F" w:rsidRPr="00A14C3F" w:rsidRDefault="00A14C3F" w:rsidP="00A14C3F">
      <w:pPr>
        <w:spacing w:line="480" w:lineRule="atLeast"/>
        <w:ind w:left="720" w:hanging="720"/>
        <w:rPr>
          <w:color w:val="000000"/>
        </w:rPr>
      </w:pPr>
      <w:r w:rsidRPr="00A14C3F">
        <w:rPr>
          <w:color w:val="000000"/>
        </w:rPr>
        <w:t>Koshy, Kiron. “Reflective Practice in Health Care and How to Reflect Effectively.” </w:t>
      </w:r>
      <w:r w:rsidRPr="00A14C3F">
        <w:rPr>
          <w:i/>
          <w:iCs/>
          <w:color w:val="000000"/>
        </w:rPr>
        <w:t>International Journal of Surgery Oncology</w:t>
      </w:r>
      <w:r w:rsidRPr="00A14C3F">
        <w:rPr>
          <w:color w:val="000000"/>
        </w:rPr>
        <w:t>, vol. 2, no. 6, 2017, pp. 1–3, https://doi.org/10.1097/IJ9.0000000000000020.</w:t>
      </w:r>
    </w:p>
    <w:p w14:paraId="17CAA803" w14:textId="77777777" w:rsidR="00A14C3F" w:rsidRPr="00A14C3F" w:rsidRDefault="00A14C3F" w:rsidP="00A14C3F">
      <w:pPr>
        <w:spacing w:line="480" w:lineRule="atLeast"/>
        <w:ind w:left="720" w:hanging="720"/>
        <w:rPr>
          <w:color w:val="000000"/>
        </w:rPr>
      </w:pPr>
      <w:r w:rsidRPr="00A14C3F">
        <w:rPr>
          <w:color w:val="000000"/>
        </w:rPr>
        <w:t>Lomas, Justine, and Luke A. Downey. “We Are What We Do: Trait and Ability Emotional Intelligence as Predictors of Adolescent Resilience.” </w:t>
      </w:r>
      <w:r w:rsidRPr="00A14C3F">
        <w:rPr>
          <w:i/>
          <w:iCs/>
          <w:color w:val="000000"/>
        </w:rPr>
        <w:t>Psychological Reports</w:t>
      </w:r>
      <w:r w:rsidRPr="00A14C3F">
        <w:rPr>
          <w:color w:val="000000"/>
        </w:rPr>
        <w:t>, 24 Mar. 2026, https://doi.org/10.1177/00332941261436740. Accessed 2 Apr. 2026.</w:t>
      </w:r>
    </w:p>
    <w:p w14:paraId="549C3BD4" w14:textId="77777777" w:rsidR="00A14C3F" w:rsidRPr="00A14C3F" w:rsidRDefault="00A14C3F" w:rsidP="00A14C3F">
      <w:pPr>
        <w:spacing w:line="480" w:lineRule="atLeast"/>
        <w:ind w:left="720" w:hanging="720"/>
        <w:rPr>
          <w:color w:val="000000"/>
        </w:rPr>
      </w:pPr>
      <w:r w:rsidRPr="00A14C3F">
        <w:rPr>
          <w:color w:val="000000"/>
        </w:rPr>
        <w:t>Lovas, John G., et al. “Mindfulness and Professionalism in Dentistry.” </w:t>
      </w:r>
      <w:r w:rsidRPr="00A14C3F">
        <w:rPr>
          <w:i/>
          <w:iCs/>
          <w:color w:val="000000"/>
        </w:rPr>
        <w:t>Journal of Dental Education</w:t>
      </w:r>
      <w:r w:rsidRPr="00A14C3F">
        <w:rPr>
          <w:color w:val="000000"/>
        </w:rPr>
        <w:t>, vol. 72, no. 9, Sept. 2008, pp. 998–1009, https://doi.org/10.1002/j.0022-0337.2008.72.9.tb04574.x. Accessed 19 Oct. 2020.</w:t>
      </w:r>
    </w:p>
    <w:p w14:paraId="08B00B76" w14:textId="77777777" w:rsidR="00A14C3F" w:rsidRPr="00A14C3F" w:rsidRDefault="00A14C3F" w:rsidP="00A14C3F">
      <w:pPr>
        <w:spacing w:line="480" w:lineRule="atLeast"/>
        <w:ind w:left="720" w:hanging="720"/>
        <w:rPr>
          <w:color w:val="000000"/>
        </w:rPr>
      </w:pPr>
      <w:r w:rsidRPr="00A14C3F">
        <w:rPr>
          <w:color w:val="000000"/>
        </w:rPr>
        <w:t>Mamoun, John. “Basic Principles of Maximizing Dental Office Productivity.” </w:t>
      </w:r>
      <w:r w:rsidRPr="00A14C3F">
        <w:rPr>
          <w:i/>
          <w:iCs/>
          <w:color w:val="000000"/>
        </w:rPr>
        <w:t>General Dentistry</w:t>
      </w:r>
      <w:r w:rsidRPr="00A14C3F">
        <w:rPr>
          <w:color w:val="000000"/>
        </w:rPr>
        <w:t>, vol. 60, no. 2, 2012, pp. 130–136, pubmed.ncbi.nlm.nih.gov/22414506/.</w:t>
      </w:r>
    </w:p>
    <w:p w14:paraId="64B4605E" w14:textId="77777777" w:rsidR="00A14C3F" w:rsidRPr="00A14C3F" w:rsidRDefault="00A14C3F" w:rsidP="00A14C3F">
      <w:pPr>
        <w:spacing w:line="480" w:lineRule="atLeast"/>
        <w:ind w:left="720" w:hanging="720"/>
        <w:rPr>
          <w:color w:val="000000"/>
        </w:rPr>
      </w:pPr>
      <w:r w:rsidRPr="00A14C3F">
        <w:rPr>
          <w:color w:val="000000"/>
        </w:rPr>
        <w:t>Mariño, Rodrigo, et al. “Lifelong Learning in Dental Education.” </w:t>
      </w:r>
      <w:r w:rsidRPr="00A14C3F">
        <w:rPr>
          <w:i/>
          <w:iCs/>
          <w:color w:val="000000"/>
        </w:rPr>
        <w:t>Handbook of Dental Education Technology</w:t>
      </w:r>
      <w:r w:rsidRPr="00A14C3F">
        <w:rPr>
          <w:color w:val="000000"/>
        </w:rPr>
        <w:t>, 2026, pp. 1–22, https://doi.org/10.1007/978-981-97-0275-6_54-1.</w:t>
      </w:r>
    </w:p>
    <w:p w14:paraId="76E1E052" w14:textId="77777777" w:rsidR="00A14C3F" w:rsidRPr="00A14C3F" w:rsidRDefault="00A14C3F" w:rsidP="00A14C3F">
      <w:pPr>
        <w:spacing w:line="480" w:lineRule="atLeast"/>
        <w:ind w:left="720" w:hanging="720"/>
        <w:rPr>
          <w:color w:val="000000"/>
        </w:rPr>
      </w:pPr>
      <w:r w:rsidRPr="00A14C3F">
        <w:rPr>
          <w:color w:val="000000"/>
        </w:rPr>
        <w:t>Matthias, Chanais, et al. “The Role of Mindfulness in Stress, Productivity and Wellbeing of Foundation Year Doctors: A Mixed-Methods Feasibility Study of the Mindful Resilience and Effectiveness Training Programme.” </w:t>
      </w:r>
      <w:r w:rsidRPr="00A14C3F">
        <w:rPr>
          <w:i/>
          <w:iCs/>
          <w:color w:val="000000"/>
        </w:rPr>
        <w:t>BMC Medical Education</w:t>
      </w:r>
      <w:r w:rsidRPr="00A14C3F">
        <w:rPr>
          <w:color w:val="000000"/>
        </w:rPr>
        <w:t>, vol. 24, no. 1, 2 Aug. 2024, https://doi.org/10.1186/s12909-024-05810-7.</w:t>
      </w:r>
    </w:p>
    <w:p w14:paraId="52679263" w14:textId="77777777" w:rsidR="00A14C3F" w:rsidRPr="00A14C3F" w:rsidRDefault="00A14C3F" w:rsidP="00A14C3F">
      <w:pPr>
        <w:spacing w:line="480" w:lineRule="atLeast"/>
        <w:ind w:left="720" w:hanging="720"/>
        <w:rPr>
          <w:color w:val="000000"/>
        </w:rPr>
      </w:pPr>
      <w:r w:rsidRPr="00A14C3F">
        <w:rPr>
          <w:color w:val="000000"/>
        </w:rPr>
        <w:t>Miao, Chao, et al. “The Relationship between Emotional Intelligence and Trait Mindfulness: A Meta-Analytic Review.” </w:t>
      </w:r>
      <w:r w:rsidRPr="00A14C3F">
        <w:rPr>
          <w:i/>
          <w:iCs/>
          <w:color w:val="000000"/>
        </w:rPr>
        <w:t>Personality and Individual Differences</w:t>
      </w:r>
      <w:r w:rsidRPr="00A14C3F">
        <w:rPr>
          <w:color w:val="000000"/>
        </w:rPr>
        <w:t>, vol. 135, Dec. 2018, pp. 101–107, https://doi.org/10.1016/j.paid.2018.06.051.</w:t>
      </w:r>
    </w:p>
    <w:p w14:paraId="6A67CFAE" w14:textId="77777777" w:rsidR="00A14C3F" w:rsidRPr="00A14C3F" w:rsidRDefault="00A14C3F" w:rsidP="00A14C3F">
      <w:pPr>
        <w:spacing w:line="480" w:lineRule="atLeast"/>
        <w:ind w:left="720" w:hanging="720"/>
        <w:rPr>
          <w:color w:val="000000"/>
        </w:rPr>
      </w:pPr>
      <w:r w:rsidRPr="00A14C3F">
        <w:rPr>
          <w:color w:val="000000"/>
        </w:rPr>
        <w:t xml:space="preserve">Muhammad, </w:t>
      </w:r>
      <w:proofErr w:type="spellStart"/>
      <w:r w:rsidRPr="00A14C3F">
        <w:rPr>
          <w:color w:val="000000"/>
        </w:rPr>
        <w:t>saeed</w:t>
      </w:r>
      <w:proofErr w:type="spellEnd"/>
      <w:r w:rsidRPr="00A14C3F">
        <w:rPr>
          <w:color w:val="000000"/>
        </w:rPr>
        <w:t>, et al. “Interplay between Leadership and Patient Safety in Dentistry: A Dental Hospital-Based Cross-Sectional Study.” </w:t>
      </w:r>
      <w:r w:rsidRPr="00A14C3F">
        <w:rPr>
          <w:i/>
          <w:iCs/>
          <w:color w:val="000000"/>
        </w:rPr>
        <w:t>BMJ Open Quality</w:t>
      </w:r>
      <w:r w:rsidRPr="00A14C3F">
        <w:rPr>
          <w:color w:val="000000"/>
        </w:rPr>
        <w:t xml:space="preserve">, vol. 13, no. </w:t>
      </w:r>
      <w:proofErr w:type="spellStart"/>
      <w:r w:rsidRPr="00A14C3F">
        <w:rPr>
          <w:color w:val="000000"/>
        </w:rPr>
        <w:t>Suppl</w:t>
      </w:r>
      <w:proofErr w:type="spellEnd"/>
      <w:r w:rsidRPr="00A14C3F">
        <w:rPr>
          <w:color w:val="000000"/>
        </w:rPr>
        <w:t xml:space="preserve"> 2, 1 May 2024, pp. e002376–e002376, https://doi.org/10.1136/bmjoq-2023-002376.</w:t>
      </w:r>
    </w:p>
    <w:p w14:paraId="2B973FBF" w14:textId="77777777" w:rsidR="00A14C3F" w:rsidRPr="00A14C3F" w:rsidRDefault="00A14C3F" w:rsidP="00A14C3F">
      <w:pPr>
        <w:spacing w:line="480" w:lineRule="atLeast"/>
        <w:ind w:left="720" w:hanging="720"/>
        <w:rPr>
          <w:color w:val="000000"/>
        </w:rPr>
      </w:pPr>
      <w:r w:rsidRPr="00A14C3F">
        <w:rPr>
          <w:color w:val="000000"/>
        </w:rPr>
        <w:t xml:space="preserve">Onur </w:t>
      </w:r>
      <w:proofErr w:type="spellStart"/>
      <w:r w:rsidRPr="00A14C3F">
        <w:rPr>
          <w:color w:val="000000"/>
        </w:rPr>
        <w:t>Ucak</w:t>
      </w:r>
      <w:proofErr w:type="spellEnd"/>
      <w:r w:rsidRPr="00A14C3F">
        <w:rPr>
          <w:color w:val="000000"/>
        </w:rPr>
        <w:t xml:space="preserve"> Turer, et al. “The Effect of Mindfulness Meditation on Dental Anxiety during Implant Surgery: A Randomized Controlled Clinical Trial.” </w:t>
      </w:r>
      <w:r w:rsidRPr="00A14C3F">
        <w:rPr>
          <w:i/>
          <w:iCs/>
          <w:color w:val="000000"/>
        </w:rPr>
        <w:t>Scientific Reports</w:t>
      </w:r>
      <w:r w:rsidRPr="00A14C3F">
        <w:rPr>
          <w:color w:val="000000"/>
        </w:rPr>
        <w:t>, vol. 13, no. 1, 7 Dec. 2023, https://doi.org/10.1038/s41598-023-49092-3.</w:t>
      </w:r>
    </w:p>
    <w:p w14:paraId="64754DB0" w14:textId="77777777" w:rsidR="00A14C3F" w:rsidRPr="00A14C3F" w:rsidRDefault="00A14C3F" w:rsidP="00A14C3F">
      <w:pPr>
        <w:spacing w:line="480" w:lineRule="atLeast"/>
        <w:ind w:left="720" w:hanging="720"/>
        <w:rPr>
          <w:color w:val="000000"/>
        </w:rPr>
      </w:pPr>
      <w:r w:rsidRPr="00A14C3F">
        <w:rPr>
          <w:color w:val="000000"/>
        </w:rPr>
        <w:t>Powell, Chris, et al. “Emotional Intelligence Training among the Healthcare Workforce: A Systematic Review and Meta-Analysis.” </w:t>
      </w:r>
      <w:r w:rsidRPr="00A14C3F">
        <w:rPr>
          <w:i/>
          <w:iCs/>
          <w:color w:val="000000"/>
        </w:rPr>
        <w:t>Frontiers in Psychology</w:t>
      </w:r>
      <w:r w:rsidRPr="00A14C3F">
        <w:rPr>
          <w:color w:val="000000"/>
        </w:rPr>
        <w:t>, vol. 15, 20 Nov. 2024, www.frontiersin.org/journals/psychology/articles/10.3389/fpsyg.2024.1437035/full, https://doi.org/10.3389/fpsyg.2024.1437035.</w:t>
      </w:r>
    </w:p>
    <w:p w14:paraId="033247D6" w14:textId="77777777" w:rsidR="00A14C3F" w:rsidRPr="00A14C3F" w:rsidRDefault="00A14C3F" w:rsidP="00A14C3F">
      <w:pPr>
        <w:spacing w:line="480" w:lineRule="atLeast"/>
        <w:ind w:left="720" w:hanging="720"/>
        <w:rPr>
          <w:color w:val="000000"/>
        </w:rPr>
      </w:pPr>
      <w:r w:rsidRPr="00A14C3F">
        <w:rPr>
          <w:color w:val="000000"/>
        </w:rPr>
        <w:t>Ronquillo, Yasmyne, et al. “Conflict Management.” </w:t>
      </w:r>
      <w:r w:rsidRPr="00A14C3F">
        <w:rPr>
          <w:i/>
          <w:iCs/>
          <w:color w:val="000000"/>
        </w:rPr>
        <w:t>National Library of Medicine</w:t>
      </w:r>
      <w:r w:rsidRPr="00A14C3F">
        <w:rPr>
          <w:color w:val="000000"/>
        </w:rPr>
        <w:t xml:space="preserve">, </w:t>
      </w:r>
      <w:proofErr w:type="spellStart"/>
      <w:r w:rsidRPr="00A14C3F">
        <w:rPr>
          <w:color w:val="000000"/>
        </w:rPr>
        <w:t>StatPearls</w:t>
      </w:r>
      <w:proofErr w:type="spellEnd"/>
      <w:r w:rsidRPr="00A14C3F">
        <w:rPr>
          <w:color w:val="000000"/>
        </w:rPr>
        <w:t xml:space="preserve"> Publishing, 3 July 2023, www.ncbi.nlm.nih.gov/books/NBK470432/.</w:t>
      </w:r>
    </w:p>
    <w:p w14:paraId="3AFA89A0" w14:textId="77777777" w:rsidR="00A14C3F" w:rsidRPr="00A14C3F" w:rsidRDefault="00A14C3F" w:rsidP="00A14C3F">
      <w:pPr>
        <w:spacing w:line="480" w:lineRule="atLeast"/>
        <w:ind w:left="720" w:hanging="720"/>
        <w:rPr>
          <w:color w:val="000000"/>
        </w:rPr>
      </w:pPr>
      <w:r w:rsidRPr="00A14C3F">
        <w:rPr>
          <w:color w:val="000000"/>
        </w:rPr>
        <w:t>Salovey, Peter, and John D. Mayer. “Emotional Intelligence.” </w:t>
      </w:r>
      <w:r w:rsidRPr="00A14C3F">
        <w:rPr>
          <w:i/>
          <w:iCs/>
          <w:color w:val="000000"/>
        </w:rPr>
        <w:t>Imagination, Cognition and Personality</w:t>
      </w:r>
      <w:r w:rsidRPr="00A14C3F">
        <w:rPr>
          <w:color w:val="000000"/>
        </w:rPr>
        <w:t>, vol. 9, no. 3, Mar. 1990, pp. 185–211. </w:t>
      </w:r>
      <w:proofErr w:type="spellStart"/>
      <w:r w:rsidRPr="00A14C3F">
        <w:rPr>
          <w:i/>
          <w:iCs/>
          <w:color w:val="000000"/>
        </w:rPr>
        <w:t>Sagepub</w:t>
      </w:r>
      <w:proofErr w:type="spellEnd"/>
      <w:r w:rsidRPr="00A14C3F">
        <w:rPr>
          <w:color w:val="000000"/>
        </w:rPr>
        <w:t>, journals.sagepub.com/</w:t>
      </w:r>
      <w:proofErr w:type="spellStart"/>
      <w:r w:rsidRPr="00A14C3F">
        <w:rPr>
          <w:color w:val="000000"/>
        </w:rPr>
        <w:t>doi</w:t>
      </w:r>
      <w:proofErr w:type="spellEnd"/>
      <w:r w:rsidRPr="00A14C3F">
        <w:rPr>
          <w:color w:val="000000"/>
        </w:rPr>
        <w:t>/abs/10.2190/DUGG-P24E-52WK-6CDG, https://doi.org/10.2190/DUGG-P24E-52WK-6CDG.</w:t>
      </w:r>
    </w:p>
    <w:p w14:paraId="387E9166" w14:textId="77777777" w:rsidR="00A14C3F" w:rsidRPr="00A14C3F" w:rsidRDefault="00A14C3F" w:rsidP="00A14C3F">
      <w:pPr>
        <w:spacing w:line="480" w:lineRule="atLeast"/>
        <w:ind w:left="720" w:hanging="720"/>
        <w:rPr>
          <w:color w:val="000000"/>
        </w:rPr>
      </w:pPr>
      <w:r w:rsidRPr="00A14C3F">
        <w:rPr>
          <w:color w:val="000000"/>
        </w:rPr>
        <w:t>Suresh Sankapal. “Thich Nhat Hanh’s Contributions to the Field of Mindfulness.” </w:t>
      </w:r>
      <w:r w:rsidRPr="00A14C3F">
        <w:rPr>
          <w:i/>
          <w:iCs/>
          <w:color w:val="000000"/>
        </w:rPr>
        <w:t>Indian Journal of Positive Psychology</w:t>
      </w:r>
      <w:r w:rsidRPr="00A14C3F">
        <w:rPr>
          <w:color w:val="000000"/>
        </w:rPr>
        <w:t>, vol. 15, no. 1, 3 Sept. 2024, pp. 87–91, www.researchgate.net/publication/383667870_Thich_Nhat_Hanh.</w:t>
      </w:r>
    </w:p>
    <w:p w14:paraId="6A9CD177" w14:textId="77777777" w:rsidR="00A14C3F" w:rsidRPr="00A14C3F" w:rsidRDefault="00A14C3F" w:rsidP="00A14C3F">
      <w:pPr>
        <w:spacing w:line="480" w:lineRule="atLeast"/>
        <w:ind w:left="720" w:hanging="720"/>
        <w:rPr>
          <w:color w:val="000000"/>
        </w:rPr>
      </w:pPr>
      <w:r w:rsidRPr="00A14C3F">
        <w:rPr>
          <w:color w:val="000000"/>
        </w:rPr>
        <w:t>Thich Nhat Hanh. </w:t>
      </w:r>
      <w:r w:rsidRPr="00A14C3F">
        <w:rPr>
          <w:i/>
          <w:iCs/>
          <w:color w:val="000000"/>
        </w:rPr>
        <w:t>Thich Nhat Hanh: Essential Writings</w:t>
      </w:r>
      <w:r w:rsidRPr="00A14C3F">
        <w:rPr>
          <w:color w:val="000000"/>
        </w:rPr>
        <w:t>. Orbis Books, 2001.</w:t>
      </w:r>
    </w:p>
    <w:p w14:paraId="1D1CB326" w14:textId="77777777" w:rsidR="00A14C3F" w:rsidRPr="00A14C3F" w:rsidRDefault="00A14C3F" w:rsidP="00A14C3F">
      <w:pPr>
        <w:spacing w:line="480" w:lineRule="atLeast"/>
        <w:ind w:left="720" w:hanging="720"/>
        <w:rPr>
          <w:color w:val="000000"/>
        </w:rPr>
      </w:pPr>
      <w:r w:rsidRPr="00A14C3F">
        <w:rPr>
          <w:color w:val="000000"/>
        </w:rPr>
        <w:t>Wales, Government. </w:t>
      </w:r>
      <w:r w:rsidRPr="00A14C3F">
        <w:rPr>
          <w:i/>
          <w:iCs/>
          <w:color w:val="000000"/>
        </w:rPr>
        <w:t>A Healthier Wales: Our Plan for Health and Social Care</w:t>
      </w:r>
      <w:r w:rsidRPr="00A14C3F">
        <w:rPr>
          <w:color w:val="000000"/>
        </w:rPr>
        <w:t>. 2018.</w:t>
      </w:r>
    </w:p>
    <w:p w14:paraId="71118860" w14:textId="77777777" w:rsidR="00A14C3F" w:rsidRPr="00A14C3F" w:rsidRDefault="00A14C3F" w:rsidP="00A14C3F">
      <w:pPr>
        <w:spacing w:line="480" w:lineRule="atLeast"/>
        <w:ind w:left="720" w:hanging="720"/>
        <w:rPr>
          <w:color w:val="000000"/>
        </w:rPr>
      </w:pPr>
      <w:r w:rsidRPr="00A14C3F">
        <w:rPr>
          <w:color w:val="000000"/>
        </w:rPr>
        <w:t>Young, Lance Brendan, and David C Johnsen. “A Typology of Empathic Communication Strategies in Dental Visits.” </w:t>
      </w:r>
      <w:r w:rsidRPr="00A14C3F">
        <w:rPr>
          <w:i/>
          <w:iCs/>
          <w:color w:val="000000"/>
        </w:rPr>
        <w:t>European Journal of Dental Education</w:t>
      </w:r>
      <w:r w:rsidRPr="00A14C3F">
        <w:rPr>
          <w:color w:val="000000"/>
        </w:rPr>
        <w:t>, 20 Feb. 2025, https://doi.org/10.1111/eje.13081.</w:t>
      </w:r>
    </w:p>
    <w:p w14:paraId="326A3895" w14:textId="77777777" w:rsidR="00381674" w:rsidRDefault="00381674" w:rsidP="00381674"/>
    <w:p w14:paraId="778516DA" w14:textId="77777777" w:rsidR="00381674" w:rsidRPr="00381674" w:rsidRDefault="00381674" w:rsidP="00381674"/>
    <w:p w14:paraId="55805910" w14:textId="77777777" w:rsidR="00A14C3F" w:rsidRDefault="00A14C3F" w:rsidP="00381674"/>
    <w:p w14:paraId="2D136A2E" w14:textId="61CBECE7" w:rsidR="00A14C3F" w:rsidRPr="00A14C3F" w:rsidRDefault="00A14C3F" w:rsidP="00A14C3F">
      <w:pPr>
        <w:pStyle w:val="Heading1"/>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2" w:name="_Toc229830430"/>
      <w:r w:rsidRPr="00A14C3F">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10.Bibliography</w:t>
      </w:r>
      <w:bookmarkEnd w:id="22"/>
    </w:p>
    <w:p w14:paraId="5CDD2AF8" w14:textId="77777777" w:rsidR="00A14C3F" w:rsidRDefault="00A14C3F" w:rsidP="00A14C3F">
      <w:pPr>
        <w:pStyle w:val="NormalWeb"/>
        <w:spacing w:before="0" w:beforeAutospacing="0" w:after="0" w:afterAutospacing="0" w:line="480" w:lineRule="atLeast"/>
        <w:ind w:left="720" w:hanging="720"/>
        <w:rPr>
          <w:color w:val="000000"/>
        </w:rPr>
      </w:pPr>
      <w:r>
        <w:rPr>
          <w:color w:val="000000"/>
        </w:rPr>
        <w:t>Abdulrazak, Maya. “Emotional Intelligence in Dentistry: Just a Soft Skill or the Key to Informed Decision Making?”</w:t>
      </w:r>
      <w:r>
        <w:rPr>
          <w:rStyle w:val="apple-converted-space"/>
          <w:rFonts w:eastAsiaTheme="majorEastAsia"/>
          <w:color w:val="000000"/>
        </w:rPr>
        <w:t> </w:t>
      </w:r>
      <w:r>
        <w:rPr>
          <w:i/>
          <w:iCs/>
          <w:color w:val="000000"/>
        </w:rPr>
        <w:t>BDJ Student</w:t>
      </w:r>
      <w:r>
        <w:rPr>
          <w:color w:val="000000"/>
        </w:rPr>
        <w:t>, vol. 32, no. 2, 28 Apr. 2025, pp. 60–61, https://doi.org/10.1038/s41406-025-1500-5. Accessed 3 June 2025.</w:t>
      </w:r>
    </w:p>
    <w:p w14:paraId="2BC65824" w14:textId="77777777" w:rsidR="00A14C3F" w:rsidRDefault="00A14C3F" w:rsidP="00A14C3F">
      <w:pPr>
        <w:pStyle w:val="NormalWeb"/>
        <w:spacing w:before="0" w:beforeAutospacing="0" w:after="0" w:afterAutospacing="0" w:line="480" w:lineRule="atLeast"/>
        <w:ind w:left="720" w:hanging="720"/>
        <w:rPr>
          <w:color w:val="000000"/>
        </w:rPr>
      </w:pPr>
      <w:r>
        <w:rPr>
          <w:color w:val="000000"/>
        </w:rPr>
        <w:t>Arthur, Robin. “Emotional Intelligence in Healthcare: Driving High-Quality Care and Team Performance.”</w:t>
      </w:r>
      <w:r>
        <w:rPr>
          <w:rStyle w:val="apple-converted-space"/>
          <w:rFonts w:eastAsiaTheme="majorEastAsia"/>
          <w:color w:val="000000"/>
        </w:rPr>
        <w:t> </w:t>
      </w:r>
      <w:r>
        <w:rPr>
          <w:i/>
          <w:iCs/>
          <w:color w:val="000000"/>
        </w:rPr>
        <w:t>OccupationalTherapy.com</w:t>
      </w:r>
      <w:r>
        <w:rPr>
          <w:color w:val="000000"/>
        </w:rPr>
        <w:t>, 2026, www.occupationaltherapy.com/articles/emotional-intelligence-in-healthcare-driving-5859? Accessed 8 May 2026.</w:t>
      </w:r>
    </w:p>
    <w:p w14:paraId="73303411" w14:textId="77777777" w:rsidR="00A14C3F" w:rsidRDefault="00A14C3F" w:rsidP="00A14C3F">
      <w:pPr>
        <w:pStyle w:val="NormalWeb"/>
        <w:spacing w:before="0" w:beforeAutospacing="0" w:after="0" w:afterAutospacing="0" w:line="480" w:lineRule="atLeast"/>
        <w:ind w:left="720" w:hanging="720"/>
        <w:rPr>
          <w:color w:val="000000"/>
        </w:rPr>
      </w:pPr>
      <w:r>
        <w:rPr>
          <w:color w:val="000000"/>
        </w:rPr>
        <w:t>Arunratanothai, Tanit, et al. “Global Trends in Non‐Technical Skills Research in Dental Education: Bibliometric Review and a Curricular Case Study.”</w:t>
      </w:r>
      <w:r>
        <w:rPr>
          <w:rStyle w:val="apple-converted-space"/>
          <w:rFonts w:eastAsiaTheme="majorEastAsia"/>
          <w:color w:val="000000"/>
        </w:rPr>
        <w:t> </w:t>
      </w:r>
      <w:r>
        <w:rPr>
          <w:i/>
          <w:iCs/>
          <w:color w:val="000000"/>
        </w:rPr>
        <w:t>International Journal of Dentistry</w:t>
      </w:r>
      <w:r>
        <w:rPr>
          <w:color w:val="000000"/>
        </w:rPr>
        <w:t>, vol. 2026, no. 1, Jan. 2026, https://doi.org/10.1155/ijod/8633389. Accessed 7 May 2026.</w:t>
      </w:r>
    </w:p>
    <w:p w14:paraId="1B4A6BF6" w14:textId="77777777" w:rsidR="00A14C3F" w:rsidRDefault="00A14C3F" w:rsidP="00A14C3F">
      <w:pPr>
        <w:pStyle w:val="NormalWeb"/>
        <w:spacing w:before="0" w:beforeAutospacing="0" w:after="0" w:afterAutospacing="0" w:line="480" w:lineRule="atLeast"/>
        <w:ind w:left="720" w:hanging="720"/>
        <w:rPr>
          <w:color w:val="000000"/>
        </w:rPr>
      </w:pPr>
      <w:r>
        <w:rPr>
          <w:color w:val="000000"/>
        </w:rPr>
        <w:t>Behan, C. “The Benefits of Meditation and Mindfulness Practices during Times of Crisis such as Covid-19.”</w:t>
      </w:r>
      <w:r>
        <w:rPr>
          <w:rStyle w:val="apple-converted-space"/>
          <w:rFonts w:eastAsiaTheme="majorEastAsia"/>
          <w:color w:val="000000"/>
        </w:rPr>
        <w:t> </w:t>
      </w:r>
      <w:r>
        <w:rPr>
          <w:i/>
          <w:iCs/>
          <w:color w:val="000000"/>
        </w:rPr>
        <w:t>Irish Journal of Psychological Medicine</w:t>
      </w:r>
      <w:r>
        <w:rPr>
          <w:color w:val="000000"/>
        </w:rPr>
        <w:t>, vol. 37, no. 4, 14 May 2020, pp. 1–8, https://doi.org/10.1017/ipm.2020.38.</w:t>
      </w:r>
    </w:p>
    <w:p w14:paraId="111C728B" w14:textId="77777777" w:rsidR="00A14C3F" w:rsidRDefault="00A14C3F" w:rsidP="00A14C3F">
      <w:pPr>
        <w:pStyle w:val="NormalWeb"/>
        <w:spacing w:before="0" w:beforeAutospacing="0" w:after="0" w:afterAutospacing="0" w:line="480" w:lineRule="atLeast"/>
        <w:ind w:left="720" w:hanging="720"/>
        <w:rPr>
          <w:color w:val="000000"/>
        </w:rPr>
      </w:pPr>
      <w:r>
        <w:rPr>
          <w:color w:val="000000"/>
        </w:rPr>
        <w:t>Carmichael, Neil. “NHS Dentistry: A Changed Landscape - Dentistry.”</w:t>
      </w:r>
      <w:r>
        <w:rPr>
          <w:rStyle w:val="apple-converted-space"/>
          <w:rFonts w:eastAsiaTheme="majorEastAsia"/>
          <w:color w:val="000000"/>
        </w:rPr>
        <w:t> </w:t>
      </w:r>
      <w:r>
        <w:rPr>
          <w:i/>
          <w:iCs/>
          <w:color w:val="000000"/>
        </w:rPr>
        <w:t>Dentistry.co.uk</w:t>
      </w:r>
      <w:r>
        <w:rPr>
          <w:color w:val="000000"/>
        </w:rPr>
        <w:t>, Dentistry Online, 14 Nov. 2024, dentistry.co.uk/2024/11/14/</w:t>
      </w:r>
      <w:proofErr w:type="spellStart"/>
      <w:r>
        <w:rPr>
          <w:color w:val="000000"/>
        </w:rPr>
        <w:t>nhs</w:t>
      </w:r>
      <w:proofErr w:type="spellEnd"/>
      <w:r>
        <w:rPr>
          <w:color w:val="000000"/>
        </w:rPr>
        <w:t>-dentistry-a-changed-landscape/.</w:t>
      </w:r>
    </w:p>
    <w:p w14:paraId="0B62FE7D" w14:textId="77777777" w:rsidR="00A14C3F" w:rsidRDefault="00A14C3F" w:rsidP="00A14C3F">
      <w:pPr>
        <w:pStyle w:val="NormalWeb"/>
        <w:spacing w:before="0" w:beforeAutospacing="0" w:after="0" w:afterAutospacing="0" w:line="480" w:lineRule="atLeast"/>
        <w:ind w:left="720" w:hanging="720"/>
        <w:rPr>
          <w:color w:val="000000"/>
        </w:rPr>
      </w:pPr>
      <w:r>
        <w:rPr>
          <w:color w:val="000000"/>
        </w:rPr>
        <w:t>Carr, Elizabeth, et al. “Role of Gender and Age in Influencing Dentist Perceptions of Effective Leadership Capabilities.”</w:t>
      </w:r>
      <w:r>
        <w:rPr>
          <w:rStyle w:val="apple-converted-space"/>
          <w:rFonts w:eastAsiaTheme="majorEastAsia"/>
          <w:color w:val="000000"/>
        </w:rPr>
        <w:t> </w:t>
      </w:r>
      <w:r>
        <w:rPr>
          <w:i/>
          <w:iCs/>
          <w:color w:val="000000"/>
        </w:rPr>
        <w:t>Journal of Prosthetic Dentistry</w:t>
      </w:r>
      <w:r>
        <w:rPr>
          <w:color w:val="000000"/>
        </w:rPr>
        <w:t>, 1 May 2023, https://doi.org/10.1016/j.prosdent.2023.04.011.</w:t>
      </w:r>
    </w:p>
    <w:p w14:paraId="6FC9B987" w14:textId="77777777" w:rsidR="00A14C3F" w:rsidRDefault="00A14C3F" w:rsidP="00A14C3F">
      <w:pPr>
        <w:pStyle w:val="NormalWeb"/>
        <w:spacing w:before="0" w:beforeAutospacing="0" w:after="0" w:afterAutospacing="0" w:line="480" w:lineRule="atLeast"/>
        <w:ind w:left="720" w:hanging="720"/>
        <w:rPr>
          <w:color w:val="000000"/>
        </w:rPr>
      </w:pPr>
      <w:proofErr w:type="gramStart"/>
      <w:r>
        <w:rPr>
          <w:color w:val="000000"/>
        </w:rPr>
        <w:t>Covey ,</w:t>
      </w:r>
      <w:proofErr w:type="gramEnd"/>
      <w:r>
        <w:rPr>
          <w:color w:val="000000"/>
        </w:rPr>
        <w:t xml:space="preserve"> Stephen. “Principle-</w:t>
      </w:r>
      <w:proofErr w:type="spellStart"/>
      <w:r>
        <w:rPr>
          <w:color w:val="000000"/>
        </w:rPr>
        <w:t>Centered</w:t>
      </w:r>
      <w:proofErr w:type="spellEnd"/>
      <w:r>
        <w:rPr>
          <w:color w:val="000000"/>
        </w:rPr>
        <w:t xml:space="preserve"> Leadership.”</w:t>
      </w:r>
      <w:r>
        <w:rPr>
          <w:rStyle w:val="apple-converted-space"/>
          <w:rFonts w:eastAsiaTheme="majorEastAsia"/>
          <w:color w:val="000000"/>
        </w:rPr>
        <w:t> </w:t>
      </w:r>
      <w:r>
        <w:rPr>
          <w:i/>
          <w:iCs/>
          <w:color w:val="000000"/>
        </w:rPr>
        <w:t>Google Books</w:t>
      </w:r>
      <w:r>
        <w:rPr>
          <w:color w:val="000000"/>
        </w:rPr>
        <w:t>, 2026, books.google.co.uk/books/about/Principle_centered_Leadership.html?id=HmdaAAAAYAAJ&amp;redir_esc=y. Accessed 14 May 2026.</w:t>
      </w:r>
    </w:p>
    <w:p w14:paraId="28DF721F" w14:textId="77777777" w:rsidR="00A14C3F" w:rsidRDefault="00A14C3F" w:rsidP="00A14C3F">
      <w:pPr>
        <w:pStyle w:val="NormalWeb"/>
        <w:spacing w:before="0" w:beforeAutospacing="0" w:after="0" w:afterAutospacing="0" w:line="480" w:lineRule="atLeast"/>
        <w:ind w:left="720" w:hanging="720"/>
        <w:rPr>
          <w:color w:val="000000"/>
        </w:rPr>
      </w:pPr>
      <w:r>
        <w:rPr>
          <w:color w:val="000000"/>
        </w:rPr>
        <w:t>Deepasakthi, J, et al. “Influence of Emotional Intelligence on Patient-Dentist Relationships: A Questionnaire Development, Validation and Pilot Study.”</w:t>
      </w:r>
      <w:r>
        <w:rPr>
          <w:rStyle w:val="apple-converted-space"/>
          <w:rFonts w:eastAsiaTheme="majorEastAsia"/>
          <w:color w:val="000000"/>
        </w:rPr>
        <w:t> </w:t>
      </w:r>
      <w:r>
        <w:rPr>
          <w:i/>
          <w:iCs/>
          <w:color w:val="000000"/>
        </w:rPr>
        <w:t>Journal of Oral Biology and Craniofacial Research</w:t>
      </w:r>
      <w:r>
        <w:rPr>
          <w:color w:val="000000"/>
        </w:rPr>
        <w:t>, vol. 15, no. 4, 18 Apr. 2025, pp. 670–676, www.sciencedirect.com/science/article/pii/S2212426825000880, https://doi.org/10.1016/j.jobcr.2025.04.003.</w:t>
      </w:r>
    </w:p>
    <w:p w14:paraId="1F29CF54" w14:textId="77777777" w:rsidR="00A14C3F" w:rsidRDefault="00A14C3F" w:rsidP="00A14C3F">
      <w:pPr>
        <w:pStyle w:val="NormalWeb"/>
        <w:spacing w:before="0" w:beforeAutospacing="0" w:after="0" w:afterAutospacing="0" w:line="480" w:lineRule="atLeast"/>
        <w:ind w:left="720" w:hanging="720"/>
        <w:rPr>
          <w:color w:val="000000"/>
        </w:rPr>
      </w:pPr>
      <w:r>
        <w:rPr>
          <w:color w:val="000000"/>
        </w:rPr>
        <w:t>Emanuel, Robert. “Maslow’s Hierarchy of Need Pyramid - a Model for Planning NHS Dental Services?”</w:t>
      </w:r>
      <w:r>
        <w:rPr>
          <w:rStyle w:val="apple-converted-space"/>
          <w:rFonts w:eastAsiaTheme="majorEastAsia"/>
          <w:color w:val="000000"/>
        </w:rPr>
        <w:t> </w:t>
      </w:r>
      <w:r>
        <w:rPr>
          <w:i/>
          <w:iCs/>
          <w:color w:val="000000"/>
        </w:rPr>
        <w:t>British Dental Journal</w:t>
      </w:r>
      <w:r>
        <w:rPr>
          <w:color w:val="000000"/>
        </w:rPr>
        <w:t>, vol. 235, no. 3, 1 Aug. 2023, pp. 177–179, pubmed.ncbi.nlm.nih.gov/37563384/, https://doi.org/10.1038/s41415-023-6066-4.</w:t>
      </w:r>
    </w:p>
    <w:p w14:paraId="2203889B" w14:textId="77777777" w:rsidR="00A14C3F" w:rsidRDefault="00A14C3F" w:rsidP="00A14C3F">
      <w:pPr>
        <w:pStyle w:val="NormalWeb"/>
        <w:spacing w:before="0" w:beforeAutospacing="0" w:after="0" w:afterAutospacing="0" w:line="480" w:lineRule="atLeast"/>
        <w:ind w:left="720" w:hanging="720"/>
        <w:rPr>
          <w:color w:val="000000"/>
        </w:rPr>
      </w:pPr>
      <w:r>
        <w:rPr>
          <w:color w:val="000000"/>
        </w:rPr>
        <w:t>Endalamaw, Aklilu, et al. “Barriers and Strategies for Primary Health Care Workforce Development: Synthesis of Evidence.”</w:t>
      </w:r>
      <w:r>
        <w:rPr>
          <w:rStyle w:val="apple-converted-space"/>
          <w:rFonts w:eastAsiaTheme="majorEastAsia"/>
          <w:color w:val="000000"/>
        </w:rPr>
        <w:t> </w:t>
      </w:r>
      <w:r>
        <w:rPr>
          <w:i/>
          <w:iCs/>
          <w:color w:val="000000"/>
        </w:rPr>
        <w:t>BMC Primary Care</w:t>
      </w:r>
      <w:r>
        <w:rPr>
          <w:color w:val="000000"/>
        </w:rPr>
        <w:t>, vol. 25, no. 1, 2024, pmc.ncbi.nlm.nih.gov/articles/PMC10967164/, https://doi.org/10.1186/s12875-024-02336-1.</w:t>
      </w:r>
    </w:p>
    <w:p w14:paraId="7C9C79E5" w14:textId="77777777" w:rsidR="00A14C3F" w:rsidRDefault="00A14C3F" w:rsidP="00A14C3F">
      <w:pPr>
        <w:pStyle w:val="NormalWeb"/>
        <w:spacing w:before="0" w:beforeAutospacing="0" w:after="0" w:afterAutospacing="0" w:line="480" w:lineRule="atLeast"/>
        <w:ind w:left="720" w:hanging="720"/>
        <w:rPr>
          <w:color w:val="000000"/>
        </w:rPr>
      </w:pPr>
      <w:r>
        <w:rPr>
          <w:color w:val="000000"/>
        </w:rPr>
        <w:t>GDC. “Association for Dental Education in Europe (ADEE).” July 2020.</w:t>
      </w:r>
    </w:p>
    <w:p w14:paraId="19FD535C" w14:textId="77777777" w:rsidR="00A14C3F" w:rsidRDefault="00A14C3F" w:rsidP="00A14C3F">
      <w:pPr>
        <w:pStyle w:val="NormalWeb"/>
        <w:spacing w:before="0" w:beforeAutospacing="0" w:after="0" w:afterAutospacing="0" w:line="480" w:lineRule="atLeast"/>
        <w:ind w:left="720" w:hanging="720"/>
        <w:rPr>
          <w:color w:val="000000"/>
        </w:rPr>
      </w:pPr>
      <w:r>
        <w:rPr>
          <w:color w:val="000000"/>
        </w:rPr>
        <w:t>---. “General Dental Council - Communicate Effectively with Patients.”</w:t>
      </w:r>
      <w:r>
        <w:rPr>
          <w:rStyle w:val="apple-converted-space"/>
          <w:rFonts w:eastAsiaTheme="majorEastAsia"/>
          <w:color w:val="000000"/>
        </w:rPr>
        <w:t> </w:t>
      </w:r>
      <w:r>
        <w:rPr>
          <w:i/>
          <w:iCs/>
          <w:color w:val="000000"/>
        </w:rPr>
        <w:t>Gdc-Uk.org</w:t>
      </w:r>
      <w:r>
        <w:rPr>
          <w:color w:val="000000"/>
        </w:rPr>
        <w:t>, 2025, standards.gdc-uk.org/pages/principle2/principle2.</w:t>
      </w:r>
    </w:p>
    <w:p w14:paraId="2673ABFE" w14:textId="77777777" w:rsidR="00A14C3F" w:rsidRDefault="00A14C3F" w:rsidP="00A14C3F">
      <w:pPr>
        <w:pStyle w:val="NormalWeb"/>
        <w:spacing w:before="0" w:beforeAutospacing="0" w:after="0" w:afterAutospacing="0" w:line="480" w:lineRule="atLeast"/>
        <w:ind w:left="720" w:hanging="720"/>
        <w:rPr>
          <w:color w:val="000000"/>
        </w:rPr>
      </w:pPr>
      <w:r>
        <w:rPr>
          <w:color w:val="000000"/>
        </w:rPr>
        <w:t>Goleman, Daniel. “Emotional Intelligence.”</w:t>
      </w:r>
      <w:r>
        <w:rPr>
          <w:rStyle w:val="apple-converted-space"/>
          <w:rFonts w:eastAsiaTheme="majorEastAsia"/>
          <w:color w:val="000000"/>
        </w:rPr>
        <w:t> </w:t>
      </w:r>
      <w:r>
        <w:rPr>
          <w:i/>
          <w:iCs/>
          <w:color w:val="000000"/>
        </w:rPr>
        <w:t>Psycnet.apa.org</w:t>
      </w:r>
      <w:r>
        <w:rPr>
          <w:color w:val="000000"/>
        </w:rPr>
        <w:t>, 1995, psycnet.apa.org/record/1995-98387-000.</w:t>
      </w:r>
    </w:p>
    <w:p w14:paraId="3E99F242" w14:textId="77777777" w:rsidR="00A14C3F" w:rsidRDefault="00A14C3F" w:rsidP="00A14C3F">
      <w:pPr>
        <w:pStyle w:val="NormalWeb"/>
        <w:spacing w:before="0" w:beforeAutospacing="0" w:after="0" w:afterAutospacing="0" w:line="480" w:lineRule="atLeast"/>
        <w:ind w:left="720" w:hanging="720"/>
        <w:rPr>
          <w:color w:val="000000"/>
        </w:rPr>
      </w:pPr>
      <w:r>
        <w:rPr>
          <w:color w:val="000000"/>
        </w:rPr>
        <w:t>Güngör, Sevgi, et al. “Understanding Empathy in Patient‐</w:t>
      </w:r>
      <w:proofErr w:type="spellStart"/>
      <w:r>
        <w:rPr>
          <w:color w:val="000000"/>
        </w:rPr>
        <w:t>Centered</w:t>
      </w:r>
      <w:proofErr w:type="spellEnd"/>
      <w:r>
        <w:rPr>
          <w:color w:val="000000"/>
        </w:rPr>
        <w:t xml:space="preserve"> Dentistry: The Role of Emotional Intelligence and Psychosocial Factors.”</w:t>
      </w:r>
      <w:r>
        <w:rPr>
          <w:rStyle w:val="apple-converted-space"/>
          <w:rFonts w:eastAsiaTheme="majorEastAsia"/>
          <w:color w:val="000000"/>
        </w:rPr>
        <w:t> </w:t>
      </w:r>
      <w:r>
        <w:rPr>
          <w:i/>
          <w:iCs/>
          <w:color w:val="000000"/>
        </w:rPr>
        <w:t>European Journal of Dental Education</w:t>
      </w:r>
      <w:r>
        <w:rPr>
          <w:color w:val="000000"/>
        </w:rPr>
        <w:t>, 7 May 2026, https://doi.org/10.1111/eje.70177. Accessed 16 May 2026.</w:t>
      </w:r>
    </w:p>
    <w:p w14:paraId="32EFB6A7" w14:textId="77777777" w:rsidR="00A14C3F" w:rsidRDefault="00A14C3F" w:rsidP="00A14C3F">
      <w:pPr>
        <w:pStyle w:val="NormalWeb"/>
        <w:spacing w:before="0" w:beforeAutospacing="0" w:after="0" w:afterAutospacing="0" w:line="480" w:lineRule="atLeast"/>
        <w:ind w:left="720" w:hanging="720"/>
        <w:rPr>
          <w:color w:val="000000"/>
        </w:rPr>
      </w:pPr>
      <w:r>
        <w:rPr>
          <w:color w:val="000000"/>
        </w:rPr>
        <w:t>Harris, Marina, and Kenneth Eaton. “Exploring Dental Professionals’ Perceptions of Resilience to Dental Environment Stress: A Qualitative Study.”</w:t>
      </w:r>
      <w:r>
        <w:rPr>
          <w:rStyle w:val="apple-converted-space"/>
          <w:rFonts w:eastAsiaTheme="majorEastAsia"/>
          <w:color w:val="000000"/>
        </w:rPr>
        <w:t> </w:t>
      </w:r>
      <w:r>
        <w:rPr>
          <w:i/>
          <w:iCs/>
          <w:color w:val="000000"/>
        </w:rPr>
        <w:t>BDJ</w:t>
      </w:r>
      <w:r>
        <w:rPr>
          <w:color w:val="000000"/>
        </w:rPr>
        <w:t>, vol. 238, no. 6, 28 Mar. 2025, pp. 395–402, www.nature.com/articles/s41415-024-7953-z, https://doi.org/10.1038/s41415-024-7953-z.</w:t>
      </w:r>
    </w:p>
    <w:p w14:paraId="313EF4FE" w14:textId="77777777" w:rsidR="00A14C3F" w:rsidRDefault="00A14C3F" w:rsidP="00A14C3F">
      <w:pPr>
        <w:pStyle w:val="NormalWeb"/>
        <w:spacing w:before="0" w:beforeAutospacing="0" w:after="0" w:afterAutospacing="0" w:line="480" w:lineRule="atLeast"/>
        <w:ind w:left="720" w:hanging="720"/>
        <w:rPr>
          <w:color w:val="000000"/>
        </w:rPr>
      </w:pPr>
      <w:r>
        <w:rPr>
          <w:color w:val="000000"/>
        </w:rPr>
        <w:t>Harris, Roger, and Tom Short. “Exploring the Notion of Workforce Development.”</w:t>
      </w:r>
      <w:r>
        <w:rPr>
          <w:rStyle w:val="apple-converted-space"/>
          <w:rFonts w:eastAsiaTheme="majorEastAsia"/>
          <w:color w:val="000000"/>
        </w:rPr>
        <w:t> </w:t>
      </w:r>
      <w:r>
        <w:rPr>
          <w:i/>
          <w:iCs/>
          <w:color w:val="000000"/>
        </w:rPr>
        <w:t>Workforce Development</w:t>
      </w:r>
      <w:r>
        <w:rPr>
          <w:color w:val="000000"/>
        </w:rPr>
        <w:t>, 20 Nov. 2013, pp. 1–16, https://doi.org/10.1007/978-981-4560-58-0_1. Accessed 1 Aug. 2022.</w:t>
      </w:r>
    </w:p>
    <w:p w14:paraId="57498352" w14:textId="77777777" w:rsidR="00A14C3F" w:rsidRDefault="00A14C3F" w:rsidP="00A14C3F">
      <w:pPr>
        <w:pStyle w:val="NormalWeb"/>
        <w:spacing w:before="0" w:beforeAutospacing="0" w:after="0" w:afterAutospacing="0" w:line="480" w:lineRule="atLeast"/>
        <w:ind w:left="720" w:hanging="720"/>
        <w:rPr>
          <w:color w:val="000000"/>
        </w:rPr>
      </w:pPr>
      <w:r>
        <w:rPr>
          <w:color w:val="000000"/>
        </w:rPr>
        <w:t>Heikkinen, Heini, et al. “Exploring the Core of Emotional Intelligence in Healthcare Leadership: A Concept Analysis.”</w:t>
      </w:r>
      <w:r>
        <w:rPr>
          <w:rStyle w:val="apple-converted-space"/>
          <w:rFonts w:eastAsiaTheme="majorEastAsia"/>
          <w:color w:val="000000"/>
        </w:rPr>
        <w:t> </w:t>
      </w:r>
      <w:r>
        <w:rPr>
          <w:i/>
          <w:iCs/>
          <w:color w:val="000000"/>
        </w:rPr>
        <w:t>Journal of Advanced Nursing</w:t>
      </w:r>
      <w:r>
        <w:rPr>
          <w:color w:val="000000"/>
        </w:rPr>
        <w:t>, 7 May 2025, https://doi.org/10.1111/jan.17023.</w:t>
      </w:r>
    </w:p>
    <w:p w14:paraId="3A3FD2D5" w14:textId="77777777" w:rsidR="00A14C3F" w:rsidRDefault="00A14C3F" w:rsidP="00A14C3F">
      <w:pPr>
        <w:pStyle w:val="NormalWeb"/>
        <w:spacing w:before="0" w:beforeAutospacing="0" w:after="0" w:afterAutospacing="0" w:line="480" w:lineRule="atLeast"/>
        <w:ind w:left="720" w:hanging="720"/>
        <w:rPr>
          <w:color w:val="000000"/>
        </w:rPr>
      </w:pPr>
      <w:r>
        <w:rPr>
          <w:color w:val="000000"/>
        </w:rPr>
        <w:t>Ho, Jasmine Cheuk Ying, et al. “Strategies for Effective Dentist-Patient Communication: A Literature Review.”</w:t>
      </w:r>
      <w:r>
        <w:rPr>
          <w:rStyle w:val="apple-converted-space"/>
          <w:rFonts w:eastAsiaTheme="majorEastAsia"/>
          <w:color w:val="000000"/>
        </w:rPr>
        <w:t> </w:t>
      </w:r>
      <w:r>
        <w:rPr>
          <w:i/>
          <w:iCs/>
          <w:color w:val="000000"/>
        </w:rPr>
        <w:t>Patient Preference and Adherence</w:t>
      </w:r>
      <w:r>
        <w:rPr>
          <w:color w:val="000000"/>
        </w:rPr>
        <w:t>, vol. 18, 1 July 2024, pp. 1385–1394, www.dovepress.com/strategies-for-effective-dentist-patient-communication-a-literature-re-peer-reviewed-fulltext-article-PPA#:~:text=Factors%20such%20as%20time%20constraints, https://doi.org/10.2147/PPA.S465221.</w:t>
      </w:r>
    </w:p>
    <w:p w14:paraId="3D87FA63" w14:textId="77777777" w:rsidR="00A14C3F" w:rsidRDefault="00A14C3F" w:rsidP="00A14C3F">
      <w:pPr>
        <w:pStyle w:val="NormalWeb"/>
        <w:spacing w:before="0" w:beforeAutospacing="0" w:after="0" w:afterAutospacing="0" w:line="480" w:lineRule="atLeast"/>
        <w:ind w:left="720" w:hanging="720"/>
        <w:rPr>
          <w:color w:val="000000"/>
        </w:rPr>
      </w:pPr>
      <w:r>
        <w:rPr>
          <w:color w:val="000000"/>
        </w:rPr>
        <w:t>Howells, Alex. “Understanding the Workforce.”</w:t>
      </w:r>
      <w:r>
        <w:rPr>
          <w:rStyle w:val="apple-converted-space"/>
          <w:rFonts w:eastAsiaTheme="majorEastAsia"/>
          <w:color w:val="000000"/>
        </w:rPr>
        <w:t> </w:t>
      </w:r>
      <w:r>
        <w:rPr>
          <w:i/>
          <w:iCs/>
          <w:color w:val="000000"/>
        </w:rPr>
        <w:t>HEIW</w:t>
      </w:r>
      <w:r>
        <w:rPr>
          <w:color w:val="000000"/>
        </w:rPr>
        <w:t xml:space="preserve">, 2024, </w:t>
      </w:r>
      <w:proofErr w:type="gramStart"/>
      <w:r>
        <w:rPr>
          <w:color w:val="000000"/>
        </w:rPr>
        <w:t>heiw.nhs.wales</w:t>
      </w:r>
      <w:proofErr w:type="gramEnd"/>
      <w:r>
        <w:rPr>
          <w:color w:val="000000"/>
        </w:rPr>
        <w:t>/workforce/workforce-intelligence-and-planning/workforce-observatory/understanding-the-workforce/.</w:t>
      </w:r>
    </w:p>
    <w:p w14:paraId="249D8CF8" w14:textId="77777777" w:rsidR="00A14C3F" w:rsidRDefault="00A14C3F" w:rsidP="00A14C3F">
      <w:pPr>
        <w:pStyle w:val="NormalWeb"/>
        <w:spacing w:before="0" w:beforeAutospacing="0" w:after="0" w:afterAutospacing="0" w:line="480" w:lineRule="atLeast"/>
        <w:ind w:left="720" w:hanging="720"/>
        <w:rPr>
          <w:color w:val="000000"/>
        </w:rPr>
      </w:pPr>
      <w:r>
        <w:rPr>
          <w:color w:val="000000"/>
        </w:rPr>
        <w:t>https://www.facebook.com/DentalProtectionLimited. “Combatting Workforce Shortages.”</w:t>
      </w:r>
      <w:r>
        <w:rPr>
          <w:rStyle w:val="apple-converted-space"/>
          <w:rFonts w:eastAsiaTheme="majorEastAsia"/>
          <w:color w:val="000000"/>
        </w:rPr>
        <w:t> </w:t>
      </w:r>
      <w:r>
        <w:rPr>
          <w:i/>
          <w:iCs/>
          <w:color w:val="000000"/>
        </w:rPr>
        <w:t>Articles</w:t>
      </w:r>
      <w:r>
        <w:rPr>
          <w:color w:val="000000"/>
        </w:rPr>
        <w:t>, 2024, www.dentalprotection.org/uk/articles/combatting-workforce-shortages.</w:t>
      </w:r>
    </w:p>
    <w:p w14:paraId="4B35DA3D" w14:textId="77777777" w:rsidR="00A14C3F" w:rsidRDefault="00A14C3F" w:rsidP="00A14C3F">
      <w:pPr>
        <w:pStyle w:val="NormalWeb"/>
        <w:spacing w:before="0" w:beforeAutospacing="0" w:after="0" w:afterAutospacing="0" w:line="480" w:lineRule="atLeast"/>
        <w:ind w:left="720" w:hanging="720"/>
        <w:rPr>
          <w:color w:val="000000"/>
        </w:rPr>
      </w:pPr>
      <w:r>
        <w:rPr>
          <w:color w:val="000000"/>
        </w:rPr>
        <w:t>Islam, Aliya, et al. “Investigating the Effectiveness of Structured Mindfulness Sessions in Mitigating Burnout among Final-Year Dental Students: A Mixed-Methods Analysis.”</w:t>
      </w:r>
      <w:r>
        <w:rPr>
          <w:rStyle w:val="apple-converted-space"/>
          <w:rFonts w:eastAsiaTheme="majorEastAsia"/>
          <w:color w:val="000000"/>
        </w:rPr>
        <w:t> </w:t>
      </w:r>
      <w:r>
        <w:rPr>
          <w:i/>
          <w:iCs/>
          <w:color w:val="000000"/>
        </w:rPr>
        <w:t>PLOS One</w:t>
      </w:r>
      <w:r>
        <w:rPr>
          <w:color w:val="000000"/>
        </w:rPr>
        <w:t>, vol. 21, no. 2, 5 Feb. 2026, p. e0342017, https://doi.org/10.1371/journal.pone.0342017. Accessed 1 Mar. 2026.</w:t>
      </w:r>
    </w:p>
    <w:p w14:paraId="6C022F53" w14:textId="77777777" w:rsidR="00A14C3F" w:rsidRDefault="00A14C3F" w:rsidP="00A14C3F">
      <w:pPr>
        <w:pStyle w:val="NormalWeb"/>
        <w:spacing w:before="0" w:beforeAutospacing="0" w:after="0" w:afterAutospacing="0" w:line="480" w:lineRule="atLeast"/>
        <w:ind w:left="720" w:hanging="720"/>
        <w:rPr>
          <w:color w:val="000000"/>
        </w:rPr>
      </w:pPr>
      <w:r>
        <w:rPr>
          <w:color w:val="000000"/>
        </w:rPr>
        <w:t>Jahan, Shah Saif, et al. “Exploring the Association between Emotional Intelligence and Academic Performance and Stress Factors among Dental Students: A Scoping Review.”</w:t>
      </w:r>
      <w:r>
        <w:rPr>
          <w:rStyle w:val="apple-converted-space"/>
          <w:rFonts w:eastAsiaTheme="majorEastAsia"/>
          <w:color w:val="000000"/>
        </w:rPr>
        <w:t> </w:t>
      </w:r>
      <w:r>
        <w:rPr>
          <w:i/>
          <w:iCs/>
          <w:color w:val="000000"/>
        </w:rPr>
        <w:t>Dentistry Journal</w:t>
      </w:r>
      <w:r>
        <w:rPr>
          <w:color w:val="000000"/>
        </w:rPr>
        <w:t>, vol. 10, no. 4, 7 Apr. 2022, p. 67, https://doi.org/10.3390/dj10040067.</w:t>
      </w:r>
    </w:p>
    <w:p w14:paraId="2ADE62D6" w14:textId="77777777" w:rsidR="00A14C3F" w:rsidRDefault="00A14C3F" w:rsidP="00A14C3F">
      <w:pPr>
        <w:pStyle w:val="NormalWeb"/>
        <w:spacing w:before="0" w:beforeAutospacing="0" w:after="0" w:afterAutospacing="0" w:line="480" w:lineRule="atLeast"/>
        <w:ind w:left="720" w:hanging="720"/>
        <w:rPr>
          <w:color w:val="000000"/>
        </w:rPr>
      </w:pPr>
      <w:r>
        <w:rPr>
          <w:color w:val="000000"/>
        </w:rPr>
        <w:t>Jiménez-Picón, Nerea, et al. “The Relationship between Mindfulness and Emotional Intelligence as a Protective Factor for Healthcare Professionals: Systematic Review.”</w:t>
      </w:r>
      <w:r>
        <w:rPr>
          <w:rStyle w:val="apple-converted-space"/>
          <w:rFonts w:eastAsiaTheme="majorEastAsia"/>
          <w:color w:val="000000"/>
        </w:rPr>
        <w:t> </w:t>
      </w:r>
      <w:r>
        <w:rPr>
          <w:i/>
          <w:iCs/>
          <w:color w:val="000000"/>
        </w:rPr>
        <w:t>International Journal of Environmental Research and Public Health</w:t>
      </w:r>
      <w:r>
        <w:rPr>
          <w:color w:val="000000"/>
        </w:rPr>
        <w:t>, vol. 18, no. 10, 20 May 2021, pp. 1–14, www.ncbi.nlm.nih.gov/pmc/articles/PMC8161054/, https://doi.org/10.3390/ijerph18105491.</w:t>
      </w:r>
    </w:p>
    <w:p w14:paraId="308283EF" w14:textId="77777777" w:rsidR="00A14C3F" w:rsidRDefault="00A14C3F" w:rsidP="00A14C3F">
      <w:pPr>
        <w:pStyle w:val="NormalWeb"/>
        <w:spacing w:before="0" w:beforeAutospacing="0" w:after="0" w:afterAutospacing="0" w:line="480" w:lineRule="atLeast"/>
        <w:ind w:left="720" w:hanging="720"/>
        <w:rPr>
          <w:color w:val="000000"/>
        </w:rPr>
      </w:pPr>
      <w:r>
        <w:rPr>
          <w:color w:val="000000"/>
        </w:rPr>
        <w:t>Junious, DeMonica L. “Emotional Intelligence in Executive Nurse Leader Programs: Setting the Tone for a Successful Trajectory of Leadership.”</w:t>
      </w:r>
      <w:r>
        <w:rPr>
          <w:rStyle w:val="apple-converted-space"/>
          <w:rFonts w:eastAsiaTheme="majorEastAsia"/>
          <w:color w:val="000000"/>
        </w:rPr>
        <w:t> </w:t>
      </w:r>
      <w:r>
        <w:rPr>
          <w:i/>
          <w:iCs/>
          <w:color w:val="000000"/>
        </w:rPr>
        <w:t>Journal of Radiology Nursing</w:t>
      </w:r>
      <w:r>
        <w:rPr>
          <w:color w:val="000000"/>
        </w:rPr>
        <w:t>, vol. 45, Mar. 2026, p. 101361, www.sciencedirect.com/science/article/pii/S1546084325002299#bbib9, https://doi.org/10.1016/j.jradnu.2025.101361.</w:t>
      </w:r>
    </w:p>
    <w:p w14:paraId="1A0C39A6" w14:textId="77777777" w:rsidR="00A14C3F" w:rsidRDefault="00A14C3F" w:rsidP="00A14C3F">
      <w:pPr>
        <w:pStyle w:val="NormalWeb"/>
        <w:spacing w:before="0" w:beforeAutospacing="0" w:after="0" w:afterAutospacing="0" w:line="480" w:lineRule="atLeast"/>
        <w:ind w:left="720" w:hanging="720"/>
        <w:rPr>
          <w:color w:val="000000"/>
        </w:rPr>
      </w:pPr>
      <w:r>
        <w:rPr>
          <w:color w:val="000000"/>
        </w:rPr>
        <w:t>Kabat-Zinn, Jon.</w:t>
      </w:r>
      <w:r>
        <w:rPr>
          <w:rStyle w:val="apple-converted-space"/>
          <w:rFonts w:eastAsiaTheme="majorEastAsia"/>
          <w:color w:val="000000"/>
        </w:rPr>
        <w:t> </w:t>
      </w:r>
      <w:r>
        <w:rPr>
          <w:i/>
          <w:iCs/>
          <w:color w:val="000000"/>
        </w:rPr>
        <w:t>Full Catastrophe Living: Using the Wisdom of Your Body and Mind to Face Stress, Pain, and Illness</w:t>
      </w:r>
      <w:r>
        <w:rPr>
          <w:color w:val="000000"/>
        </w:rPr>
        <w:t>. 1990. New York, Bantam Books, 2013.</w:t>
      </w:r>
    </w:p>
    <w:p w14:paraId="620C5644" w14:textId="77777777" w:rsidR="00A14C3F" w:rsidRDefault="00A14C3F" w:rsidP="00A14C3F">
      <w:pPr>
        <w:pStyle w:val="NormalWeb"/>
        <w:spacing w:before="0" w:beforeAutospacing="0" w:after="0" w:afterAutospacing="0" w:line="480" w:lineRule="atLeast"/>
        <w:ind w:left="720" w:hanging="720"/>
        <w:rPr>
          <w:color w:val="000000"/>
        </w:rPr>
      </w:pPr>
      <w:r>
        <w:rPr>
          <w:color w:val="000000"/>
        </w:rPr>
        <w:t>---.</w:t>
      </w:r>
      <w:r>
        <w:rPr>
          <w:rStyle w:val="apple-converted-space"/>
          <w:rFonts w:eastAsiaTheme="majorEastAsia"/>
          <w:color w:val="000000"/>
        </w:rPr>
        <w:t> </w:t>
      </w:r>
      <w:r>
        <w:rPr>
          <w:i/>
          <w:iCs/>
          <w:color w:val="000000"/>
        </w:rPr>
        <w:t xml:space="preserve">Wherever You Go, There You </w:t>
      </w:r>
      <w:proofErr w:type="gramStart"/>
      <w:r>
        <w:rPr>
          <w:i/>
          <w:iCs/>
          <w:color w:val="000000"/>
        </w:rPr>
        <w:t>Are :</w:t>
      </w:r>
      <w:proofErr w:type="gramEnd"/>
      <w:r>
        <w:rPr>
          <w:i/>
          <w:iCs/>
          <w:color w:val="000000"/>
        </w:rPr>
        <w:t xml:space="preserve"> Mindfulness Meditation in Everyday Life</w:t>
      </w:r>
      <w:r>
        <w:rPr>
          <w:color w:val="000000"/>
        </w:rPr>
        <w:t>. New York, Hyperion, 1994.</w:t>
      </w:r>
    </w:p>
    <w:p w14:paraId="0E565B0E" w14:textId="77777777" w:rsidR="00A14C3F" w:rsidRDefault="00A14C3F" w:rsidP="00A14C3F">
      <w:pPr>
        <w:pStyle w:val="NormalWeb"/>
        <w:spacing w:before="0" w:beforeAutospacing="0" w:after="0" w:afterAutospacing="0" w:line="480" w:lineRule="atLeast"/>
        <w:ind w:left="720" w:hanging="720"/>
        <w:rPr>
          <w:color w:val="000000"/>
        </w:rPr>
      </w:pPr>
      <w:r>
        <w:rPr>
          <w:color w:val="000000"/>
        </w:rPr>
        <w:t>Kaur, Harwinder.</w:t>
      </w:r>
      <w:r>
        <w:rPr>
          <w:rStyle w:val="apple-converted-space"/>
          <w:rFonts w:eastAsiaTheme="majorEastAsia"/>
          <w:color w:val="000000"/>
        </w:rPr>
        <w:t> </w:t>
      </w:r>
      <w:r>
        <w:rPr>
          <w:i/>
          <w:iCs/>
          <w:color w:val="000000"/>
        </w:rPr>
        <w:t>Emotional Intelligence in the 21st Century: Enhancing Learning, Leadership, and Well-Being</w:t>
      </w:r>
      <w:r>
        <w:rPr>
          <w:color w:val="000000"/>
        </w:rPr>
        <w:t>. 1 Apr. 2026, www.researchgate.net/profile/Harwinder-Kaur-13/publication/403983081_Emotional_Intelligence_in_the_21st_Century_Enhancing_Learning_Leadership_and_Well-being/links/69e646fdceb1c90114eb942b/Emotional-Intelligence-in-the-21st-Century-Enhancing-Learning-Leadership-and-Well-being.pdf.</w:t>
      </w:r>
    </w:p>
    <w:p w14:paraId="21EFCE3A" w14:textId="77777777" w:rsidR="00A14C3F" w:rsidRDefault="00A14C3F" w:rsidP="00A14C3F">
      <w:pPr>
        <w:pStyle w:val="NormalWeb"/>
        <w:spacing w:before="0" w:beforeAutospacing="0" w:after="0" w:afterAutospacing="0" w:line="480" w:lineRule="atLeast"/>
        <w:ind w:left="720" w:hanging="720"/>
        <w:rPr>
          <w:color w:val="000000"/>
        </w:rPr>
      </w:pPr>
      <w:r>
        <w:rPr>
          <w:color w:val="000000"/>
        </w:rPr>
        <w:t>Keng, Shian Ling, et al. “Effects of Mindfulness on Psychological Health: A Review of Empirical Studies.”</w:t>
      </w:r>
      <w:r>
        <w:rPr>
          <w:rStyle w:val="apple-converted-space"/>
          <w:rFonts w:eastAsiaTheme="majorEastAsia"/>
          <w:color w:val="000000"/>
        </w:rPr>
        <w:t> </w:t>
      </w:r>
      <w:r>
        <w:rPr>
          <w:i/>
          <w:iCs/>
          <w:color w:val="000000"/>
        </w:rPr>
        <w:t>Clinical Psychology Review</w:t>
      </w:r>
      <w:r>
        <w:rPr>
          <w:color w:val="000000"/>
        </w:rPr>
        <w:t>, vol. 31, no. 6, 2011, pp. 1041–1056, pmc.ncbi.nlm.nih.gov/articles/PMC3679190/, https://doi.org/10.1016/j.cpr.2011.04.006.</w:t>
      </w:r>
    </w:p>
    <w:p w14:paraId="07C74C02" w14:textId="77777777" w:rsidR="00A14C3F" w:rsidRDefault="00A14C3F" w:rsidP="00A14C3F">
      <w:pPr>
        <w:pStyle w:val="NormalWeb"/>
        <w:spacing w:before="0" w:beforeAutospacing="0" w:after="0" w:afterAutospacing="0" w:line="480" w:lineRule="atLeast"/>
        <w:ind w:left="720" w:hanging="720"/>
        <w:rPr>
          <w:color w:val="000000"/>
        </w:rPr>
      </w:pPr>
      <w:r>
        <w:rPr>
          <w:color w:val="000000"/>
        </w:rPr>
        <w:t>Khan, Tareef, and Priscila Saint Pasteur. “Evaluating Student Learning Outcomes Using Kolb Learning Style Inventory.”</w:t>
      </w:r>
      <w:r>
        <w:rPr>
          <w:rStyle w:val="apple-converted-space"/>
          <w:rFonts w:eastAsiaTheme="majorEastAsia"/>
          <w:color w:val="000000"/>
        </w:rPr>
        <w:t> </w:t>
      </w:r>
      <w:r>
        <w:rPr>
          <w:i/>
          <w:iCs/>
          <w:color w:val="000000"/>
        </w:rPr>
        <w:t>International Journal of Built Environment and Sustainability</w:t>
      </w:r>
      <w:r>
        <w:rPr>
          <w:color w:val="000000"/>
        </w:rPr>
        <w:t>, vol. 13, no. 1, 30 Dec. 2025, pp. 1–13, https://doi.org/10.11113/ijbes.v13.n1.1464.</w:t>
      </w:r>
    </w:p>
    <w:p w14:paraId="03BBA067" w14:textId="77777777" w:rsidR="00A14C3F" w:rsidRDefault="00A14C3F" w:rsidP="00A14C3F">
      <w:pPr>
        <w:pStyle w:val="NormalWeb"/>
        <w:spacing w:before="0" w:beforeAutospacing="0" w:after="0" w:afterAutospacing="0" w:line="480" w:lineRule="atLeast"/>
        <w:ind w:left="720" w:hanging="720"/>
        <w:rPr>
          <w:color w:val="000000"/>
        </w:rPr>
      </w:pPr>
      <w:r>
        <w:rPr>
          <w:color w:val="000000"/>
        </w:rPr>
        <w:t>Koshy, Kiron. “Reflective Practice in Health Care and How to Reflect Effectively.”</w:t>
      </w:r>
      <w:r>
        <w:rPr>
          <w:rStyle w:val="apple-converted-space"/>
          <w:rFonts w:eastAsiaTheme="majorEastAsia"/>
          <w:color w:val="000000"/>
        </w:rPr>
        <w:t> </w:t>
      </w:r>
      <w:r>
        <w:rPr>
          <w:i/>
          <w:iCs/>
          <w:color w:val="000000"/>
        </w:rPr>
        <w:t>International Journal of Surgery Oncology</w:t>
      </w:r>
      <w:r>
        <w:rPr>
          <w:color w:val="000000"/>
        </w:rPr>
        <w:t>, vol. 2, no. 6, 2017, pp. 1–3, https://doi.org/10.1097/IJ9.0000000000000020.</w:t>
      </w:r>
    </w:p>
    <w:p w14:paraId="50054152" w14:textId="77777777" w:rsidR="00A14C3F" w:rsidRDefault="00A14C3F" w:rsidP="00A14C3F">
      <w:pPr>
        <w:pStyle w:val="NormalWeb"/>
        <w:spacing w:before="0" w:beforeAutospacing="0" w:after="0" w:afterAutospacing="0" w:line="480" w:lineRule="atLeast"/>
        <w:ind w:left="720" w:hanging="720"/>
        <w:rPr>
          <w:color w:val="000000"/>
        </w:rPr>
      </w:pPr>
      <w:r>
        <w:rPr>
          <w:color w:val="000000"/>
        </w:rPr>
        <w:t>Lomas, Justine, and Luke A. Downey. “We Are What We Do: Trait and Ability Emotional Intelligence as Predictors of Adolescent Resilience.”</w:t>
      </w:r>
      <w:r>
        <w:rPr>
          <w:rStyle w:val="apple-converted-space"/>
          <w:rFonts w:eastAsiaTheme="majorEastAsia"/>
          <w:color w:val="000000"/>
        </w:rPr>
        <w:t> </w:t>
      </w:r>
      <w:r>
        <w:rPr>
          <w:i/>
          <w:iCs/>
          <w:color w:val="000000"/>
        </w:rPr>
        <w:t>Psychological Reports</w:t>
      </w:r>
      <w:r>
        <w:rPr>
          <w:color w:val="000000"/>
        </w:rPr>
        <w:t>, 24 Mar. 2026, https://doi.org/10.1177/00332941261436740. Accessed 2 Apr. 2026.</w:t>
      </w:r>
    </w:p>
    <w:p w14:paraId="74A7BF94" w14:textId="77777777" w:rsidR="00A14C3F" w:rsidRDefault="00A14C3F" w:rsidP="00A14C3F">
      <w:pPr>
        <w:pStyle w:val="NormalWeb"/>
        <w:spacing w:before="0" w:beforeAutospacing="0" w:after="0" w:afterAutospacing="0" w:line="480" w:lineRule="atLeast"/>
        <w:ind w:left="720" w:hanging="720"/>
        <w:rPr>
          <w:color w:val="000000"/>
        </w:rPr>
      </w:pPr>
      <w:r>
        <w:rPr>
          <w:color w:val="000000"/>
        </w:rPr>
        <w:t>Long, Elizabeth M., and Ginger Gummelt. “Experiential Service Learning: Building Skills and Sensitivity with Kolb’s Learning Theory.”</w:t>
      </w:r>
      <w:r>
        <w:rPr>
          <w:rStyle w:val="apple-converted-space"/>
          <w:rFonts w:eastAsiaTheme="majorEastAsia"/>
          <w:color w:val="000000"/>
        </w:rPr>
        <w:t> </w:t>
      </w:r>
      <w:r>
        <w:rPr>
          <w:i/>
          <w:iCs/>
          <w:color w:val="000000"/>
        </w:rPr>
        <w:t>Gerontology &amp; Geriatrics Education</w:t>
      </w:r>
      <w:r>
        <w:rPr>
          <w:color w:val="000000"/>
        </w:rPr>
        <w:t>, vol. 41, no. 2, 28 Sept. 2019, pp. 1–14, https://doi.org/10.1080/02701960.2019.1673386.</w:t>
      </w:r>
    </w:p>
    <w:p w14:paraId="626D73F8" w14:textId="77777777" w:rsidR="00A14C3F" w:rsidRDefault="00A14C3F" w:rsidP="00A14C3F">
      <w:pPr>
        <w:pStyle w:val="NormalWeb"/>
        <w:spacing w:before="0" w:beforeAutospacing="0" w:after="0" w:afterAutospacing="0" w:line="480" w:lineRule="atLeast"/>
        <w:ind w:left="720" w:hanging="720"/>
        <w:rPr>
          <w:color w:val="000000"/>
        </w:rPr>
      </w:pPr>
      <w:r>
        <w:rPr>
          <w:color w:val="000000"/>
        </w:rPr>
        <w:t>Lovas, John G., et al. “Mindfulness and Professionalism in Dentistry.”</w:t>
      </w:r>
      <w:r>
        <w:rPr>
          <w:rStyle w:val="apple-converted-space"/>
          <w:rFonts w:eastAsiaTheme="majorEastAsia"/>
          <w:color w:val="000000"/>
        </w:rPr>
        <w:t> </w:t>
      </w:r>
      <w:r>
        <w:rPr>
          <w:i/>
          <w:iCs/>
          <w:color w:val="000000"/>
        </w:rPr>
        <w:t>Journal of Dental Education</w:t>
      </w:r>
      <w:r>
        <w:rPr>
          <w:color w:val="000000"/>
        </w:rPr>
        <w:t>, vol. 72, no. 9, Sept. 2008, pp. 998–1009, https://doi.org/10.1002/j.0022-0337.2008.72.9.tb04574.x. Accessed 19 Oct. 2020.</w:t>
      </w:r>
    </w:p>
    <w:p w14:paraId="1C06DDD1" w14:textId="77777777" w:rsidR="00A14C3F" w:rsidRDefault="00A14C3F" w:rsidP="00A14C3F">
      <w:pPr>
        <w:pStyle w:val="NormalWeb"/>
        <w:spacing w:before="0" w:beforeAutospacing="0" w:after="0" w:afterAutospacing="0" w:line="480" w:lineRule="atLeast"/>
        <w:ind w:left="720" w:hanging="720"/>
        <w:rPr>
          <w:color w:val="000000"/>
        </w:rPr>
      </w:pPr>
      <w:r>
        <w:rPr>
          <w:color w:val="000000"/>
        </w:rPr>
        <w:t>Mamoun, John. “Basic Principles of Maximizing Dental Office Productivity.”</w:t>
      </w:r>
      <w:r>
        <w:rPr>
          <w:rStyle w:val="apple-converted-space"/>
          <w:rFonts w:eastAsiaTheme="majorEastAsia"/>
          <w:color w:val="000000"/>
        </w:rPr>
        <w:t> </w:t>
      </w:r>
      <w:r>
        <w:rPr>
          <w:i/>
          <w:iCs/>
          <w:color w:val="000000"/>
        </w:rPr>
        <w:t>General Dentistry</w:t>
      </w:r>
      <w:r>
        <w:rPr>
          <w:color w:val="000000"/>
        </w:rPr>
        <w:t>, vol. 60, no. 2, 2012, pp. 130–136, pubmed.ncbi.nlm.nih.gov/22414506/.</w:t>
      </w:r>
    </w:p>
    <w:p w14:paraId="4E7863E8" w14:textId="77777777" w:rsidR="00A14C3F" w:rsidRDefault="00A14C3F" w:rsidP="00A14C3F">
      <w:pPr>
        <w:pStyle w:val="NormalWeb"/>
        <w:spacing w:before="0" w:beforeAutospacing="0" w:after="0" w:afterAutospacing="0" w:line="480" w:lineRule="atLeast"/>
        <w:ind w:left="720" w:hanging="720"/>
        <w:rPr>
          <w:color w:val="000000"/>
        </w:rPr>
      </w:pPr>
      <w:r>
        <w:rPr>
          <w:color w:val="000000"/>
        </w:rPr>
        <w:t>Mariño, Rodrigo, et al. “Lifelong Learning in Dental Education.”</w:t>
      </w:r>
      <w:r>
        <w:rPr>
          <w:rStyle w:val="apple-converted-space"/>
          <w:rFonts w:eastAsiaTheme="majorEastAsia"/>
          <w:color w:val="000000"/>
        </w:rPr>
        <w:t> </w:t>
      </w:r>
      <w:r>
        <w:rPr>
          <w:i/>
          <w:iCs/>
          <w:color w:val="000000"/>
        </w:rPr>
        <w:t>Handbook of Dental Education Technology</w:t>
      </w:r>
      <w:r>
        <w:rPr>
          <w:color w:val="000000"/>
        </w:rPr>
        <w:t>, 2026, pp. 1–22, https://doi.org/10.1007/978-981-97-0275-6_54-1.</w:t>
      </w:r>
    </w:p>
    <w:p w14:paraId="7B9D91F8" w14:textId="77777777" w:rsidR="00A14C3F" w:rsidRDefault="00A14C3F" w:rsidP="00A14C3F">
      <w:pPr>
        <w:pStyle w:val="NormalWeb"/>
        <w:spacing w:before="0" w:beforeAutospacing="0" w:after="0" w:afterAutospacing="0" w:line="480" w:lineRule="atLeast"/>
        <w:ind w:left="720" w:hanging="720"/>
        <w:rPr>
          <w:color w:val="000000"/>
        </w:rPr>
      </w:pPr>
      <w:r>
        <w:rPr>
          <w:color w:val="000000"/>
        </w:rPr>
        <w:t>Matthias, Chanais, et al. “The Role of Mindfulness in Stress, Productivity and Wellbeing of Foundation Year Doctors: A Mixed-Methods Feasibility Study of the Mindful Resilience and Effectiveness Training Programme.”</w:t>
      </w:r>
      <w:r>
        <w:rPr>
          <w:rStyle w:val="apple-converted-space"/>
          <w:rFonts w:eastAsiaTheme="majorEastAsia"/>
          <w:color w:val="000000"/>
        </w:rPr>
        <w:t> </w:t>
      </w:r>
      <w:r>
        <w:rPr>
          <w:i/>
          <w:iCs/>
          <w:color w:val="000000"/>
        </w:rPr>
        <w:t>BMC Medical Education</w:t>
      </w:r>
      <w:r>
        <w:rPr>
          <w:color w:val="000000"/>
        </w:rPr>
        <w:t>, vol. 24, no. 1, 2 Aug. 2024, https://doi.org/10.1186/s12909-024-05810-7.</w:t>
      </w:r>
    </w:p>
    <w:p w14:paraId="66F5DD5D" w14:textId="77777777" w:rsidR="00A14C3F" w:rsidRDefault="00A14C3F" w:rsidP="00A14C3F">
      <w:pPr>
        <w:pStyle w:val="NormalWeb"/>
        <w:spacing w:before="0" w:beforeAutospacing="0" w:after="0" w:afterAutospacing="0" w:line="480" w:lineRule="atLeast"/>
        <w:ind w:left="720" w:hanging="720"/>
        <w:rPr>
          <w:color w:val="000000"/>
        </w:rPr>
      </w:pPr>
      <w:r>
        <w:rPr>
          <w:color w:val="000000"/>
        </w:rPr>
        <w:t>Miao, Chao, et al. “The Relationship between Emotional Intelligence and Trait Mindfulness: A Meta-Analytic Review.”</w:t>
      </w:r>
      <w:r>
        <w:rPr>
          <w:rStyle w:val="apple-converted-space"/>
          <w:rFonts w:eastAsiaTheme="majorEastAsia"/>
          <w:color w:val="000000"/>
        </w:rPr>
        <w:t> </w:t>
      </w:r>
      <w:r>
        <w:rPr>
          <w:i/>
          <w:iCs/>
          <w:color w:val="000000"/>
        </w:rPr>
        <w:t>Personality and Individual Differences</w:t>
      </w:r>
      <w:r>
        <w:rPr>
          <w:color w:val="000000"/>
        </w:rPr>
        <w:t>, vol. 135, Dec. 2018, pp. 101–107, https://doi.org/10.1016/j.paid.2018.06.051.</w:t>
      </w:r>
    </w:p>
    <w:p w14:paraId="013A25CF" w14:textId="77777777" w:rsidR="00A14C3F" w:rsidRDefault="00A14C3F" w:rsidP="00A14C3F">
      <w:pPr>
        <w:pStyle w:val="NormalWeb"/>
        <w:spacing w:before="0" w:beforeAutospacing="0" w:after="0" w:afterAutospacing="0" w:line="480" w:lineRule="atLeast"/>
        <w:ind w:left="720" w:hanging="720"/>
        <w:rPr>
          <w:color w:val="000000"/>
        </w:rPr>
      </w:pPr>
      <w:r>
        <w:rPr>
          <w:color w:val="000000"/>
        </w:rPr>
        <w:t xml:space="preserve">Modha, </w:t>
      </w:r>
      <w:proofErr w:type="spellStart"/>
      <w:r>
        <w:rPr>
          <w:color w:val="000000"/>
        </w:rPr>
        <w:t>Bhaven</w:t>
      </w:r>
      <w:proofErr w:type="spellEnd"/>
      <w:r>
        <w:rPr>
          <w:color w:val="000000"/>
        </w:rPr>
        <w:t>. “Experiential Learning without Prior Vicarious Learning: An Insight from the Primary Dental Care Setting.”</w:t>
      </w:r>
      <w:r>
        <w:rPr>
          <w:rStyle w:val="apple-converted-space"/>
          <w:rFonts w:eastAsiaTheme="majorEastAsia"/>
          <w:color w:val="000000"/>
        </w:rPr>
        <w:t> </w:t>
      </w:r>
      <w:r>
        <w:rPr>
          <w:i/>
          <w:iCs/>
          <w:color w:val="000000"/>
        </w:rPr>
        <w:t>Education for Primary Care</w:t>
      </w:r>
      <w:r>
        <w:rPr>
          <w:color w:val="000000"/>
        </w:rPr>
        <w:t>, 18 Sept. 2020, pp. 1–7, https://doi.org/10.1080/14739879.2020.1813055. Accessed 11 Dec. 2020.</w:t>
      </w:r>
    </w:p>
    <w:p w14:paraId="2EC934B1" w14:textId="77777777" w:rsidR="00A14C3F" w:rsidRDefault="00A14C3F" w:rsidP="00A14C3F">
      <w:pPr>
        <w:pStyle w:val="NormalWeb"/>
        <w:spacing w:before="0" w:beforeAutospacing="0" w:after="0" w:afterAutospacing="0" w:line="480" w:lineRule="atLeast"/>
        <w:ind w:left="720" w:hanging="720"/>
        <w:rPr>
          <w:color w:val="000000"/>
        </w:rPr>
      </w:pPr>
      <w:r>
        <w:rPr>
          <w:color w:val="000000"/>
        </w:rPr>
        <w:t xml:space="preserve">Muhammad, </w:t>
      </w:r>
      <w:proofErr w:type="spellStart"/>
      <w:r>
        <w:rPr>
          <w:color w:val="000000"/>
        </w:rPr>
        <w:t>saeed</w:t>
      </w:r>
      <w:proofErr w:type="spellEnd"/>
      <w:r>
        <w:rPr>
          <w:color w:val="000000"/>
        </w:rPr>
        <w:t>, et al. “Interplay between Leadership and Patient Safety in Dentistry: A Dental Hospital-Based Cross-Sectional Study.”</w:t>
      </w:r>
      <w:r>
        <w:rPr>
          <w:rStyle w:val="apple-converted-space"/>
          <w:rFonts w:eastAsiaTheme="majorEastAsia"/>
          <w:color w:val="000000"/>
        </w:rPr>
        <w:t> </w:t>
      </w:r>
      <w:r>
        <w:rPr>
          <w:i/>
          <w:iCs/>
          <w:color w:val="000000"/>
        </w:rPr>
        <w:t>BMJ Open Quality</w:t>
      </w:r>
      <w:r>
        <w:rPr>
          <w:color w:val="000000"/>
        </w:rPr>
        <w:t xml:space="preserve">, vol. 13, no. </w:t>
      </w:r>
      <w:proofErr w:type="spellStart"/>
      <w:r>
        <w:rPr>
          <w:color w:val="000000"/>
        </w:rPr>
        <w:t>Suppl</w:t>
      </w:r>
      <w:proofErr w:type="spellEnd"/>
      <w:r>
        <w:rPr>
          <w:color w:val="000000"/>
        </w:rPr>
        <w:t xml:space="preserve"> 2, 1 May 2024, pp. e002376–e002376, https://doi.org/10.1136/bmjoq-2023-002376.</w:t>
      </w:r>
    </w:p>
    <w:p w14:paraId="77F73082" w14:textId="77777777" w:rsidR="00A14C3F" w:rsidRDefault="00A14C3F" w:rsidP="00A14C3F">
      <w:pPr>
        <w:pStyle w:val="NormalWeb"/>
        <w:spacing w:before="0" w:beforeAutospacing="0" w:after="0" w:afterAutospacing="0" w:line="480" w:lineRule="atLeast"/>
        <w:ind w:left="720" w:hanging="720"/>
        <w:rPr>
          <w:color w:val="000000"/>
        </w:rPr>
      </w:pPr>
      <w:r>
        <w:rPr>
          <w:color w:val="000000"/>
        </w:rPr>
        <w:t xml:space="preserve">Onur </w:t>
      </w:r>
      <w:proofErr w:type="spellStart"/>
      <w:r>
        <w:rPr>
          <w:color w:val="000000"/>
        </w:rPr>
        <w:t>Ucak</w:t>
      </w:r>
      <w:proofErr w:type="spellEnd"/>
      <w:r>
        <w:rPr>
          <w:color w:val="000000"/>
        </w:rPr>
        <w:t xml:space="preserve"> Turer, et al. “The Effect of Mindfulness Meditation on Dental Anxiety during Implant Surgery: A Randomized Controlled Clinical Trial.”</w:t>
      </w:r>
      <w:r>
        <w:rPr>
          <w:rStyle w:val="apple-converted-space"/>
          <w:rFonts w:eastAsiaTheme="majorEastAsia"/>
          <w:color w:val="000000"/>
        </w:rPr>
        <w:t> </w:t>
      </w:r>
      <w:r>
        <w:rPr>
          <w:i/>
          <w:iCs/>
          <w:color w:val="000000"/>
        </w:rPr>
        <w:t>Scientific Reports</w:t>
      </w:r>
      <w:r>
        <w:rPr>
          <w:color w:val="000000"/>
        </w:rPr>
        <w:t>, vol. 13, no. 1, 7 Dec. 2023, https://doi.org/10.1038/s41598-023-49092-3.</w:t>
      </w:r>
    </w:p>
    <w:p w14:paraId="610CD822" w14:textId="77777777" w:rsidR="00A14C3F" w:rsidRDefault="00A14C3F" w:rsidP="00A14C3F">
      <w:pPr>
        <w:pStyle w:val="NormalWeb"/>
        <w:spacing w:before="0" w:beforeAutospacing="0" w:after="0" w:afterAutospacing="0" w:line="480" w:lineRule="atLeast"/>
        <w:ind w:left="720" w:hanging="720"/>
        <w:rPr>
          <w:color w:val="000000"/>
        </w:rPr>
      </w:pPr>
      <w:r>
        <w:rPr>
          <w:color w:val="000000"/>
        </w:rPr>
        <w:t>Powell, Chris, et al. “Emotional Intelligence Training among the Healthcare Workforce: A Systematic Review and Meta-Analysis.”</w:t>
      </w:r>
      <w:r>
        <w:rPr>
          <w:rStyle w:val="apple-converted-space"/>
          <w:rFonts w:eastAsiaTheme="majorEastAsia"/>
          <w:color w:val="000000"/>
        </w:rPr>
        <w:t> </w:t>
      </w:r>
      <w:r>
        <w:rPr>
          <w:i/>
          <w:iCs/>
          <w:color w:val="000000"/>
        </w:rPr>
        <w:t>Frontiers in Psychology</w:t>
      </w:r>
      <w:r>
        <w:rPr>
          <w:color w:val="000000"/>
        </w:rPr>
        <w:t>, vol. 15, 20 Nov. 2024, www.frontiersin.org/journals/psychology/articles/10.3389/fpsyg.2024.1437035/full, https://doi.org/10.3389/fpsyg.2024.1437035.</w:t>
      </w:r>
    </w:p>
    <w:p w14:paraId="44CC7DF9" w14:textId="77777777" w:rsidR="00A14C3F" w:rsidRDefault="00A14C3F" w:rsidP="00A14C3F">
      <w:pPr>
        <w:pStyle w:val="NormalWeb"/>
        <w:spacing w:before="0" w:beforeAutospacing="0" w:after="0" w:afterAutospacing="0" w:line="480" w:lineRule="atLeast"/>
        <w:ind w:left="720" w:hanging="720"/>
        <w:rPr>
          <w:color w:val="000000"/>
        </w:rPr>
      </w:pPr>
      <w:r>
        <w:rPr>
          <w:color w:val="000000"/>
        </w:rPr>
        <w:t>Ronquillo, Yasmyne, et al. “Conflict Management.”</w:t>
      </w:r>
      <w:r>
        <w:rPr>
          <w:rStyle w:val="apple-converted-space"/>
          <w:rFonts w:eastAsiaTheme="majorEastAsia"/>
          <w:color w:val="000000"/>
        </w:rPr>
        <w:t> </w:t>
      </w:r>
      <w:r>
        <w:rPr>
          <w:i/>
          <w:iCs/>
          <w:color w:val="000000"/>
        </w:rPr>
        <w:t>National Library of Medicine</w:t>
      </w:r>
      <w:r>
        <w:rPr>
          <w:color w:val="000000"/>
        </w:rPr>
        <w:t xml:space="preserve">, </w:t>
      </w:r>
      <w:proofErr w:type="spellStart"/>
      <w:r>
        <w:rPr>
          <w:color w:val="000000"/>
        </w:rPr>
        <w:t>StatPearls</w:t>
      </w:r>
      <w:proofErr w:type="spellEnd"/>
      <w:r>
        <w:rPr>
          <w:color w:val="000000"/>
        </w:rPr>
        <w:t xml:space="preserve"> Publishing, 3 July 2023, www.ncbi.nlm.nih.gov/books/NBK470432/.</w:t>
      </w:r>
    </w:p>
    <w:p w14:paraId="74098954" w14:textId="77777777" w:rsidR="00A14C3F" w:rsidRDefault="00A14C3F" w:rsidP="00A14C3F">
      <w:pPr>
        <w:pStyle w:val="NormalWeb"/>
        <w:spacing w:before="0" w:beforeAutospacing="0" w:after="0" w:afterAutospacing="0" w:line="480" w:lineRule="atLeast"/>
        <w:ind w:left="720" w:hanging="720"/>
        <w:rPr>
          <w:color w:val="000000"/>
        </w:rPr>
      </w:pPr>
      <w:r>
        <w:rPr>
          <w:color w:val="000000"/>
        </w:rPr>
        <w:t>Salovey, Peter, and John D. Mayer. “Emotional Intelligence.”</w:t>
      </w:r>
      <w:r>
        <w:rPr>
          <w:rStyle w:val="apple-converted-space"/>
          <w:rFonts w:eastAsiaTheme="majorEastAsia"/>
          <w:color w:val="000000"/>
        </w:rPr>
        <w:t> </w:t>
      </w:r>
      <w:r>
        <w:rPr>
          <w:i/>
          <w:iCs/>
          <w:color w:val="000000"/>
        </w:rPr>
        <w:t>Imagination, Cognition and Personality</w:t>
      </w:r>
      <w:r>
        <w:rPr>
          <w:color w:val="000000"/>
        </w:rPr>
        <w:t>, vol. 9, no. 3, Mar. 1990, pp. 185–211.</w:t>
      </w:r>
      <w:r>
        <w:rPr>
          <w:rStyle w:val="apple-converted-space"/>
          <w:rFonts w:eastAsiaTheme="majorEastAsia"/>
          <w:color w:val="000000"/>
        </w:rPr>
        <w:t> </w:t>
      </w:r>
      <w:proofErr w:type="spellStart"/>
      <w:r>
        <w:rPr>
          <w:i/>
          <w:iCs/>
          <w:color w:val="000000"/>
        </w:rPr>
        <w:t>Sagepub</w:t>
      </w:r>
      <w:proofErr w:type="spellEnd"/>
      <w:r>
        <w:rPr>
          <w:color w:val="000000"/>
        </w:rPr>
        <w:t>, journals.sagepub.com/</w:t>
      </w:r>
      <w:proofErr w:type="spellStart"/>
      <w:r>
        <w:rPr>
          <w:color w:val="000000"/>
        </w:rPr>
        <w:t>doi</w:t>
      </w:r>
      <w:proofErr w:type="spellEnd"/>
      <w:r>
        <w:rPr>
          <w:color w:val="000000"/>
        </w:rPr>
        <w:t>/abs/10.2190/DUGG-P24E-52WK-6CDG, https://doi.org/10.2190/DUGG-P24E-52WK-6CDG.</w:t>
      </w:r>
    </w:p>
    <w:p w14:paraId="2CE64D7C" w14:textId="77777777" w:rsidR="00A14C3F" w:rsidRDefault="00A14C3F" w:rsidP="00A14C3F">
      <w:pPr>
        <w:pStyle w:val="NormalWeb"/>
        <w:spacing w:before="0" w:beforeAutospacing="0" w:after="0" w:afterAutospacing="0" w:line="480" w:lineRule="atLeast"/>
        <w:ind w:left="720" w:hanging="720"/>
        <w:rPr>
          <w:color w:val="000000"/>
        </w:rPr>
      </w:pPr>
      <w:r>
        <w:rPr>
          <w:color w:val="000000"/>
        </w:rPr>
        <w:t>Suresh Sankapal. “Thich Nhat Hanh’s Contributions to the Field of Mindfulness.”</w:t>
      </w:r>
      <w:r>
        <w:rPr>
          <w:rStyle w:val="apple-converted-space"/>
          <w:rFonts w:eastAsiaTheme="majorEastAsia"/>
          <w:color w:val="000000"/>
        </w:rPr>
        <w:t> </w:t>
      </w:r>
      <w:r>
        <w:rPr>
          <w:i/>
          <w:iCs/>
          <w:color w:val="000000"/>
        </w:rPr>
        <w:t>Indian Journal of Positive Psychology</w:t>
      </w:r>
      <w:r>
        <w:rPr>
          <w:color w:val="000000"/>
        </w:rPr>
        <w:t>, vol. 15, no. 1, 3 Sept. 2024, pp. 87–91, www.researchgate.net/publication/383667870_Thich_Nhat_Hanh.</w:t>
      </w:r>
    </w:p>
    <w:p w14:paraId="1A374C2A" w14:textId="77777777" w:rsidR="00A14C3F" w:rsidRDefault="00A14C3F" w:rsidP="00A14C3F">
      <w:pPr>
        <w:pStyle w:val="NormalWeb"/>
        <w:spacing w:before="0" w:beforeAutospacing="0" w:after="0" w:afterAutospacing="0" w:line="480" w:lineRule="atLeast"/>
        <w:ind w:left="720" w:hanging="720"/>
        <w:rPr>
          <w:color w:val="000000"/>
        </w:rPr>
      </w:pPr>
      <w:r>
        <w:rPr>
          <w:color w:val="000000"/>
        </w:rPr>
        <w:t>Surti, Noopur. “Gender Differences in Emotional Intelligence: A Comprehensive Study Using Goleman’s Model.”</w:t>
      </w:r>
      <w:r>
        <w:rPr>
          <w:rStyle w:val="apple-converted-space"/>
          <w:rFonts w:eastAsiaTheme="majorEastAsia"/>
          <w:color w:val="000000"/>
        </w:rPr>
        <w:t> </w:t>
      </w:r>
      <w:r>
        <w:rPr>
          <w:i/>
          <w:iCs/>
          <w:color w:val="000000"/>
        </w:rPr>
        <w:t>Asia-Pacific Journal of Management Research and Innovation</w:t>
      </w:r>
      <w:r>
        <w:rPr>
          <w:color w:val="000000"/>
        </w:rPr>
        <w:t>, 28 Mar. 2026, https://doi.org/10.1177/2319510x261431073.</w:t>
      </w:r>
    </w:p>
    <w:p w14:paraId="5671B0FC" w14:textId="77777777" w:rsidR="00A14C3F" w:rsidRDefault="00A14C3F" w:rsidP="00A14C3F">
      <w:pPr>
        <w:pStyle w:val="NormalWeb"/>
        <w:spacing w:before="0" w:beforeAutospacing="0" w:after="0" w:afterAutospacing="0" w:line="480" w:lineRule="atLeast"/>
        <w:ind w:left="720" w:hanging="720"/>
        <w:rPr>
          <w:color w:val="000000"/>
        </w:rPr>
      </w:pPr>
      <w:r>
        <w:rPr>
          <w:color w:val="000000"/>
        </w:rPr>
        <w:t>Thich Nhat Hanh.</w:t>
      </w:r>
      <w:r>
        <w:rPr>
          <w:rStyle w:val="apple-converted-space"/>
          <w:rFonts w:eastAsiaTheme="majorEastAsia"/>
          <w:color w:val="000000"/>
        </w:rPr>
        <w:t> </w:t>
      </w:r>
      <w:r>
        <w:rPr>
          <w:i/>
          <w:iCs/>
          <w:color w:val="000000"/>
        </w:rPr>
        <w:t>Thich Nhat Hanh: Essential Writings</w:t>
      </w:r>
      <w:r>
        <w:rPr>
          <w:color w:val="000000"/>
        </w:rPr>
        <w:t>. Orbis Books, 2001.</w:t>
      </w:r>
    </w:p>
    <w:p w14:paraId="629FA98F" w14:textId="77777777" w:rsidR="00A14C3F" w:rsidRDefault="00A14C3F" w:rsidP="00A14C3F">
      <w:pPr>
        <w:pStyle w:val="NormalWeb"/>
        <w:spacing w:before="0" w:beforeAutospacing="0" w:after="0" w:afterAutospacing="0" w:line="480" w:lineRule="atLeast"/>
        <w:ind w:left="720" w:hanging="720"/>
        <w:rPr>
          <w:color w:val="000000"/>
        </w:rPr>
      </w:pPr>
      <w:r>
        <w:rPr>
          <w:color w:val="000000"/>
        </w:rPr>
        <w:t>Wales, Government.</w:t>
      </w:r>
      <w:r>
        <w:rPr>
          <w:rStyle w:val="apple-converted-space"/>
          <w:rFonts w:eastAsiaTheme="majorEastAsia"/>
          <w:color w:val="000000"/>
        </w:rPr>
        <w:t> </w:t>
      </w:r>
      <w:r>
        <w:rPr>
          <w:i/>
          <w:iCs/>
          <w:color w:val="000000"/>
        </w:rPr>
        <w:t>A Healthier Wales: Our Plan for Health and Social Care</w:t>
      </w:r>
      <w:r>
        <w:rPr>
          <w:color w:val="000000"/>
        </w:rPr>
        <w:t>. 2018.</w:t>
      </w:r>
    </w:p>
    <w:p w14:paraId="2238B003" w14:textId="77777777" w:rsidR="00A14C3F" w:rsidRDefault="00A14C3F" w:rsidP="00A14C3F">
      <w:pPr>
        <w:pStyle w:val="NormalWeb"/>
        <w:spacing w:before="0" w:beforeAutospacing="0" w:after="0" w:afterAutospacing="0" w:line="480" w:lineRule="atLeast"/>
        <w:ind w:left="720" w:hanging="720"/>
        <w:rPr>
          <w:color w:val="000000"/>
        </w:rPr>
      </w:pPr>
      <w:r>
        <w:rPr>
          <w:color w:val="000000"/>
        </w:rPr>
        <w:t>Young, Lance Brendan, and David C Johnsen. “A Typology of Empathic Communication Strategies in Dental Visits.”</w:t>
      </w:r>
      <w:r>
        <w:rPr>
          <w:rStyle w:val="apple-converted-space"/>
          <w:rFonts w:eastAsiaTheme="majorEastAsia"/>
          <w:color w:val="000000"/>
        </w:rPr>
        <w:t> </w:t>
      </w:r>
      <w:r>
        <w:rPr>
          <w:i/>
          <w:iCs/>
          <w:color w:val="000000"/>
        </w:rPr>
        <w:t>European Journal of Dental Education</w:t>
      </w:r>
      <w:r>
        <w:rPr>
          <w:color w:val="000000"/>
        </w:rPr>
        <w:t>, 20 Feb. 2025, https://doi.org/10.1111/eje.13081.</w:t>
      </w:r>
    </w:p>
    <w:p w14:paraId="5E8D3FC6" w14:textId="77777777" w:rsidR="00DF6147" w:rsidRDefault="00DF6147" w:rsidP="00381674"/>
    <w:p w14:paraId="57B19605" w14:textId="77777777" w:rsidR="00DF6147" w:rsidRDefault="00DF6147" w:rsidP="00381674"/>
    <w:p w14:paraId="39189ACD" w14:textId="77777777" w:rsidR="00DF6147" w:rsidRPr="00381674" w:rsidRDefault="00DF6147" w:rsidP="00381674"/>
    <w:p w14:paraId="5231A46E" w14:textId="674C4789" w:rsidR="00381674" w:rsidRDefault="0040673A" w:rsidP="00381674">
      <w:pPr>
        <w:pStyle w:val="Heading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3" w:name="_Toc229830431"/>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381674" w:rsidRPr="0038167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Appendices</w:t>
      </w:r>
      <w:bookmarkEnd w:id="23"/>
    </w:p>
    <w:p w14:paraId="09DDF096" w14:textId="77777777" w:rsidR="00074CDB" w:rsidRPr="00074CDB" w:rsidRDefault="00074CDB" w:rsidP="00074CDB"/>
    <w:p w14:paraId="6A9B106E" w14:textId="13C2B443" w:rsidR="00AD0EC9" w:rsidRDefault="00244B5C" w:rsidP="00DF6147">
      <w:pPr>
        <w:rPr>
          <w:rFonts w:ascii="Segoe UI" w:hAnsi="Segoe UI" w:cs="Segoe UI"/>
          <w:u w:val="single"/>
        </w:rPr>
      </w:pPr>
      <w:r w:rsidRPr="002C4337">
        <w:rPr>
          <w:rFonts w:ascii="Segoe UI" w:hAnsi="Segoe UI" w:cs="Segoe UI"/>
          <w:u w:val="single"/>
        </w:rPr>
        <w:t xml:space="preserve">Appendix 1 </w:t>
      </w:r>
      <w:r w:rsidR="00A14C3F">
        <w:rPr>
          <w:rFonts w:ascii="Segoe UI" w:hAnsi="Segoe UI" w:cs="Segoe UI"/>
          <w:u w:val="single"/>
        </w:rPr>
        <w:t>PESTLE Application to EI in Dental Practice</w:t>
      </w:r>
    </w:p>
    <w:p w14:paraId="30A3899E" w14:textId="77777777" w:rsidR="00DF6147" w:rsidRPr="00AD0EC9" w:rsidRDefault="00DF6147" w:rsidP="00DF6147">
      <w:pPr>
        <w:rPr>
          <w:rFonts w:ascii="Segoe UI" w:hAnsi="Segoe UI" w:cs="Segoe UI"/>
          <w:u w:val="single"/>
        </w:rPr>
      </w:pPr>
    </w:p>
    <w:tbl>
      <w:tblPr>
        <w:tblW w:w="0" w:type="auto"/>
        <w:tblInd w:w="-998" w:type="dxa"/>
        <w:tblCellMar>
          <w:top w:w="15" w:type="dxa"/>
          <w:left w:w="15" w:type="dxa"/>
          <w:bottom w:w="15" w:type="dxa"/>
          <w:right w:w="15" w:type="dxa"/>
        </w:tblCellMar>
        <w:tblLook w:val="04A0" w:firstRow="1" w:lastRow="0" w:firstColumn="1" w:lastColumn="0" w:noHBand="0" w:noVBand="1"/>
      </w:tblPr>
      <w:tblGrid>
        <w:gridCol w:w="2836"/>
        <w:gridCol w:w="7178"/>
      </w:tblGrid>
      <w:tr w:rsidR="00DF6147" w:rsidRPr="00AD0EC9" w14:paraId="658C186E" w14:textId="77777777" w:rsidTr="00A14C3F">
        <w:trPr>
          <w:tblHeader/>
        </w:trPr>
        <w:tc>
          <w:tcPr>
            <w:tcW w:w="2836" w:type="dxa"/>
            <w:tcBorders>
              <w:top w:val="single" w:sz="4" w:space="0" w:color="auto"/>
              <w:left w:val="single" w:sz="4" w:space="0" w:color="auto"/>
              <w:right w:val="single" w:sz="4" w:space="0" w:color="auto"/>
            </w:tcBorders>
            <w:vAlign w:val="center"/>
            <w:hideMark/>
          </w:tcPr>
          <w:p w14:paraId="59D235D5" w14:textId="77777777" w:rsidR="00AD0EC9" w:rsidRPr="00AD0EC9" w:rsidRDefault="00AD0EC9" w:rsidP="00AD0EC9">
            <w:pPr>
              <w:jc w:val="center"/>
              <w:rPr>
                <w:rFonts w:ascii="Segoe UI" w:hAnsi="Segoe UI" w:cs="Segoe UI"/>
                <w:b/>
                <w:bCs/>
              </w:rPr>
            </w:pPr>
            <w:r w:rsidRPr="00AD0EC9">
              <w:rPr>
                <w:rFonts w:ascii="Segoe UI" w:hAnsi="Segoe UI" w:cs="Segoe UI"/>
                <w:b/>
                <w:bCs/>
              </w:rPr>
              <w:t>Factor</w:t>
            </w:r>
          </w:p>
        </w:tc>
        <w:tc>
          <w:tcPr>
            <w:tcW w:w="7178" w:type="dxa"/>
            <w:tcBorders>
              <w:top w:val="single" w:sz="4" w:space="0" w:color="auto"/>
              <w:right w:val="single" w:sz="4" w:space="0" w:color="auto"/>
            </w:tcBorders>
            <w:vAlign w:val="center"/>
            <w:hideMark/>
          </w:tcPr>
          <w:p w14:paraId="70681F77" w14:textId="77777777" w:rsidR="00AD0EC9" w:rsidRPr="00AD0EC9" w:rsidRDefault="00AD0EC9" w:rsidP="00AD0EC9">
            <w:pPr>
              <w:jc w:val="center"/>
              <w:rPr>
                <w:rFonts w:ascii="Segoe UI" w:hAnsi="Segoe UI" w:cs="Segoe UI"/>
                <w:b/>
                <w:bCs/>
              </w:rPr>
            </w:pPr>
            <w:r w:rsidRPr="00AD0EC9">
              <w:rPr>
                <w:rFonts w:ascii="Segoe UI" w:hAnsi="Segoe UI" w:cs="Segoe UI"/>
                <w:b/>
                <w:bCs/>
              </w:rPr>
              <w:t>Application to EI in Dental Practice</w:t>
            </w:r>
          </w:p>
        </w:tc>
      </w:tr>
      <w:tr w:rsidR="00DF6147" w:rsidRPr="00AD0EC9" w14:paraId="0AC3D7AA" w14:textId="77777777" w:rsidTr="00A14C3F">
        <w:tc>
          <w:tcPr>
            <w:tcW w:w="2836" w:type="dxa"/>
            <w:tcBorders>
              <w:top w:val="single" w:sz="4" w:space="0" w:color="auto"/>
              <w:left w:val="single" w:sz="4" w:space="0" w:color="auto"/>
              <w:right w:val="single" w:sz="4" w:space="0" w:color="auto"/>
            </w:tcBorders>
            <w:vAlign w:val="center"/>
            <w:hideMark/>
          </w:tcPr>
          <w:p w14:paraId="4A922C12" w14:textId="77777777" w:rsidR="00AD0EC9" w:rsidRPr="00AD0EC9" w:rsidRDefault="00AD0EC9" w:rsidP="00AD0EC9">
            <w:pPr>
              <w:rPr>
                <w:rFonts w:ascii="Segoe UI" w:hAnsi="Segoe UI" w:cs="Segoe UI"/>
              </w:rPr>
            </w:pPr>
            <w:r w:rsidRPr="00AD0EC9">
              <w:rPr>
                <w:rFonts w:ascii="Segoe UI" w:hAnsi="Segoe UI" w:cs="Segoe UI"/>
                <w:b/>
                <w:bCs/>
              </w:rPr>
              <w:t>Political</w:t>
            </w:r>
          </w:p>
        </w:tc>
        <w:tc>
          <w:tcPr>
            <w:tcW w:w="7178" w:type="dxa"/>
            <w:tcBorders>
              <w:top w:val="single" w:sz="4" w:space="0" w:color="auto"/>
              <w:right w:val="single" w:sz="4" w:space="0" w:color="auto"/>
            </w:tcBorders>
            <w:vAlign w:val="center"/>
            <w:hideMark/>
          </w:tcPr>
          <w:p w14:paraId="64B18EE5" w14:textId="620B5737" w:rsidR="00AD0EC9" w:rsidRPr="00AD0EC9" w:rsidRDefault="00A14C3F" w:rsidP="00AD0EC9">
            <w:pPr>
              <w:rPr>
                <w:rFonts w:ascii="Segoe UI" w:hAnsi="Segoe UI" w:cs="Segoe UI"/>
              </w:rPr>
            </w:pPr>
            <w:r>
              <w:rPr>
                <w:rFonts w:ascii="Segoe UI" w:hAnsi="Segoe UI" w:cs="Segoe UI"/>
              </w:rPr>
              <w:t xml:space="preserve">Training requirements, funding, and staffing levels are determined by NHS policies rules and regulation. The governments priority on high quality care and patient safety making soft skills of EI even more valuable. Although EI is not seen as a regulation so may not be given priority. </w:t>
            </w:r>
          </w:p>
        </w:tc>
      </w:tr>
      <w:tr w:rsidR="00DF6147" w:rsidRPr="00AD0EC9" w14:paraId="586CDDFE" w14:textId="77777777" w:rsidTr="00A14C3F">
        <w:tc>
          <w:tcPr>
            <w:tcW w:w="2836" w:type="dxa"/>
            <w:tcBorders>
              <w:top w:val="single" w:sz="4" w:space="0" w:color="auto"/>
              <w:left w:val="single" w:sz="4" w:space="0" w:color="auto"/>
              <w:bottom w:val="single" w:sz="4" w:space="0" w:color="auto"/>
              <w:right w:val="single" w:sz="4" w:space="0" w:color="auto"/>
            </w:tcBorders>
            <w:vAlign w:val="center"/>
            <w:hideMark/>
          </w:tcPr>
          <w:p w14:paraId="16353A86" w14:textId="77777777" w:rsidR="00AD0EC9" w:rsidRPr="00AD0EC9" w:rsidRDefault="00AD0EC9" w:rsidP="00AD0EC9">
            <w:pPr>
              <w:rPr>
                <w:rFonts w:ascii="Segoe UI" w:hAnsi="Segoe UI" w:cs="Segoe UI"/>
              </w:rPr>
            </w:pPr>
            <w:r w:rsidRPr="00AD0EC9">
              <w:rPr>
                <w:rFonts w:ascii="Segoe UI" w:hAnsi="Segoe UI" w:cs="Segoe UI"/>
                <w:b/>
                <w:bCs/>
              </w:rPr>
              <w:t>Economic</w:t>
            </w:r>
          </w:p>
        </w:tc>
        <w:tc>
          <w:tcPr>
            <w:tcW w:w="7178" w:type="dxa"/>
            <w:tcBorders>
              <w:top w:val="single" w:sz="4" w:space="0" w:color="auto"/>
              <w:bottom w:val="single" w:sz="4" w:space="0" w:color="auto"/>
              <w:right w:val="single" w:sz="4" w:space="0" w:color="auto"/>
            </w:tcBorders>
            <w:vAlign w:val="center"/>
            <w:hideMark/>
          </w:tcPr>
          <w:p w14:paraId="1312EF23" w14:textId="12BD9F64" w:rsidR="00AD0EC9" w:rsidRPr="00AD0EC9" w:rsidRDefault="00AD0EC9" w:rsidP="00AD0EC9">
            <w:pPr>
              <w:rPr>
                <w:rFonts w:ascii="Segoe UI" w:hAnsi="Segoe UI" w:cs="Segoe UI"/>
              </w:rPr>
            </w:pPr>
            <w:r w:rsidRPr="00AD0EC9">
              <w:rPr>
                <w:rFonts w:ascii="Segoe UI" w:hAnsi="Segoe UI" w:cs="Segoe UI"/>
              </w:rPr>
              <w:t xml:space="preserve">Financial </w:t>
            </w:r>
            <w:r w:rsidR="00A14C3F">
              <w:rPr>
                <w:rFonts w:ascii="Segoe UI" w:hAnsi="Segoe UI" w:cs="Segoe UI"/>
              </w:rPr>
              <w:t>restrictions</w:t>
            </w:r>
            <w:r w:rsidRPr="00AD0EC9">
              <w:rPr>
                <w:rFonts w:ascii="Segoe UI" w:hAnsi="Segoe UI" w:cs="Segoe UI"/>
              </w:rPr>
              <w:t xml:space="preserve"> within dental practices, </w:t>
            </w:r>
            <w:r w:rsidR="00A14C3F">
              <w:rPr>
                <w:rFonts w:ascii="Segoe UI" w:hAnsi="Segoe UI" w:cs="Segoe UI"/>
              </w:rPr>
              <w:t xml:space="preserve">focusing more on the </w:t>
            </w:r>
            <w:r w:rsidR="00A14C3F" w:rsidRPr="00AD0EC9">
              <w:rPr>
                <w:rFonts w:ascii="Segoe UI" w:hAnsi="Segoe UI" w:cs="Segoe UI"/>
              </w:rPr>
              <w:t>NHS</w:t>
            </w:r>
            <w:r w:rsidRPr="00AD0EC9">
              <w:rPr>
                <w:rFonts w:ascii="Segoe UI" w:hAnsi="Segoe UI" w:cs="Segoe UI"/>
              </w:rPr>
              <w:t xml:space="preserve">-funded services, may limit investment in EI training and development programmes. High workload and cost pressures can reduce time available for </w:t>
            </w:r>
            <w:r w:rsidR="00A14C3F">
              <w:rPr>
                <w:rFonts w:ascii="Segoe UI" w:hAnsi="Segoe UI" w:cs="Segoe UI"/>
              </w:rPr>
              <w:t xml:space="preserve">continuous </w:t>
            </w:r>
            <w:r w:rsidRPr="00AD0EC9">
              <w:rPr>
                <w:rFonts w:ascii="Segoe UI" w:hAnsi="Segoe UI" w:cs="Segoe UI"/>
              </w:rPr>
              <w:t>reflective practice and staff development.</w:t>
            </w:r>
          </w:p>
        </w:tc>
      </w:tr>
      <w:tr w:rsidR="00DF6147" w:rsidRPr="00AD0EC9" w14:paraId="216A10AD" w14:textId="77777777" w:rsidTr="00A14C3F">
        <w:tc>
          <w:tcPr>
            <w:tcW w:w="2836" w:type="dxa"/>
            <w:tcBorders>
              <w:top w:val="single" w:sz="4" w:space="0" w:color="auto"/>
              <w:left w:val="single" w:sz="4" w:space="0" w:color="auto"/>
              <w:right w:val="single" w:sz="4" w:space="0" w:color="auto"/>
            </w:tcBorders>
            <w:vAlign w:val="center"/>
            <w:hideMark/>
          </w:tcPr>
          <w:p w14:paraId="638D2FAA" w14:textId="77777777" w:rsidR="00AD0EC9" w:rsidRPr="00AD0EC9" w:rsidRDefault="00AD0EC9" w:rsidP="00AD0EC9">
            <w:pPr>
              <w:rPr>
                <w:rFonts w:ascii="Segoe UI" w:hAnsi="Segoe UI" w:cs="Segoe UI"/>
              </w:rPr>
            </w:pPr>
            <w:r w:rsidRPr="00AD0EC9">
              <w:rPr>
                <w:rFonts w:ascii="Segoe UI" w:hAnsi="Segoe UI" w:cs="Segoe UI"/>
                <w:b/>
                <w:bCs/>
              </w:rPr>
              <w:t>Social</w:t>
            </w:r>
          </w:p>
        </w:tc>
        <w:tc>
          <w:tcPr>
            <w:tcW w:w="7178" w:type="dxa"/>
            <w:tcBorders>
              <w:top w:val="single" w:sz="4" w:space="0" w:color="auto"/>
              <w:right w:val="single" w:sz="4" w:space="0" w:color="auto"/>
            </w:tcBorders>
            <w:vAlign w:val="center"/>
            <w:hideMark/>
          </w:tcPr>
          <w:p w14:paraId="3A6A7728" w14:textId="5D18FD20" w:rsidR="00AD0EC9" w:rsidRPr="00AD0EC9" w:rsidRDefault="00A14C3F" w:rsidP="00AD0EC9">
            <w:pPr>
              <w:rPr>
                <w:rFonts w:ascii="Segoe UI" w:hAnsi="Segoe UI" w:cs="Segoe UI"/>
              </w:rPr>
            </w:pPr>
            <w:r>
              <w:rPr>
                <w:rFonts w:ascii="Segoe UI" w:hAnsi="Segoe UI" w:cs="Segoe UI"/>
              </w:rPr>
              <w:t>The importance of empathy, communication, and awareness of feelings is made clear by the rise of social media, anxiety levels and the need for patient centred care. Overload and work pressures have massive impact on the social issues highlighting the need for EI in these situations along with interpersonal management.</w:t>
            </w:r>
          </w:p>
        </w:tc>
      </w:tr>
      <w:tr w:rsidR="00AD0EC9" w:rsidRPr="00DF6147" w14:paraId="50F38D3B" w14:textId="77777777" w:rsidTr="00A14C3F">
        <w:tc>
          <w:tcPr>
            <w:tcW w:w="2836" w:type="dxa"/>
            <w:tcBorders>
              <w:top w:val="single" w:sz="4" w:space="0" w:color="auto"/>
              <w:left w:val="single" w:sz="4" w:space="0" w:color="auto"/>
              <w:bottom w:val="single" w:sz="4" w:space="0" w:color="auto"/>
              <w:right w:val="single" w:sz="4" w:space="0" w:color="auto"/>
            </w:tcBorders>
            <w:vAlign w:val="center"/>
            <w:hideMark/>
          </w:tcPr>
          <w:p w14:paraId="7D0E79D6" w14:textId="77777777" w:rsidR="00AD0EC9" w:rsidRPr="00AD0EC9" w:rsidRDefault="00AD0EC9" w:rsidP="00AD0EC9">
            <w:pPr>
              <w:rPr>
                <w:rFonts w:ascii="Segoe UI" w:hAnsi="Segoe UI" w:cs="Segoe UI"/>
              </w:rPr>
            </w:pPr>
            <w:r w:rsidRPr="00AD0EC9">
              <w:rPr>
                <w:rFonts w:ascii="Segoe UI" w:hAnsi="Segoe UI" w:cs="Segoe UI"/>
                <w:b/>
                <w:bCs/>
              </w:rPr>
              <w:t>Technological</w:t>
            </w:r>
          </w:p>
        </w:tc>
        <w:tc>
          <w:tcPr>
            <w:tcW w:w="7178" w:type="dxa"/>
            <w:tcBorders>
              <w:top w:val="single" w:sz="4" w:space="0" w:color="auto"/>
              <w:right w:val="single" w:sz="4" w:space="0" w:color="auto"/>
            </w:tcBorders>
            <w:vAlign w:val="center"/>
            <w:hideMark/>
          </w:tcPr>
          <w:p w14:paraId="2F650167" w14:textId="094195F2" w:rsidR="00AD0EC9" w:rsidRPr="00AD0EC9" w:rsidRDefault="00AD0EC9" w:rsidP="00AD0EC9">
            <w:pPr>
              <w:rPr>
                <w:rFonts w:ascii="Segoe UI" w:hAnsi="Segoe UI" w:cs="Segoe UI"/>
              </w:rPr>
            </w:pPr>
            <w:r w:rsidRPr="00AD0EC9">
              <w:rPr>
                <w:rFonts w:ascii="Segoe UI" w:hAnsi="Segoe UI" w:cs="Segoe UI"/>
              </w:rPr>
              <w:t>dental technology</w:t>
            </w:r>
            <w:r w:rsidR="00A14C3F">
              <w:rPr>
                <w:rFonts w:ascii="Segoe UI" w:hAnsi="Segoe UI" w:cs="Segoe UI"/>
              </w:rPr>
              <w:t xml:space="preserve"> advancements such as AI, computer software programmes</w:t>
            </w:r>
            <w:r w:rsidRPr="00AD0EC9">
              <w:rPr>
                <w:rFonts w:ascii="Segoe UI" w:hAnsi="Segoe UI" w:cs="Segoe UI"/>
              </w:rPr>
              <w:t xml:space="preserve"> </w:t>
            </w:r>
            <w:r w:rsidR="00A14C3F">
              <w:rPr>
                <w:rFonts w:ascii="Segoe UI" w:hAnsi="Segoe UI" w:cs="Segoe UI"/>
              </w:rPr>
              <w:t xml:space="preserve">need </w:t>
            </w:r>
            <w:r w:rsidRPr="00AD0EC9">
              <w:rPr>
                <w:rFonts w:ascii="Segoe UI" w:hAnsi="Segoe UI" w:cs="Segoe UI"/>
              </w:rPr>
              <w:t xml:space="preserve">continuous </w:t>
            </w:r>
            <w:r w:rsidR="00A14C3F">
              <w:rPr>
                <w:rFonts w:ascii="Segoe UI" w:hAnsi="Segoe UI" w:cs="Segoe UI"/>
              </w:rPr>
              <w:t xml:space="preserve">training </w:t>
            </w:r>
            <w:r w:rsidR="00A14C3F" w:rsidRPr="00AD0EC9">
              <w:rPr>
                <w:rFonts w:ascii="Segoe UI" w:hAnsi="Segoe UI" w:cs="Segoe UI"/>
              </w:rPr>
              <w:t>and</w:t>
            </w:r>
            <w:r w:rsidR="00A14C3F">
              <w:rPr>
                <w:rFonts w:ascii="Segoe UI" w:hAnsi="Segoe UI" w:cs="Segoe UI"/>
              </w:rPr>
              <w:t xml:space="preserve"> openness</w:t>
            </w:r>
            <w:r w:rsidRPr="00AD0EC9">
              <w:rPr>
                <w:rFonts w:ascii="Segoe UI" w:hAnsi="Segoe UI" w:cs="Segoe UI"/>
              </w:rPr>
              <w:t xml:space="preserve">. While technology improves </w:t>
            </w:r>
            <w:r w:rsidR="00A14C3F" w:rsidRPr="00AD0EC9">
              <w:rPr>
                <w:rFonts w:ascii="Segoe UI" w:hAnsi="Segoe UI" w:cs="Segoe UI"/>
              </w:rPr>
              <w:t>effe</w:t>
            </w:r>
            <w:r w:rsidR="00A14C3F">
              <w:rPr>
                <w:rFonts w:ascii="Segoe UI" w:hAnsi="Segoe UI" w:cs="Segoe UI"/>
              </w:rPr>
              <w:t>ctiveness</w:t>
            </w:r>
            <w:r w:rsidRPr="00AD0EC9">
              <w:rPr>
                <w:rFonts w:ascii="Segoe UI" w:hAnsi="Segoe UI" w:cs="Segoe UI"/>
              </w:rPr>
              <w:t>, it may reduce face-to-face interaction time, making emotional intelligence even more important for maintaining patient relationships and communication quality.</w:t>
            </w:r>
          </w:p>
        </w:tc>
      </w:tr>
      <w:tr w:rsidR="00DF6147" w:rsidRPr="00AD0EC9" w14:paraId="17A8672B" w14:textId="77777777" w:rsidTr="00A14C3F">
        <w:tc>
          <w:tcPr>
            <w:tcW w:w="2836" w:type="dxa"/>
            <w:tcBorders>
              <w:left w:val="single" w:sz="4" w:space="0" w:color="auto"/>
              <w:right w:val="single" w:sz="4" w:space="0" w:color="auto"/>
            </w:tcBorders>
            <w:vAlign w:val="center"/>
            <w:hideMark/>
          </w:tcPr>
          <w:p w14:paraId="2A7DEED8" w14:textId="77777777" w:rsidR="00AD0EC9" w:rsidRPr="00AD0EC9" w:rsidRDefault="00AD0EC9" w:rsidP="00AD0EC9">
            <w:pPr>
              <w:rPr>
                <w:rFonts w:ascii="Segoe UI" w:hAnsi="Segoe UI" w:cs="Segoe UI"/>
              </w:rPr>
            </w:pPr>
            <w:r w:rsidRPr="00AD0EC9">
              <w:rPr>
                <w:rFonts w:ascii="Segoe UI" w:hAnsi="Segoe UI" w:cs="Segoe UI"/>
                <w:b/>
                <w:bCs/>
              </w:rPr>
              <w:t>Legal</w:t>
            </w:r>
          </w:p>
        </w:tc>
        <w:tc>
          <w:tcPr>
            <w:tcW w:w="7178" w:type="dxa"/>
            <w:tcBorders>
              <w:top w:val="single" w:sz="4" w:space="0" w:color="auto"/>
              <w:right w:val="single" w:sz="4" w:space="0" w:color="auto"/>
            </w:tcBorders>
            <w:vAlign w:val="center"/>
            <w:hideMark/>
          </w:tcPr>
          <w:p w14:paraId="3C40A937" w14:textId="7F315862" w:rsidR="00AD0EC9" w:rsidRPr="00AD0EC9" w:rsidRDefault="00AD0EC9" w:rsidP="00AD0EC9">
            <w:pPr>
              <w:rPr>
                <w:rFonts w:ascii="Segoe UI" w:hAnsi="Segoe UI" w:cs="Segoe UI"/>
              </w:rPr>
            </w:pPr>
            <w:r w:rsidRPr="00AD0EC9">
              <w:rPr>
                <w:rFonts w:ascii="Segoe UI" w:hAnsi="Segoe UI" w:cs="Segoe UI"/>
              </w:rPr>
              <w:t>Regulatory bodies</w:t>
            </w:r>
            <w:r w:rsidR="00A14C3F">
              <w:rPr>
                <w:rFonts w:ascii="Segoe UI" w:hAnsi="Segoe UI" w:cs="Segoe UI"/>
              </w:rPr>
              <w:t xml:space="preserve"> such as the </w:t>
            </w:r>
            <w:r w:rsidRPr="00AD0EC9">
              <w:rPr>
                <w:rFonts w:ascii="Segoe UI" w:hAnsi="Segoe UI" w:cs="Segoe UI"/>
              </w:rPr>
              <w:t>GDC standards</w:t>
            </w:r>
            <w:r w:rsidR="00A14C3F">
              <w:rPr>
                <w:rFonts w:ascii="Segoe UI" w:hAnsi="Segoe UI" w:cs="Segoe UI"/>
              </w:rPr>
              <w:t>, CQC</w:t>
            </w:r>
            <w:r w:rsidRPr="00AD0EC9">
              <w:rPr>
                <w:rFonts w:ascii="Segoe UI" w:hAnsi="Segoe UI" w:cs="Segoe UI"/>
              </w:rPr>
              <w:t xml:space="preserve"> require professionals to</w:t>
            </w:r>
            <w:r w:rsidR="00A14C3F">
              <w:rPr>
                <w:rFonts w:ascii="Segoe UI" w:hAnsi="Segoe UI" w:cs="Segoe UI"/>
              </w:rPr>
              <w:t xml:space="preserve"> act upon</w:t>
            </w:r>
            <w:r w:rsidRPr="00AD0EC9">
              <w:rPr>
                <w:rFonts w:ascii="Segoe UI" w:hAnsi="Segoe UI" w:cs="Segoe UI"/>
              </w:rPr>
              <w:t xml:space="preserve"> effective communication, professionalism, </w:t>
            </w:r>
            <w:r w:rsidR="00A14C3F">
              <w:rPr>
                <w:rFonts w:ascii="Segoe UI" w:hAnsi="Segoe UI" w:cs="Segoe UI"/>
              </w:rPr>
              <w:t xml:space="preserve">ethical decision making and </w:t>
            </w:r>
            <w:r w:rsidRPr="00AD0EC9">
              <w:rPr>
                <w:rFonts w:ascii="Segoe UI" w:hAnsi="Segoe UI" w:cs="Segoe UI"/>
              </w:rPr>
              <w:t>patient-centred care. Although EI is not direct</w:t>
            </w:r>
            <w:r w:rsidR="00A14C3F">
              <w:rPr>
                <w:rFonts w:ascii="Segoe UI" w:hAnsi="Segoe UI" w:cs="Segoe UI"/>
              </w:rPr>
              <w:t xml:space="preserve"> policy to implement,</w:t>
            </w:r>
            <w:r w:rsidRPr="00AD0EC9">
              <w:rPr>
                <w:rFonts w:ascii="Segoe UI" w:hAnsi="Segoe UI" w:cs="Segoe UI"/>
              </w:rPr>
              <w:t xml:space="preserve"> its components are </w:t>
            </w:r>
            <w:r w:rsidR="00A14C3F">
              <w:rPr>
                <w:rFonts w:ascii="Segoe UI" w:hAnsi="Segoe UI" w:cs="Segoe UI"/>
              </w:rPr>
              <w:t xml:space="preserve">upheld </w:t>
            </w:r>
            <w:r w:rsidRPr="00AD0EC9">
              <w:rPr>
                <w:rFonts w:ascii="Segoe UI" w:hAnsi="Segoe UI" w:cs="Segoe UI"/>
              </w:rPr>
              <w:t>within professional standards and ethical guidelines.</w:t>
            </w:r>
          </w:p>
        </w:tc>
      </w:tr>
      <w:tr w:rsidR="00AD0EC9" w:rsidRPr="00DF6147" w14:paraId="6DEB311A" w14:textId="77777777" w:rsidTr="00A14C3F">
        <w:trPr>
          <w:trHeight w:val="2156"/>
        </w:trPr>
        <w:tc>
          <w:tcPr>
            <w:tcW w:w="2836" w:type="dxa"/>
            <w:tcBorders>
              <w:top w:val="single" w:sz="4" w:space="0" w:color="auto"/>
              <w:left w:val="single" w:sz="4" w:space="0" w:color="auto"/>
              <w:bottom w:val="single" w:sz="4" w:space="0" w:color="auto"/>
              <w:right w:val="single" w:sz="4" w:space="0" w:color="auto"/>
            </w:tcBorders>
            <w:vAlign w:val="center"/>
            <w:hideMark/>
          </w:tcPr>
          <w:p w14:paraId="328A9B56" w14:textId="77777777" w:rsidR="00AD0EC9" w:rsidRPr="00AD0EC9" w:rsidRDefault="00AD0EC9" w:rsidP="00AD0EC9">
            <w:pPr>
              <w:rPr>
                <w:rFonts w:ascii="Segoe UI" w:hAnsi="Segoe UI" w:cs="Segoe UI"/>
              </w:rPr>
            </w:pPr>
            <w:r w:rsidRPr="00AD0EC9">
              <w:rPr>
                <w:rFonts w:ascii="Segoe UI" w:hAnsi="Segoe UI" w:cs="Segoe UI"/>
                <w:b/>
                <w:bCs/>
              </w:rPr>
              <w:t>Environmental</w:t>
            </w:r>
          </w:p>
        </w:tc>
        <w:tc>
          <w:tcPr>
            <w:tcW w:w="7178" w:type="dxa"/>
            <w:tcBorders>
              <w:top w:val="single" w:sz="4" w:space="0" w:color="auto"/>
              <w:right w:val="single" w:sz="4" w:space="0" w:color="auto"/>
            </w:tcBorders>
            <w:vAlign w:val="center"/>
            <w:hideMark/>
          </w:tcPr>
          <w:p w14:paraId="0A760D5C" w14:textId="22D08448" w:rsidR="00AD0EC9" w:rsidRPr="00AD0EC9" w:rsidRDefault="00AD0EC9" w:rsidP="00AD0EC9">
            <w:pPr>
              <w:rPr>
                <w:rFonts w:ascii="Segoe UI" w:hAnsi="Segoe UI" w:cs="Segoe UI"/>
              </w:rPr>
            </w:pPr>
            <w:r w:rsidRPr="00AD0EC9">
              <w:rPr>
                <w:rFonts w:ascii="Segoe UI" w:hAnsi="Segoe UI" w:cs="Segoe UI"/>
              </w:rPr>
              <w:t>Changing healthcare environments</w:t>
            </w:r>
            <w:r w:rsidR="00A14C3F">
              <w:rPr>
                <w:rFonts w:ascii="Segoe UI" w:hAnsi="Segoe UI" w:cs="Segoe UI"/>
              </w:rPr>
              <w:t>, that includes</w:t>
            </w:r>
            <w:r w:rsidRPr="00AD0EC9">
              <w:rPr>
                <w:rFonts w:ascii="Segoe UI" w:hAnsi="Segoe UI" w:cs="Segoe UI"/>
              </w:rPr>
              <w:t xml:space="preserve"> sustainability pressures</w:t>
            </w:r>
            <w:r w:rsidR="00A14C3F">
              <w:rPr>
                <w:rFonts w:ascii="Segoe UI" w:hAnsi="Segoe UI" w:cs="Segoe UI"/>
              </w:rPr>
              <w:t xml:space="preserve"> such as the (GOGREENWALES) campaign</w:t>
            </w:r>
            <w:r w:rsidR="00A14C3F" w:rsidRPr="00AD0EC9">
              <w:rPr>
                <w:rFonts w:ascii="Segoe UI" w:hAnsi="Segoe UI" w:cs="Segoe UI"/>
              </w:rPr>
              <w:t xml:space="preserve"> and</w:t>
            </w:r>
            <w:r w:rsidRPr="00AD0EC9">
              <w:rPr>
                <w:rFonts w:ascii="Segoe UI" w:hAnsi="Segoe UI" w:cs="Segoe UI"/>
              </w:rPr>
              <w:t xml:space="preserve"> </w:t>
            </w:r>
            <w:r w:rsidR="00A14C3F">
              <w:rPr>
                <w:rFonts w:ascii="Segoe UI" w:hAnsi="Segoe UI" w:cs="Segoe UI"/>
              </w:rPr>
              <w:t>the ever-changing</w:t>
            </w:r>
            <w:r w:rsidRPr="00AD0EC9">
              <w:rPr>
                <w:rFonts w:ascii="Segoe UI" w:hAnsi="Segoe UI" w:cs="Segoe UI"/>
              </w:rPr>
              <w:t xml:space="preserve"> service delivery models, require </w:t>
            </w:r>
            <w:r w:rsidR="00A14C3F">
              <w:rPr>
                <w:rFonts w:ascii="Segoe UI" w:hAnsi="Segoe UI" w:cs="Segoe UI"/>
              </w:rPr>
              <w:t>adjustments</w:t>
            </w:r>
            <w:r w:rsidRPr="00AD0EC9">
              <w:rPr>
                <w:rFonts w:ascii="Segoe UI" w:hAnsi="Segoe UI" w:cs="Segoe UI"/>
              </w:rPr>
              <w:t xml:space="preserve"> and resilience. EI supports professionals in coping with change and maintaining performance in </w:t>
            </w:r>
            <w:r w:rsidR="00A14C3F">
              <w:rPr>
                <w:rFonts w:ascii="Segoe UI" w:hAnsi="Segoe UI" w:cs="Segoe UI"/>
              </w:rPr>
              <w:t>versatile</w:t>
            </w:r>
            <w:r w:rsidRPr="00AD0EC9">
              <w:rPr>
                <w:rFonts w:ascii="Segoe UI" w:hAnsi="Segoe UI" w:cs="Segoe UI"/>
              </w:rPr>
              <w:t xml:space="preserve"> clinical settings.</w:t>
            </w:r>
          </w:p>
        </w:tc>
      </w:tr>
    </w:tbl>
    <w:p w14:paraId="63517410" w14:textId="77777777" w:rsidR="00AD0EC9" w:rsidRPr="00DF6147" w:rsidRDefault="00AD0EC9" w:rsidP="00244B5C">
      <w:pPr>
        <w:rPr>
          <w:rFonts w:ascii="Segoe UI" w:hAnsi="Segoe UI" w:cs="Segoe UI"/>
        </w:rPr>
      </w:pPr>
    </w:p>
    <w:p w14:paraId="03D2A56B" w14:textId="3008F951" w:rsidR="00244B5C" w:rsidRPr="00DF6147" w:rsidRDefault="00244B5C" w:rsidP="00244B5C">
      <w:pPr>
        <w:rPr>
          <w:rFonts w:ascii="Segoe UI" w:hAnsi="Segoe UI" w:cs="Segoe UI"/>
        </w:rPr>
      </w:pPr>
    </w:p>
    <w:p w14:paraId="4A83F37C" w14:textId="77777777" w:rsidR="00074CDB" w:rsidRPr="00DF6147" w:rsidRDefault="00074CDB" w:rsidP="00381674">
      <w:pPr>
        <w:rPr>
          <w:rFonts w:ascii="Segoe UI" w:hAnsi="Segoe UI" w:cs="Segoe UI"/>
        </w:rPr>
      </w:pPr>
    </w:p>
    <w:p w14:paraId="5E790EC7" w14:textId="15235EBA" w:rsidR="002C4337" w:rsidRPr="00DF6147" w:rsidRDefault="002C4337" w:rsidP="00381674">
      <w:pPr>
        <w:rPr>
          <w:rFonts w:ascii="Segoe UI" w:hAnsi="Segoe UI" w:cs="Segoe UI"/>
          <w:u w:val="single"/>
        </w:rPr>
      </w:pPr>
      <w:r w:rsidRPr="00DF6147">
        <w:rPr>
          <w:rFonts w:ascii="Segoe UI" w:hAnsi="Segoe UI" w:cs="Segoe UI"/>
          <w:u w:val="single"/>
        </w:rPr>
        <w:t xml:space="preserve">Appendix 2 </w:t>
      </w:r>
    </w:p>
    <w:p w14:paraId="584F02C9" w14:textId="77777777" w:rsidR="002A3D92" w:rsidRPr="00DF6147" w:rsidRDefault="002A3D92" w:rsidP="00381674">
      <w:pPr>
        <w:rPr>
          <w:rFonts w:ascii="Segoe UI" w:hAnsi="Segoe UI" w:cs="Segoe UI"/>
          <w:u w:val="single"/>
        </w:rPr>
      </w:pPr>
    </w:p>
    <w:p w14:paraId="68BD5128" w14:textId="41DF5F72" w:rsidR="00A14C3F" w:rsidRPr="00A14C3F" w:rsidRDefault="002A3D92" w:rsidP="00381674">
      <w:pPr>
        <w:rPr>
          <w:rFonts w:ascii="Segoe UI" w:hAnsi="Segoe UI" w:cs="Segoe UI"/>
        </w:rPr>
      </w:pPr>
      <w:r w:rsidRPr="00DF6147">
        <w:rPr>
          <w:rFonts w:ascii="Segoe UI" w:hAnsi="Segoe UI" w:cs="Segoe UI"/>
        </w:rPr>
        <w:fldChar w:fldCharType="begin"/>
      </w:r>
      <w:r w:rsidRPr="00DF6147">
        <w:rPr>
          <w:rFonts w:ascii="Segoe UI" w:hAnsi="Segoe UI" w:cs="Segoe UI"/>
        </w:rPr>
        <w:instrText xml:space="preserve"> INCLUDEPICTURE "/Users/katiesmith/Library/Group Containers/UBF8T346G9.ms/WebArchiveCopyPasteTempFiles/com.microsoft.Word/otat5859f1.jpg" \* MERGEFORMATINET </w:instrText>
      </w:r>
      <w:r w:rsidRPr="00DF6147">
        <w:rPr>
          <w:rFonts w:ascii="Segoe UI" w:hAnsi="Segoe UI" w:cs="Segoe UI"/>
        </w:rPr>
        <w:fldChar w:fldCharType="separate"/>
      </w:r>
      <w:r w:rsidRPr="00DF6147">
        <w:rPr>
          <w:rFonts w:ascii="Segoe UI" w:hAnsi="Segoe UI" w:cs="Segoe UI"/>
          <w:noProof/>
        </w:rPr>
        <w:drawing>
          <wp:inline distT="0" distB="0" distL="0" distR="0" wp14:anchorId="44196AC3" wp14:editId="5E49A234">
            <wp:extent cx="5046133" cy="2785269"/>
            <wp:effectExtent l="0" t="0" r="0" b="0"/>
            <wp:docPr id="1260744092" name="Picture 1" descr="Fig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g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48877" cy="2786784"/>
                    </a:xfrm>
                    <a:prstGeom prst="rect">
                      <a:avLst/>
                    </a:prstGeom>
                    <a:noFill/>
                    <a:ln>
                      <a:noFill/>
                    </a:ln>
                  </pic:spPr>
                </pic:pic>
              </a:graphicData>
            </a:graphic>
          </wp:inline>
        </w:drawing>
      </w:r>
      <w:r w:rsidRPr="00DF6147">
        <w:rPr>
          <w:rFonts w:ascii="Segoe UI" w:hAnsi="Segoe UI" w:cs="Segoe UI"/>
        </w:rPr>
        <w:fldChar w:fldCharType="end"/>
      </w:r>
    </w:p>
    <w:p w14:paraId="28EE4146" w14:textId="7BABDA1E" w:rsidR="002C4337" w:rsidRPr="00DF6147" w:rsidRDefault="002A3D92" w:rsidP="00DF6147">
      <w:pPr>
        <w:jc w:val="center"/>
        <w:rPr>
          <w:rFonts w:ascii="Segoe UI" w:hAnsi="Segoe UI" w:cs="Segoe UI"/>
        </w:rPr>
      </w:pPr>
      <w:r w:rsidRPr="00DF6147">
        <w:rPr>
          <w:rFonts w:ascii="Segoe UI" w:hAnsi="Segoe UI" w:cs="Segoe UI"/>
        </w:rPr>
        <w:t xml:space="preserve">                                                                                                           (Arthur 2026) </w:t>
      </w:r>
    </w:p>
    <w:p w14:paraId="7CAB482B" w14:textId="77777777" w:rsidR="002C4337" w:rsidRPr="00DF6147" w:rsidRDefault="002C4337" w:rsidP="00381674">
      <w:pPr>
        <w:rPr>
          <w:rFonts w:ascii="Segoe UI" w:hAnsi="Segoe UI" w:cs="Segoe UI"/>
          <w:u w:val="single"/>
        </w:rPr>
      </w:pPr>
    </w:p>
    <w:p w14:paraId="513C78D4" w14:textId="77777777" w:rsidR="002C4337" w:rsidRPr="00DF6147" w:rsidRDefault="002C4337" w:rsidP="00381674">
      <w:pPr>
        <w:rPr>
          <w:rFonts w:ascii="Segoe UI" w:hAnsi="Segoe UI" w:cs="Segoe UI"/>
          <w:u w:val="single"/>
        </w:rPr>
      </w:pPr>
    </w:p>
    <w:p w14:paraId="2DC1F5F9" w14:textId="59ED59CE" w:rsidR="002C4337" w:rsidRPr="00DF6147" w:rsidRDefault="002C4337" w:rsidP="00DF6147">
      <w:pPr>
        <w:rPr>
          <w:rFonts w:ascii="Segoe UI" w:hAnsi="Segoe UI" w:cs="Segoe UI"/>
          <w:u w:val="single"/>
        </w:rPr>
      </w:pPr>
      <w:r w:rsidRPr="00DF6147">
        <w:rPr>
          <w:rFonts w:ascii="Segoe UI" w:hAnsi="Segoe UI" w:cs="Segoe UI"/>
          <w:u w:val="single"/>
        </w:rPr>
        <w:t>Appendix 3</w:t>
      </w:r>
    </w:p>
    <w:p w14:paraId="34CFF2DD" w14:textId="77777777" w:rsidR="00DF6147" w:rsidRPr="002C4337" w:rsidRDefault="00DF6147" w:rsidP="00DF6147">
      <w:pPr>
        <w:rPr>
          <w:rFonts w:ascii="Segoe UI" w:hAnsi="Segoe UI" w:cs="Segoe UI"/>
          <w:u w:val="singl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45"/>
        <w:gridCol w:w="4571"/>
      </w:tblGrid>
      <w:tr w:rsidR="002C4337" w:rsidRPr="002C4337" w14:paraId="1F76C4A8" w14:textId="77777777" w:rsidTr="002C4337">
        <w:trPr>
          <w:tblHeader/>
          <w:tblCellSpacing w:w="15" w:type="dxa"/>
        </w:trPr>
        <w:tc>
          <w:tcPr>
            <w:tcW w:w="0" w:type="auto"/>
            <w:tcBorders>
              <w:top w:val="single" w:sz="4" w:space="0" w:color="auto"/>
              <w:left w:val="single" w:sz="4" w:space="0" w:color="auto"/>
            </w:tcBorders>
            <w:vAlign w:val="center"/>
            <w:hideMark/>
          </w:tcPr>
          <w:p w14:paraId="0506266E" w14:textId="77777777" w:rsidR="002C4337" w:rsidRPr="002C4337" w:rsidRDefault="002C4337" w:rsidP="002C4337">
            <w:pPr>
              <w:jc w:val="center"/>
              <w:rPr>
                <w:rFonts w:ascii="Segoe UI" w:hAnsi="Segoe UI" w:cs="Segoe UI"/>
                <w:b/>
                <w:bCs/>
              </w:rPr>
            </w:pPr>
            <w:r w:rsidRPr="002C4337">
              <w:rPr>
                <w:rFonts w:ascii="Segoe UI" w:hAnsi="Segoe UI" w:cs="Segoe UI"/>
                <w:b/>
                <w:bCs/>
              </w:rPr>
              <w:t>Strengths</w:t>
            </w:r>
          </w:p>
        </w:tc>
        <w:tc>
          <w:tcPr>
            <w:tcW w:w="0" w:type="auto"/>
            <w:tcBorders>
              <w:top w:val="single" w:sz="4" w:space="0" w:color="auto"/>
              <w:left w:val="single" w:sz="4" w:space="0" w:color="auto"/>
              <w:right w:val="single" w:sz="4" w:space="0" w:color="auto"/>
            </w:tcBorders>
            <w:vAlign w:val="center"/>
            <w:hideMark/>
          </w:tcPr>
          <w:p w14:paraId="57FCFCB0" w14:textId="77777777" w:rsidR="002C4337" w:rsidRPr="002C4337" w:rsidRDefault="002C4337" w:rsidP="002C4337">
            <w:pPr>
              <w:jc w:val="center"/>
              <w:rPr>
                <w:rFonts w:ascii="Segoe UI" w:hAnsi="Segoe UI" w:cs="Segoe UI"/>
                <w:b/>
                <w:bCs/>
              </w:rPr>
            </w:pPr>
            <w:r w:rsidRPr="002C4337">
              <w:rPr>
                <w:rFonts w:ascii="Segoe UI" w:hAnsi="Segoe UI" w:cs="Segoe UI"/>
                <w:b/>
                <w:bCs/>
              </w:rPr>
              <w:t>Weaknesses</w:t>
            </w:r>
          </w:p>
        </w:tc>
      </w:tr>
      <w:tr w:rsidR="002C4337" w:rsidRPr="002C4337" w14:paraId="638EDD72" w14:textId="77777777" w:rsidTr="002C4337">
        <w:trPr>
          <w:tblCellSpacing w:w="15" w:type="dxa"/>
        </w:trPr>
        <w:tc>
          <w:tcPr>
            <w:tcW w:w="0" w:type="auto"/>
            <w:tcBorders>
              <w:top w:val="single" w:sz="4" w:space="0" w:color="auto"/>
              <w:left w:val="single" w:sz="4" w:space="0" w:color="auto"/>
            </w:tcBorders>
            <w:vAlign w:val="center"/>
            <w:hideMark/>
          </w:tcPr>
          <w:p w14:paraId="2A6316E8" w14:textId="77777777" w:rsidR="002C4337" w:rsidRPr="002C4337" w:rsidRDefault="002C4337" w:rsidP="002C4337">
            <w:pPr>
              <w:rPr>
                <w:rFonts w:ascii="Segoe UI" w:hAnsi="Segoe UI" w:cs="Segoe UI"/>
              </w:rPr>
            </w:pPr>
            <w:r w:rsidRPr="002C4337">
              <w:rPr>
                <w:rFonts w:ascii="Segoe UI" w:hAnsi="Segoe UI" w:cs="Segoe UI"/>
              </w:rPr>
              <w:t>Improves communication and patient interaction</w:t>
            </w:r>
          </w:p>
        </w:tc>
        <w:tc>
          <w:tcPr>
            <w:tcW w:w="0" w:type="auto"/>
            <w:tcBorders>
              <w:top w:val="single" w:sz="4" w:space="0" w:color="auto"/>
              <w:left w:val="single" w:sz="4" w:space="0" w:color="auto"/>
              <w:right w:val="single" w:sz="4" w:space="0" w:color="auto"/>
            </w:tcBorders>
            <w:vAlign w:val="center"/>
            <w:hideMark/>
          </w:tcPr>
          <w:p w14:paraId="36728CC3" w14:textId="77777777" w:rsidR="002C4337" w:rsidRPr="002C4337" w:rsidRDefault="002C4337" w:rsidP="002C4337">
            <w:pPr>
              <w:rPr>
                <w:rFonts w:ascii="Segoe UI" w:hAnsi="Segoe UI" w:cs="Segoe UI"/>
              </w:rPr>
            </w:pPr>
            <w:r w:rsidRPr="002C4337">
              <w:rPr>
                <w:rFonts w:ascii="Segoe UI" w:hAnsi="Segoe UI" w:cs="Segoe UI"/>
              </w:rPr>
              <w:t>Difficult to measure objectively (often self-reported)</w:t>
            </w:r>
          </w:p>
        </w:tc>
      </w:tr>
      <w:tr w:rsidR="002C4337" w:rsidRPr="002C4337" w14:paraId="5D49C670" w14:textId="77777777" w:rsidTr="002C4337">
        <w:trPr>
          <w:tblCellSpacing w:w="15" w:type="dxa"/>
        </w:trPr>
        <w:tc>
          <w:tcPr>
            <w:tcW w:w="0" w:type="auto"/>
            <w:tcBorders>
              <w:top w:val="single" w:sz="4" w:space="0" w:color="auto"/>
              <w:left w:val="single" w:sz="4" w:space="0" w:color="auto"/>
            </w:tcBorders>
            <w:vAlign w:val="center"/>
            <w:hideMark/>
          </w:tcPr>
          <w:p w14:paraId="7AD238A0" w14:textId="77777777" w:rsidR="002C4337" w:rsidRPr="002C4337" w:rsidRDefault="002C4337" w:rsidP="002C4337">
            <w:pPr>
              <w:rPr>
                <w:rFonts w:ascii="Segoe UI" w:hAnsi="Segoe UI" w:cs="Segoe UI"/>
              </w:rPr>
            </w:pPr>
            <w:r w:rsidRPr="002C4337">
              <w:rPr>
                <w:rFonts w:ascii="Segoe UI" w:hAnsi="Segoe UI" w:cs="Segoe UI"/>
              </w:rPr>
              <w:t>Enhances patient satisfaction and trust</w:t>
            </w:r>
          </w:p>
        </w:tc>
        <w:tc>
          <w:tcPr>
            <w:tcW w:w="0" w:type="auto"/>
            <w:tcBorders>
              <w:top w:val="single" w:sz="4" w:space="0" w:color="auto"/>
              <w:left w:val="single" w:sz="4" w:space="0" w:color="auto"/>
              <w:right w:val="single" w:sz="4" w:space="0" w:color="auto"/>
            </w:tcBorders>
            <w:vAlign w:val="center"/>
            <w:hideMark/>
          </w:tcPr>
          <w:p w14:paraId="6DD346A3" w14:textId="77777777" w:rsidR="002C4337" w:rsidRPr="002C4337" w:rsidRDefault="002C4337" w:rsidP="002C4337">
            <w:pPr>
              <w:rPr>
                <w:rFonts w:ascii="Segoe UI" w:hAnsi="Segoe UI" w:cs="Segoe UI"/>
              </w:rPr>
            </w:pPr>
            <w:r w:rsidRPr="002C4337">
              <w:rPr>
                <w:rFonts w:ascii="Segoe UI" w:hAnsi="Segoe UI" w:cs="Segoe UI"/>
              </w:rPr>
              <w:t>Overlaps with personality traits (e.g. empathy)</w:t>
            </w:r>
          </w:p>
        </w:tc>
      </w:tr>
      <w:tr w:rsidR="002C4337" w:rsidRPr="002C4337" w14:paraId="0C09CDCF" w14:textId="77777777" w:rsidTr="002C4337">
        <w:trPr>
          <w:tblCellSpacing w:w="15" w:type="dxa"/>
        </w:trPr>
        <w:tc>
          <w:tcPr>
            <w:tcW w:w="0" w:type="auto"/>
            <w:tcBorders>
              <w:top w:val="single" w:sz="4" w:space="0" w:color="auto"/>
              <w:left w:val="single" w:sz="4" w:space="0" w:color="auto"/>
            </w:tcBorders>
            <w:vAlign w:val="center"/>
            <w:hideMark/>
          </w:tcPr>
          <w:p w14:paraId="724E8DD4" w14:textId="77777777" w:rsidR="002C4337" w:rsidRPr="002C4337" w:rsidRDefault="002C4337" w:rsidP="002C4337">
            <w:pPr>
              <w:rPr>
                <w:rFonts w:ascii="Segoe UI" w:hAnsi="Segoe UI" w:cs="Segoe UI"/>
              </w:rPr>
            </w:pPr>
            <w:r w:rsidRPr="002C4337">
              <w:rPr>
                <w:rFonts w:ascii="Segoe UI" w:hAnsi="Segoe UI" w:cs="Segoe UI"/>
              </w:rPr>
              <w:t>Supports teamwork and conflict resolution</w:t>
            </w:r>
          </w:p>
        </w:tc>
        <w:tc>
          <w:tcPr>
            <w:tcW w:w="0" w:type="auto"/>
            <w:tcBorders>
              <w:top w:val="single" w:sz="4" w:space="0" w:color="auto"/>
              <w:left w:val="single" w:sz="4" w:space="0" w:color="auto"/>
              <w:right w:val="single" w:sz="4" w:space="0" w:color="auto"/>
            </w:tcBorders>
            <w:vAlign w:val="center"/>
            <w:hideMark/>
          </w:tcPr>
          <w:p w14:paraId="4AA3E15F" w14:textId="77777777" w:rsidR="002C4337" w:rsidRPr="002C4337" w:rsidRDefault="002C4337" w:rsidP="002C4337">
            <w:pPr>
              <w:rPr>
                <w:rFonts w:ascii="Segoe UI" w:hAnsi="Segoe UI" w:cs="Segoe UI"/>
              </w:rPr>
            </w:pPr>
            <w:r w:rsidRPr="002C4337">
              <w:rPr>
                <w:rFonts w:ascii="Segoe UI" w:hAnsi="Segoe UI" w:cs="Segoe UI"/>
              </w:rPr>
              <w:t>Varies between individuals (not consistently applied)</w:t>
            </w:r>
          </w:p>
        </w:tc>
      </w:tr>
      <w:tr w:rsidR="002C4337" w:rsidRPr="002C4337" w14:paraId="369B7D6E" w14:textId="77777777" w:rsidTr="002C4337">
        <w:trPr>
          <w:trHeight w:val="795"/>
          <w:tblCellSpacing w:w="15" w:type="dxa"/>
        </w:trPr>
        <w:tc>
          <w:tcPr>
            <w:tcW w:w="0" w:type="auto"/>
            <w:tcBorders>
              <w:top w:val="single" w:sz="4" w:space="0" w:color="auto"/>
              <w:left w:val="single" w:sz="4" w:space="0" w:color="auto"/>
              <w:bottom w:val="single" w:sz="4" w:space="0" w:color="auto"/>
            </w:tcBorders>
            <w:vAlign w:val="center"/>
            <w:hideMark/>
          </w:tcPr>
          <w:p w14:paraId="6F293EEF" w14:textId="77777777" w:rsidR="002C4337" w:rsidRPr="002C4337" w:rsidRDefault="002C4337" w:rsidP="002C4337">
            <w:pPr>
              <w:rPr>
                <w:rFonts w:ascii="Segoe UI" w:hAnsi="Segoe UI" w:cs="Segoe UI"/>
              </w:rPr>
            </w:pPr>
            <w:r w:rsidRPr="002C4337">
              <w:rPr>
                <w:rFonts w:ascii="Segoe UI" w:hAnsi="Segoe UI" w:cs="Segoe UI"/>
              </w:rPr>
              <w:t>Aids stress management and emotional regulation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1C6054A2" w14:textId="77777777" w:rsidR="002C4337" w:rsidRPr="002C4337" w:rsidRDefault="002C4337" w:rsidP="002C4337">
            <w:pPr>
              <w:rPr>
                <w:rFonts w:ascii="Segoe UI" w:hAnsi="Segoe UI" w:cs="Segoe UI"/>
              </w:rPr>
            </w:pPr>
            <w:r w:rsidRPr="002C4337">
              <w:rPr>
                <w:rFonts w:ascii="Segoe UI" w:hAnsi="Segoe UI" w:cs="Segoe UI"/>
              </w:rPr>
              <w:t>May be overestimated in its impact on performance</w:t>
            </w:r>
          </w:p>
        </w:tc>
      </w:tr>
    </w:tbl>
    <w:p w14:paraId="0627AFBE" w14:textId="5ADF1627" w:rsidR="002C4337" w:rsidRPr="002C4337" w:rsidRDefault="002C4337" w:rsidP="002C4337">
      <w:pPr>
        <w:rPr>
          <w:rFonts w:ascii="Segoe UI" w:hAnsi="Segoe UI" w:cs="Segoe UI"/>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723"/>
        <w:gridCol w:w="4293"/>
      </w:tblGrid>
      <w:tr w:rsidR="002C4337" w:rsidRPr="002C4337" w14:paraId="4A1024D9" w14:textId="77777777" w:rsidTr="002C4337">
        <w:trPr>
          <w:tblHeader/>
          <w:tblCellSpacing w:w="15" w:type="dxa"/>
        </w:trPr>
        <w:tc>
          <w:tcPr>
            <w:tcW w:w="0" w:type="auto"/>
            <w:tcBorders>
              <w:top w:val="single" w:sz="4" w:space="0" w:color="auto"/>
              <w:left w:val="single" w:sz="4" w:space="0" w:color="auto"/>
            </w:tcBorders>
            <w:vAlign w:val="center"/>
            <w:hideMark/>
          </w:tcPr>
          <w:p w14:paraId="3B8DCA24" w14:textId="77777777" w:rsidR="002C4337" w:rsidRPr="002C4337" w:rsidRDefault="002C4337" w:rsidP="002C4337">
            <w:pPr>
              <w:jc w:val="center"/>
              <w:rPr>
                <w:rFonts w:ascii="Segoe UI" w:hAnsi="Segoe UI" w:cs="Segoe UI"/>
                <w:b/>
                <w:bCs/>
              </w:rPr>
            </w:pPr>
            <w:r w:rsidRPr="002C4337">
              <w:rPr>
                <w:rFonts w:ascii="Segoe UI" w:hAnsi="Segoe UI" w:cs="Segoe UI"/>
                <w:b/>
                <w:bCs/>
              </w:rPr>
              <w:t>Opportunities</w:t>
            </w:r>
          </w:p>
        </w:tc>
        <w:tc>
          <w:tcPr>
            <w:tcW w:w="0" w:type="auto"/>
            <w:tcBorders>
              <w:top w:val="single" w:sz="4" w:space="0" w:color="auto"/>
              <w:left w:val="single" w:sz="4" w:space="0" w:color="auto"/>
              <w:right w:val="single" w:sz="4" w:space="0" w:color="auto"/>
            </w:tcBorders>
            <w:vAlign w:val="center"/>
            <w:hideMark/>
          </w:tcPr>
          <w:p w14:paraId="499090CF" w14:textId="77777777" w:rsidR="002C4337" w:rsidRPr="002C4337" w:rsidRDefault="002C4337" w:rsidP="002C4337">
            <w:pPr>
              <w:jc w:val="center"/>
              <w:rPr>
                <w:rFonts w:ascii="Segoe UI" w:hAnsi="Segoe UI" w:cs="Segoe UI"/>
                <w:b/>
                <w:bCs/>
              </w:rPr>
            </w:pPr>
            <w:r w:rsidRPr="002C4337">
              <w:rPr>
                <w:rFonts w:ascii="Segoe UI" w:hAnsi="Segoe UI" w:cs="Segoe UI"/>
                <w:b/>
                <w:bCs/>
              </w:rPr>
              <w:t>Threats</w:t>
            </w:r>
          </w:p>
        </w:tc>
      </w:tr>
      <w:tr w:rsidR="002C4337" w:rsidRPr="002C4337" w14:paraId="69F15B38" w14:textId="77777777" w:rsidTr="002C4337">
        <w:trPr>
          <w:tblCellSpacing w:w="15" w:type="dxa"/>
        </w:trPr>
        <w:tc>
          <w:tcPr>
            <w:tcW w:w="0" w:type="auto"/>
            <w:tcBorders>
              <w:top w:val="single" w:sz="4" w:space="0" w:color="auto"/>
              <w:left w:val="single" w:sz="4" w:space="0" w:color="auto"/>
            </w:tcBorders>
            <w:vAlign w:val="center"/>
            <w:hideMark/>
          </w:tcPr>
          <w:p w14:paraId="686275E4" w14:textId="77777777" w:rsidR="002C4337" w:rsidRPr="002C4337" w:rsidRDefault="002C4337" w:rsidP="002C4337">
            <w:pPr>
              <w:rPr>
                <w:rFonts w:ascii="Segoe UI" w:hAnsi="Segoe UI" w:cs="Segoe UI"/>
              </w:rPr>
            </w:pPr>
            <w:r w:rsidRPr="002C4337">
              <w:rPr>
                <w:rFonts w:ascii="Segoe UI" w:hAnsi="Segoe UI" w:cs="Segoe UI"/>
              </w:rPr>
              <w:t>Integration into training and CPD programmes</w:t>
            </w:r>
          </w:p>
        </w:tc>
        <w:tc>
          <w:tcPr>
            <w:tcW w:w="0" w:type="auto"/>
            <w:tcBorders>
              <w:top w:val="single" w:sz="4" w:space="0" w:color="auto"/>
              <w:left w:val="single" w:sz="4" w:space="0" w:color="auto"/>
              <w:right w:val="single" w:sz="4" w:space="0" w:color="auto"/>
            </w:tcBorders>
            <w:vAlign w:val="center"/>
            <w:hideMark/>
          </w:tcPr>
          <w:p w14:paraId="24519C99" w14:textId="77777777" w:rsidR="002C4337" w:rsidRPr="002C4337" w:rsidRDefault="002C4337" w:rsidP="002C4337">
            <w:pPr>
              <w:rPr>
                <w:rFonts w:ascii="Segoe UI" w:hAnsi="Segoe UI" w:cs="Segoe UI"/>
              </w:rPr>
            </w:pPr>
            <w:r w:rsidRPr="002C4337">
              <w:rPr>
                <w:rFonts w:ascii="Segoe UI" w:hAnsi="Segoe UI" w:cs="Segoe UI"/>
              </w:rPr>
              <w:t>Time constraints in busy dental practices</w:t>
            </w:r>
          </w:p>
        </w:tc>
      </w:tr>
      <w:tr w:rsidR="002C4337" w:rsidRPr="002C4337" w14:paraId="12CBAB38" w14:textId="77777777" w:rsidTr="002C4337">
        <w:trPr>
          <w:tblCellSpacing w:w="15" w:type="dxa"/>
        </w:trPr>
        <w:tc>
          <w:tcPr>
            <w:tcW w:w="0" w:type="auto"/>
            <w:tcBorders>
              <w:top w:val="single" w:sz="4" w:space="0" w:color="auto"/>
              <w:left w:val="single" w:sz="4" w:space="0" w:color="auto"/>
            </w:tcBorders>
            <w:vAlign w:val="center"/>
            <w:hideMark/>
          </w:tcPr>
          <w:p w14:paraId="6B4551AD" w14:textId="77777777" w:rsidR="002C4337" w:rsidRPr="002C4337" w:rsidRDefault="002C4337" w:rsidP="002C4337">
            <w:pPr>
              <w:rPr>
                <w:rFonts w:ascii="Segoe UI" w:hAnsi="Segoe UI" w:cs="Segoe UI"/>
              </w:rPr>
            </w:pPr>
            <w:r w:rsidRPr="002C4337">
              <w:rPr>
                <w:rFonts w:ascii="Segoe UI" w:hAnsi="Segoe UI" w:cs="Segoe UI"/>
              </w:rPr>
              <w:t>Development of emotionally intelligent leadership</w:t>
            </w:r>
          </w:p>
        </w:tc>
        <w:tc>
          <w:tcPr>
            <w:tcW w:w="0" w:type="auto"/>
            <w:tcBorders>
              <w:top w:val="single" w:sz="4" w:space="0" w:color="auto"/>
              <w:left w:val="single" w:sz="4" w:space="0" w:color="auto"/>
              <w:right w:val="single" w:sz="4" w:space="0" w:color="auto"/>
            </w:tcBorders>
            <w:vAlign w:val="center"/>
            <w:hideMark/>
          </w:tcPr>
          <w:p w14:paraId="5D5B4DFC" w14:textId="77777777" w:rsidR="002C4337" w:rsidRPr="002C4337" w:rsidRDefault="002C4337" w:rsidP="002C4337">
            <w:pPr>
              <w:rPr>
                <w:rFonts w:ascii="Segoe UI" w:hAnsi="Segoe UI" w:cs="Segoe UI"/>
              </w:rPr>
            </w:pPr>
            <w:r w:rsidRPr="002C4337">
              <w:rPr>
                <w:rFonts w:ascii="Segoe UI" w:hAnsi="Segoe UI" w:cs="Segoe UI"/>
              </w:rPr>
              <w:t>Staffing shortages and workload pressures</w:t>
            </w:r>
          </w:p>
        </w:tc>
      </w:tr>
      <w:tr w:rsidR="002C4337" w:rsidRPr="002C4337" w14:paraId="6E1C9BE6" w14:textId="77777777" w:rsidTr="002C4337">
        <w:trPr>
          <w:tblCellSpacing w:w="15" w:type="dxa"/>
        </w:trPr>
        <w:tc>
          <w:tcPr>
            <w:tcW w:w="0" w:type="auto"/>
            <w:tcBorders>
              <w:top w:val="single" w:sz="4" w:space="0" w:color="auto"/>
              <w:left w:val="single" w:sz="4" w:space="0" w:color="auto"/>
            </w:tcBorders>
            <w:vAlign w:val="center"/>
            <w:hideMark/>
          </w:tcPr>
          <w:p w14:paraId="2A7441B0" w14:textId="77777777" w:rsidR="002C4337" w:rsidRPr="002C4337" w:rsidRDefault="002C4337" w:rsidP="002C4337">
            <w:pPr>
              <w:rPr>
                <w:rFonts w:ascii="Segoe UI" w:hAnsi="Segoe UI" w:cs="Segoe UI"/>
              </w:rPr>
            </w:pPr>
            <w:r w:rsidRPr="002C4337">
              <w:rPr>
                <w:rFonts w:ascii="Segoe UI" w:hAnsi="Segoe UI" w:cs="Segoe UI"/>
              </w:rPr>
              <w:t>Improved patient-centred care models</w:t>
            </w:r>
          </w:p>
        </w:tc>
        <w:tc>
          <w:tcPr>
            <w:tcW w:w="0" w:type="auto"/>
            <w:tcBorders>
              <w:top w:val="single" w:sz="4" w:space="0" w:color="auto"/>
              <w:left w:val="single" w:sz="4" w:space="0" w:color="auto"/>
              <w:right w:val="single" w:sz="4" w:space="0" w:color="auto"/>
            </w:tcBorders>
            <w:vAlign w:val="center"/>
            <w:hideMark/>
          </w:tcPr>
          <w:p w14:paraId="4908B535" w14:textId="77777777" w:rsidR="002C4337" w:rsidRPr="002C4337" w:rsidRDefault="002C4337" w:rsidP="002C4337">
            <w:pPr>
              <w:rPr>
                <w:rFonts w:ascii="Segoe UI" w:hAnsi="Segoe UI" w:cs="Segoe UI"/>
              </w:rPr>
            </w:pPr>
            <w:r w:rsidRPr="002C4337">
              <w:rPr>
                <w:rFonts w:ascii="Segoe UI" w:hAnsi="Segoe UI" w:cs="Segoe UI"/>
              </w:rPr>
              <w:t>Limited organisational support/resources</w:t>
            </w:r>
          </w:p>
        </w:tc>
      </w:tr>
      <w:tr w:rsidR="002C4337" w:rsidRPr="002C4337" w14:paraId="19DFB2BA" w14:textId="77777777" w:rsidTr="002C4337">
        <w:trPr>
          <w:trHeight w:val="744"/>
          <w:tblCellSpacing w:w="15" w:type="dxa"/>
        </w:trPr>
        <w:tc>
          <w:tcPr>
            <w:tcW w:w="0" w:type="auto"/>
            <w:tcBorders>
              <w:top w:val="single" w:sz="4" w:space="0" w:color="auto"/>
              <w:left w:val="single" w:sz="4" w:space="0" w:color="auto"/>
              <w:bottom w:val="single" w:sz="4" w:space="0" w:color="auto"/>
            </w:tcBorders>
            <w:vAlign w:val="center"/>
            <w:hideMark/>
          </w:tcPr>
          <w:p w14:paraId="5A95CB1A" w14:textId="77777777" w:rsidR="002C4337" w:rsidRPr="002C4337" w:rsidRDefault="002C4337" w:rsidP="002C4337">
            <w:pPr>
              <w:rPr>
                <w:rFonts w:ascii="Segoe UI" w:hAnsi="Segoe UI" w:cs="Segoe UI"/>
              </w:rPr>
            </w:pPr>
            <w:r w:rsidRPr="002C4337">
              <w:rPr>
                <w:rFonts w:ascii="Segoe UI" w:hAnsi="Segoe UI" w:cs="Segoe UI"/>
              </w:rPr>
              <w:t>Enhancing workforce wellbeing and retention</w:t>
            </w:r>
          </w:p>
        </w:tc>
        <w:tc>
          <w:tcPr>
            <w:tcW w:w="0" w:type="auto"/>
            <w:tcBorders>
              <w:top w:val="single" w:sz="4" w:space="0" w:color="auto"/>
              <w:left w:val="single" w:sz="4" w:space="0" w:color="auto"/>
              <w:bottom w:val="single" w:sz="4" w:space="0" w:color="auto"/>
              <w:right w:val="single" w:sz="4" w:space="0" w:color="auto"/>
            </w:tcBorders>
            <w:vAlign w:val="center"/>
            <w:hideMark/>
          </w:tcPr>
          <w:p w14:paraId="3F9D8AB9" w14:textId="77777777" w:rsidR="002C4337" w:rsidRPr="002C4337" w:rsidRDefault="002C4337" w:rsidP="002C4337">
            <w:pPr>
              <w:rPr>
                <w:rFonts w:ascii="Segoe UI" w:hAnsi="Segoe UI" w:cs="Segoe UI"/>
              </w:rPr>
            </w:pPr>
            <w:r w:rsidRPr="002C4337">
              <w:rPr>
                <w:rFonts w:ascii="Segoe UI" w:hAnsi="Segoe UI" w:cs="Segoe UI"/>
              </w:rPr>
              <w:t>Resistance to change or lack of engagement</w:t>
            </w:r>
          </w:p>
        </w:tc>
      </w:tr>
    </w:tbl>
    <w:p w14:paraId="627FB8CE" w14:textId="77777777" w:rsidR="002C4337" w:rsidRPr="00DF6147" w:rsidRDefault="002C4337" w:rsidP="00381674">
      <w:pPr>
        <w:rPr>
          <w:rFonts w:ascii="Segoe UI" w:hAnsi="Segoe UI" w:cs="Segoe UI"/>
        </w:rPr>
      </w:pPr>
    </w:p>
    <w:p w14:paraId="369711ED" w14:textId="77777777" w:rsidR="00DF6147" w:rsidRPr="00DF6147" w:rsidRDefault="00DF6147" w:rsidP="00381674">
      <w:pPr>
        <w:rPr>
          <w:rFonts w:ascii="Segoe UI" w:hAnsi="Segoe UI" w:cs="Segoe UI"/>
        </w:rPr>
      </w:pPr>
    </w:p>
    <w:p w14:paraId="3CDC694F" w14:textId="77777777" w:rsidR="00DF6147" w:rsidRPr="00DF6147" w:rsidRDefault="00DF6147" w:rsidP="00381674">
      <w:pPr>
        <w:rPr>
          <w:rFonts w:ascii="Segoe UI" w:hAnsi="Segoe UI" w:cs="Segoe UI"/>
        </w:rPr>
      </w:pPr>
    </w:p>
    <w:p w14:paraId="751234B8" w14:textId="77777777" w:rsidR="00DF6147" w:rsidRDefault="00DF6147" w:rsidP="00381674"/>
    <w:p w14:paraId="4E31F7BD" w14:textId="2F309C8D" w:rsidR="00DF6147" w:rsidRDefault="00DF6147" w:rsidP="00381674">
      <w:pPr>
        <w:rPr>
          <w:u w:val="single"/>
        </w:rPr>
      </w:pPr>
      <w:r w:rsidRPr="00DF6147">
        <w:rPr>
          <w:u w:val="single"/>
        </w:rPr>
        <w:t xml:space="preserve">Appendix 4 </w:t>
      </w:r>
    </w:p>
    <w:p w14:paraId="0474B4C6" w14:textId="77777777" w:rsidR="00DF6147" w:rsidRDefault="00DF6147" w:rsidP="00381674">
      <w:pPr>
        <w:rPr>
          <w:u w:val="single"/>
        </w:rPr>
      </w:pPr>
    </w:p>
    <w:p w14:paraId="2DC59960" w14:textId="4CB46A43" w:rsidR="00DF6147" w:rsidRDefault="00DF6147" w:rsidP="00381674">
      <w:pPr>
        <w:rPr>
          <w:u w:val="single"/>
        </w:rPr>
      </w:pPr>
      <w:hyperlink r:id="rId10" w:history="1">
        <w:r w:rsidRPr="00FE6044">
          <w:rPr>
            <w:rStyle w:val="Hyperlink"/>
          </w:rPr>
          <w:t>https://app.blossomup.co/dashboard/test-result?id=7c7d9ac8-86aa-433a-bab1-00aec9efa6cf</w:t>
        </w:r>
      </w:hyperlink>
    </w:p>
    <w:p w14:paraId="6DE59779" w14:textId="77777777" w:rsidR="00DF6147" w:rsidRPr="00DF6147" w:rsidRDefault="00DF6147" w:rsidP="00381674">
      <w:pPr>
        <w:rPr>
          <w:u w:val="single"/>
        </w:rPr>
      </w:pPr>
    </w:p>
    <w:p w14:paraId="421CE7CF" w14:textId="77777777" w:rsidR="00DF6147" w:rsidRPr="00DF6147" w:rsidRDefault="00DF6147" w:rsidP="00DF6147">
      <w:pPr>
        <w:rPr>
          <w:rFonts w:ascii="Lato" w:hAnsi="Lato"/>
        </w:rPr>
      </w:pPr>
      <w:r w:rsidRPr="00DF6147">
        <w:rPr>
          <w:rFonts w:ascii="Lato" w:hAnsi="Lato"/>
        </w:rPr>
        <w:t>Test Type </w:t>
      </w:r>
    </w:p>
    <w:p w14:paraId="69F5C876" w14:textId="77777777" w:rsidR="00DF6147" w:rsidRPr="00DF6147" w:rsidRDefault="00DF6147" w:rsidP="00DF6147">
      <w:pPr>
        <w:rPr>
          <w:rFonts w:ascii="Lato" w:hAnsi="Lato"/>
        </w:rPr>
      </w:pPr>
      <w:r w:rsidRPr="00DF6147">
        <w:rPr>
          <w:rFonts w:ascii="Lato" w:hAnsi="Lato"/>
        </w:rPr>
        <w:t>Date </w:t>
      </w:r>
    </w:p>
    <w:p w14:paraId="15185606" w14:textId="77777777" w:rsidR="00DF6147" w:rsidRPr="00DF6147" w:rsidRDefault="00DF6147" w:rsidP="00DF6147">
      <w:pPr>
        <w:rPr>
          <w:rFonts w:ascii="Lato" w:hAnsi="Lato"/>
        </w:rPr>
      </w:pPr>
      <w:r w:rsidRPr="00DF6147">
        <w:rPr>
          <w:rFonts w:ascii="Lato" w:hAnsi="Lato"/>
        </w:rPr>
        <w:t>Summary </w:t>
      </w:r>
    </w:p>
    <w:p w14:paraId="61A8E105" w14:textId="77777777" w:rsidR="00DF6147" w:rsidRPr="00DF6147" w:rsidRDefault="00DF6147" w:rsidP="00DF6147">
      <w:pPr>
        <w:rPr>
          <w:rFonts w:ascii="Lato" w:hAnsi="Lato"/>
        </w:rPr>
      </w:pPr>
      <w:r w:rsidRPr="00DF6147">
        <w:rPr>
          <w:rFonts w:ascii="Lato" w:hAnsi="Lato"/>
        </w:rPr>
        <w:t>Results </w:t>
      </w:r>
    </w:p>
    <w:p w14:paraId="26CD698A" w14:textId="77777777" w:rsidR="00DF6147" w:rsidRPr="00DF6147" w:rsidRDefault="00DF6147" w:rsidP="00DF6147">
      <w:pPr>
        <w:rPr>
          <w:rFonts w:ascii="Lato" w:hAnsi="Lato"/>
        </w:rPr>
      </w:pPr>
      <w:r w:rsidRPr="00DF6147">
        <w:rPr>
          <w:rFonts w:ascii="Lato" w:hAnsi="Lato"/>
        </w:rPr>
        <w:t>Miss Katie M Smith</w:t>
      </w:r>
    </w:p>
    <w:p w14:paraId="31569C1D" w14:textId="77777777" w:rsidR="00DF6147" w:rsidRPr="00DF6147" w:rsidRDefault="00DF6147" w:rsidP="00DF6147">
      <w:pPr>
        <w:rPr>
          <w:rFonts w:ascii="Lato" w:hAnsi="Lato"/>
        </w:rPr>
      </w:pPr>
      <w:r w:rsidRPr="00DF6147">
        <w:rPr>
          <w:rFonts w:ascii="Lato" w:hAnsi="Lato"/>
        </w:rPr>
        <w:t>EQ</w:t>
      </w:r>
    </w:p>
    <w:p w14:paraId="62AFDB3A" w14:textId="77777777" w:rsidR="00DF6147" w:rsidRPr="00DF6147" w:rsidRDefault="00DF6147" w:rsidP="00DF6147">
      <w:pPr>
        <w:rPr>
          <w:rFonts w:ascii="Lato" w:hAnsi="Lato"/>
        </w:rPr>
      </w:pPr>
      <w:r w:rsidRPr="00DF6147">
        <w:rPr>
          <w:rFonts w:ascii="Lato" w:hAnsi="Lato"/>
        </w:rPr>
        <w:t>05/14/2026</w:t>
      </w:r>
    </w:p>
    <w:p w14:paraId="0F7A1FFB" w14:textId="77777777" w:rsidR="00DF6147" w:rsidRPr="00DF6147" w:rsidRDefault="00DF6147" w:rsidP="00DF6147">
      <w:pPr>
        <w:rPr>
          <w:rFonts w:ascii="Lato" w:hAnsi="Lato"/>
        </w:rPr>
      </w:pPr>
      <w:r w:rsidRPr="00DF6147">
        <w:rPr>
          <w:rFonts w:ascii="Lato" w:hAnsi="Lato"/>
        </w:rPr>
        <w:t>Average Empathy</w:t>
      </w:r>
      <w:r w:rsidRPr="00DF6147">
        <w:rPr>
          <w:rFonts w:ascii="Lato" w:hAnsi="Lato"/>
        </w:rPr>
        <w:br/>
        <w:t>Low Motivation</w:t>
      </w:r>
      <w:r w:rsidRPr="00DF6147">
        <w:rPr>
          <w:rFonts w:ascii="Lato" w:hAnsi="Lato"/>
        </w:rPr>
        <w:br/>
        <w:t>Low Self Awareness</w:t>
      </w:r>
      <w:r w:rsidRPr="00DF6147">
        <w:rPr>
          <w:rFonts w:ascii="Lato" w:hAnsi="Lato"/>
        </w:rPr>
        <w:br/>
        <w:t>Low Social Skills</w:t>
      </w:r>
      <w:r w:rsidRPr="00DF6147">
        <w:rPr>
          <w:rFonts w:ascii="Lato" w:hAnsi="Lato"/>
        </w:rPr>
        <w:br/>
        <w:t xml:space="preserve">Low </w:t>
      </w:r>
      <w:proofErr w:type="spellStart"/>
      <w:r w:rsidRPr="00DF6147">
        <w:rPr>
          <w:rFonts w:ascii="Lato" w:hAnsi="Lato"/>
        </w:rPr>
        <w:t>Self Regulation</w:t>
      </w:r>
      <w:proofErr w:type="spellEnd"/>
    </w:p>
    <w:p w14:paraId="5B29A6D7" w14:textId="77777777" w:rsidR="00DF6147" w:rsidRPr="00DF6147" w:rsidRDefault="00DF6147" w:rsidP="00DF6147">
      <w:pPr>
        <w:rPr>
          <w:rFonts w:ascii="Lato" w:hAnsi="Lato"/>
        </w:rPr>
      </w:pPr>
      <w:hyperlink r:id="rId11" w:history="1">
        <w:r w:rsidRPr="00DF6147">
          <w:rPr>
            <w:rFonts w:ascii="Lato" w:hAnsi="Lato"/>
            <w:b/>
            <w:bCs/>
            <w:color w:val="0000FF"/>
            <w:u w:val="single"/>
            <w:bdr w:val="single" w:sz="6" w:space="0" w:color="auto" w:frame="1"/>
          </w:rPr>
          <w:t>View Re</w:t>
        </w:r>
        <w:r w:rsidRPr="00DF6147">
          <w:rPr>
            <w:rFonts w:ascii="Lato" w:hAnsi="Lato"/>
            <w:b/>
            <w:bCs/>
            <w:color w:val="0000FF"/>
            <w:u w:val="single"/>
            <w:bdr w:val="single" w:sz="6" w:space="0" w:color="auto" w:frame="1"/>
          </w:rPr>
          <w:t>s</w:t>
        </w:r>
        <w:r w:rsidRPr="00DF6147">
          <w:rPr>
            <w:rFonts w:ascii="Lato" w:hAnsi="Lato"/>
            <w:b/>
            <w:bCs/>
            <w:color w:val="0000FF"/>
            <w:u w:val="single"/>
            <w:bdr w:val="single" w:sz="6" w:space="0" w:color="auto" w:frame="1"/>
          </w:rPr>
          <w:t>ults</w:t>
        </w:r>
      </w:hyperlink>
    </w:p>
    <w:p w14:paraId="562B008B" w14:textId="77777777" w:rsidR="00DF6147" w:rsidRDefault="00DF6147" w:rsidP="00381674"/>
    <w:p w14:paraId="5F72662B" w14:textId="77777777" w:rsidR="00DF6147" w:rsidRPr="00381674" w:rsidRDefault="00DF6147" w:rsidP="00381674"/>
    <w:sectPr w:rsidR="00DF6147" w:rsidRPr="0038167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EF5AFA" w14:textId="77777777" w:rsidR="002442B0" w:rsidRDefault="002442B0" w:rsidP="00A14C3F">
      <w:r>
        <w:separator/>
      </w:r>
    </w:p>
  </w:endnote>
  <w:endnote w:type="continuationSeparator" w:id="0">
    <w:p w14:paraId="5FAD6198" w14:textId="77777777" w:rsidR="002442B0" w:rsidRDefault="002442B0" w:rsidP="00A14C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webkit-standard">
    <w:altName w:val="Cambria"/>
    <w:panose1 w:val="020B0604020202020204"/>
    <w:charset w:val="00"/>
    <w:family w:val="roman"/>
    <w:pitch w:val="default"/>
  </w:font>
  <w:font w:name="Lato">
    <w:panose1 w:val="020F0502020204030203"/>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3B4896" w14:textId="77777777" w:rsidR="002442B0" w:rsidRDefault="002442B0" w:rsidP="00A14C3F">
      <w:r>
        <w:separator/>
      </w:r>
    </w:p>
  </w:footnote>
  <w:footnote w:type="continuationSeparator" w:id="0">
    <w:p w14:paraId="35C17E90" w14:textId="77777777" w:rsidR="002442B0" w:rsidRDefault="002442B0" w:rsidP="00A14C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3207F"/>
    <w:multiLevelType w:val="hybridMultilevel"/>
    <w:tmpl w:val="A5D6A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505C2B"/>
    <w:multiLevelType w:val="hybridMultilevel"/>
    <w:tmpl w:val="4DC4E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C73899"/>
    <w:multiLevelType w:val="hybridMultilevel"/>
    <w:tmpl w:val="2764B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EF1133"/>
    <w:multiLevelType w:val="hybridMultilevel"/>
    <w:tmpl w:val="FDBA5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3B1FB5"/>
    <w:multiLevelType w:val="multilevel"/>
    <w:tmpl w:val="2D78C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294AEC"/>
    <w:multiLevelType w:val="multilevel"/>
    <w:tmpl w:val="F3DCD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F338D0"/>
    <w:multiLevelType w:val="multilevel"/>
    <w:tmpl w:val="6436D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B456C3"/>
    <w:multiLevelType w:val="hybridMultilevel"/>
    <w:tmpl w:val="0B0A01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1E80690"/>
    <w:multiLevelType w:val="multilevel"/>
    <w:tmpl w:val="D0143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8F73C2"/>
    <w:multiLevelType w:val="hybridMultilevel"/>
    <w:tmpl w:val="3A58C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2D5B58"/>
    <w:multiLevelType w:val="hybridMultilevel"/>
    <w:tmpl w:val="F86AA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4114103">
    <w:abstractNumId w:val="9"/>
  </w:num>
  <w:num w:numId="2" w16cid:durableId="1042941645">
    <w:abstractNumId w:val="3"/>
  </w:num>
  <w:num w:numId="3" w16cid:durableId="592980581">
    <w:abstractNumId w:val="2"/>
  </w:num>
  <w:num w:numId="4" w16cid:durableId="153569367">
    <w:abstractNumId w:val="10"/>
  </w:num>
  <w:num w:numId="5" w16cid:durableId="194317317">
    <w:abstractNumId w:val="6"/>
  </w:num>
  <w:num w:numId="6" w16cid:durableId="459495821">
    <w:abstractNumId w:val="8"/>
  </w:num>
  <w:num w:numId="7" w16cid:durableId="1608848162">
    <w:abstractNumId w:val="4"/>
  </w:num>
  <w:num w:numId="8" w16cid:durableId="590774033">
    <w:abstractNumId w:val="5"/>
  </w:num>
  <w:num w:numId="9" w16cid:durableId="353960703">
    <w:abstractNumId w:val="1"/>
  </w:num>
  <w:num w:numId="10" w16cid:durableId="1836070234">
    <w:abstractNumId w:val="7"/>
  </w:num>
  <w:num w:numId="11" w16cid:durableId="9083476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7D8"/>
    <w:rsid w:val="000223BB"/>
    <w:rsid w:val="00045BA1"/>
    <w:rsid w:val="00051B51"/>
    <w:rsid w:val="00062176"/>
    <w:rsid w:val="00074CDB"/>
    <w:rsid w:val="000A5750"/>
    <w:rsid w:val="000F5FB5"/>
    <w:rsid w:val="00121522"/>
    <w:rsid w:val="00151C4C"/>
    <w:rsid w:val="0015436F"/>
    <w:rsid w:val="00155623"/>
    <w:rsid w:val="001A0FF1"/>
    <w:rsid w:val="001D1822"/>
    <w:rsid w:val="002074D7"/>
    <w:rsid w:val="002442B0"/>
    <w:rsid w:val="00244B5C"/>
    <w:rsid w:val="002A3D92"/>
    <w:rsid w:val="002C4337"/>
    <w:rsid w:val="003614E0"/>
    <w:rsid w:val="00381674"/>
    <w:rsid w:val="003C2313"/>
    <w:rsid w:val="003D1D64"/>
    <w:rsid w:val="003E3FF3"/>
    <w:rsid w:val="0040673A"/>
    <w:rsid w:val="004105FD"/>
    <w:rsid w:val="00424880"/>
    <w:rsid w:val="00426AE8"/>
    <w:rsid w:val="004B1064"/>
    <w:rsid w:val="004D643B"/>
    <w:rsid w:val="00542906"/>
    <w:rsid w:val="005F50F2"/>
    <w:rsid w:val="006C69E0"/>
    <w:rsid w:val="006D6F50"/>
    <w:rsid w:val="0070039A"/>
    <w:rsid w:val="00780A19"/>
    <w:rsid w:val="00814944"/>
    <w:rsid w:val="00841E47"/>
    <w:rsid w:val="008A0FD3"/>
    <w:rsid w:val="008B6662"/>
    <w:rsid w:val="008B6952"/>
    <w:rsid w:val="008E7549"/>
    <w:rsid w:val="009D4EF9"/>
    <w:rsid w:val="009F01F4"/>
    <w:rsid w:val="009F7986"/>
    <w:rsid w:val="00A060DA"/>
    <w:rsid w:val="00A14C3F"/>
    <w:rsid w:val="00A940CF"/>
    <w:rsid w:val="00AB5E04"/>
    <w:rsid w:val="00AC7A97"/>
    <w:rsid w:val="00AD0EC9"/>
    <w:rsid w:val="00BE133E"/>
    <w:rsid w:val="00BE3B9A"/>
    <w:rsid w:val="00C22FB8"/>
    <w:rsid w:val="00C30C22"/>
    <w:rsid w:val="00C35DA0"/>
    <w:rsid w:val="00CD6F81"/>
    <w:rsid w:val="00CE7C2A"/>
    <w:rsid w:val="00D054FF"/>
    <w:rsid w:val="00D94BEF"/>
    <w:rsid w:val="00DC6A4F"/>
    <w:rsid w:val="00DF6147"/>
    <w:rsid w:val="00E567D3"/>
    <w:rsid w:val="00E63D93"/>
    <w:rsid w:val="00EB537F"/>
    <w:rsid w:val="00EC67D8"/>
    <w:rsid w:val="00EC6E37"/>
    <w:rsid w:val="00EF73D6"/>
    <w:rsid w:val="00F2133A"/>
    <w:rsid w:val="00F55605"/>
    <w:rsid w:val="00F765FC"/>
    <w:rsid w:val="00FC3C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C034D"/>
  <w15:chartTrackingRefBased/>
  <w15:docId w15:val="{A3D3F1B9-6D32-5846-AECE-0A1FBC0E1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6147"/>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EC67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C67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C67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67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67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67D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67D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67D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67D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67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C67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C67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67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67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67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67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67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67D8"/>
    <w:rPr>
      <w:rFonts w:eastAsiaTheme="majorEastAsia" w:cstheme="majorBidi"/>
      <w:color w:val="272727" w:themeColor="text1" w:themeTint="D8"/>
    </w:rPr>
  </w:style>
  <w:style w:type="paragraph" w:styleId="Title">
    <w:name w:val="Title"/>
    <w:basedOn w:val="Normal"/>
    <w:next w:val="Normal"/>
    <w:link w:val="TitleChar"/>
    <w:uiPriority w:val="10"/>
    <w:qFormat/>
    <w:rsid w:val="00EC67D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67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67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67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67D8"/>
    <w:pPr>
      <w:spacing w:before="160"/>
      <w:jc w:val="center"/>
    </w:pPr>
    <w:rPr>
      <w:i/>
      <w:iCs/>
      <w:color w:val="404040" w:themeColor="text1" w:themeTint="BF"/>
    </w:rPr>
  </w:style>
  <w:style w:type="character" w:customStyle="1" w:styleId="QuoteChar">
    <w:name w:val="Quote Char"/>
    <w:basedOn w:val="DefaultParagraphFont"/>
    <w:link w:val="Quote"/>
    <w:uiPriority w:val="29"/>
    <w:rsid w:val="00EC67D8"/>
    <w:rPr>
      <w:i/>
      <w:iCs/>
      <w:color w:val="404040" w:themeColor="text1" w:themeTint="BF"/>
    </w:rPr>
  </w:style>
  <w:style w:type="paragraph" w:styleId="ListParagraph">
    <w:name w:val="List Paragraph"/>
    <w:basedOn w:val="Normal"/>
    <w:uiPriority w:val="34"/>
    <w:qFormat/>
    <w:rsid w:val="00EC67D8"/>
    <w:pPr>
      <w:ind w:left="720"/>
      <w:contextualSpacing/>
    </w:pPr>
  </w:style>
  <w:style w:type="character" w:styleId="IntenseEmphasis">
    <w:name w:val="Intense Emphasis"/>
    <w:basedOn w:val="DefaultParagraphFont"/>
    <w:uiPriority w:val="21"/>
    <w:qFormat/>
    <w:rsid w:val="00EC67D8"/>
    <w:rPr>
      <w:i/>
      <w:iCs/>
      <w:color w:val="0F4761" w:themeColor="accent1" w:themeShade="BF"/>
    </w:rPr>
  </w:style>
  <w:style w:type="paragraph" w:styleId="IntenseQuote">
    <w:name w:val="Intense Quote"/>
    <w:basedOn w:val="Normal"/>
    <w:next w:val="Normal"/>
    <w:link w:val="IntenseQuoteChar"/>
    <w:uiPriority w:val="30"/>
    <w:qFormat/>
    <w:rsid w:val="00EC67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67D8"/>
    <w:rPr>
      <w:i/>
      <w:iCs/>
      <w:color w:val="0F4761" w:themeColor="accent1" w:themeShade="BF"/>
    </w:rPr>
  </w:style>
  <w:style w:type="character" w:styleId="IntenseReference">
    <w:name w:val="Intense Reference"/>
    <w:basedOn w:val="DefaultParagraphFont"/>
    <w:uiPriority w:val="32"/>
    <w:qFormat/>
    <w:rsid w:val="00EC67D8"/>
    <w:rPr>
      <w:b/>
      <w:bCs/>
      <w:smallCaps/>
      <w:color w:val="0F4761" w:themeColor="accent1" w:themeShade="BF"/>
      <w:spacing w:val="5"/>
    </w:rPr>
  </w:style>
  <w:style w:type="paragraph" w:styleId="TOCHeading">
    <w:name w:val="TOC Heading"/>
    <w:basedOn w:val="Heading1"/>
    <w:next w:val="Normal"/>
    <w:uiPriority w:val="39"/>
    <w:unhideWhenUsed/>
    <w:qFormat/>
    <w:rsid w:val="00381674"/>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381674"/>
    <w:pPr>
      <w:spacing w:before="360" w:after="360"/>
    </w:pPr>
    <w:rPr>
      <w:b/>
      <w:bCs/>
      <w:caps/>
      <w:sz w:val="22"/>
      <w:szCs w:val="22"/>
      <w:u w:val="single"/>
    </w:rPr>
  </w:style>
  <w:style w:type="paragraph" w:styleId="TOC2">
    <w:name w:val="toc 2"/>
    <w:basedOn w:val="Normal"/>
    <w:next w:val="Normal"/>
    <w:autoRedefine/>
    <w:uiPriority w:val="39"/>
    <w:unhideWhenUsed/>
    <w:rsid w:val="00381674"/>
    <w:rPr>
      <w:b/>
      <w:bCs/>
      <w:smallCaps/>
      <w:sz w:val="22"/>
      <w:szCs w:val="22"/>
    </w:rPr>
  </w:style>
  <w:style w:type="paragraph" w:styleId="TOC3">
    <w:name w:val="toc 3"/>
    <w:basedOn w:val="Normal"/>
    <w:next w:val="Normal"/>
    <w:autoRedefine/>
    <w:uiPriority w:val="39"/>
    <w:unhideWhenUsed/>
    <w:rsid w:val="00381674"/>
    <w:rPr>
      <w:smallCaps/>
      <w:sz w:val="22"/>
      <w:szCs w:val="22"/>
    </w:rPr>
  </w:style>
  <w:style w:type="character" w:styleId="Hyperlink">
    <w:name w:val="Hyperlink"/>
    <w:basedOn w:val="DefaultParagraphFont"/>
    <w:uiPriority w:val="99"/>
    <w:unhideWhenUsed/>
    <w:rsid w:val="00381674"/>
    <w:rPr>
      <w:color w:val="467886" w:themeColor="hyperlink"/>
      <w:u w:val="single"/>
    </w:rPr>
  </w:style>
  <w:style w:type="paragraph" w:styleId="TOC4">
    <w:name w:val="toc 4"/>
    <w:basedOn w:val="Normal"/>
    <w:next w:val="Normal"/>
    <w:autoRedefine/>
    <w:uiPriority w:val="39"/>
    <w:semiHidden/>
    <w:unhideWhenUsed/>
    <w:rsid w:val="00381674"/>
    <w:rPr>
      <w:sz w:val="22"/>
      <w:szCs w:val="22"/>
    </w:rPr>
  </w:style>
  <w:style w:type="paragraph" w:styleId="TOC5">
    <w:name w:val="toc 5"/>
    <w:basedOn w:val="Normal"/>
    <w:next w:val="Normal"/>
    <w:autoRedefine/>
    <w:uiPriority w:val="39"/>
    <w:semiHidden/>
    <w:unhideWhenUsed/>
    <w:rsid w:val="00381674"/>
    <w:rPr>
      <w:sz w:val="22"/>
      <w:szCs w:val="22"/>
    </w:rPr>
  </w:style>
  <w:style w:type="paragraph" w:styleId="TOC6">
    <w:name w:val="toc 6"/>
    <w:basedOn w:val="Normal"/>
    <w:next w:val="Normal"/>
    <w:autoRedefine/>
    <w:uiPriority w:val="39"/>
    <w:semiHidden/>
    <w:unhideWhenUsed/>
    <w:rsid w:val="00381674"/>
    <w:rPr>
      <w:sz w:val="22"/>
      <w:szCs w:val="22"/>
    </w:rPr>
  </w:style>
  <w:style w:type="paragraph" w:styleId="TOC7">
    <w:name w:val="toc 7"/>
    <w:basedOn w:val="Normal"/>
    <w:next w:val="Normal"/>
    <w:autoRedefine/>
    <w:uiPriority w:val="39"/>
    <w:semiHidden/>
    <w:unhideWhenUsed/>
    <w:rsid w:val="00381674"/>
    <w:rPr>
      <w:sz w:val="22"/>
      <w:szCs w:val="22"/>
    </w:rPr>
  </w:style>
  <w:style w:type="paragraph" w:styleId="TOC8">
    <w:name w:val="toc 8"/>
    <w:basedOn w:val="Normal"/>
    <w:next w:val="Normal"/>
    <w:autoRedefine/>
    <w:uiPriority w:val="39"/>
    <w:semiHidden/>
    <w:unhideWhenUsed/>
    <w:rsid w:val="00381674"/>
    <w:rPr>
      <w:sz w:val="22"/>
      <w:szCs w:val="22"/>
    </w:rPr>
  </w:style>
  <w:style w:type="paragraph" w:styleId="TOC9">
    <w:name w:val="toc 9"/>
    <w:basedOn w:val="Normal"/>
    <w:next w:val="Normal"/>
    <w:autoRedefine/>
    <w:uiPriority w:val="39"/>
    <w:semiHidden/>
    <w:unhideWhenUsed/>
    <w:rsid w:val="00381674"/>
    <w:rPr>
      <w:sz w:val="22"/>
      <w:szCs w:val="22"/>
    </w:rPr>
  </w:style>
  <w:style w:type="character" w:customStyle="1" w:styleId="apple-converted-space">
    <w:name w:val="apple-converted-space"/>
    <w:basedOn w:val="DefaultParagraphFont"/>
    <w:rsid w:val="00FC3C05"/>
  </w:style>
  <w:style w:type="character" w:customStyle="1" w:styleId="whitespace-normal">
    <w:name w:val="whitespace-normal"/>
    <w:basedOn w:val="DefaultParagraphFont"/>
    <w:rsid w:val="00FC3C05"/>
  </w:style>
  <w:style w:type="character" w:styleId="Strong">
    <w:name w:val="Strong"/>
    <w:basedOn w:val="DefaultParagraphFont"/>
    <w:uiPriority w:val="22"/>
    <w:qFormat/>
    <w:rsid w:val="008E7549"/>
    <w:rPr>
      <w:b/>
      <w:bCs/>
    </w:rPr>
  </w:style>
  <w:style w:type="paragraph" w:styleId="NormalWeb">
    <w:name w:val="Normal (Web)"/>
    <w:basedOn w:val="Normal"/>
    <w:uiPriority w:val="99"/>
    <w:semiHidden/>
    <w:unhideWhenUsed/>
    <w:rsid w:val="008E7549"/>
    <w:pPr>
      <w:spacing w:before="100" w:beforeAutospacing="1" w:after="100" w:afterAutospacing="1"/>
    </w:pPr>
  </w:style>
  <w:style w:type="character" w:styleId="Emphasis">
    <w:name w:val="Emphasis"/>
    <w:basedOn w:val="DefaultParagraphFont"/>
    <w:uiPriority w:val="20"/>
    <w:qFormat/>
    <w:rsid w:val="008E7549"/>
    <w:rPr>
      <w:i/>
      <w:iCs/>
    </w:rPr>
  </w:style>
  <w:style w:type="table" w:styleId="TableGrid">
    <w:name w:val="Table Grid"/>
    <w:basedOn w:val="TableNormal"/>
    <w:uiPriority w:val="39"/>
    <w:rsid w:val="00DF6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F6147"/>
    <w:rPr>
      <w:color w:val="605E5C"/>
      <w:shd w:val="clear" w:color="auto" w:fill="E1DFDD"/>
    </w:rPr>
  </w:style>
  <w:style w:type="paragraph" w:styleId="Header">
    <w:name w:val="header"/>
    <w:basedOn w:val="Normal"/>
    <w:link w:val="HeaderChar"/>
    <w:uiPriority w:val="99"/>
    <w:unhideWhenUsed/>
    <w:rsid w:val="00A14C3F"/>
    <w:pPr>
      <w:tabs>
        <w:tab w:val="center" w:pos="4513"/>
        <w:tab w:val="right" w:pos="9026"/>
      </w:tabs>
    </w:pPr>
  </w:style>
  <w:style w:type="character" w:customStyle="1" w:styleId="HeaderChar">
    <w:name w:val="Header Char"/>
    <w:basedOn w:val="DefaultParagraphFont"/>
    <w:link w:val="Header"/>
    <w:uiPriority w:val="99"/>
    <w:rsid w:val="00A14C3F"/>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A14C3F"/>
    <w:pPr>
      <w:tabs>
        <w:tab w:val="center" w:pos="4513"/>
        <w:tab w:val="right" w:pos="9026"/>
      </w:tabs>
    </w:pPr>
  </w:style>
  <w:style w:type="character" w:customStyle="1" w:styleId="FooterChar">
    <w:name w:val="Footer Char"/>
    <w:basedOn w:val="DefaultParagraphFont"/>
    <w:link w:val="Footer"/>
    <w:uiPriority w:val="99"/>
    <w:rsid w:val="00A14C3F"/>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pp.blossomup.co/dashboard/test-result?id=7c7d9ac8-86aa-433a-bab1-00aec9efa6cf" TargetMode="External"/><Relationship Id="rId5" Type="http://schemas.openxmlformats.org/officeDocument/2006/relationships/webSettings" Target="webSettings.xml"/><Relationship Id="rId10" Type="http://schemas.openxmlformats.org/officeDocument/2006/relationships/hyperlink" Target="https://app.blossomup.co/dashboard/test-result?id=7c7d9ac8-86aa-433a-bab1-00aec9efa6cf"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9A1FE3-7DE6-A447-A18A-B3A86A4FD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7686</Words>
  <Characters>49347</Characters>
  <Application>Microsoft Office Word</Application>
  <DocSecurity>0</DocSecurity>
  <Lines>1096</Lines>
  <Paragraphs>390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smith</dc:creator>
  <cp:keywords/>
  <dc:description/>
  <cp:lastModifiedBy>Katie smith</cp:lastModifiedBy>
  <cp:revision>2</cp:revision>
  <cp:lastPrinted>2026-04-23T17:56:00Z</cp:lastPrinted>
  <dcterms:created xsi:type="dcterms:W3CDTF">2026-05-16T13:43:00Z</dcterms:created>
  <dcterms:modified xsi:type="dcterms:W3CDTF">2026-05-16T13:43:00Z</dcterms:modified>
</cp:coreProperties>
</file>