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4722897"/>
        <w:docPartObj>
          <w:docPartGallery w:val="Cover Pages"/>
          <w:docPartUnique/>
        </w:docPartObj>
      </w:sdtPr>
      <w:sdtEndPr>
        <w:rPr>
          <w:rFonts w:ascii="Arial Black" w:hAnsi="Arial Black" w:cs="Arial"/>
        </w:rPr>
      </w:sdtEndPr>
      <w:sdtContent>
        <w:p w14:paraId="732D1798" w14:textId="3F09B5DD" w:rsidR="00933E73" w:rsidRDefault="00933E73">
          <w:r>
            <w:rPr>
              <w:noProof/>
            </w:rPr>
            <mc:AlternateContent>
              <mc:Choice Requires="wps">
                <w:drawing>
                  <wp:anchor distT="0" distB="0" distL="114300" distR="114300" simplePos="0" relativeHeight="251660288" behindDoc="0" locked="0" layoutInCell="1" allowOverlap="1" wp14:anchorId="45FBD18A" wp14:editId="51E3A58F">
                    <wp:simplePos x="0" y="0"/>
                    <wp:positionH relativeFrom="page">
                      <wp:posOffset>385445</wp:posOffset>
                    </wp:positionH>
                    <wp:positionV relativeFrom="page">
                      <wp:posOffset>483235</wp:posOffset>
                    </wp:positionV>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7903D4" w14:textId="1203EFDA" w:rsidR="00933E73" w:rsidRPr="00933E73" w:rsidRDefault="00933E73" w:rsidP="00933E73">
                                <w:pPr>
                                  <w:spacing w:before="240"/>
                                  <w:rPr>
                                    <w:rFonts w:ascii="Arial Black" w:hAnsi="Arial Black"/>
                                    <w:color w:val="FFFFFF" w:themeColor="background1"/>
                                    <w:lang w:val="en-US"/>
                                  </w:rPr>
                                </w:pPr>
                                <w:r w:rsidRPr="00933E73">
                                  <w:rPr>
                                    <w:rFonts w:ascii="Arial Black" w:hAnsi="Arial Black"/>
                                    <w:color w:val="FFFFFF" w:themeColor="background1"/>
                                    <w:lang w:val="en-US"/>
                                  </w:rPr>
                                  <w:t xml:space="preserve">ARMANDO BUTACU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5FBD18A" id="Rectangle 259" o:spid="_x0000_s1026" style="position:absolute;margin-left:30.35pt;margin-top:38.05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6aK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7jwvLue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" fillcolor="#0e2841 [3215]" stroked="f" strokeweight="1pt">
                    <v:textbox inset="14.4pt,14.4pt,14.4pt,28.8pt">
                      <w:txbxContent>
                        <w:p w14:paraId="327903D4" w14:textId="1203EFDA" w:rsidR="00933E73" w:rsidRPr="00933E73" w:rsidRDefault="00933E73" w:rsidP="00933E73">
                          <w:pPr>
                            <w:spacing w:before="240"/>
                            <w:rPr>
                              <w:rFonts w:ascii="Arial Black" w:hAnsi="Arial Black"/>
                              <w:color w:val="FFFFFF" w:themeColor="background1"/>
                              <w:lang w:val="en-US"/>
                            </w:rPr>
                          </w:pPr>
                          <w:r w:rsidRPr="00933E73">
                            <w:rPr>
                              <w:rFonts w:ascii="Arial Black" w:hAnsi="Arial Black"/>
                              <w:color w:val="FFFFFF" w:themeColor="background1"/>
                              <w:lang w:val="en-US"/>
                            </w:rPr>
                            <w:t xml:space="preserve">ARMANDO BUTACU </w:t>
                          </w:r>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4A832343" wp14:editId="7292AD82">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4E622EE" w14:textId="77777777" w:rsidR="00933E73" w:rsidRDefault="00933E7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832343"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4E622EE" w14:textId="77777777" w:rsidR="00933E73" w:rsidRDefault="00933E73"/>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314D562" wp14:editId="014B013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DBF1F9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6CE6A356" w14:textId="7EC670DE" w:rsidR="00933E73" w:rsidRDefault="00933E73">
          <w:pPr>
            <w:rPr>
              <w:rFonts w:ascii="Arial Black" w:hAnsi="Arial Black" w:cs="Arial"/>
            </w:rPr>
          </w:pPr>
          <w:r>
            <w:rPr>
              <w:noProof/>
            </w:rPr>
            <mc:AlternateContent>
              <mc:Choice Requires="wps">
                <w:drawing>
                  <wp:anchor distT="0" distB="0" distL="114300" distR="114300" simplePos="0" relativeHeight="251659264" behindDoc="0" locked="0" layoutInCell="1" allowOverlap="1" wp14:anchorId="3BECC070" wp14:editId="570108FB">
                    <wp:simplePos x="0" y="0"/>
                    <wp:positionH relativeFrom="page">
                      <wp:posOffset>520700</wp:posOffset>
                    </wp:positionH>
                    <wp:positionV relativeFrom="page">
                      <wp:posOffset>5035550</wp:posOffset>
                    </wp:positionV>
                    <wp:extent cx="6553200" cy="2305050"/>
                    <wp:effectExtent l="0" t="0" r="19050" b="19050"/>
                    <wp:wrapNone/>
                    <wp:docPr id="468" name="Rectangle 261"/>
                    <wp:cNvGraphicFramePr/>
                    <a:graphic xmlns:a="http://schemas.openxmlformats.org/drawingml/2006/main">
                      <a:graphicData uri="http://schemas.microsoft.com/office/word/2010/wordprocessingShape">
                        <wps:wsp>
                          <wps:cNvSpPr/>
                          <wps:spPr>
                            <a:xfrm>
                              <a:off x="0" y="0"/>
                              <a:ext cx="6553200" cy="230505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2104470" id="Rectangle 261" o:spid="_x0000_s1026" style="position:absolute;margin-left:41pt;margin-top:396.5pt;width:516pt;height:18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57A9B7C" wp14:editId="4E6AE0D9">
                    <wp:simplePos x="0" y="0"/>
                    <wp:positionH relativeFrom="page">
                      <wp:posOffset>1282700</wp:posOffset>
                    </wp:positionH>
                    <wp:positionV relativeFrom="page">
                      <wp:posOffset>5181600</wp:posOffset>
                    </wp:positionV>
                    <wp:extent cx="5810250" cy="177800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5810250" cy="1778000"/>
                            </a:xfrm>
                            <a:prstGeom prst="rect">
                              <a:avLst/>
                            </a:prstGeom>
                            <a:noFill/>
                            <a:ln w="6350">
                              <a:noFill/>
                            </a:ln>
                            <a:effectLst/>
                          </wps:spPr>
                          <wps:txbx>
                            <w:txbxContent>
                              <w:sdt>
                                <w:sdtPr>
                                  <w:rPr>
                                    <w:rFonts w:ascii="Arial Black" w:eastAsiaTheme="majorEastAsia" w:hAnsi="Arial Black" w:cstheme="majorBidi"/>
                                    <w:noProof/>
                                    <w:color w:val="FFFFFF" w:themeColor="background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D007C07" w14:textId="0C84B115" w:rsidR="00933E73" w:rsidRPr="00933E73" w:rsidRDefault="00933E73">
                                    <w:pPr>
                                      <w:spacing w:line="240" w:lineRule="auto"/>
                                      <w:rPr>
                                        <w:rFonts w:asciiTheme="majorHAnsi" w:eastAsiaTheme="majorEastAsia" w:hAnsiTheme="majorHAnsi" w:cstheme="majorBidi"/>
                                        <w:noProof/>
                                        <w:color w:val="156082" w:themeColor="accent1"/>
                                        <w:sz w:val="56"/>
                                        <w:szCs w:val="56"/>
                                      </w:rPr>
                                    </w:pPr>
                                    <w:r w:rsidRPr="00933E73">
                                      <w:rPr>
                                        <w:rFonts w:ascii="Arial Black" w:eastAsiaTheme="majorEastAsia" w:hAnsi="Arial Black" w:cstheme="majorBidi"/>
                                        <w:noProof/>
                                        <w:color w:val="FFFFFF" w:themeColor="background1"/>
                                        <w:sz w:val="56"/>
                                        <w:szCs w:val="56"/>
                                      </w:rPr>
                                      <w:t xml:space="preserve">SUSTAINABLE ENTERPRISE </w:t>
                                    </w:r>
                                  </w:p>
                                </w:sdtContent>
                              </w:sdt>
                              <w:sdt>
                                <w:sdtPr>
                                  <w:rPr>
                                    <w:rFonts w:ascii="Arial Black" w:eastAsiaTheme="majorEastAsia" w:hAnsi="Arial Black" w:cstheme="majorBidi"/>
                                    <w:noProof/>
                                    <w:color w:val="FFFFFF" w:themeColor="background1"/>
                                    <w:sz w:val="56"/>
                                    <w:szCs w:val="5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A2E8F1" w14:textId="3FB2EC5B" w:rsidR="00933E73" w:rsidRPr="00933E73" w:rsidRDefault="00933E73">
                                    <w:pPr>
                                      <w:rPr>
                                        <w:rFonts w:ascii="Arial Black" w:eastAsiaTheme="majorEastAsia" w:hAnsi="Arial Black" w:cstheme="majorBidi"/>
                                        <w:noProof/>
                                        <w:color w:val="0E2841" w:themeColor="text2"/>
                                        <w:sz w:val="56"/>
                                        <w:szCs w:val="56"/>
                                      </w:rPr>
                                    </w:pPr>
                                    <w:r w:rsidRPr="00933E73">
                                      <w:rPr>
                                        <w:rFonts w:ascii="Arial Black" w:eastAsiaTheme="majorEastAsia" w:hAnsi="Arial Black" w:cstheme="majorBidi"/>
                                        <w:noProof/>
                                        <w:color w:val="FFFFFF" w:themeColor="background1"/>
                                        <w:sz w:val="56"/>
                                        <w:szCs w:val="56"/>
                                      </w:rPr>
                                      <w:t>BUSINESS MODEL FOR A NEW START UP</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57A9B7C" id="_x0000_t202" coordsize="21600,21600" o:spt="202" path="m,l,21600r21600,l21600,xe">
                    <v:stroke joinstyle="miter"/>
                    <v:path gradientshapeok="t" o:connecttype="rect"/>
                  </v:shapetype>
                  <v:shape id="Text Box 265" o:spid="_x0000_s1028" type="#_x0000_t202" style="position:absolute;margin-left:101pt;margin-top:408pt;width:457.5pt;height:14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" filled="f" stroked="f" strokeweight=".5pt">
                    <v:textbox>
                      <w:txbxContent>
                        <w:sdt>
                          <w:sdtPr>
                            <w:rPr>
                              <w:rFonts w:ascii="Arial Black" w:eastAsiaTheme="majorEastAsia" w:hAnsi="Arial Black" w:cstheme="majorBidi"/>
                              <w:noProof/>
                              <w:color w:val="FFFFFF" w:themeColor="background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D007C07" w14:textId="0C84B115" w:rsidR="00933E73" w:rsidRPr="00933E73" w:rsidRDefault="00933E73">
                              <w:pPr>
                                <w:spacing w:line="240" w:lineRule="auto"/>
                                <w:rPr>
                                  <w:rFonts w:asciiTheme="majorHAnsi" w:eastAsiaTheme="majorEastAsia" w:hAnsiTheme="majorHAnsi" w:cstheme="majorBidi"/>
                                  <w:noProof/>
                                  <w:color w:val="156082" w:themeColor="accent1"/>
                                  <w:sz w:val="56"/>
                                  <w:szCs w:val="56"/>
                                </w:rPr>
                              </w:pPr>
                              <w:r w:rsidRPr="00933E73">
                                <w:rPr>
                                  <w:rFonts w:ascii="Arial Black" w:eastAsiaTheme="majorEastAsia" w:hAnsi="Arial Black" w:cstheme="majorBidi"/>
                                  <w:noProof/>
                                  <w:color w:val="FFFFFF" w:themeColor="background1"/>
                                  <w:sz w:val="56"/>
                                  <w:szCs w:val="56"/>
                                </w:rPr>
                                <w:t xml:space="preserve">SUSTAINABLE ENTERPRISE </w:t>
                              </w:r>
                            </w:p>
                          </w:sdtContent>
                        </w:sdt>
                        <w:sdt>
                          <w:sdtPr>
                            <w:rPr>
                              <w:rFonts w:ascii="Arial Black" w:eastAsiaTheme="majorEastAsia" w:hAnsi="Arial Black" w:cstheme="majorBidi"/>
                              <w:noProof/>
                              <w:color w:val="FFFFFF" w:themeColor="background1"/>
                              <w:sz w:val="56"/>
                              <w:szCs w:val="5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A2E8F1" w14:textId="3FB2EC5B" w:rsidR="00933E73" w:rsidRPr="00933E73" w:rsidRDefault="00933E73">
                              <w:pPr>
                                <w:rPr>
                                  <w:rFonts w:ascii="Arial Black" w:eastAsiaTheme="majorEastAsia" w:hAnsi="Arial Black" w:cstheme="majorBidi"/>
                                  <w:noProof/>
                                  <w:color w:val="0E2841" w:themeColor="text2"/>
                                  <w:sz w:val="56"/>
                                  <w:szCs w:val="56"/>
                                </w:rPr>
                              </w:pPr>
                              <w:r w:rsidRPr="00933E73">
                                <w:rPr>
                                  <w:rFonts w:ascii="Arial Black" w:eastAsiaTheme="majorEastAsia" w:hAnsi="Arial Black" w:cstheme="majorBidi"/>
                                  <w:noProof/>
                                  <w:color w:val="FFFFFF" w:themeColor="background1"/>
                                  <w:sz w:val="56"/>
                                  <w:szCs w:val="56"/>
                                </w:rPr>
                                <w:t>BUSINESS MODEL FOR A NEW START UP</w:t>
                              </w:r>
                            </w:p>
                          </w:sdtContent>
                        </w:sdt>
                      </w:txbxContent>
                    </v:textbox>
                    <w10:wrap type="square" anchorx="page" anchory="page"/>
                  </v:shape>
                </w:pict>
              </mc:Fallback>
            </mc:AlternateContent>
          </w:r>
          <w:r>
            <w:rPr>
              <w:rFonts w:ascii="Arial Black" w:hAnsi="Arial Black" w:cs="Arial"/>
            </w:rPr>
            <w:br w:type="page"/>
          </w:r>
        </w:p>
      </w:sdtContent>
    </w:sdt>
    <w:p w14:paraId="5F4B99B4" w14:textId="209E1DB6" w:rsidR="00544041" w:rsidRPr="00544041" w:rsidRDefault="00544041" w:rsidP="00544041">
      <w:pPr>
        <w:pStyle w:val="ListParagraph"/>
        <w:numPr>
          <w:ilvl w:val="0"/>
          <w:numId w:val="1"/>
        </w:numPr>
        <w:spacing w:line="480" w:lineRule="auto"/>
        <w:rPr>
          <w:rFonts w:ascii="Arial" w:hAnsi="Arial" w:cs="Arial"/>
        </w:rPr>
      </w:pPr>
      <w:r w:rsidRPr="00544041">
        <w:rPr>
          <w:rFonts w:ascii="Arial Black" w:hAnsi="Arial Black" w:cs="Arial"/>
        </w:rPr>
        <w:lastRenderedPageBreak/>
        <w:t>Business Plan for TerraCraft Packaging</w:t>
      </w:r>
    </w:p>
    <w:p w14:paraId="1BB0B03D" w14:textId="77777777" w:rsidR="00544041" w:rsidRPr="00544041" w:rsidRDefault="00544041" w:rsidP="00544041">
      <w:pPr>
        <w:spacing w:line="480" w:lineRule="auto"/>
        <w:rPr>
          <w:rFonts w:ascii="Arial" w:hAnsi="Arial" w:cs="Arial"/>
        </w:rPr>
      </w:pPr>
      <w:r w:rsidRPr="00544041">
        <w:rPr>
          <w:rFonts w:ascii="Arial" w:hAnsi="Arial" w:cs="Arial"/>
        </w:rPr>
        <w:t>TerraCraft Packaging is a new company focused to creating biodegradable packaging solutions from agricultural byproducts. This business plan outlines the company's basic objectives, explains its sustainability reasoning, describes the resources needed, details the marketing approach, and includes both PESTLE and SWOT analyses. The plan closes with a breakdown of anticipated income and expenses, followed by a contingency plan. These considerations are informed by recognised ideas of social enterprise, sustainable business, and eco-innovation (Edgeman and Eskildsen, 2014; Franceschelli, Santoro, and Candelo, 2018; Doyle Corner and Ho, 2010).</w:t>
      </w:r>
    </w:p>
    <w:p w14:paraId="5D1CC1A9" w14:textId="77777777" w:rsidR="00544041" w:rsidRPr="00544041" w:rsidRDefault="00544041" w:rsidP="00544041">
      <w:pPr>
        <w:pStyle w:val="ListParagraph"/>
        <w:numPr>
          <w:ilvl w:val="0"/>
          <w:numId w:val="1"/>
        </w:numPr>
        <w:spacing w:line="480" w:lineRule="auto"/>
        <w:rPr>
          <w:rFonts w:ascii="Arial" w:hAnsi="Arial" w:cs="Arial"/>
        </w:rPr>
      </w:pPr>
      <w:r w:rsidRPr="00544041">
        <w:rPr>
          <w:rFonts w:ascii="Arial Black" w:hAnsi="Arial Black" w:cs="Arial"/>
        </w:rPr>
        <w:t>Introduction &amp; Mission Statement</w:t>
      </w:r>
    </w:p>
    <w:p w14:paraId="0A73982F" w14:textId="77777777" w:rsidR="00544041" w:rsidRDefault="00544041" w:rsidP="00544041">
      <w:pPr>
        <w:spacing w:line="480" w:lineRule="auto"/>
        <w:rPr>
          <w:rFonts w:ascii="Arial" w:hAnsi="Arial" w:cs="Arial"/>
        </w:rPr>
      </w:pPr>
      <w:r w:rsidRPr="00544041">
        <w:rPr>
          <w:rFonts w:ascii="Arial" w:hAnsi="Arial" w:cs="Arial"/>
        </w:rPr>
        <w:t>TerraCraft Packaging was formed on the concept of providing long-term value by converting local agricultural leftovers into high-quality, biodegradable packaging materials. The company's objective is to lessen environmental impact by replacing traditional plastic packaging with a compostable alternative that meets the performance requirements of both businesses and consumers. This aim is consistent with the concepts of social entrepreneurship, which prioritises environmental and social advantages in addition to financial success.</w:t>
      </w:r>
    </w:p>
    <w:p w14:paraId="55B7CA32" w14:textId="77777777" w:rsidR="00544041" w:rsidRDefault="00544041" w:rsidP="00544041">
      <w:pPr>
        <w:spacing w:line="480" w:lineRule="auto"/>
        <w:rPr>
          <w:rFonts w:ascii="Arial" w:hAnsi="Arial" w:cs="Arial"/>
        </w:rPr>
      </w:pPr>
      <w:r w:rsidRPr="00544041">
        <w:rPr>
          <w:rFonts w:ascii="Arial" w:hAnsi="Arial" w:cs="Arial"/>
        </w:rPr>
        <w:t xml:space="preserve">TerraCraft Packaging's strategy is consistent with the triple bottom line idea, which emphasises a balanced approach to social, environmental, and economic objectives (Elkington, 1999). The company strives to achieve long-term sustainability by adding value to customers, generating meaningful jobs, and operating responsibly within ecological boundaries. The product line will initially focus on compostable food </w:t>
      </w:r>
      <w:r w:rsidRPr="00544041">
        <w:rPr>
          <w:rFonts w:ascii="Arial" w:hAnsi="Arial" w:cs="Arial"/>
        </w:rPr>
        <w:lastRenderedPageBreak/>
        <w:t>packaging, with ambitions to extend into other biodegradable packaging options as the company expands.</w:t>
      </w:r>
    </w:p>
    <w:p w14:paraId="4D7F3595" w14:textId="77777777" w:rsidR="00544041" w:rsidRPr="00544041" w:rsidRDefault="00544041" w:rsidP="00544041">
      <w:pPr>
        <w:pStyle w:val="ListParagraph"/>
        <w:numPr>
          <w:ilvl w:val="0"/>
          <w:numId w:val="1"/>
        </w:numPr>
        <w:spacing w:line="480" w:lineRule="auto"/>
        <w:rPr>
          <w:rFonts w:ascii="Arial Black" w:hAnsi="Arial Black" w:cs="Arial"/>
        </w:rPr>
      </w:pPr>
      <w:r w:rsidRPr="00544041">
        <w:rPr>
          <w:rFonts w:ascii="Arial Black" w:hAnsi="Arial Black" w:cs="Arial"/>
        </w:rPr>
        <w:t>Goals &amp; Objectives</w:t>
      </w:r>
    </w:p>
    <w:p w14:paraId="1D8C34E0" w14:textId="77777777" w:rsidR="00544041" w:rsidRDefault="00544041" w:rsidP="00544041">
      <w:pPr>
        <w:spacing w:line="480" w:lineRule="auto"/>
        <w:rPr>
          <w:rFonts w:ascii="Arial" w:hAnsi="Arial" w:cs="Arial"/>
        </w:rPr>
      </w:pPr>
      <w:r w:rsidRPr="00544041">
        <w:rPr>
          <w:rFonts w:ascii="Arial" w:hAnsi="Arial" w:cs="Arial"/>
        </w:rPr>
        <w:t>TerraCraft Packaging is dedicated to achieving clearly defined goals that support its overall aim. The major purpose is to divert garbage from landfills by sourcing agricultural byproducts from local farms, such as sugarcane fibres, straw, and maize husks. Another important goal is to compete effectively in the packaging sector by developing cost structures that make biodegradable alternatives financially appealing to commercial clients. The company hopes to create a brand that appeals to environmentally concerned consumers and companies, gaining market share in an area previously dominated by petrochemical-based plastics.</w:t>
      </w:r>
    </w:p>
    <w:p w14:paraId="731B5584" w14:textId="77777777" w:rsidR="00544041" w:rsidRDefault="00544041" w:rsidP="00544041">
      <w:pPr>
        <w:spacing w:line="480" w:lineRule="auto"/>
        <w:rPr>
          <w:rFonts w:ascii="Arial" w:hAnsi="Arial" w:cs="Arial"/>
        </w:rPr>
      </w:pPr>
      <w:r w:rsidRPr="00544041">
        <w:rPr>
          <w:rFonts w:ascii="Arial" w:hAnsi="Arial" w:cs="Arial"/>
        </w:rPr>
        <w:t>Another goal is to provide inclusive employment opportunities by sourcing labour from local communities. This strategy adheres to the ideals of social entrepreneurship, which integrate innovative solutions to social and environmental concerns with sustainable business practices (Franceschelli et al., 2018). The company also aims to achieve constant growth and scalability during the next five years, allowing it to access new markets and customers who want greener, more responsible product options.</w:t>
      </w:r>
    </w:p>
    <w:p w14:paraId="510B367D" w14:textId="77777777" w:rsidR="00544041" w:rsidRPr="00544041" w:rsidRDefault="00544041" w:rsidP="00544041">
      <w:pPr>
        <w:pStyle w:val="ListParagraph"/>
        <w:numPr>
          <w:ilvl w:val="0"/>
          <w:numId w:val="1"/>
        </w:numPr>
        <w:spacing w:line="480" w:lineRule="auto"/>
        <w:rPr>
          <w:rFonts w:ascii="Arial Black" w:hAnsi="Arial Black" w:cs="Arial"/>
        </w:rPr>
      </w:pPr>
      <w:r w:rsidRPr="00544041">
        <w:rPr>
          <w:rFonts w:ascii="Arial Black" w:hAnsi="Arial Black" w:cs="Arial"/>
        </w:rPr>
        <w:t>Sustainability and Rationale</w:t>
      </w:r>
    </w:p>
    <w:p w14:paraId="476449DF" w14:textId="77777777" w:rsidR="00544041" w:rsidRDefault="00544041" w:rsidP="00544041">
      <w:pPr>
        <w:spacing w:line="480" w:lineRule="auto"/>
        <w:rPr>
          <w:rFonts w:ascii="Arial" w:hAnsi="Arial" w:cs="Arial"/>
        </w:rPr>
      </w:pPr>
      <w:r w:rsidRPr="00544041">
        <w:rPr>
          <w:rFonts w:ascii="Arial" w:hAnsi="Arial" w:cs="Arial"/>
        </w:rPr>
        <w:t xml:space="preserve">The inclusion of sustainable techniques is key to TerraCraft Packaging's brand identity. The company's biodegradable packaging solution solves a variety of environmental concerns, including the negative consequences of plastic pollution and the underutilisation of agricultural waste. By using agricultural byproducts as raw </w:t>
      </w:r>
      <w:r w:rsidRPr="00544041">
        <w:rPr>
          <w:rFonts w:ascii="Arial" w:hAnsi="Arial" w:cs="Arial"/>
        </w:rPr>
        <w:lastRenderedPageBreak/>
        <w:t xml:space="preserve">materials, the company encourages waste valorisation, which is the process of adding economic value to items that would otherwise contribute to environmental damage (EIO, 2013). This method helps to limit resource </w:t>
      </w:r>
      <w:r w:rsidRPr="00544041">
        <w:rPr>
          <w:rFonts w:ascii="Arial" w:hAnsi="Arial" w:cs="Arial"/>
        </w:rPr>
        <w:t>depletion,</w:t>
      </w:r>
      <w:r w:rsidRPr="00544041">
        <w:rPr>
          <w:rFonts w:ascii="Arial" w:hAnsi="Arial" w:cs="Arial"/>
        </w:rPr>
        <w:t xml:space="preserve"> and the carbon impact associated with traditional packing, which frequently uses fossil fuels.</w:t>
      </w:r>
    </w:p>
    <w:p w14:paraId="60AA267A" w14:textId="77777777" w:rsidR="00544041" w:rsidRDefault="00544041" w:rsidP="00544041">
      <w:pPr>
        <w:spacing w:line="480" w:lineRule="auto"/>
        <w:rPr>
          <w:rFonts w:ascii="Arial" w:hAnsi="Arial" w:cs="Arial"/>
        </w:rPr>
      </w:pPr>
      <w:r w:rsidRPr="00544041">
        <w:rPr>
          <w:rFonts w:ascii="Arial" w:hAnsi="Arial" w:cs="Arial"/>
        </w:rPr>
        <w:t>The emphasis on local sourcing enhances TerraCraft Packaging's environmental profile by reducing transportation distances and associated emissions (Eurostat, 2009). The dedication to sustainability goes beyond the product and is included into the company's operating strategy. Manufacturing processes are optimised to save water and energy, and end-of-life considerations are built into the product design to ensure that the packaging can be safely returned to the environment. This cyclical approach to production and disposal is consistent with circular economy ideas, which emphasise waste reduction through reuse, recycling, or composting (Edgeman and Eskildsen, 2014).</w:t>
      </w:r>
    </w:p>
    <w:p w14:paraId="1CD7CE3F" w14:textId="77777777" w:rsidR="00544041" w:rsidRPr="00544041" w:rsidRDefault="00544041" w:rsidP="00544041">
      <w:pPr>
        <w:pStyle w:val="ListParagraph"/>
        <w:numPr>
          <w:ilvl w:val="0"/>
          <w:numId w:val="1"/>
        </w:numPr>
        <w:spacing w:line="480" w:lineRule="auto"/>
        <w:rPr>
          <w:rFonts w:ascii="Arial Black" w:hAnsi="Arial Black" w:cs="Arial"/>
        </w:rPr>
      </w:pPr>
      <w:r w:rsidRPr="00544041">
        <w:rPr>
          <w:rFonts w:ascii="Arial Black" w:hAnsi="Arial Black" w:cs="Arial"/>
        </w:rPr>
        <w:t>Physical, Human, and Financial Resources</w:t>
      </w:r>
    </w:p>
    <w:p w14:paraId="2EE3C80D" w14:textId="77777777" w:rsidR="00544041" w:rsidRDefault="00544041" w:rsidP="00544041">
      <w:pPr>
        <w:spacing w:line="480" w:lineRule="auto"/>
        <w:rPr>
          <w:rFonts w:ascii="Arial" w:hAnsi="Arial" w:cs="Arial"/>
        </w:rPr>
      </w:pPr>
      <w:r w:rsidRPr="00544041">
        <w:rPr>
          <w:rFonts w:ascii="Arial" w:hAnsi="Arial" w:cs="Arial"/>
        </w:rPr>
        <w:t xml:space="preserve">TerraCraft Packaging's activities require a combination of physical, human, and financial resources. The most readily available physical resource is a small-scale processing and manufacturing facility near local farms. The equipment in this factory can </w:t>
      </w:r>
      <w:r w:rsidRPr="00544041">
        <w:rPr>
          <w:rFonts w:ascii="Arial" w:hAnsi="Arial" w:cs="Arial"/>
        </w:rPr>
        <w:t>clean</w:t>
      </w:r>
      <w:r w:rsidRPr="00544041">
        <w:rPr>
          <w:rFonts w:ascii="Arial" w:hAnsi="Arial" w:cs="Arial"/>
        </w:rPr>
        <w:t xml:space="preserve"> pulp, mould, and polish biodegradable materials. The location is chosen strategically to save logistics costs and provide a consistent supply of agricultural byproducts. The facility's layout is intended to maximise workflow, ensuring that materials move smoothly from intake to finished product.</w:t>
      </w:r>
    </w:p>
    <w:p w14:paraId="0E7557C3" w14:textId="77777777" w:rsidR="00544041" w:rsidRDefault="00544041" w:rsidP="00544041">
      <w:pPr>
        <w:spacing w:line="480" w:lineRule="auto"/>
        <w:rPr>
          <w:rFonts w:ascii="Arial" w:hAnsi="Arial" w:cs="Arial"/>
        </w:rPr>
      </w:pPr>
      <w:r w:rsidRPr="00544041">
        <w:rPr>
          <w:rFonts w:ascii="Arial" w:hAnsi="Arial" w:cs="Arial"/>
        </w:rPr>
        <w:t xml:space="preserve">Human resources include a core management team in charge of product creation, quality assurance, and operational control. The company also wants technical personnel who are knowledgeable about production processes and have experience </w:t>
      </w:r>
      <w:r w:rsidRPr="00544041">
        <w:rPr>
          <w:rFonts w:ascii="Arial" w:hAnsi="Arial" w:cs="Arial"/>
        </w:rPr>
        <w:lastRenderedPageBreak/>
        <w:t>dealing with biodegradable materials. In accordance with the enterprise's social goal of inclusive employment, the workforce will include members of the neighbouring communities. Training programs will be supplied to guarantee that personnel have specialised understanding of biodegradable packaging production. TerraCraft Packaging will work with local educational institutions to develop apprenticeship possibilities, consistent with social entrepreneurship methods (</w:t>
      </w:r>
      <w:proofErr w:type="spellStart"/>
      <w:r w:rsidRPr="00544041">
        <w:rPr>
          <w:rFonts w:ascii="Arial" w:hAnsi="Arial" w:cs="Arial"/>
        </w:rPr>
        <w:t>Moizer</w:t>
      </w:r>
      <w:proofErr w:type="spellEnd"/>
      <w:r w:rsidRPr="00544041">
        <w:rPr>
          <w:rFonts w:ascii="Arial" w:hAnsi="Arial" w:cs="Arial"/>
        </w:rPr>
        <w:t xml:space="preserve"> and Tracey, 2010).</w:t>
      </w:r>
    </w:p>
    <w:p w14:paraId="6455AD0C" w14:textId="77777777" w:rsidR="00544041" w:rsidRDefault="00544041" w:rsidP="00544041">
      <w:pPr>
        <w:spacing w:line="480" w:lineRule="auto"/>
        <w:rPr>
          <w:rFonts w:ascii="Arial" w:hAnsi="Arial" w:cs="Arial"/>
        </w:rPr>
      </w:pPr>
      <w:r w:rsidRPr="00544041">
        <w:rPr>
          <w:rFonts w:ascii="Arial" w:hAnsi="Arial" w:cs="Arial"/>
        </w:rPr>
        <w:t>The financial resources required for this company include start-up cash to procure production equipment, lease the facility, and purchase initial raw ingredients from partner farmers. Funding is planned to come from a combination of private investment, socially responsible investment funds, and subsidies that support environmental innovation. These different financing streams represent the mixed value approach, in which investors seek both financial returns and social/environmental impact (Emerson, 2003; Emerson &amp; Spitzer, 2007). The company expects to achieve operational break-even within the first two years, assuming consistent sales volume and effective cost management.</w:t>
      </w:r>
    </w:p>
    <w:p w14:paraId="45EA78A3" w14:textId="77777777" w:rsidR="00544041" w:rsidRPr="00544041" w:rsidRDefault="00544041" w:rsidP="00544041">
      <w:pPr>
        <w:pStyle w:val="ListParagraph"/>
        <w:numPr>
          <w:ilvl w:val="0"/>
          <w:numId w:val="1"/>
        </w:numPr>
        <w:spacing w:line="480" w:lineRule="auto"/>
        <w:rPr>
          <w:rFonts w:ascii="Arial Black" w:hAnsi="Arial Black" w:cs="Arial"/>
        </w:rPr>
      </w:pPr>
      <w:r w:rsidRPr="00544041">
        <w:rPr>
          <w:rFonts w:ascii="Arial Black" w:hAnsi="Arial Black" w:cs="Arial"/>
        </w:rPr>
        <w:t>Marketing Strategy</w:t>
      </w:r>
    </w:p>
    <w:p w14:paraId="73961FF5" w14:textId="77777777" w:rsidR="00544041" w:rsidRDefault="00544041" w:rsidP="00544041">
      <w:pPr>
        <w:spacing w:line="480" w:lineRule="auto"/>
        <w:rPr>
          <w:rFonts w:ascii="Arial" w:hAnsi="Arial" w:cs="Arial"/>
        </w:rPr>
      </w:pPr>
      <w:r w:rsidRPr="00544041">
        <w:rPr>
          <w:rFonts w:ascii="Arial" w:hAnsi="Arial" w:cs="Arial"/>
        </w:rPr>
        <w:t>TerraCraft Packaging will implement a marketing campaign to present the product as a superior alternative to traditional plastic packaging. The focus is on distinguishing TerraCraft Packaging's goods based on their environmental credentials, performance, and cost effectiveness. The sales team will contact stores, restaurants, and environmentally concerned consumer brands that need disposable packaging for takeaway and shipment.</w:t>
      </w:r>
      <w:r w:rsidRPr="00544041">
        <w:rPr>
          <w:rFonts w:ascii="Arial" w:hAnsi="Arial" w:cs="Arial"/>
        </w:rPr>
        <w:br/>
      </w:r>
      <w:r w:rsidRPr="00544041">
        <w:rPr>
          <w:rFonts w:ascii="Arial" w:hAnsi="Arial" w:cs="Arial"/>
        </w:rPr>
        <w:br/>
      </w:r>
      <w:r w:rsidRPr="00544041">
        <w:rPr>
          <w:rFonts w:ascii="Arial" w:hAnsi="Arial" w:cs="Arial"/>
        </w:rPr>
        <w:lastRenderedPageBreak/>
        <w:t>Online communication channels will be used to spread the enterprise's sustainability message and reach a larger audience. Social media advertising and content marketing will focus on the life cycle benefits of biodegradable packaging, demonstrating how it lowers plastic waste. Visibility at local trade shows and environmental conferences will increase market reach. The company's presence at industry exhibits will allow for direct encounters with potential partners, increasing trust in the brand's authenticity and accountability.</w:t>
      </w:r>
    </w:p>
    <w:p w14:paraId="1397AE0F" w14:textId="77777777" w:rsidR="00544041" w:rsidRDefault="00544041" w:rsidP="00544041">
      <w:pPr>
        <w:spacing w:line="480" w:lineRule="auto"/>
        <w:rPr>
          <w:rFonts w:ascii="Arial" w:hAnsi="Arial" w:cs="Arial"/>
        </w:rPr>
      </w:pPr>
      <w:r w:rsidRPr="00544041">
        <w:rPr>
          <w:rFonts w:ascii="Arial" w:hAnsi="Arial" w:cs="Arial"/>
        </w:rPr>
        <w:t xml:space="preserve">TerraCraft Packaging will also work with non-profit organisations and community projects focused on waste reduction and responsible consumption. These collaborations will assist establish credibility in the marketplace by exhibiting shared values, attracting clients who are looking for </w:t>
      </w:r>
      <w:r w:rsidRPr="00544041">
        <w:rPr>
          <w:rFonts w:ascii="Arial" w:hAnsi="Arial" w:cs="Arial"/>
        </w:rPr>
        <w:t>sustainable</w:t>
      </w:r>
      <w:r w:rsidRPr="00544041">
        <w:rPr>
          <w:rFonts w:ascii="Arial" w:hAnsi="Arial" w:cs="Arial"/>
        </w:rPr>
        <w:t xml:space="preserve"> solutions. The pricing strategy will be competitive, reflecting the efficiency obtained from sourcing materials locally and optimising production processes to reduce costs.</w:t>
      </w:r>
    </w:p>
    <w:p w14:paraId="4C974A2F" w14:textId="77777777" w:rsidR="00544041" w:rsidRDefault="00544041" w:rsidP="00544041">
      <w:pPr>
        <w:spacing w:line="480" w:lineRule="auto"/>
        <w:rPr>
          <w:rFonts w:ascii="Arial" w:hAnsi="Arial" w:cs="Arial"/>
        </w:rPr>
      </w:pPr>
      <w:r w:rsidRPr="00544041">
        <w:rPr>
          <w:rFonts w:ascii="Arial" w:hAnsi="Arial" w:cs="Arial"/>
        </w:rPr>
        <w:t>PESTLE Analysis.</w:t>
      </w:r>
    </w:p>
    <w:p w14:paraId="297E57A1" w14:textId="77777777" w:rsidR="00544041" w:rsidRPr="00544041" w:rsidRDefault="00544041" w:rsidP="00544041">
      <w:pPr>
        <w:spacing w:line="480" w:lineRule="auto"/>
        <w:rPr>
          <w:rFonts w:ascii="Arial" w:hAnsi="Arial" w:cs="Arial"/>
        </w:rPr>
      </w:pPr>
      <w:r w:rsidRPr="00544041">
        <w:rPr>
          <w:rFonts w:ascii="Arial" w:hAnsi="Arial" w:cs="Arial"/>
        </w:rPr>
        <w:t>The following table gives an overview of the political, economic, social, technological, legal, and environmental issues that influence TerraCraft Packaging's performance:</w:t>
      </w:r>
      <w:r w:rsidRPr="00544041">
        <w:rPr>
          <w:rFonts w:ascii="Arial" w:hAnsi="Arial" w:cs="Arial"/>
        </w:rPr>
        <w:br/>
      </w:r>
    </w:p>
    <w:tbl>
      <w:tblPr>
        <w:tblStyle w:val="TableGrid"/>
        <w:tblW w:w="0" w:type="auto"/>
        <w:tblLook w:val="04A0" w:firstRow="1" w:lastRow="0" w:firstColumn="1" w:lastColumn="0" w:noHBand="0" w:noVBand="1"/>
      </w:tblPr>
      <w:tblGrid>
        <w:gridCol w:w="4508"/>
        <w:gridCol w:w="4508"/>
      </w:tblGrid>
      <w:tr w:rsidR="00544041" w14:paraId="73C91C1E" w14:textId="77777777" w:rsidTr="00933E73">
        <w:tc>
          <w:tcPr>
            <w:tcW w:w="4508" w:type="dxa"/>
            <w:shd w:val="clear" w:color="auto" w:fill="4C94D8" w:themeFill="text2" w:themeFillTint="80"/>
          </w:tcPr>
          <w:p w14:paraId="14454468" w14:textId="3BA8C589" w:rsidR="00544041" w:rsidRDefault="00544041" w:rsidP="00544041">
            <w:pPr>
              <w:spacing w:line="480" w:lineRule="auto"/>
              <w:rPr>
                <w:rFonts w:ascii="Arial" w:hAnsi="Arial" w:cs="Arial"/>
              </w:rPr>
            </w:pPr>
            <w:r>
              <w:rPr>
                <w:rFonts w:ascii="Arial" w:hAnsi="Arial" w:cs="Arial"/>
              </w:rPr>
              <w:t>Factor</w:t>
            </w:r>
          </w:p>
        </w:tc>
        <w:tc>
          <w:tcPr>
            <w:tcW w:w="4508" w:type="dxa"/>
            <w:shd w:val="clear" w:color="auto" w:fill="4C94D8" w:themeFill="text2" w:themeFillTint="80"/>
          </w:tcPr>
          <w:p w14:paraId="405E1143" w14:textId="37CBE7A1" w:rsidR="00544041" w:rsidRDefault="00544041" w:rsidP="00544041">
            <w:pPr>
              <w:spacing w:line="480" w:lineRule="auto"/>
              <w:rPr>
                <w:rFonts w:ascii="Arial" w:hAnsi="Arial" w:cs="Arial"/>
              </w:rPr>
            </w:pPr>
            <w:r w:rsidRPr="00544041">
              <w:rPr>
                <w:rFonts w:ascii="Arial" w:hAnsi="Arial" w:cs="Arial"/>
              </w:rPr>
              <w:t>Influence on TerraCraft Packaging</w:t>
            </w:r>
          </w:p>
        </w:tc>
      </w:tr>
      <w:tr w:rsidR="00544041" w14:paraId="60F63F1A" w14:textId="77777777" w:rsidTr="00933E73">
        <w:tc>
          <w:tcPr>
            <w:tcW w:w="4508" w:type="dxa"/>
            <w:shd w:val="clear" w:color="auto" w:fill="FFFFFF" w:themeFill="background1"/>
          </w:tcPr>
          <w:p w14:paraId="05489081" w14:textId="1FBC2645" w:rsidR="00544041" w:rsidRPr="00933E73" w:rsidRDefault="00544041" w:rsidP="00544041">
            <w:pPr>
              <w:spacing w:line="480" w:lineRule="auto"/>
              <w:rPr>
                <w:rFonts w:ascii="Arial" w:hAnsi="Arial" w:cs="Arial"/>
                <w:color w:val="84E290" w:themeColor="accent3" w:themeTint="66"/>
              </w:rPr>
            </w:pPr>
            <w:r w:rsidRPr="00933E73">
              <w:rPr>
                <w:rFonts w:ascii="Arial" w:hAnsi="Arial" w:cs="Arial"/>
                <w:color w:val="000000" w:themeColor="text1"/>
              </w:rPr>
              <w:t>Politic</w:t>
            </w:r>
          </w:p>
        </w:tc>
        <w:tc>
          <w:tcPr>
            <w:tcW w:w="4508" w:type="dxa"/>
            <w:shd w:val="clear" w:color="auto" w:fill="47D459" w:themeFill="accent3" w:themeFillTint="99"/>
          </w:tcPr>
          <w:p w14:paraId="24D4C973" w14:textId="77777777" w:rsidR="00D226DF" w:rsidRPr="00D226DF" w:rsidRDefault="00D226DF" w:rsidP="00D226DF">
            <w:pPr>
              <w:rPr>
                <w:rFonts w:ascii="Arial" w:hAnsi="Arial" w:cs="Arial"/>
              </w:rPr>
            </w:pPr>
            <w:r w:rsidRPr="00D226DF">
              <w:rPr>
                <w:rFonts w:ascii="Arial" w:hAnsi="Arial" w:cs="Arial"/>
              </w:rPr>
              <w:t>The adoption of biodegradable packaging is promoted by government policies that support ecological innovation. Initial investment is supported by potential subsidies and grants, while policy changes may result in uncertainty if regulations regarding plastic utilisation are altered. Raw material supply is contingent upon the stability of local agricultural regulations.</w:t>
            </w:r>
          </w:p>
          <w:p w14:paraId="4BDC6407" w14:textId="77777777" w:rsidR="00544041" w:rsidRDefault="00544041" w:rsidP="00D226DF">
            <w:pPr>
              <w:rPr>
                <w:rFonts w:ascii="Arial" w:hAnsi="Arial" w:cs="Arial"/>
              </w:rPr>
            </w:pPr>
          </w:p>
        </w:tc>
      </w:tr>
      <w:tr w:rsidR="00544041" w14:paraId="1F26AC4A" w14:textId="77777777" w:rsidTr="00933E73">
        <w:tc>
          <w:tcPr>
            <w:tcW w:w="4508" w:type="dxa"/>
          </w:tcPr>
          <w:p w14:paraId="61DFAB20" w14:textId="76FAD5F7" w:rsidR="00544041" w:rsidRDefault="00544041" w:rsidP="00544041">
            <w:pPr>
              <w:spacing w:line="480" w:lineRule="auto"/>
              <w:rPr>
                <w:rFonts w:ascii="Arial" w:hAnsi="Arial" w:cs="Arial"/>
              </w:rPr>
            </w:pPr>
            <w:r>
              <w:rPr>
                <w:rFonts w:ascii="Arial" w:hAnsi="Arial" w:cs="Arial"/>
              </w:rPr>
              <w:lastRenderedPageBreak/>
              <w:t xml:space="preserve">Economic </w:t>
            </w:r>
          </w:p>
        </w:tc>
        <w:tc>
          <w:tcPr>
            <w:tcW w:w="4508" w:type="dxa"/>
            <w:shd w:val="clear" w:color="auto" w:fill="F1A983" w:themeFill="accent2" w:themeFillTint="99"/>
          </w:tcPr>
          <w:p w14:paraId="03B659CD" w14:textId="77777777" w:rsidR="00D226DF" w:rsidRPr="00D226DF" w:rsidRDefault="00D226DF" w:rsidP="00D226DF">
            <w:pPr>
              <w:rPr>
                <w:rFonts w:ascii="Arial" w:hAnsi="Arial" w:cs="Arial"/>
              </w:rPr>
            </w:pPr>
            <w:r w:rsidRPr="00D226DF">
              <w:rPr>
                <w:rFonts w:ascii="Arial" w:hAnsi="Arial" w:cs="Arial"/>
              </w:rPr>
              <w:t>Economic market trends indicate that consumers are willing to pay a premium for environmentally friendly products. Production and operational costs are influenced by inflation and interest rates. Although the transition to sustainable practices may continue to provide a competitive advantage, global economic recessions may diminish the demand for premium packaging.</w:t>
            </w:r>
          </w:p>
          <w:p w14:paraId="5CB4CCEE" w14:textId="77777777" w:rsidR="00544041" w:rsidRDefault="00544041" w:rsidP="00D226DF">
            <w:pPr>
              <w:rPr>
                <w:rFonts w:ascii="Arial" w:hAnsi="Arial" w:cs="Arial"/>
              </w:rPr>
            </w:pPr>
          </w:p>
        </w:tc>
      </w:tr>
      <w:tr w:rsidR="00544041" w14:paraId="6A53A58B" w14:textId="77777777" w:rsidTr="00933E73">
        <w:tc>
          <w:tcPr>
            <w:tcW w:w="4508" w:type="dxa"/>
          </w:tcPr>
          <w:p w14:paraId="29AC66F4" w14:textId="3345D098" w:rsidR="00544041" w:rsidRDefault="00544041" w:rsidP="00544041">
            <w:pPr>
              <w:spacing w:line="480" w:lineRule="auto"/>
              <w:rPr>
                <w:rFonts w:ascii="Arial" w:hAnsi="Arial" w:cs="Arial"/>
              </w:rPr>
            </w:pPr>
            <w:r>
              <w:rPr>
                <w:rFonts w:ascii="Arial" w:hAnsi="Arial" w:cs="Arial"/>
              </w:rPr>
              <w:t xml:space="preserve">Social </w:t>
            </w:r>
          </w:p>
        </w:tc>
        <w:tc>
          <w:tcPr>
            <w:tcW w:w="4508" w:type="dxa"/>
            <w:shd w:val="clear" w:color="auto" w:fill="FF0000"/>
          </w:tcPr>
          <w:p w14:paraId="47C23AE1" w14:textId="5D604256" w:rsidR="00D226DF" w:rsidRPr="00D226DF" w:rsidRDefault="00D226DF" w:rsidP="00D226DF">
            <w:pPr>
              <w:rPr>
                <w:rFonts w:ascii="Arial" w:hAnsi="Arial" w:cs="Arial"/>
              </w:rPr>
            </w:pPr>
            <w:r w:rsidRPr="00D226DF">
              <w:rPr>
                <w:rFonts w:ascii="Arial" w:hAnsi="Arial" w:cs="Arial"/>
              </w:rPr>
              <w:t xml:space="preserve">The demand for compostable packaging is increased </w:t>
            </w:r>
            <w:r w:rsidRPr="00D226DF">
              <w:rPr>
                <w:rFonts w:ascii="Arial" w:hAnsi="Arial" w:cs="Arial"/>
              </w:rPr>
              <w:t>because of</w:t>
            </w:r>
            <w:r w:rsidRPr="00D226DF">
              <w:rPr>
                <w:rFonts w:ascii="Arial" w:hAnsi="Arial" w:cs="Arial"/>
              </w:rPr>
              <w:t xml:space="preserve"> increased consumer awareness of plastic pollution. Public sentiment is amplified by social media. The enterprise's job creation objectives are bolstered by the social environment, which also cultivates a favourable reputation for ethical sourcing and community-based employment.</w:t>
            </w:r>
          </w:p>
          <w:p w14:paraId="55F670D6" w14:textId="77777777" w:rsidR="00544041" w:rsidRDefault="00544041" w:rsidP="00D226DF">
            <w:pPr>
              <w:rPr>
                <w:rFonts w:ascii="Arial" w:hAnsi="Arial" w:cs="Arial"/>
              </w:rPr>
            </w:pPr>
          </w:p>
        </w:tc>
      </w:tr>
      <w:tr w:rsidR="00544041" w14:paraId="29D0587B" w14:textId="77777777" w:rsidTr="00933E73">
        <w:tc>
          <w:tcPr>
            <w:tcW w:w="4508" w:type="dxa"/>
          </w:tcPr>
          <w:p w14:paraId="2602C39A" w14:textId="1A3F0510" w:rsidR="00544041" w:rsidRDefault="00544041" w:rsidP="00544041">
            <w:pPr>
              <w:spacing w:line="480" w:lineRule="auto"/>
              <w:rPr>
                <w:rFonts w:ascii="Arial" w:hAnsi="Arial" w:cs="Arial"/>
              </w:rPr>
            </w:pPr>
            <w:r>
              <w:rPr>
                <w:rFonts w:ascii="Arial" w:hAnsi="Arial" w:cs="Arial"/>
              </w:rPr>
              <w:t xml:space="preserve">Technological </w:t>
            </w:r>
          </w:p>
        </w:tc>
        <w:tc>
          <w:tcPr>
            <w:tcW w:w="4508" w:type="dxa"/>
            <w:shd w:val="clear" w:color="auto" w:fill="FFFF00"/>
          </w:tcPr>
          <w:p w14:paraId="6E9C2548" w14:textId="77777777" w:rsidR="00D226DF" w:rsidRPr="00D226DF" w:rsidRDefault="00D226DF" w:rsidP="00D226DF">
            <w:pPr>
              <w:rPr>
                <w:rFonts w:ascii="Arial" w:hAnsi="Arial" w:cs="Arial"/>
              </w:rPr>
            </w:pPr>
            <w:r w:rsidRPr="00D226DF">
              <w:rPr>
                <w:rFonts w:ascii="Arial" w:hAnsi="Arial" w:cs="Arial"/>
              </w:rPr>
              <w:t>Innovations in biodegradable materials enhance the quality of products and reduce expenses. Resource inputs and operational expenses are reduced by advancements in pulping and moulding machinery. Technology transfer from research institutions or partner companies can facilitate the acceleration of product innovation cycles.</w:t>
            </w:r>
          </w:p>
          <w:p w14:paraId="5316B952" w14:textId="77777777" w:rsidR="00544041" w:rsidRDefault="00544041" w:rsidP="00D226DF">
            <w:pPr>
              <w:rPr>
                <w:rFonts w:ascii="Arial" w:hAnsi="Arial" w:cs="Arial"/>
              </w:rPr>
            </w:pPr>
          </w:p>
        </w:tc>
      </w:tr>
      <w:tr w:rsidR="00544041" w14:paraId="7E971E56" w14:textId="77777777" w:rsidTr="00933E73">
        <w:tc>
          <w:tcPr>
            <w:tcW w:w="4508" w:type="dxa"/>
          </w:tcPr>
          <w:p w14:paraId="38DF2A6B" w14:textId="42B3445E" w:rsidR="00544041" w:rsidRDefault="00544041" w:rsidP="00544041">
            <w:pPr>
              <w:spacing w:line="480" w:lineRule="auto"/>
              <w:rPr>
                <w:rFonts w:ascii="Arial" w:hAnsi="Arial" w:cs="Arial"/>
              </w:rPr>
            </w:pPr>
            <w:r>
              <w:rPr>
                <w:rFonts w:ascii="Arial" w:hAnsi="Arial" w:cs="Arial"/>
              </w:rPr>
              <w:t xml:space="preserve">Legal </w:t>
            </w:r>
          </w:p>
        </w:tc>
        <w:tc>
          <w:tcPr>
            <w:tcW w:w="4508" w:type="dxa"/>
            <w:shd w:val="clear" w:color="auto" w:fill="D86DCB" w:themeFill="accent5" w:themeFillTint="99"/>
          </w:tcPr>
          <w:p w14:paraId="29E225DD" w14:textId="77777777" w:rsidR="00D226DF" w:rsidRPr="00D226DF" w:rsidRDefault="00D226DF" w:rsidP="00D226DF">
            <w:pPr>
              <w:rPr>
                <w:rFonts w:ascii="Arial" w:hAnsi="Arial" w:cs="Arial"/>
              </w:rPr>
            </w:pPr>
            <w:r w:rsidRPr="00D226DF">
              <w:rPr>
                <w:rFonts w:ascii="Arial" w:hAnsi="Arial" w:cs="Arial"/>
              </w:rPr>
              <w:t>Businesses are encouraged to implement compostable materials in accordance with environmental regulations. Opportunities for alternative packaging are generated by stringent regulations regarding plastic waste. It is imperative to adhere to health and safety regulations. The protection of product formulations and manufacturing processes is regulated by intellectual property laws.</w:t>
            </w:r>
          </w:p>
          <w:p w14:paraId="646B2C80" w14:textId="77777777" w:rsidR="00544041" w:rsidRDefault="00544041" w:rsidP="00D226DF">
            <w:pPr>
              <w:rPr>
                <w:rFonts w:ascii="Arial" w:hAnsi="Arial" w:cs="Arial"/>
              </w:rPr>
            </w:pPr>
          </w:p>
        </w:tc>
      </w:tr>
      <w:tr w:rsidR="00544041" w14:paraId="5E69F11F" w14:textId="77777777" w:rsidTr="00933E73">
        <w:tc>
          <w:tcPr>
            <w:tcW w:w="4508" w:type="dxa"/>
          </w:tcPr>
          <w:p w14:paraId="77D008C3" w14:textId="779BFB1D" w:rsidR="00544041" w:rsidRDefault="00544041" w:rsidP="00544041">
            <w:pPr>
              <w:spacing w:line="480" w:lineRule="auto"/>
              <w:rPr>
                <w:rFonts w:ascii="Arial" w:hAnsi="Arial" w:cs="Arial"/>
              </w:rPr>
            </w:pPr>
            <w:r>
              <w:rPr>
                <w:rFonts w:ascii="Arial" w:hAnsi="Arial" w:cs="Arial"/>
              </w:rPr>
              <w:t xml:space="preserve">Environmental </w:t>
            </w:r>
          </w:p>
        </w:tc>
        <w:tc>
          <w:tcPr>
            <w:tcW w:w="4508" w:type="dxa"/>
            <w:shd w:val="clear" w:color="auto" w:fill="B3E5A1" w:themeFill="accent6" w:themeFillTint="66"/>
          </w:tcPr>
          <w:p w14:paraId="4C333D3A" w14:textId="77777777" w:rsidR="00D226DF" w:rsidRPr="00D226DF" w:rsidRDefault="00D226DF" w:rsidP="00D226DF">
            <w:pPr>
              <w:rPr>
                <w:rFonts w:ascii="Arial" w:hAnsi="Arial" w:cs="Arial"/>
              </w:rPr>
            </w:pPr>
            <w:r w:rsidRPr="00D226DF">
              <w:rPr>
                <w:rFonts w:ascii="Arial" w:hAnsi="Arial" w:cs="Arial"/>
              </w:rPr>
              <w:t xml:space="preserve">The availability of raw materials is influenced by climatic changes, which in turn impact agricultural production. Alternative biomass sources may be necessary due to seasonal fluctuations. </w:t>
            </w:r>
            <w:r w:rsidRPr="00D226DF">
              <w:rPr>
                <w:rFonts w:ascii="Arial" w:hAnsi="Arial" w:cs="Arial"/>
              </w:rPr>
              <w:lastRenderedPageBreak/>
              <w:t>The company's mission is consistent with environmental objectives to safeguard ecosystems and minimise pollution, thereby improving its reputation in markets that prioritise sustainability.</w:t>
            </w:r>
          </w:p>
          <w:p w14:paraId="02ED2325" w14:textId="77777777" w:rsidR="00544041" w:rsidRDefault="00544041" w:rsidP="00D226DF">
            <w:pPr>
              <w:rPr>
                <w:rFonts w:ascii="Arial" w:hAnsi="Arial" w:cs="Arial"/>
              </w:rPr>
            </w:pPr>
          </w:p>
        </w:tc>
      </w:tr>
    </w:tbl>
    <w:p w14:paraId="4F93591C" w14:textId="77777777" w:rsidR="00D226DF" w:rsidRPr="00D226DF" w:rsidRDefault="00D226DF" w:rsidP="00D226DF">
      <w:pPr>
        <w:pStyle w:val="ListParagraph"/>
        <w:spacing w:line="480" w:lineRule="auto"/>
        <w:rPr>
          <w:rFonts w:ascii="Arial" w:hAnsi="Arial" w:cs="Arial"/>
        </w:rPr>
      </w:pPr>
    </w:p>
    <w:p w14:paraId="0417B64E" w14:textId="77777777" w:rsidR="00D226DF" w:rsidRPr="00D226DF" w:rsidRDefault="00544041" w:rsidP="00D226DF">
      <w:pPr>
        <w:pStyle w:val="ListParagraph"/>
        <w:numPr>
          <w:ilvl w:val="0"/>
          <w:numId w:val="1"/>
        </w:numPr>
        <w:spacing w:line="480" w:lineRule="auto"/>
        <w:rPr>
          <w:rFonts w:ascii="Arial" w:hAnsi="Arial" w:cs="Arial"/>
        </w:rPr>
      </w:pPr>
      <w:r w:rsidRPr="00D226DF">
        <w:rPr>
          <w:rFonts w:ascii="Arial Black" w:hAnsi="Arial Black" w:cs="Arial"/>
        </w:rPr>
        <w:t>SWOT Analysis</w:t>
      </w:r>
    </w:p>
    <w:p w14:paraId="7D8264AD" w14:textId="77777777" w:rsidR="00D226DF" w:rsidRDefault="00544041" w:rsidP="00D226DF">
      <w:pPr>
        <w:spacing w:line="480" w:lineRule="auto"/>
        <w:rPr>
          <w:rFonts w:ascii="Arial" w:hAnsi="Arial" w:cs="Arial"/>
        </w:rPr>
      </w:pPr>
      <w:r w:rsidRPr="00D226DF">
        <w:rPr>
          <w:rFonts w:ascii="Arial" w:hAnsi="Arial" w:cs="Arial"/>
        </w:rPr>
        <w:t>TerraCraft Packaging's internal strengths include a revolutionary manufacturing technique that utilises agricultural waste, lowering both raw material and disposal expenses. This method gives you a competitive advantage in an industry that is steadily moving towards green innovation. The company's focus on local supply chains is advantageous since it reduces carbon emissions and aligns with consumer demand for community-based firms. One potential vulnerability is the initial reliance on grants and soft loans to expand production. The demand for specialised manufacturing equipment results in greater fixed costs.</w:t>
      </w:r>
    </w:p>
    <w:p w14:paraId="081A344B" w14:textId="77777777" w:rsidR="00D226DF" w:rsidRDefault="00544041" w:rsidP="00D226DF">
      <w:pPr>
        <w:spacing w:line="480" w:lineRule="auto"/>
        <w:rPr>
          <w:rFonts w:ascii="Arial" w:hAnsi="Arial" w:cs="Arial"/>
        </w:rPr>
      </w:pPr>
      <w:r w:rsidRPr="00D226DF">
        <w:rPr>
          <w:rFonts w:ascii="Arial" w:hAnsi="Arial" w:cs="Arial"/>
        </w:rPr>
        <w:t xml:space="preserve">External prospects exist in the growing global demand for biodegradable packaging, which is driven by environmental regulations and consumer awareness. Partnerships with municipalities and other socially conscious organisations can </w:t>
      </w:r>
      <w:r w:rsidR="00D226DF" w:rsidRPr="00D226DF">
        <w:rPr>
          <w:rFonts w:ascii="Arial" w:hAnsi="Arial" w:cs="Arial"/>
        </w:rPr>
        <w:t>open</w:t>
      </w:r>
      <w:r w:rsidRPr="00D226DF">
        <w:rPr>
          <w:rFonts w:ascii="Arial" w:hAnsi="Arial" w:cs="Arial"/>
        </w:rPr>
        <w:t xml:space="preserve"> new routes for market growth. However, threats include huge packaging businesses investing on sustainable solutions, which may increase competitiveness. Variations in agriculture output owing to weather events or changing farm practices can potentially jeopardise raw material availability. Despite these possible risks, TerraCraft Packaging's connection with rising market trends prepares the company for significant development in a changing packaging industry.</w:t>
      </w:r>
    </w:p>
    <w:p w14:paraId="7F3B485A" w14:textId="77777777" w:rsidR="00D226DF" w:rsidRDefault="00D226DF" w:rsidP="00D226DF">
      <w:pPr>
        <w:spacing w:line="480" w:lineRule="auto"/>
        <w:rPr>
          <w:rFonts w:ascii="Arial" w:hAnsi="Arial" w:cs="Arial"/>
        </w:rPr>
      </w:pPr>
    </w:p>
    <w:p w14:paraId="71BBFDCC" w14:textId="77777777" w:rsidR="00D226DF" w:rsidRPr="00D226DF" w:rsidRDefault="00544041" w:rsidP="00D226DF">
      <w:pPr>
        <w:pStyle w:val="ListParagraph"/>
        <w:numPr>
          <w:ilvl w:val="0"/>
          <w:numId w:val="1"/>
        </w:numPr>
        <w:spacing w:line="480" w:lineRule="auto"/>
        <w:rPr>
          <w:rFonts w:ascii="Arial Black" w:hAnsi="Arial Black" w:cs="Arial"/>
        </w:rPr>
      </w:pPr>
      <w:r w:rsidRPr="00D226DF">
        <w:rPr>
          <w:rFonts w:ascii="Arial Black" w:hAnsi="Arial Black" w:cs="Arial"/>
        </w:rPr>
        <w:lastRenderedPageBreak/>
        <w:t>Financial Cash Flow</w:t>
      </w:r>
    </w:p>
    <w:p w14:paraId="3BFA55B5" w14:textId="77777777" w:rsidR="00D226DF" w:rsidRDefault="00544041" w:rsidP="00D226DF">
      <w:pPr>
        <w:spacing w:line="480" w:lineRule="auto"/>
        <w:rPr>
          <w:rFonts w:ascii="Arial" w:hAnsi="Arial" w:cs="Arial"/>
        </w:rPr>
      </w:pPr>
      <w:r w:rsidRPr="00D226DF">
        <w:rPr>
          <w:rFonts w:ascii="Arial" w:hAnsi="Arial" w:cs="Arial"/>
        </w:rPr>
        <w:t>The table below shows the estimated monthly cash flow for the first year of operation. Figures are presented in rough terms to reflect the expected revenue and costs.</w:t>
      </w: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825"/>
        <w:gridCol w:w="2798"/>
        <w:gridCol w:w="2624"/>
        <w:gridCol w:w="2492"/>
      </w:tblGrid>
      <w:tr w:rsidR="00D226DF" w:rsidRPr="00D226DF" w14:paraId="57C433B8" w14:textId="77777777" w:rsidTr="00D226DF">
        <w:trPr>
          <w:tblHeader/>
          <w:tblCellSpacing w:w="15" w:type="dxa"/>
        </w:trPr>
        <w:tc>
          <w:tcPr>
            <w:tcW w:w="0" w:type="auto"/>
            <w:shd w:val="clear" w:color="auto" w:fill="4C94D8" w:themeFill="text2" w:themeFillTint="80"/>
            <w:vAlign w:val="center"/>
            <w:hideMark/>
          </w:tcPr>
          <w:p w14:paraId="2DA28F28" w14:textId="77777777" w:rsidR="00D226DF" w:rsidRPr="00D226DF" w:rsidRDefault="00D226DF" w:rsidP="00D226DF">
            <w:pPr>
              <w:spacing w:after="0" w:line="240" w:lineRule="auto"/>
              <w:jc w:val="center"/>
              <w:rPr>
                <w:rFonts w:ascii="Arial" w:eastAsia="Times New Roman" w:hAnsi="Arial" w:cs="Arial"/>
                <w:b/>
                <w:bCs/>
                <w:kern w:val="0"/>
                <w:lang w:eastAsia="en-GB"/>
                <w14:ligatures w14:val="none"/>
              </w:rPr>
            </w:pPr>
            <w:r w:rsidRPr="00D226DF">
              <w:rPr>
                <w:rFonts w:ascii="Arial" w:eastAsia="Times New Roman" w:hAnsi="Arial" w:cs="Arial"/>
                <w:b/>
                <w:bCs/>
                <w:kern w:val="0"/>
                <w:lang w:eastAsia="en-GB"/>
                <w14:ligatures w14:val="none"/>
              </w:rPr>
              <w:t>Month</w:t>
            </w:r>
          </w:p>
        </w:tc>
        <w:tc>
          <w:tcPr>
            <w:tcW w:w="0" w:type="auto"/>
            <w:shd w:val="clear" w:color="auto" w:fill="4C94D8" w:themeFill="text2" w:themeFillTint="80"/>
            <w:vAlign w:val="center"/>
            <w:hideMark/>
          </w:tcPr>
          <w:p w14:paraId="505AC23A" w14:textId="77777777" w:rsidR="00D226DF" w:rsidRPr="00D226DF" w:rsidRDefault="00D226DF" w:rsidP="00D226DF">
            <w:pPr>
              <w:spacing w:after="0" w:line="240" w:lineRule="auto"/>
              <w:jc w:val="center"/>
              <w:rPr>
                <w:rFonts w:ascii="Arial" w:eastAsia="Times New Roman" w:hAnsi="Arial" w:cs="Arial"/>
                <w:b/>
                <w:bCs/>
                <w:kern w:val="0"/>
                <w:lang w:eastAsia="en-GB"/>
                <w14:ligatures w14:val="none"/>
              </w:rPr>
            </w:pPr>
            <w:r w:rsidRPr="00D226DF">
              <w:rPr>
                <w:rFonts w:ascii="Arial" w:eastAsia="Times New Roman" w:hAnsi="Arial" w:cs="Arial"/>
                <w:b/>
                <w:bCs/>
                <w:kern w:val="0"/>
                <w:lang w:eastAsia="en-GB"/>
                <w14:ligatures w14:val="none"/>
              </w:rPr>
              <w:t>Expected Income (USD)</w:t>
            </w:r>
          </w:p>
        </w:tc>
        <w:tc>
          <w:tcPr>
            <w:tcW w:w="0" w:type="auto"/>
            <w:shd w:val="clear" w:color="auto" w:fill="4C94D8" w:themeFill="text2" w:themeFillTint="80"/>
            <w:vAlign w:val="center"/>
            <w:hideMark/>
          </w:tcPr>
          <w:p w14:paraId="44DA1CF6" w14:textId="77777777" w:rsidR="00D226DF" w:rsidRPr="00D226DF" w:rsidRDefault="00D226DF" w:rsidP="00D226DF">
            <w:pPr>
              <w:spacing w:after="0" w:line="240" w:lineRule="auto"/>
              <w:jc w:val="center"/>
              <w:rPr>
                <w:rFonts w:ascii="Arial" w:eastAsia="Times New Roman" w:hAnsi="Arial" w:cs="Arial"/>
                <w:b/>
                <w:bCs/>
                <w:kern w:val="0"/>
                <w:lang w:eastAsia="en-GB"/>
                <w14:ligatures w14:val="none"/>
              </w:rPr>
            </w:pPr>
            <w:r w:rsidRPr="00D226DF">
              <w:rPr>
                <w:rFonts w:ascii="Arial" w:eastAsia="Times New Roman" w:hAnsi="Arial" w:cs="Arial"/>
                <w:b/>
                <w:bCs/>
                <w:kern w:val="0"/>
                <w:lang w:eastAsia="en-GB"/>
                <w14:ligatures w14:val="none"/>
              </w:rPr>
              <w:t>Expected Costs (USD)</w:t>
            </w:r>
          </w:p>
        </w:tc>
        <w:tc>
          <w:tcPr>
            <w:tcW w:w="0" w:type="auto"/>
            <w:shd w:val="clear" w:color="auto" w:fill="4C94D8" w:themeFill="text2" w:themeFillTint="80"/>
            <w:vAlign w:val="center"/>
            <w:hideMark/>
          </w:tcPr>
          <w:p w14:paraId="7E95E6CD" w14:textId="77777777" w:rsidR="00D226DF" w:rsidRPr="00D226DF" w:rsidRDefault="00D226DF" w:rsidP="00D226DF">
            <w:pPr>
              <w:spacing w:after="0" w:line="240" w:lineRule="auto"/>
              <w:jc w:val="center"/>
              <w:rPr>
                <w:rFonts w:ascii="Arial" w:eastAsia="Times New Roman" w:hAnsi="Arial" w:cs="Arial"/>
                <w:b/>
                <w:bCs/>
                <w:kern w:val="0"/>
                <w:lang w:eastAsia="en-GB"/>
                <w14:ligatures w14:val="none"/>
              </w:rPr>
            </w:pPr>
            <w:r w:rsidRPr="00D226DF">
              <w:rPr>
                <w:rFonts w:ascii="Arial" w:eastAsia="Times New Roman" w:hAnsi="Arial" w:cs="Arial"/>
                <w:b/>
                <w:bCs/>
                <w:kern w:val="0"/>
                <w:lang w:eastAsia="en-GB"/>
                <w14:ligatures w14:val="none"/>
              </w:rPr>
              <w:t>Net Cash Flow (USD)</w:t>
            </w:r>
          </w:p>
        </w:tc>
      </w:tr>
      <w:tr w:rsidR="00D226DF" w:rsidRPr="00D226DF" w14:paraId="38BFFE93" w14:textId="77777777" w:rsidTr="00D226DF">
        <w:trPr>
          <w:tblCellSpacing w:w="15" w:type="dxa"/>
        </w:trPr>
        <w:tc>
          <w:tcPr>
            <w:tcW w:w="0" w:type="auto"/>
            <w:vAlign w:val="center"/>
            <w:hideMark/>
          </w:tcPr>
          <w:p w14:paraId="1D00ED64"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w:t>
            </w:r>
          </w:p>
        </w:tc>
        <w:tc>
          <w:tcPr>
            <w:tcW w:w="0" w:type="auto"/>
            <w:vAlign w:val="center"/>
            <w:hideMark/>
          </w:tcPr>
          <w:p w14:paraId="479FDD1C"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0</w:t>
            </w:r>
          </w:p>
        </w:tc>
        <w:tc>
          <w:tcPr>
            <w:tcW w:w="0" w:type="auto"/>
            <w:vAlign w:val="center"/>
            <w:hideMark/>
          </w:tcPr>
          <w:p w14:paraId="5AF25576"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25,000</w:t>
            </w:r>
          </w:p>
        </w:tc>
        <w:tc>
          <w:tcPr>
            <w:tcW w:w="0" w:type="auto"/>
            <w:vAlign w:val="center"/>
            <w:hideMark/>
          </w:tcPr>
          <w:p w14:paraId="1DC564FD"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-25,000</w:t>
            </w:r>
          </w:p>
        </w:tc>
      </w:tr>
      <w:tr w:rsidR="00D226DF" w:rsidRPr="00D226DF" w14:paraId="56EB2131" w14:textId="77777777" w:rsidTr="00D226DF">
        <w:trPr>
          <w:tblCellSpacing w:w="15" w:type="dxa"/>
        </w:trPr>
        <w:tc>
          <w:tcPr>
            <w:tcW w:w="0" w:type="auto"/>
            <w:vAlign w:val="center"/>
            <w:hideMark/>
          </w:tcPr>
          <w:p w14:paraId="38961DE0"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w:t>
            </w:r>
          </w:p>
        </w:tc>
        <w:tc>
          <w:tcPr>
            <w:tcW w:w="0" w:type="auto"/>
            <w:vAlign w:val="center"/>
            <w:hideMark/>
          </w:tcPr>
          <w:p w14:paraId="7204F75C"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5,000</w:t>
            </w:r>
          </w:p>
        </w:tc>
        <w:tc>
          <w:tcPr>
            <w:tcW w:w="0" w:type="auto"/>
            <w:vAlign w:val="center"/>
            <w:hideMark/>
          </w:tcPr>
          <w:p w14:paraId="43926E39"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15,000</w:t>
            </w:r>
          </w:p>
        </w:tc>
        <w:tc>
          <w:tcPr>
            <w:tcW w:w="0" w:type="auto"/>
            <w:vAlign w:val="center"/>
            <w:hideMark/>
          </w:tcPr>
          <w:p w14:paraId="639B467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-10,000</w:t>
            </w:r>
          </w:p>
        </w:tc>
      </w:tr>
      <w:tr w:rsidR="00D226DF" w:rsidRPr="00D226DF" w14:paraId="60937685" w14:textId="77777777" w:rsidTr="00D226DF">
        <w:trPr>
          <w:tblCellSpacing w:w="15" w:type="dxa"/>
        </w:trPr>
        <w:tc>
          <w:tcPr>
            <w:tcW w:w="0" w:type="auto"/>
            <w:vAlign w:val="center"/>
            <w:hideMark/>
          </w:tcPr>
          <w:p w14:paraId="1565261A"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3</w:t>
            </w:r>
          </w:p>
        </w:tc>
        <w:tc>
          <w:tcPr>
            <w:tcW w:w="0" w:type="auto"/>
            <w:vAlign w:val="center"/>
            <w:hideMark/>
          </w:tcPr>
          <w:p w14:paraId="647369FE"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10,000</w:t>
            </w:r>
          </w:p>
        </w:tc>
        <w:tc>
          <w:tcPr>
            <w:tcW w:w="0" w:type="auto"/>
            <w:vAlign w:val="center"/>
            <w:hideMark/>
          </w:tcPr>
          <w:p w14:paraId="3AB6181B"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15,000</w:t>
            </w:r>
          </w:p>
        </w:tc>
        <w:tc>
          <w:tcPr>
            <w:tcW w:w="0" w:type="auto"/>
            <w:vAlign w:val="center"/>
            <w:hideMark/>
          </w:tcPr>
          <w:p w14:paraId="76C78DAF"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-5,000</w:t>
            </w:r>
          </w:p>
        </w:tc>
      </w:tr>
      <w:tr w:rsidR="00D226DF" w:rsidRPr="00D226DF" w14:paraId="43034413" w14:textId="77777777" w:rsidTr="00D226DF">
        <w:trPr>
          <w:tblCellSpacing w:w="15" w:type="dxa"/>
        </w:trPr>
        <w:tc>
          <w:tcPr>
            <w:tcW w:w="0" w:type="auto"/>
            <w:vAlign w:val="center"/>
            <w:hideMark/>
          </w:tcPr>
          <w:p w14:paraId="1436C794"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4</w:t>
            </w:r>
          </w:p>
        </w:tc>
        <w:tc>
          <w:tcPr>
            <w:tcW w:w="0" w:type="auto"/>
            <w:vAlign w:val="center"/>
            <w:hideMark/>
          </w:tcPr>
          <w:p w14:paraId="1493248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15,000</w:t>
            </w:r>
          </w:p>
        </w:tc>
        <w:tc>
          <w:tcPr>
            <w:tcW w:w="0" w:type="auto"/>
            <w:vAlign w:val="center"/>
            <w:hideMark/>
          </w:tcPr>
          <w:p w14:paraId="6BED0583"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15,000</w:t>
            </w:r>
          </w:p>
        </w:tc>
        <w:tc>
          <w:tcPr>
            <w:tcW w:w="0" w:type="auto"/>
            <w:vAlign w:val="center"/>
            <w:hideMark/>
          </w:tcPr>
          <w:p w14:paraId="7EF974D0"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0</w:t>
            </w:r>
          </w:p>
        </w:tc>
      </w:tr>
      <w:tr w:rsidR="00D226DF" w:rsidRPr="00D226DF" w14:paraId="1615A335" w14:textId="77777777" w:rsidTr="00D226DF">
        <w:trPr>
          <w:tblCellSpacing w:w="15" w:type="dxa"/>
        </w:trPr>
        <w:tc>
          <w:tcPr>
            <w:tcW w:w="0" w:type="auto"/>
            <w:vAlign w:val="center"/>
            <w:hideMark/>
          </w:tcPr>
          <w:p w14:paraId="6F57781F"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5</w:t>
            </w:r>
          </w:p>
        </w:tc>
        <w:tc>
          <w:tcPr>
            <w:tcW w:w="0" w:type="auto"/>
            <w:vAlign w:val="center"/>
            <w:hideMark/>
          </w:tcPr>
          <w:p w14:paraId="09A83AB2"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20,000</w:t>
            </w:r>
          </w:p>
        </w:tc>
        <w:tc>
          <w:tcPr>
            <w:tcW w:w="0" w:type="auto"/>
            <w:vAlign w:val="center"/>
            <w:hideMark/>
          </w:tcPr>
          <w:p w14:paraId="15E074D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16,000</w:t>
            </w:r>
          </w:p>
        </w:tc>
        <w:tc>
          <w:tcPr>
            <w:tcW w:w="0" w:type="auto"/>
            <w:vAlign w:val="center"/>
            <w:hideMark/>
          </w:tcPr>
          <w:p w14:paraId="5EEF1C18"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4,000</w:t>
            </w:r>
          </w:p>
        </w:tc>
      </w:tr>
      <w:tr w:rsidR="00D226DF" w:rsidRPr="00D226DF" w14:paraId="4CCCB755" w14:textId="77777777" w:rsidTr="00D226DF">
        <w:trPr>
          <w:tblCellSpacing w:w="15" w:type="dxa"/>
        </w:trPr>
        <w:tc>
          <w:tcPr>
            <w:tcW w:w="0" w:type="auto"/>
            <w:vAlign w:val="center"/>
            <w:hideMark/>
          </w:tcPr>
          <w:p w14:paraId="5722DD9A"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6</w:t>
            </w:r>
          </w:p>
        </w:tc>
        <w:tc>
          <w:tcPr>
            <w:tcW w:w="0" w:type="auto"/>
            <w:vAlign w:val="center"/>
            <w:hideMark/>
          </w:tcPr>
          <w:p w14:paraId="6F9C435F"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25,000</w:t>
            </w:r>
          </w:p>
        </w:tc>
        <w:tc>
          <w:tcPr>
            <w:tcW w:w="0" w:type="auto"/>
            <w:vAlign w:val="center"/>
            <w:hideMark/>
          </w:tcPr>
          <w:p w14:paraId="58D178F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17,000</w:t>
            </w:r>
          </w:p>
        </w:tc>
        <w:tc>
          <w:tcPr>
            <w:tcW w:w="0" w:type="auto"/>
            <w:vAlign w:val="center"/>
            <w:hideMark/>
          </w:tcPr>
          <w:p w14:paraId="771A7378"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8,000</w:t>
            </w:r>
          </w:p>
        </w:tc>
      </w:tr>
      <w:tr w:rsidR="00D226DF" w:rsidRPr="00D226DF" w14:paraId="50C5CDEA" w14:textId="77777777" w:rsidTr="00D226DF">
        <w:trPr>
          <w:tblCellSpacing w:w="15" w:type="dxa"/>
        </w:trPr>
        <w:tc>
          <w:tcPr>
            <w:tcW w:w="0" w:type="auto"/>
            <w:vAlign w:val="center"/>
            <w:hideMark/>
          </w:tcPr>
          <w:p w14:paraId="64A211B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7</w:t>
            </w:r>
          </w:p>
        </w:tc>
        <w:tc>
          <w:tcPr>
            <w:tcW w:w="0" w:type="auto"/>
            <w:vAlign w:val="center"/>
            <w:hideMark/>
          </w:tcPr>
          <w:p w14:paraId="388E9184"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30,000</w:t>
            </w:r>
          </w:p>
        </w:tc>
        <w:tc>
          <w:tcPr>
            <w:tcW w:w="0" w:type="auto"/>
            <w:vAlign w:val="center"/>
            <w:hideMark/>
          </w:tcPr>
          <w:p w14:paraId="50714E58"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18,000</w:t>
            </w:r>
          </w:p>
        </w:tc>
        <w:tc>
          <w:tcPr>
            <w:tcW w:w="0" w:type="auto"/>
            <w:vAlign w:val="center"/>
            <w:hideMark/>
          </w:tcPr>
          <w:p w14:paraId="25D75432"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12,000</w:t>
            </w:r>
          </w:p>
        </w:tc>
      </w:tr>
      <w:tr w:rsidR="00D226DF" w:rsidRPr="00D226DF" w14:paraId="10AE5287" w14:textId="77777777" w:rsidTr="00D226DF">
        <w:trPr>
          <w:tblCellSpacing w:w="15" w:type="dxa"/>
        </w:trPr>
        <w:tc>
          <w:tcPr>
            <w:tcW w:w="0" w:type="auto"/>
            <w:vAlign w:val="center"/>
            <w:hideMark/>
          </w:tcPr>
          <w:p w14:paraId="4F797C59"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8</w:t>
            </w:r>
          </w:p>
        </w:tc>
        <w:tc>
          <w:tcPr>
            <w:tcW w:w="0" w:type="auto"/>
            <w:vAlign w:val="center"/>
            <w:hideMark/>
          </w:tcPr>
          <w:p w14:paraId="02A44338"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35,000</w:t>
            </w:r>
          </w:p>
        </w:tc>
        <w:tc>
          <w:tcPr>
            <w:tcW w:w="0" w:type="auto"/>
            <w:vAlign w:val="center"/>
            <w:hideMark/>
          </w:tcPr>
          <w:p w14:paraId="72B3697F"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20,000</w:t>
            </w:r>
          </w:p>
        </w:tc>
        <w:tc>
          <w:tcPr>
            <w:tcW w:w="0" w:type="auto"/>
            <w:vAlign w:val="center"/>
            <w:hideMark/>
          </w:tcPr>
          <w:p w14:paraId="67E32925"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15,000</w:t>
            </w:r>
          </w:p>
        </w:tc>
      </w:tr>
      <w:tr w:rsidR="00D226DF" w:rsidRPr="00D226DF" w14:paraId="2E24595F" w14:textId="77777777" w:rsidTr="00D226DF">
        <w:trPr>
          <w:tblCellSpacing w:w="15" w:type="dxa"/>
        </w:trPr>
        <w:tc>
          <w:tcPr>
            <w:tcW w:w="0" w:type="auto"/>
            <w:vAlign w:val="center"/>
            <w:hideMark/>
          </w:tcPr>
          <w:p w14:paraId="0AA0AF9B"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9</w:t>
            </w:r>
          </w:p>
        </w:tc>
        <w:tc>
          <w:tcPr>
            <w:tcW w:w="0" w:type="auto"/>
            <w:vAlign w:val="center"/>
            <w:hideMark/>
          </w:tcPr>
          <w:p w14:paraId="517D8761"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40,000</w:t>
            </w:r>
          </w:p>
        </w:tc>
        <w:tc>
          <w:tcPr>
            <w:tcW w:w="0" w:type="auto"/>
            <w:vAlign w:val="center"/>
            <w:hideMark/>
          </w:tcPr>
          <w:p w14:paraId="57BF654F"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22,000</w:t>
            </w:r>
          </w:p>
        </w:tc>
        <w:tc>
          <w:tcPr>
            <w:tcW w:w="0" w:type="auto"/>
            <w:vAlign w:val="center"/>
            <w:hideMark/>
          </w:tcPr>
          <w:p w14:paraId="649E7611"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18,000</w:t>
            </w:r>
          </w:p>
        </w:tc>
      </w:tr>
      <w:tr w:rsidR="00D226DF" w:rsidRPr="00D226DF" w14:paraId="0F7538FE" w14:textId="77777777" w:rsidTr="00D226DF">
        <w:trPr>
          <w:tblCellSpacing w:w="15" w:type="dxa"/>
        </w:trPr>
        <w:tc>
          <w:tcPr>
            <w:tcW w:w="0" w:type="auto"/>
            <w:vAlign w:val="center"/>
            <w:hideMark/>
          </w:tcPr>
          <w:p w14:paraId="43855A44"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10</w:t>
            </w:r>
          </w:p>
        </w:tc>
        <w:tc>
          <w:tcPr>
            <w:tcW w:w="0" w:type="auto"/>
            <w:vAlign w:val="center"/>
            <w:hideMark/>
          </w:tcPr>
          <w:p w14:paraId="6DE4CADA"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45,000</w:t>
            </w:r>
          </w:p>
        </w:tc>
        <w:tc>
          <w:tcPr>
            <w:tcW w:w="0" w:type="auto"/>
            <w:vAlign w:val="center"/>
            <w:hideMark/>
          </w:tcPr>
          <w:p w14:paraId="7D46F97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25,000</w:t>
            </w:r>
          </w:p>
        </w:tc>
        <w:tc>
          <w:tcPr>
            <w:tcW w:w="0" w:type="auto"/>
            <w:vAlign w:val="center"/>
            <w:hideMark/>
          </w:tcPr>
          <w:p w14:paraId="26DD3634"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20,000</w:t>
            </w:r>
          </w:p>
        </w:tc>
      </w:tr>
      <w:tr w:rsidR="00D226DF" w:rsidRPr="00D226DF" w14:paraId="5C1DD607" w14:textId="77777777" w:rsidTr="00D226DF">
        <w:trPr>
          <w:tblCellSpacing w:w="15" w:type="dxa"/>
        </w:trPr>
        <w:tc>
          <w:tcPr>
            <w:tcW w:w="0" w:type="auto"/>
            <w:vAlign w:val="center"/>
            <w:hideMark/>
          </w:tcPr>
          <w:p w14:paraId="1F18226C"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11</w:t>
            </w:r>
          </w:p>
        </w:tc>
        <w:tc>
          <w:tcPr>
            <w:tcW w:w="0" w:type="auto"/>
            <w:vAlign w:val="center"/>
            <w:hideMark/>
          </w:tcPr>
          <w:p w14:paraId="7BED3AE9"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50,000</w:t>
            </w:r>
          </w:p>
        </w:tc>
        <w:tc>
          <w:tcPr>
            <w:tcW w:w="0" w:type="auto"/>
            <w:vAlign w:val="center"/>
            <w:hideMark/>
          </w:tcPr>
          <w:p w14:paraId="56F9E6E4"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27,000</w:t>
            </w:r>
          </w:p>
        </w:tc>
        <w:tc>
          <w:tcPr>
            <w:tcW w:w="0" w:type="auto"/>
            <w:vAlign w:val="center"/>
            <w:hideMark/>
          </w:tcPr>
          <w:p w14:paraId="4C1BA88C"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23,000</w:t>
            </w:r>
          </w:p>
        </w:tc>
      </w:tr>
      <w:tr w:rsidR="00D226DF" w:rsidRPr="00D226DF" w14:paraId="5C31780B" w14:textId="77777777" w:rsidTr="00D226DF">
        <w:trPr>
          <w:tblCellSpacing w:w="15" w:type="dxa"/>
        </w:trPr>
        <w:tc>
          <w:tcPr>
            <w:tcW w:w="0" w:type="auto"/>
            <w:vAlign w:val="center"/>
            <w:hideMark/>
          </w:tcPr>
          <w:p w14:paraId="7FA8BC35"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12</w:t>
            </w:r>
          </w:p>
        </w:tc>
        <w:tc>
          <w:tcPr>
            <w:tcW w:w="0" w:type="auto"/>
            <w:vAlign w:val="center"/>
            <w:hideMark/>
          </w:tcPr>
          <w:p w14:paraId="07492C27"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55,000</w:t>
            </w:r>
          </w:p>
        </w:tc>
        <w:tc>
          <w:tcPr>
            <w:tcW w:w="0" w:type="auto"/>
            <w:vAlign w:val="center"/>
            <w:hideMark/>
          </w:tcPr>
          <w:p w14:paraId="1D2F810D"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30,000</w:t>
            </w:r>
          </w:p>
        </w:tc>
        <w:tc>
          <w:tcPr>
            <w:tcW w:w="0" w:type="auto"/>
            <w:vAlign w:val="center"/>
            <w:hideMark/>
          </w:tcPr>
          <w:p w14:paraId="4276A1FE" w14:textId="77777777" w:rsidR="00D226DF" w:rsidRPr="00D226DF" w:rsidRDefault="00D226DF" w:rsidP="00D226DF">
            <w:pPr>
              <w:spacing w:after="0" w:line="240" w:lineRule="auto"/>
              <w:rPr>
                <w:rFonts w:ascii="Arial" w:eastAsia="Times New Roman" w:hAnsi="Arial" w:cs="Arial"/>
                <w:kern w:val="0"/>
                <w:lang w:eastAsia="en-GB"/>
                <w14:ligatures w14:val="none"/>
              </w:rPr>
            </w:pPr>
            <w:r w:rsidRPr="00D226DF">
              <w:rPr>
                <w:rFonts w:ascii="Arial" w:eastAsia="Times New Roman" w:hAnsi="Arial" w:cs="Arial"/>
                <w:kern w:val="0"/>
                <w:lang w:eastAsia="en-GB"/>
                <w14:ligatures w14:val="none"/>
              </w:rPr>
              <w:t>25,000</w:t>
            </w:r>
          </w:p>
        </w:tc>
      </w:tr>
    </w:tbl>
    <w:p w14:paraId="7723495E" w14:textId="77777777" w:rsidR="00D226DF" w:rsidRDefault="00544041" w:rsidP="00D226DF">
      <w:pPr>
        <w:spacing w:line="480" w:lineRule="auto"/>
        <w:rPr>
          <w:rFonts w:ascii="Arial" w:hAnsi="Arial" w:cs="Arial"/>
        </w:rPr>
      </w:pPr>
      <w:r w:rsidRPr="00D226DF">
        <w:rPr>
          <w:rFonts w:ascii="Arial" w:hAnsi="Arial" w:cs="Arial"/>
        </w:rPr>
        <w:br/>
        <w:t xml:space="preserve">Losses are expected in the first few months </w:t>
      </w:r>
      <w:r w:rsidR="00D226DF" w:rsidRPr="00D226DF">
        <w:rPr>
          <w:rFonts w:ascii="Arial" w:hAnsi="Arial" w:cs="Arial"/>
        </w:rPr>
        <w:t>because of</w:t>
      </w:r>
      <w:r w:rsidRPr="00D226DF">
        <w:rPr>
          <w:rFonts w:ascii="Arial" w:hAnsi="Arial" w:cs="Arial"/>
        </w:rPr>
        <w:t xml:space="preserve"> equipment purchases, facility setup, and marketing expenses. Revenues are projected to steadily rise as production ramps up and reliable client relationships develop. By the fourth month, cash flow is expected to break even, with profitability progressively increasing thereafter. These financial calculations are based on conservative sales projections and reasonable assumptions about raw material costs and production efficiency. In keeping with the integrated value proposition, the goal is to achieve profitability while also having measurable social and environmental effect (Emerson, 2003; CAF Venturesome, 2008).</w:t>
      </w:r>
      <w:r w:rsidRPr="00D226DF">
        <w:rPr>
          <w:rFonts w:ascii="Arial" w:hAnsi="Arial" w:cs="Arial"/>
        </w:rPr>
        <w:br/>
      </w:r>
    </w:p>
    <w:p w14:paraId="21F55C65" w14:textId="77777777" w:rsidR="00D226DF" w:rsidRPr="00D226DF" w:rsidRDefault="00544041" w:rsidP="00D226DF">
      <w:pPr>
        <w:pStyle w:val="ListParagraph"/>
        <w:numPr>
          <w:ilvl w:val="0"/>
          <w:numId w:val="1"/>
        </w:numPr>
        <w:spacing w:line="480" w:lineRule="auto"/>
        <w:rPr>
          <w:rFonts w:ascii="Arial Black" w:hAnsi="Arial Black" w:cs="Arial"/>
        </w:rPr>
      </w:pPr>
      <w:r w:rsidRPr="00D226DF">
        <w:rPr>
          <w:rFonts w:ascii="Arial Black" w:hAnsi="Arial Black" w:cs="Arial"/>
        </w:rPr>
        <w:lastRenderedPageBreak/>
        <w:t>Contingency Plan</w:t>
      </w:r>
    </w:p>
    <w:p w14:paraId="6C42C23E" w14:textId="77777777" w:rsidR="00D226DF" w:rsidRDefault="00544041" w:rsidP="00D226DF">
      <w:pPr>
        <w:spacing w:line="480" w:lineRule="auto"/>
        <w:rPr>
          <w:rFonts w:ascii="Arial" w:hAnsi="Arial" w:cs="Arial"/>
        </w:rPr>
      </w:pPr>
      <w:r w:rsidRPr="00D226DF">
        <w:rPr>
          <w:rFonts w:ascii="Arial" w:hAnsi="Arial" w:cs="Arial"/>
        </w:rPr>
        <w:t xml:space="preserve">TerraCraft Packaging understands that unexpected incidents can affect manufacturing and supply chains. The contingency plan prioritises a consistent supply of raw materials by diversifying ties with diverse farms. If a drought or a policy shift reduces supply, the company will </w:t>
      </w:r>
      <w:r w:rsidR="00D226DF" w:rsidRPr="00D226DF">
        <w:rPr>
          <w:rFonts w:ascii="Arial" w:hAnsi="Arial" w:cs="Arial"/>
        </w:rPr>
        <w:t>investigate</w:t>
      </w:r>
      <w:r w:rsidRPr="00D226DF">
        <w:rPr>
          <w:rFonts w:ascii="Arial" w:hAnsi="Arial" w:cs="Arial"/>
        </w:rPr>
        <w:t xml:space="preserve"> new fibre sources or arrange supply contracts with places less influenced by climate changes. The corporation also intends to keep sufficient cash reserves to weather economic downturns, allowing it to continue operating while modifying pricing or redirecting marketing efforts. If market conditions need faster expansion than expected, TerraCraft Packaging will seek short-term finance and form joint ventures with complementary packaging businesses (McGrath, 2010; Chesbrough, 2010).</w:t>
      </w:r>
    </w:p>
    <w:p w14:paraId="4501DA07" w14:textId="77777777" w:rsidR="00D226DF" w:rsidRDefault="00544041" w:rsidP="00D226DF">
      <w:pPr>
        <w:spacing w:line="480" w:lineRule="auto"/>
        <w:rPr>
          <w:rFonts w:ascii="Arial" w:hAnsi="Arial" w:cs="Arial"/>
        </w:rPr>
      </w:pPr>
      <w:r w:rsidRPr="00D226DF">
        <w:rPr>
          <w:rFonts w:ascii="Arial" w:hAnsi="Arial" w:cs="Arial"/>
        </w:rPr>
        <w:t>If a major competitor introduces a similar product, TerraCraft Packaging will distinguish itself by increasing transparency about its local sourcing processes and expanding the range of compostable solutions to maintain a compelling product offering (Casadesus-</w:t>
      </w:r>
      <w:proofErr w:type="spellStart"/>
      <w:r w:rsidRPr="00D226DF">
        <w:rPr>
          <w:rFonts w:ascii="Arial" w:hAnsi="Arial" w:cs="Arial"/>
        </w:rPr>
        <w:t>Masanell</w:t>
      </w:r>
      <w:proofErr w:type="spellEnd"/>
      <w:r w:rsidRPr="00D226DF">
        <w:rPr>
          <w:rFonts w:ascii="Arial" w:hAnsi="Arial" w:cs="Arial"/>
        </w:rPr>
        <w:t xml:space="preserve"> and Ricart, 2010). The enterprise's social mission of community participation and employment development is an additional competitive advantage that encourages consumer loyalty among those who value corporate social responsibility (Pattinson, 2015). The contingency plan's proactive approach to risk management represents the broader ethos of responsible entrepreneurship, guaranteeing that the company can stay adaptable, financially secure, and ecologically conscious in an ever-changing marketplace.</w:t>
      </w:r>
    </w:p>
    <w:p w14:paraId="3067A826" w14:textId="77777777" w:rsidR="00D226DF" w:rsidRDefault="00D226DF" w:rsidP="00D226DF">
      <w:pPr>
        <w:spacing w:line="480" w:lineRule="auto"/>
        <w:rPr>
          <w:rFonts w:ascii="Arial" w:hAnsi="Arial" w:cs="Arial"/>
        </w:rPr>
      </w:pPr>
    </w:p>
    <w:p w14:paraId="0E291E12" w14:textId="77777777" w:rsidR="00D226DF" w:rsidRDefault="00D226DF" w:rsidP="00D226DF">
      <w:pPr>
        <w:spacing w:line="480" w:lineRule="auto"/>
        <w:rPr>
          <w:rFonts w:ascii="Arial" w:hAnsi="Arial" w:cs="Arial"/>
        </w:rPr>
      </w:pPr>
    </w:p>
    <w:p w14:paraId="6CDEE0AC" w14:textId="77777777" w:rsidR="00D226DF" w:rsidRPr="00D226DF" w:rsidRDefault="00544041" w:rsidP="00D226DF">
      <w:pPr>
        <w:pStyle w:val="ListParagraph"/>
        <w:numPr>
          <w:ilvl w:val="0"/>
          <w:numId w:val="1"/>
        </w:numPr>
        <w:spacing w:line="480" w:lineRule="auto"/>
        <w:rPr>
          <w:rFonts w:ascii="Arial" w:hAnsi="Arial" w:cs="Arial"/>
        </w:rPr>
      </w:pPr>
      <w:r w:rsidRPr="00D226DF">
        <w:rPr>
          <w:rFonts w:ascii="Arial Black" w:hAnsi="Arial Black" w:cs="Arial"/>
        </w:rPr>
        <w:lastRenderedPageBreak/>
        <w:t>Conclusion</w:t>
      </w:r>
    </w:p>
    <w:p w14:paraId="69007A26" w14:textId="77777777" w:rsidR="00D226DF" w:rsidRDefault="00544041" w:rsidP="00D226DF">
      <w:pPr>
        <w:spacing w:line="480" w:lineRule="auto"/>
        <w:rPr>
          <w:rFonts w:ascii="Arial" w:hAnsi="Arial" w:cs="Arial"/>
        </w:rPr>
      </w:pPr>
      <w:r w:rsidRPr="00D226DF">
        <w:rPr>
          <w:rFonts w:ascii="Arial" w:hAnsi="Arial" w:cs="Arial"/>
        </w:rPr>
        <w:t>TerraCraft Packaging is poised to become a disruptive force in the packaging business by offering biodegradable alternatives that solve urgent environmental and social concerns. The company concept emphasises local procurement of agricultural byproducts, community employment possibilities, and strong environmental safeguards. In line with social enterprise principles, the company integrates financial viability and social impact, aiming for a break-even point within the first year of operations and achieving consistent profitability beyond that. Despite potential obstacles in supplier stability, competitiveness, and economic volatility, TerraCraft Packaging's preparedness is demonstrated by its contingency plans and wise resource allocation.</w:t>
      </w:r>
    </w:p>
    <w:p w14:paraId="0018591E" w14:textId="77777777" w:rsidR="00D226DF" w:rsidRDefault="00544041" w:rsidP="00D226DF">
      <w:pPr>
        <w:spacing w:line="480" w:lineRule="auto"/>
        <w:rPr>
          <w:rFonts w:ascii="Arial" w:hAnsi="Arial" w:cs="Arial"/>
        </w:rPr>
      </w:pPr>
      <w:r w:rsidRPr="00D226DF">
        <w:rPr>
          <w:rFonts w:ascii="Arial" w:hAnsi="Arial" w:cs="Arial"/>
        </w:rPr>
        <w:t>The enterprise's marketing strategy raises customer knowledge of the environmental benefits of compostable packaging, which is becoming increasingly popular among both businesses and consumers. The PESTLE study identifies favourable legislative trends, technological advancements, and emerging societal dynamics that encourage widespread adoption of biodegradable packaging. Meanwhile, the SWOT analysis highlights the organization's particular competitive advantage while also identifying potential dangers that can be avoided through strategic planning.</w:t>
      </w:r>
    </w:p>
    <w:p w14:paraId="35148753" w14:textId="607B9537" w:rsidR="00544041" w:rsidRDefault="00544041" w:rsidP="00D226DF">
      <w:pPr>
        <w:spacing w:line="480" w:lineRule="auto"/>
        <w:rPr>
          <w:rFonts w:ascii="Arial" w:hAnsi="Arial" w:cs="Arial"/>
        </w:rPr>
      </w:pPr>
      <w:r w:rsidRPr="00D226DF">
        <w:rPr>
          <w:rFonts w:ascii="Arial" w:hAnsi="Arial" w:cs="Arial"/>
        </w:rPr>
        <w:t xml:space="preserve">TerraCraft Packaging exemplifies how environmental responsibility and economic acumen can coexist. This mixed approach to value creation is consistent with established frameworks for sustainable enterprise excellence (Edgeman and Eskildsen, 2014) and social entrepreneurship (Doyle Corner and Ho, 2010). As a result, TerraCraft Packaging is well-positioned to make a significant contribution to </w:t>
      </w:r>
      <w:r w:rsidRPr="00D226DF">
        <w:rPr>
          <w:rFonts w:ascii="Arial" w:hAnsi="Arial" w:cs="Arial"/>
        </w:rPr>
        <w:lastRenderedPageBreak/>
        <w:t>the transition away from plastic waste while also generating large long-term commercial and social gains.</w:t>
      </w:r>
    </w:p>
    <w:p w14:paraId="72067AA2" w14:textId="77777777" w:rsidR="00D226DF" w:rsidRDefault="00D226DF" w:rsidP="00D226DF">
      <w:pPr>
        <w:spacing w:line="480" w:lineRule="auto"/>
        <w:rPr>
          <w:rFonts w:ascii="Arial" w:hAnsi="Arial" w:cs="Arial"/>
        </w:rPr>
      </w:pPr>
    </w:p>
    <w:p w14:paraId="510CF0B8" w14:textId="77777777" w:rsidR="00D226DF" w:rsidRDefault="00D226DF" w:rsidP="00D226DF">
      <w:pPr>
        <w:spacing w:line="480" w:lineRule="auto"/>
        <w:rPr>
          <w:rFonts w:ascii="Arial" w:hAnsi="Arial" w:cs="Arial"/>
        </w:rPr>
      </w:pPr>
    </w:p>
    <w:p w14:paraId="37EF05FD" w14:textId="77777777" w:rsidR="00D226DF" w:rsidRDefault="00D226DF" w:rsidP="00D226DF">
      <w:pPr>
        <w:spacing w:line="480" w:lineRule="auto"/>
        <w:rPr>
          <w:rFonts w:ascii="Arial" w:hAnsi="Arial" w:cs="Arial"/>
        </w:rPr>
      </w:pPr>
    </w:p>
    <w:p w14:paraId="23414BE8" w14:textId="77777777" w:rsidR="00D226DF" w:rsidRDefault="00D226DF" w:rsidP="00D226DF">
      <w:pPr>
        <w:spacing w:line="480" w:lineRule="auto"/>
        <w:rPr>
          <w:rFonts w:ascii="Arial" w:hAnsi="Arial" w:cs="Arial"/>
        </w:rPr>
      </w:pPr>
    </w:p>
    <w:p w14:paraId="5F44BBAE" w14:textId="77777777" w:rsidR="00D226DF" w:rsidRDefault="00D226DF" w:rsidP="00D226DF">
      <w:pPr>
        <w:spacing w:line="480" w:lineRule="auto"/>
        <w:rPr>
          <w:rFonts w:ascii="Arial" w:hAnsi="Arial" w:cs="Arial"/>
        </w:rPr>
      </w:pPr>
    </w:p>
    <w:p w14:paraId="52F30787" w14:textId="77777777" w:rsidR="00D226DF" w:rsidRDefault="00D226DF" w:rsidP="00D226DF">
      <w:pPr>
        <w:spacing w:line="480" w:lineRule="auto"/>
        <w:rPr>
          <w:rFonts w:ascii="Arial" w:hAnsi="Arial" w:cs="Arial"/>
        </w:rPr>
      </w:pPr>
    </w:p>
    <w:p w14:paraId="256B6FAC" w14:textId="77777777" w:rsidR="00D226DF" w:rsidRDefault="00D226DF" w:rsidP="00D226DF">
      <w:pPr>
        <w:spacing w:line="480" w:lineRule="auto"/>
        <w:rPr>
          <w:rFonts w:ascii="Arial" w:hAnsi="Arial" w:cs="Arial"/>
        </w:rPr>
      </w:pPr>
    </w:p>
    <w:p w14:paraId="33CA6FE2" w14:textId="77777777" w:rsidR="00D226DF" w:rsidRDefault="00D226DF" w:rsidP="00D226DF">
      <w:pPr>
        <w:spacing w:line="480" w:lineRule="auto"/>
        <w:rPr>
          <w:rFonts w:ascii="Arial" w:hAnsi="Arial" w:cs="Arial"/>
        </w:rPr>
      </w:pPr>
    </w:p>
    <w:p w14:paraId="55F036FC" w14:textId="77777777" w:rsidR="00D226DF" w:rsidRDefault="00D226DF" w:rsidP="00D226DF">
      <w:pPr>
        <w:spacing w:line="480" w:lineRule="auto"/>
        <w:rPr>
          <w:rFonts w:ascii="Arial" w:hAnsi="Arial" w:cs="Arial"/>
        </w:rPr>
      </w:pPr>
    </w:p>
    <w:p w14:paraId="1D55FED8" w14:textId="77777777" w:rsidR="00D226DF" w:rsidRDefault="00D226DF" w:rsidP="00D226DF">
      <w:pPr>
        <w:spacing w:line="480" w:lineRule="auto"/>
        <w:rPr>
          <w:rFonts w:ascii="Arial" w:hAnsi="Arial" w:cs="Arial"/>
        </w:rPr>
      </w:pPr>
    </w:p>
    <w:p w14:paraId="336E2196" w14:textId="77777777" w:rsidR="00D226DF" w:rsidRDefault="00D226DF" w:rsidP="00D226DF">
      <w:pPr>
        <w:spacing w:line="480" w:lineRule="auto"/>
        <w:rPr>
          <w:rFonts w:ascii="Arial" w:hAnsi="Arial" w:cs="Arial"/>
        </w:rPr>
      </w:pPr>
    </w:p>
    <w:p w14:paraId="01845ADA" w14:textId="77777777" w:rsidR="00D226DF" w:rsidRDefault="00D226DF" w:rsidP="00D226DF">
      <w:pPr>
        <w:spacing w:line="480" w:lineRule="auto"/>
        <w:rPr>
          <w:rFonts w:ascii="Arial" w:hAnsi="Arial" w:cs="Arial"/>
        </w:rPr>
      </w:pPr>
    </w:p>
    <w:p w14:paraId="43DB6931" w14:textId="77777777" w:rsidR="00D226DF" w:rsidRDefault="00D226DF" w:rsidP="00D226DF">
      <w:pPr>
        <w:spacing w:line="480" w:lineRule="auto"/>
        <w:rPr>
          <w:rFonts w:ascii="Arial" w:hAnsi="Arial" w:cs="Arial"/>
        </w:rPr>
      </w:pPr>
    </w:p>
    <w:p w14:paraId="0C63398E" w14:textId="77777777" w:rsidR="00D226DF" w:rsidRDefault="00D226DF" w:rsidP="00D226DF">
      <w:pPr>
        <w:spacing w:line="480" w:lineRule="auto"/>
        <w:rPr>
          <w:rFonts w:ascii="Arial" w:hAnsi="Arial" w:cs="Arial"/>
        </w:rPr>
      </w:pPr>
    </w:p>
    <w:p w14:paraId="03418C04" w14:textId="77777777" w:rsidR="00D226DF" w:rsidRDefault="00D226DF" w:rsidP="00D226DF">
      <w:pPr>
        <w:spacing w:line="480" w:lineRule="auto"/>
        <w:rPr>
          <w:rFonts w:ascii="Arial" w:hAnsi="Arial" w:cs="Arial"/>
        </w:rPr>
      </w:pPr>
    </w:p>
    <w:p w14:paraId="4DAD34D1" w14:textId="77777777" w:rsidR="00D226DF" w:rsidRDefault="00D226DF" w:rsidP="00D226DF">
      <w:pPr>
        <w:spacing w:line="480" w:lineRule="auto"/>
        <w:rPr>
          <w:rFonts w:ascii="Arial" w:hAnsi="Arial" w:cs="Arial"/>
        </w:rPr>
      </w:pPr>
    </w:p>
    <w:p w14:paraId="3388AA61" w14:textId="77777777" w:rsidR="00D226DF" w:rsidRDefault="00D226DF" w:rsidP="00D226DF">
      <w:pPr>
        <w:spacing w:line="480" w:lineRule="auto"/>
        <w:rPr>
          <w:rFonts w:ascii="Arial" w:hAnsi="Arial" w:cs="Arial"/>
        </w:rPr>
      </w:pPr>
    </w:p>
    <w:p w14:paraId="7C50FAFF" w14:textId="77777777" w:rsidR="00D226DF" w:rsidRDefault="00D226DF" w:rsidP="00D226DF">
      <w:pPr>
        <w:spacing w:line="480" w:lineRule="auto"/>
        <w:rPr>
          <w:rFonts w:ascii="Arial" w:hAnsi="Arial" w:cs="Arial"/>
        </w:rPr>
      </w:pPr>
    </w:p>
    <w:p w14:paraId="004B395B" w14:textId="0341B079" w:rsidR="00D226DF" w:rsidRPr="00933E73" w:rsidRDefault="00D226DF" w:rsidP="00933E73">
      <w:pPr>
        <w:pStyle w:val="ListParagraph"/>
        <w:numPr>
          <w:ilvl w:val="0"/>
          <w:numId w:val="1"/>
        </w:numPr>
        <w:spacing w:line="480" w:lineRule="auto"/>
        <w:rPr>
          <w:rFonts w:ascii="Arial Black" w:hAnsi="Arial Black" w:cs="Arial"/>
        </w:rPr>
      </w:pPr>
      <w:r w:rsidRPr="00933E73">
        <w:rPr>
          <w:rFonts w:ascii="Arial Black" w:hAnsi="Arial Black" w:cs="Arial"/>
        </w:rPr>
        <w:lastRenderedPageBreak/>
        <w:t xml:space="preserve">References </w:t>
      </w:r>
    </w:p>
    <w:p w14:paraId="57B91A39" w14:textId="77777777" w:rsidR="00933E73" w:rsidRDefault="00933E73" w:rsidP="00933E73">
      <w:pPr>
        <w:spacing w:line="480" w:lineRule="auto"/>
        <w:rPr>
          <w:rFonts w:ascii="Arial" w:hAnsi="Arial" w:cs="Arial"/>
        </w:rPr>
      </w:pPr>
      <w:proofErr w:type="spellStart"/>
      <w:r w:rsidRPr="00933E73">
        <w:rPr>
          <w:rFonts w:ascii="Arial" w:hAnsi="Arial" w:cs="Arial"/>
        </w:rPr>
        <w:t>Biloshapka</w:t>
      </w:r>
      <w:proofErr w:type="spellEnd"/>
      <w:r w:rsidRPr="00933E73">
        <w:rPr>
          <w:rFonts w:ascii="Arial" w:hAnsi="Arial" w:cs="Arial"/>
        </w:rPr>
        <w:t xml:space="preserve">, V. and </w:t>
      </w:r>
      <w:proofErr w:type="spellStart"/>
      <w:r w:rsidRPr="00933E73">
        <w:rPr>
          <w:rFonts w:ascii="Arial" w:hAnsi="Arial" w:cs="Arial"/>
        </w:rPr>
        <w:t>Osiyevskyy</w:t>
      </w:r>
      <w:proofErr w:type="spellEnd"/>
      <w:r w:rsidRPr="00933E73">
        <w:rPr>
          <w:rFonts w:ascii="Arial" w:hAnsi="Arial" w:cs="Arial"/>
        </w:rPr>
        <w:t xml:space="preserve">, O. (2018) ‘Value creation mechanisms of business models: proposition, targeting, appropriation, and delivery’, </w:t>
      </w:r>
      <w:r w:rsidRPr="00933E73">
        <w:rPr>
          <w:rFonts w:ascii="Arial" w:hAnsi="Arial" w:cs="Arial"/>
          <w:i/>
          <w:iCs/>
        </w:rPr>
        <w:t>International Journal of Entrepreneurship and Innovation, 19</w:t>
      </w:r>
      <w:r w:rsidRPr="00933E73">
        <w:rPr>
          <w:rFonts w:ascii="Arial" w:hAnsi="Arial" w:cs="Arial"/>
        </w:rPr>
        <w:t>(3), pp. 166–176.</w:t>
      </w:r>
    </w:p>
    <w:p w14:paraId="1F5C84FB" w14:textId="06427F5B" w:rsidR="00933E73" w:rsidRPr="00933E73" w:rsidRDefault="00933E73" w:rsidP="00933E73">
      <w:pPr>
        <w:spacing w:line="480" w:lineRule="auto"/>
        <w:rPr>
          <w:rFonts w:ascii="Arial" w:hAnsi="Arial" w:cs="Arial"/>
        </w:rPr>
      </w:pPr>
      <w:r w:rsidRPr="00933E73">
        <w:rPr>
          <w:rFonts w:ascii="Arial" w:hAnsi="Arial" w:cs="Arial"/>
        </w:rPr>
        <w:t xml:space="preserve">CAF Venturesome (2008) Available at: </w:t>
      </w:r>
      <w:hyperlink r:id="rId5" w:history="1">
        <w:r w:rsidRPr="00F648E9">
          <w:rPr>
            <w:rStyle w:val="Hyperlink"/>
            <w:rFonts w:ascii="Arial" w:hAnsi="Arial" w:cs="Arial"/>
          </w:rPr>
          <w:t>https://www.cafonline.org/charities/borrowing/social-investment</w:t>
        </w:r>
      </w:hyperlink>
      <w:r>
        <w:rPr>
          <w:rFonts w:ascii="Arial" w:hAnsi="Arial" w:cs="Arial"/>
        </w:rPr>
        <w:t xml:space="preserve"> </w:t>
      </w:r>
    </w:p>
    <w:p w14:paraId="5CF4BE1C" w14:textId="77777777" w:rsidR="00933E73" w:rsidRPr="00933E73" w:rsidRDefault="00933E73" w:rsidP="00933E73">
      <w:pPr>
        <w:spacing w:line="480" w:lineRule="auto"/>
        <w:rPr>
          <w:rFonts w:ascii="Arial" w:hAnsi="Arial" w:cs="Arial"/>
        </w:rPr>
      </w:pPr>
      <w:r w:rsidRPr="00933E73">
        <w:rPr>
          <w:rFonts w:ascii="Arial" w:hAnsi="Arial" w:cs="Arial"/>
        </w:rPr>
        <w:t>Casadesus-</w:t>
      </w:r>
      <w:proofErr w:type="spellStart"/>
      <w:r w:rsidRPr="00933E73">
        <w:rPr>
          <w:rFonts w:ascii="Arial" w:hAnsi="Arial" w:cs="Arial"/>
        </w:rPr>
        <w:t>Masanell</w:t>
      </w:r>
      <w:proofErr w:type="spellEnd"/>
      <w:r w:rsidRPr="00933E73">
        <w:rPr>
          <w:rFonts w:ascii="Arial" w:hAnsi="Arial" w:cs="Arial"/>
        </w:rPr>
        <w:t xml:space="preserve">, R. and Ricart, J. E. (2010) ‘From strategy to business models and onto tactics’, </w:t>
      </w:r>
      <w:r w:rsidRPr="00933E73">
        <w:rPr>
          <w:rFonts w:ascii="Arial" w:hAnsi="Arial" w:cs="Arial"/>
          <w:i/>
          <w:iCs/>
        </w:rPr>
        <w:t>Long Range Planning, 43</w:t>
      </w:r>
      <w:r w:rsidRPr="00933E73">
        <w:rPr>
          <w:rFonts w:ascii="Arial" w:hAnsi="Arial" w:cs="Arial"/>
        </w:rPr>
        <w:t>(2), pp. 195–215.</w:t>
      </w:r>
    </w:p>
    <w:p w14:paraId="677B62FE" w14:textId="77777777" w:rsidR="00933E73" w:rsidRPr="00933E73" w:rsidRDefault="00933E73" w:rsidP="00933E73">
      <w:pPr>
        <w:spacing w:line="480" w:lineRule="auto"/>
        <w:rPr>
          <w:rFonts w:ascii="Arial" w:hAnsi="Arial" w:cs="Arial"/>
        </w:rPr>
      </w:pPr>
      <w:r w:rsidRPr="00933E73">
        <w:rPr>
          <w:rFonts w:ascii="Arial" w:hAnsi="Arial" w:cs="Arial"/>
        </w:rPr>
        <w:t xml:space="preserve">Chesbrough, H. (2010) ‘Business model innovation: opportunities and barriers’, </w:t>
      </w:r>
      <w:r w:rsidRPr="00933E73">
        <w:rPr>
          <w:rFonts w:ascii="Arial" w:hAnsi="Arial" w:cs="Arial"/>
          <w:i/>
          <w:iCs/>
        </w:rPr>
        <w:t>Long Range Planning, 43</w:t>
      </w:r>
      <w:r w:rsidRPr="00933E73">
        <w:rPr>
          <w:rFonts w:ascii="Arial" w:hAnsi="Arial" w:cs="Arial"/>
        </w:rPr>
        <w:t>(2-3), pp. 354–363.</w:t>
      </w:r>
    </w:p>
    <w:p w14:paraId="01BF701D" w14:textId="76EB59D7" w:rsidR="00933E73" w:rsidRPr="00933E73" w:rsidRDefault="00933E73" w:rsidP="00933E73">
      <w:pPr>
        <w:spacing w:line="480" w:lineRule="auto"/>
        <w:rPr>
          <w:rFonts w:ascii="Arial" w:hAnsi="Arial" w:cs="Arial"/>
        </w:rPr>
      </w:pPr>
      <w:r w:rsidRPr="00933E73">
        <w:rPr>
          <w:rFonts w:ascii="Arial" w:hAnsi="Arial" w:cs="Arial"/>
        </w:rPr>
        <w:t xml:space="preserve">Doyle Corner, P. and Ho, M. (2010) ‘How Opportunities Develop in Social </w:t>
      </w:r>
      <w:r w:rsidRPr="00933E73">
        <w:rPr>
          <w:rFonts w:ascii="Arial" w:hAnsi="Arial" w:cs="Arial"/>
        </w:rPr>
        <w:t>Entrepreneurship</w:t>
      </w:r>
      <w:r w:rsidRPr="00933E73">
        <w:rPr>
          <w:rFonts w:ascii="Arial" w:hAnsi="Arial" w:cs="Arial"/>
        </w:rPr>
        <w:t xml:space="preserve">’, </w:t>
      </w:r>
      <w:r w:rsidRPr="00933E73">
        <w:rPr>
          <w:rFonts w:ascii="Arial" w:hAnsi="Arial" w:cs="Arial"/>
          <w:i/>
          <w:iCs/>
        </w:rPr>
        <w:t>Entrepreneurship Theory and Practice, 34</w:t>
      </w:r>
      <w:r w:rsidRPr="00933E73">
        <w:rPr>
          <w:rFonts w:ascii="Arial" w:hAnsi="Arial" w:cs="Arial"/>
        </w:rPr>
        <w:t>(4), pp. 635–659.</w:t>
      </w:r>
    </w:p>
    <w:p w14:paraId="3EA09E45" w14:textId="77777777" w:rsidR="00933E73" w:rsidRPr="00933E73" w:rsidRDefault="00933E73" w:rsidP="00933E73">
      <w:pPr>
        <w:spacing w:line="480" w:lineRule="auto"/>
        <w:rPr>
          <w:rFonts w:ascii="Arial" w:hAnsi="Arial" w:cs="Arial"/>
        </w:rPr>
      </w:pPr>
      <w:r w:rsidRPr="00933E73">
        <w:rPr>
          <w:rFonts w:ascii="Arial" w:hAnsi="Arial" w:cs="Arial"/>
        </w:rPr>
        <w:t xml:space="preserve">Edgeman, R. and Eskildsen, J. (2014) ‘Modelling and Assessing Sustainable Enterprise Excellence’, </w:t>
      </w:r>
      <w:r w:rsidRPr="00933E73">
        <w:rPr>
          <w:rFonts w:ascii="Arial" w:hAnsi="Arial" w:cs="Arial"/>
          <w:i/>
          <w:iCs/>
        </w:rPr>
        <w:t>Business Strategy and the Environment, 23</w:t>
      </w:r>
      <w:r w:rsidRPr="00933E73">
        <w:rPr>
          <w:rFonts w:ascii="Arial" w:hAnsi="Arial" w:cs="Arial"/>
        </w:rPr>
        <w:t>(3), pp. 173–187.</w:t>
      </w:r>
    </w:p>
    <w:p w14:paraId="07CB84F4" w14:textId="77777777" w:rsidR="00933E73" w:rsidRPr="00933E73" w:rsidRDefault="00933E73" w:rsidP="00933E73">
      <w:pPr>
        <w:spacing w:line="480" w:lineRule="auto"/>
        <w:rPr>
          <w:rFonts w:ascii="Arial" w:hAnsi="Arial" w:cs="Arial"/>
        </w:rPr>
      </w:pPr>
      <w:r w:rsidRPr="00933E73">
        <w:rPr>
          <w:rFonts w:ascii="Arial" w:hAnsi="Arial" w:cs="Arial"/>
        </w:rPr>
        <w:t xml:space="preserve">EIO (Eco-Innovation Observatory) (2013) </w:t>
      </w:r>
      <w:r w:rsidRPr="00933E73">
        <w:rPr>
          <w:rFonts w:ascii="Arial" w:hAnsi="Arial" w:cs="Arial"/>
          <w:i/>
          <w:iCs/>
        </w:rPr>
        <w:t>Europe in transition: Paving the way to a green economy through eco-innovation.</w:t>
      </w:r>
      <w:r w:rsidRPr="00933E73">
        <w:rPr>
          <w:rFonts w:ascii="Arial" w:hAnsi="Arial" w:cs="Arial"/>
        </w:rPr>
        <w:t xml:space="preserve"> Funded by the European Commission, DG Environment, Brussels: Eco-Innovation Observatory.</w:t>
      </w:r>
    </w:p>
    <w:p w14:paraId="2A55C5A7" w14:textId="77777777" w:rsidR="00933E73" w:rsidRPr="00933E73" w:rsidRDefault="00933E73" w:rsidP="00933E73">
      <w:pPr>
        <w:spacing w:line="480" w:lineRule="auto"/>
        <w:rPr>
          <w:rFonts w:ascii="Arial" w:hAnsi="Arial" w:cs="Arial"/>
        </w:rPr>
      </w:pPr>
      <w:r w:rsidRPr="00933E73">
        <w:rPr>
          <w:rFonts w:ascii="Arial" w:hAnsi="Arial" w:cs="Arial"/>
        </w:rPr>
        <w:t xml:space="preserve">Elkington, J. (1999) </w:t>
      </w:r>
      <w:r w:rsidRPr="00933E73">
        <w:rPr>
          <w:rFonts w:ascii="Arial" w:hAnsi="Arial" w:cs="Arial"/>
          <w:i/>
          <w:iCs/>
        </w:rPr>
        <w:t>Cannibals with forks: the triple bottom line of 21st century business.</w:t>
      </w:r>
      <w:r w:rsidRPr="00933E73">
        <w:rPr>
          <w:rFonts w:ascii="Arial" w:hAnsi="Arial" w:cs="Arial"/>
        </w:rPr>
        <w:t xml:space="preserve"> Oxford: Capstone.</w:t>
      </w:r>
    </w:p>
    <w:p w14:paraId="1BF4E8FC" w14:textId="77777777" w:rsidR="00933E73" w:rsidRDefault="00933E73" w:rsidP="00933E73">
      <w:pPr>
        <w:spacing w:line="480" w:lineRule="auto"/>
        <w:rPr>
          <w:rFonts w:ascii="Arial" w:hAnsi="Arial" w:cs="Arial"/>
        </w:rPr>
      </w:pPr>
      <w:r w:rsidRPr="00933E73">
        <w:rPr>
          <w:rFonts w:ascii="Arial" w:hAnsi="Arial" w:cs="Arial"/>
        </w:rPr>
        <w:t xml:space="preserve">Emerson, J. (2003) ‘The Blended Value Proposition: Integrating Social and Financial Returns’, </w:t>
      </w:r>
      <w:r w:rsidRPr="00933E73">
        <w:rPr>
          <w:rFonts w:ascii="Arial" w:hAnsi="Arial" w:cs="Arial"/>
          <w:i/>
          <w:iCs/>
        </w:rPr>
        <w:t>California Management Review, 45</w:t>
      </w:r>
      <w:r w:rsidRPr="00933E73">
        <w:rPr>
          <w:rFonts w:ascii="Arial" w:hAnsi="Arial" w:cs="Arial"/>
        </w:rPr>
        <w:t>(4), pp. 35-51.</w:t>
      </w:r>
    </w:p>
    <w:p w14:paraId="761B47F1" w14:textId="4A721E03" w:rsidR="00933E73" w:rsidRDefault="00933E73" w:rsidP="00933E73">
      <w:pPr>
        <w:spacing w:line="480" w:lineRule="auto"/>
        <w:rPr>
          <w:rFonts w:ascii="Arial" w:hAnsi="Arial" w:cs="Arial"/>
        </w:rPr>
      </w:pPr>
      <w:r w:rsidRPr="00933E73">
        <w:rPr>
          <w:rFonts w:ascii="Arial" w:hAnsi="Arial" w:cs="Arial"/>
        </w:rPr>
        <w:lastRenderedPageBreak/>
        <w:t xml:space="preserve">Emerson, J. and Spitzer, J. (2007) </w:t>
      </w:r>
      <w:r w:rsidRPr="00933E73">
        <w:rPr>
          <w:rFonts w:ascii="Arial" w:hAnsi="Arial" w:cs="Arial"/>
          <w:i/>
          <w:iCs/>
        </w:rPr>
        <w:t>From Fragmentation to Function: Critical Concepts and Writing on Social Capital Markets’ Structure, Operation and Innovation</w:t>
      </w:r>
      <w:r w:rsidRPr="00933E73">
        <w:rPr>
          <w:rFonts w:ascii="Arial" w:hAnsi="Arial" w:cs="Arial"/>
        </w:rPr>
        <w:t xml:space="preserve">. Available at: </w:t>
      </w:r>
      <w:hyperlink r:id="rId6" w:history="1">
        <w:r w:rsidRPr="00F648E9">
          <w:rPr>
            <w:rStyle w:val="Hyperlink"/>
            <w:rFonts w:ascii="Arial" w:hAnsi="Arial" w:cs="Arial"/>
          </w:rPr>
          <w:t>http://eureka.bodleian.ox.ac.uk/762/</w:t>
        </w:r>
      </w:hyperlink>
    </w:p>
    <w:p w14:paraId="52E66B1B" w14:textId="5900286A" w:rsidR="00933E73" w:rsidRPr="00933E73" w:rsidRDefault="00933E73" w:rsidP="00933E73">
      <w:pPr>
        <w:spacing w:line="480" w:lineRule="auto"/>
        <w:rPr>
          <w:rFonts w:ascii="Arial" w:hAnsi="Arial" w:cs="Arial"/>
        </w:rPr>
      </w:pPr>
      <w:r w:rsidRPr="00933E73">
        <w:rPr>
          <w:rFonts w:ascii="Arial" w:hAnsi="Arial" w:cs="Arial"/>
        </w:rPr>
        <w:t xml:space="preserve">Eurostat (2009) </w:t>
      </w:r>
      <w:r w:rsidRPr="00933E73">
        <w:rPr>
          <w:rFonts w:ascii="Arial" w:hAnsi="Arial" w:cs="Arial"/>
          <w:i/>
          <w:iCs/>
        </w:rPr>
        <w:t>The Environmental Goods and Services Sector: A Data Collection Handbook.</w:t>
      </w:r>
      <w:r w:rsidRPr="00933E73">
        <w:rPr>
          <w:rFonts w:ascii="Arial" w:hAnsi="Arial" w:cs="Arial"/>
        </w:rPr>
        <w:t xml:space="preserve"> Luxembourg: Eurostat.</w:t>
      </w:r>
    </w:p>
    <w:p w14:paraId="79FF33AF" w14:textId="77777777" w:rsidR="00933E73" w:rsidRPr="00933E73" w:rsidRDefault="00933E73" w:rsidP="00933E73">
      <w:pPr>
        <w:spacing w:line="480" w:lineRule="auto"/>
        <w:rPr>
          <w:rFonts w:ascii="Arial" w:hAnsi="Arial" w:cs="Arial"/>
        </w:rPr>
      </w:pPr>
      <w:r w:rsidRPr="00933E73">
        <w:rPr>
          <w:rFonts w:ascii="Arial" w:hAnsi="Arial" w:cs="Arial"/>
        </w:rPr>
        <w:t xml:space="preserve">Franceschelli, M. V., Santoro, G. and Candelo, E. (2018) ‘Business model innovation for sustainability: a food start-up case study’, </w:t>
      </w:r>
      <w:r w:rsidRPr="00933E73">
        <w:rPr>
          <w:rFonts w:ascii="Arial" w:hAnsi="Arial" w:cs="Arial"/>
          <w:i/>
          <w:iCs/>
        </w:rPr>
        <w:t>British Food Journal, 120</w:t>
      </w:r>
      <w:r w:rsidRPr="00933E73">
        <w:rPr>
          <w:rFonts w:ascii="Arial" w:hAnsi="Arial" w:cs="Arial"/>
        </w:rPr>
        <w:t>(10), pp. 2483–2494.</w:t>
      </w:r>
    </w:p>
    <w:p w14:paraId="064E8D6E" w14:textId="77777777" w:rsidR="00933E73" w:rsidRPr="00933E73" w:rsidRDefault="00933E73" w:rsidP="00933E73">
      <w:pPr>
        <w:spacing w:line="480" w:lineRule="auto"/>
        <w:rPr>
          <w:rFonts w:ascii="Arial" w:hAnsi="Arial" w:cs="Arial"/>
        </w:rPr>
      </w:pPr>
      <w:r w:rsidRPr="00933E73">
        <w:rPr>
          <w:rFonts w:ascii="Arial" w:hAnsi="Arial" w:cs="Arial"/>
        </w:rPr>
        <w:t xml:space="preserve">McGrath, R. G. (2010) ‘Business models: a discovery driven approach’, </w:t>
      </w:r>
      <w:r w:rsidRPr="00933E73">
        <w:rPr>
          <w:rFonts w:ascii="Arial" w:hAnsi="Arial" w:cs="Arial"/>
          <w:i/>
          <w:iCs/>
        </w:rPr>
        <w:t>Long Range Planning, 43(</w:t>
      </w:r>
      <w:r w:rsidRPr="00933E73">
        <w:rPr>
          <w:rFonts w:ascii="Arial" w:hAnsi="Arial" w:cs="Arial"/>
        </w:rPr>
        <w:t>2-3), pp. 247–261.</w:t>
      </w:r>
    </w:p>
    <w:p w14:paraId="636F0BB3" w14:textId="77777777" w:rsidR="00933E73" w:rsidRDefault="00933E73" w:rsidP="00933E73">
      <w:pPr>
        <w:spacing w:line="480" w:lineRule="auto"/>
        <w:rPr>
          <w:rFonts w:ascii="Arial" w:hAnsi="Arial" w:cs="Arial"/>
        </w:rPr>
      </w:pPr>
      <w:proofErr w:type="spellStart"/>
      <w:r w:rsidRPr="00933E73">
        <w:rPr>
          <w:rFonts w:ascii="Arial" w:hAnsi="Arial" w:cs="Arial"/>
        </w:rPr>
        <w:t>Moizer</w:t>
      </w:r>
      <w:proofErr w:type="spellEnd"/>
      <w:r w:rsidRPr="00933E73">
        <w:rPr>
          <w:rFonts w:ascii="Arial" w:hAnsi="Arial" w:cs="Arial"/>
        </w:rPr>
        <w:t xml:space="preserve">, J. and Tracey, P. (2010) ‘Strategy making in social enterprise: the role of resource allocation and its effects on organizational sustainability’, </w:t>
      </w:r>
      <w:r w:rsidRPr="00933E73">
        <w:rPr>
          <w:rFonts w:ascii="Arial" w:hAnsi="Arial" w:cs="Arial"/>
          <w:i/>
          <w:iCs/>
        </w:rPr>
        <w:t xml:space="preserve">Systems Research and </w:t>
      </w:r>
      <w:r w:rsidRPr="00933E73">
        <w:rPr>
          <w:rFonts w:ascii="Arial" w:hAnsi="Arial" w:cs="Arial"/>
          <w:i/>
          <w:iCs/>
        </w:rPr>
        <w:t>Behavioural</w:t>
      </w:r>
      <w:r w:rsidRPr="00933E73">
        <w:rPr>
          <w:rFonts w:ascii="Arial" w:hAnsi="Arial" w:cs="Arial"/>
          <w:i/>
          <w:iCs/>
        </w:rPr>
        <w:t xml:space="preserve"> Science, 27</w:t>
      </w:r>
      <w:r w:rsidRPr="00933E73">
        <w:rPr>
          <w:rFonts w:ascii="Arial" w:hAnsi="Arial" w:cs="Arial"/>
        </w:rPr>
        <w:t>(3), pp. 252–266.</w:t>
      </w:r>
    </w:p>
    <w:p w14:paraId="6485C68B" w14:textId="3620AAF8" w:rsidR="00933E73" w:rsidRPr="00933E73" w:rsidRDefault="00933E73" w:rsidP="00933E73">
      <w:pPr>
        <w:spacing w:line="480" w:lineRule="auto"/>
        <w:rPr>
          <w:rFonts w:ascii="Arial" w:hAnsi="Arial" w:cs="Arial"/>
        </w:rPr>
      </w:pPr>
      <w:r>
        <w:rPr>
          <w:rFonts w:ascii="Arial" w:hAnsi="Arial" w:cs="Arial"/>
        </w:rPr>
        <w:t xml:space="preserve"> </w:t>
      </w:r>
      <w:r w:rsidRPr="00933E73">
        <w:rPr>
          <w:rFonts w:ascii="Arial" w:hAnsi="Arial" w:cs="Arial"/>
        </w:rPr>
        <w:t>Pattinson, S. (2015) ‘</w:t>
      </w:r>
      <w:r w:rsidRPr="00933E73">
        <w:rPr>
          <w:rFonts w:ascii="Arial" w:hAnsi="Arial" w:cs="Arial"/>
          <w:i/>
          <w:iCs/>
        </w:rPr>
        <w:t>Social enterprise in the creative and cultural sector: building sustainable business models’,</w:t>
      </w:r>
      <w:r w:rsidRPr="00933E73">
        <w:rPr>
          <w:rFonts w:ascii="Arial" w:hAnsi="Arial" w:cs="Arial"/>
        </w:rPr>
        <w:t xml:space="preserve"> A report conducted on behalf of Creative Darlington as part of the See Change Initiative funded by </w:t>
      </w:r>
      <w:proofErr w:type="spellStart"/>
      <w:r w:rsidRPr="00933E73">
        <w:rPr>
          <w:rFonts w:ascii="Arial" w:hAnsi="Arial" w:cs="Arial"/>
        </w:rPr>
        <w:t>UnLtd</w:t>
      </w:r>
      <w:proofErr w:type="spellEnd"/>
      <w:r w:rsidRPr="00933E73">
        <w:rPr>
          <w:rFonts w:ascii="Arial" w:hAnsi="Arial" w:cs="Arial"/>
        </w:rPr>
        <w:t xml:space="preserve"> and HEFCE.</w:t>
      </w:r>
    </w:p>
    <w:p w14:paraId="7B1E9D28" w14:textId="77777777" w:rsidR="00933E73" w:rsidRPr="00933E73" w:rsidRDefault="00933E73" w:rsidP="00933E73">
      <w:pPr>
        <w:spacing w:line="480" w:lineRule="auto"/>
        <w:rPr>
          <w:rFonts w:ascii="Arial" w:hAnsi="Arial" w:cs="Arial"/>
        </w:rPr>
      </w:pPr>
    </w:p>
    <w:p w14:paraId="607FFF7D" w14:textId="77777777" w:rsidR="00933E73" w:rsidRPr="00933E73" w:rsidRDefault="00933E73" w:rsidP="00933E73">
      <w:pPr>
        <w:spacing w:line="480" w:lineRule="auto"/>
        <w:rPr>
          <w:rFonts w:ascii="Arial" w:hAnsi="Arial" w:cs="Arial"/>
        </w:rPr>
      </w:pPr>
    </w:p>
    <w:p w14:paraId="29795745" w14:textId="77777777" w:rsidR="00933E73" w:rsidRPr="00933E73" w:rsidRDefault="00933E73" w:rsidP="00933E73">
      <w:pPr>
        <w:spacing w:line="480" w:lineRule="auto"/>
        <w:rPr>
          <w:rFonts w:ascii="Arial" w:hAnsi="Arial" w:cs="Arial"/>
        </w:rPr>
      </w:pPr>
    </w:p>
    <w:p w14:paraId="2F15CB62" w14:textId="77777777" w:rsidR="00933E73" w:rsidRPr="00933E73" w:rsidRDefault="00933E73" w:rsidP="00933E73">
      <w:pPr>
        <w:spacing w:line="480" w:lineRule="auto"/>
        <w:rPr>
          <w:rFonts w:ascii="Arial" w:hAnsi="Arial" w:cs="Arial"/>
        </w:rPr>
      </w:pPr>
    </w:p>
    <w:p w14:paraId="68662E7E" w14:textId="77777777" w:rsidR="00D226DF" w:rsidRPr="00D226DF" w:rsidRDefault="00D226DF" w:rsidP="00D226DF">
      <w:pPr>
        <w:spacing w:line="480" w:lineRule="auto"/>
        <w:rPr>
          <w:rFonts w:ascii="Arial" w:hAnsi="Arial" w:cs="Arial"/>
        </w:rPr>
      </w:pPr>
    </w:p>
    <w:p w14:paraId="22F8AA5B" w14:textId="77777777" w:rsidR="00544041" w:rsidRPr="00544041" w:rsidRDefault="00544041" w:rsidP="00544041">
      <w:pPr>
        <w:spacing w:line="480" w:lineRule="auto"/>
        <w:rPr>
          <w:rFonts w:ascii="Arial" w:hAnsi="Arial" w:cs="Arial"/>
        </w:rPr>
      </w:pPr>
    </w:p>
    <w:sectPr w:rsidR="00544041" w:rsidRPr="00544041" w:rsidSect="00933E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A26741"/>
    <w:multiLevelType w:val="hybridMultilevel"/>
    <w:tmpl w:val="FAC4CC12"/>
    <w:lvl w:ilvl="0" w:tplc="4866D7E4">
      <w:start w:val="1"/>
      <w:numFmt w:val="upperLetter"/>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8531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041"/>
    <w:rsid w:val="00544041"/>
    <w:rsid w:val="008357AF"/>
    <w:rsid w:val="00933E73"/>
    <w:rsid w:val="00D22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470AC"/>
  <w15:chartTrackingRefBased/>
  <w15:docId w15:val="{4810924B-C9D1-439D-865A-2007DA467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40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0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0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0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0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0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0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0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0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40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40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40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40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40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0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0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041"/>
    <w:rPr>
      <w:rFonts w:eastAsiaTheme="majorEastAsia" w:cstheme="majorBidi"/>
      <w:color w:val="272727" w:themeColor="text1" w:themeTint="D8"/>
    </w:rPr>
  </w:style>
  <w:style w:type="paragraph" w:styleId="Title">
    <w:name w:val="Title"/>
    <w:basedOn w:val="Normal"/>
    <w:next w:val="Normal"/>
    <w:link w:val="TitleChar"/>
    <w:uiPriority w:val="10"/>
    <w:qFormat/>
    <w:rsid w:val="005440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0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0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0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041"/>
    <w:pPr>
      <w:spacing w:before="160"/>
      <w:jc w:val="center"/>
    </w:pPr>
    <w:rPr>
      <w:i/>
      <w:iCs/>
      <w:color w:val="404040" w:themeColor="text1" w:themeTint="BF"/>
    </w:rPr>
  </w:style>
  <w:style w:type="character" w:customStyle="1" w:styleId="QuoteChar">
    <w:name w:val="Quote Char"/>
    <w:basedOn w:val="DefaultParagraphFont"/>
    <w:link w:val="Quote"/>
    <w:uiPriority w:val="29"/>
    <w:rsid w:val="00544041"/>
    <w:rPr>
      <w:i/>
      <w:iCs/>
      <w:color w:val="404040" w:themeColor="text1" w:themeTint="BF"/>
    </w:rPr>
  </w:style>
  <w:style w:type="paragraph" w:styleId="ListParagraph">
    <w:name w:val="List Paragraph"/>
    <w:basedOn w:val="Normal"/>
    <w:uiPriority w:val="34"/>
    <w:qFormat/>
    <w:rsid w:val="00544041"/>
    <w:pPr>
      <w:ind w:left="720"/>
      <w:contextualSpacing/>
    </w:pPr>
  </w:style>
  <w:style w:type="character" w:styleId="IntenseEmphasis">
    <w:name w:val="Intense Emphasis"/>
    <w:basedOn w:val="DefaultParagraphFont"/>
    <w:uiPriority w:val="21"/>
    <w:qFormat/>
    <w:rsid w:val="00544041"/>
    <w:rPr>
      <w:i/>
      <w:iCs/>
      <w:color w:val="0F4761" w:themeColor="accent1" w:themeShade="BF"/>
    </w:rPr>
  </w:style>
  <w:style w:type="paragraph" w:styleId="IntenseQuote">
    <w:name w:val="Intense Quote"/>
    <w:basedOn w:val="Normal"/>
    <w:next w:val="Normal"/>
    <w:link w:val="IntenseQuoteChar"/>
    <w:uiPriority w:val="30"/>
    <w:qFormat/>
    <w:rsid w:val="005440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041"/>
    <w:rPr>
      <w:i/>
      <w:iCs/>
      <w:color w:val="0F4761" w:themeColor="accent1" w:themeShade="BF"/>
    </w:rPr>
  </w:style>
  <w:style w:type="character" w:styleId="IntenseReference">
    <w:name w:val="Intense Reference"/>
    <w:basedOn w:val="DefaultParagraphFont"/>
    <w:uiPriority w:val="32"/>
    <w:qFormat/>
    <w:rsid w:val="00544041"/>
    <w:rPr>
      <w:b/>
      <w:bCs/>
      <w:smallCaps/>
      <w:color w:val="0F4761" w:themeColor="accent1" w:themeShade="BF"/>
      <w:spacing w:val="5"/>
    </w:rPr>
  </w:style>
  <w:style w:type="table" w:styleId="TableGrid">
    <w:name w:val="Table Grid"/>
    <w:basedOn w:val="TableNormal"/>
    <w:uiPriority w:val="39"/>
    <w:rsid w:val="005440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3E73"/>
    <w:rPr>
      <w:color w:val="467886" w:themeColor="hyperlink"/>
      <w:u w:val="single"/>
    </w:rPr>
  </w:style>
  <w:style w:type="character" w:styleId="UnresolvedMention">
    <w:name w:val="Unresolved Mention"/>
    <w:basedOn w:val="DefaultParagraphFont"/>
    <w:uiPriority w:val="99"/>
    <w:semiHidden/>
    <w:unhideWhenUsed/>
    <w:rsid w:val="00933E73"/>
    <w:rPr>
      <w:color w:val="605E5C"/>
      <w:shd w:val="clear" w:color="auto" w:fill="E1DFDD"/>
    </w:rPr>
  </w:style>
  <w:style w:type="paragraph" w:styleId="NoSpacing">
    <w:name w:val="No Spacing"/>
    <w:link w:val="NoSpacingChar"/>
    <w:uiPriority w:val="1"/>
    <w:qFormat/>
    <w:rsid w:val="00933E7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33E7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424303">
      <w:bodyDiv w:val="1"/>
      <w:marLeft w:val="0"/>
      <w:marRight w:val="0"/>
      <w:marTop w:val="0"/>
      <w:marBottom w:val="0"/>
      <w:divBdr>
        <w:top w:val="none" w:sz="0" w:space="0" w:color="auto"/>
        <w:left w:val="none" w:sz="0" w:space="0" w:color="auto"/>
        <w:bottom w:val="none" w:sz="0" w:space="0" w:color="auto"/>
        <w:right w:val="none" w:sz="0" w:space="0" w:color="auto"/>
      </w:divBdr>
    </w:div>
    <w:div w:id="323819576">
      <w:bodyDiv w:val="1"/>
      <w:marLeft w:val="0"/>
      <w:marRight w:val="0"/>
      <w:marTop w:val="0"/>
      <w:marBottom w:val="0"/>
      <w:divBdr>
        <w:top w:val="none" w:sz="0" w:space="0" w:color="auto"/>
        <w:left w:val="none" w:sz="0" w:space="0" w:color="auto"/>
        <w:bottom w:val="none" w:sz="0" w:space="0" w:color="auto"/>
        <w:right w:val="none" w:sz="0" w:space="0" w:color="auto"/>
      </w:divBdr>
    </w:div>
    <w:div w:id="1131480085">
      <w:bodyDiv w:val="1"/>
      <w:marLeft w:val="0"/>
      <w:marRight w:val="0"/>
      <w:marTop w:val="0"/>
      <w:marBottom w:val="0"/>
      <w:divBdr>
        <w:top w:val="none" w:sz="0" w:space="0" w:color="auto"/>
        <w:left w:val="none" w:sz="0" w:space="0" w:color="auto"/>
        <w:bottom w:val="none" w:sz="0" w:space="0" w:color="auto"/>
        <w:right w:val="none" w:sz="0" w:space="0" w:color="auto"/>
      </w:divBdr>
    </w:div>
    <w:div w:id="1498496852">
      <w:bodyDiv w:val="1"/>
      <w:marLeft w:val="0"/>
      <w:marRight w:val="0"/>
      <w:marTop w:val="0"/>
      <w:marBottom w:val="0"/>
      <w:divBdr>
        <w:top w:val="none" w:sz="0" w:space="0" w:color="auto"/>
        <w:left w:val="none" w:sz="0" w:space="0" w:color="auto"/>
        <w:bottom w:val="none" w:sz="0" w:space="0" w:color="auto"/>
        <w:right w:val="none" w:sz="0" w:space="0" w:color="auto"/>
      </w:divBdr>
    </w:div>
    <w:div w:id="1604608982">
      <w:bodyDiv w:val="1"/>
      <w:marLeft w:val="0"/>
      <w:marRight w:val="0"/>
      <w:marTop w:val="0"/>
      <w:marBottom w:val="0"/>
      <w:divBdr>
        <w:top w:val="none" w:sz="0" w:space="0" w:color="auto"/>
        <w:left w:val="none" w:sz="0" w:space="0" w:color="auto"/>
        <w:bottom w:val="none" w:sz="0" w:space="0" w:color="auto"/>
        <w:right w:val="none" w:sz="0" w:space="0" w:color="auto"/>
      </w:divBdr>
    </w:div>
    <w:div w:id="1908346296">
      <w:bodyDiv w:val="1"/>
      <w:marLeft w:val="0"/>
      <w:marRight w:val="0"/>
      <w:marTop w:val="0"/>
      <w:marBottom w:val="0"/>
      <w:divBdr>
        <w:top w:val="none" w:sz="0" w:space="0" w:color="auto"/>
        <w:left w:val="none" w:sz="0" w:space="0" w:color="auto"/>
        <w:bottom w:val="none" w:sz="0" w:space="0" w:color="auto"/>
        <w:right w:val="none" w:sz="0" w:space="0" w:color="auto"/>
      </w:divBdr>
    </w:div>
    <w:div w:id="2129084812">
      <w:bodyDiv w:val="1"/>
      <w:marLeft w:val="0"/>
      <w:marRight w:val="0"/>
      <w:marTop w:val="0"/>
      <w:marBottom w:val="0"/>
      <w:divBdr>
        <w:top w:val="none" w:sz="0" w:space="0" w:color="auto"/>
        <w:left w:val="none" w:sz="0" w:space="0" w:color="auto"/>
        <w:bottom w:val="none" w:sz="0" w:space="0" w:color="auto"/>
        <w:right w:val="none" w:sz="0" w:space="0" w:color="auto"/>
      </w:divBdr>
    </w:div>
    <w:div w:id="2141804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ureka.bodleian.ox.ac.uk/762/" TargetMode="External"/><Relationship Id="rId5" Type="http://schemas.openxmlformats.org/officeDocument/2006/relationships/hyperlink" Target="https://www.cafonline.org/charities/borrowing/social-invest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14</Pages>
  <Words>2797</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MODEL FOR A NEW START UP</dc:subject>
  <dc:creator>Mirabela Voican (1907947)</dc:creator>
  <cp:keywords/>
  <dc:description/>
  <cp:lastModifiedBy>Mirabela Voican (1907947)</cp:lastModifiedBy>
  <cp:revision>1</cp:revision>
  <dcterms:created xsi:type="dcterms:W3CDTF">2025-03-13T23:03:00Z</dcterms:created>
  <dcterms:modified xsi:type="dcterms:W3CDTF">2025-03-13T23:34:00Z</dcterms:modified>
</cp:coreProperties>
</file>