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68A0E77" w14:textId="77777777" w:rsidR="00780ED4" w:rsidRPr="00CE25C3" w:rsidRDefault="00780ED4" w:rsidP="00E33295">
      <w:pPr>
        <w:spacing w:before="240" w:after="240" w:line="360" w:lineRule="auto"/>
        <w:jc w:val="both"/>
        <w:rPr>
          <w:noProof/>
        </w:rPr>
      </w:pPr>
    </w:p>
    <w:p w14:paraId="37B655BD" w14:textId="77777777" w:rsidR="00780ED4" w:rsidRPr="00CE25C3" w:rsidRDefault="00780ED4" w:rsidP="00E33295">
      <w:pPr>
        <w:spacing w:before="240" w:after="240" w:line="360" w:lineRule="auto"/>
        <w:jc w:val="center"/>
        <w:rPr>
          <w:b/>
          <w:color w:val="0D0D0D" w:themeColor="text1" w:themeTint="F2"/>
          <w:sz w:val="40"/>
          <w:szCs w:val="40"/>
        </w:rPr>
      </w:pPr>
      <w:r w:rsidRPr="00CE25C3">
        <w:rPr>
          <w:noProof/>
          <w:sz w:val="40"/>
          <w:szCs w:val="40"/>
        </w:rPr>
        <w:drawing>
          <wp:inline distT="0" distB="0" distL="0" distR="0" wp14:anchorId="009D913F" wp14:editId="03A9EF65">
            <wp:extent cx="2419350" cy="1238250"/>
            <wp:effectExtent l="0" t="0" r="0" b="0"/>
            <wp:docPr id="4" name="Picture 4" descr="Prifysgol Cymru Y Drindod Dewi Sant | University of Wales Trinity Saint  David - NPL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Prifysgol Cymru Y Drindod Dewi Sant | University of Wales Trinity Saint  David - NPLD"/>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2419627" cy="1238392"/>
                    </a:xfrm>
                    <a:prstGeom prst="rect">
                      <a:avLst/>
                    </a:prstGeom>
                    <a:noFill/>
                    <a:ln>
                      <a:noFill/>
                    </a:ln>
                  </pic:spPr>
                </pic:pic>
              </a:graphicData>
            </a:graphic>
          </wp:inline>
        </w:drawing>
      </w:r>
    </w:p>
    <w:p w14:paraId="0AB9C332" w14:textId="37364A5B" w:rsidR="00780ED4" w:rsidRDefault="00780ED4" w:rsidP="00E33295">
      <w:pPr>
        <w:spacing w:before="240" w:after="240" w:line="360" w:lineRule="auto"/>
        <w:jc w:val="center"/>
        <w:rPr>
          <w:b/>
          <w:color w:val="0D0D0D" w:themeColor="text1" w:themeTint="F2"/>
          <w:sz w:val="40"/>
          <w:szCs w:val="40"/>
        </w:rPr>
      </w:pPr>
      <w:r w:rsidRPr="00CE25C3">
        <w:rPr>
          <w:b/>
          <w:color w:val="0D0D0D" w:themeColor="text1" w:themeTint="F2"/>
          <w:sz w:val="40"/>
          <w:szCs w:val="40"/>
        </w:rPr>
        <w:t>BMSW4013</w:t>
      </w:r>
    </w:p>
    <w:p w14:paraId="61928E93" w14:textId="77777777" w:rsidR="00CE25C3" w:rsidRPr="00CE25C3" w:rsidRDefault="00CE25C3" w:rsidP="00CE25C3">
      <w:pPr>
        <w:spacing w:before="240" w:after="240" w:line="360" w:lineRule="auto"/>
        <w:jc w:val="center"/>
        <w:rPr>
          <w:b/>
          <w:color w:val="0D0D0D" w:themeColor="text1" w:themeTint="F2"/>
          <w:sz w:val="40"/>
          <w:szCs w:val="40"/>
        </w:rPr>
      </w:pPr>
      <w:r w:rsidRPr="00CE25C3">
        <w:rPr>
          <w:b/>
          <w:color w:val="0D0D0D" w:themeColor="text1" w:themeTint="F2"/>
          <w:sz w:val="40"/>
          <w:szCs w:val="40"/>
        </w:rPr>
        <w:t>Academic Skills for the Digital Era</w:t>
      </w:r>
    </w:p>
    <w:p w14:paraId="5598CA37" w14:textId="77777777" w:rsidR="00CE25C3" w:rsidRPr="00CE25C3" w:rsidRDefault="00CE25C3" w:rsidP="00E33295">
      <w:pPr>
        <w:spacing w:before="240" w:after="240" w:line="360" w:lineRule="auto"/>
        <w:jc w:val="center"/>
        <w:rPr>
          <w:b/>
          <w:color w:val="0D0D0D" w:themeColor="text1" w:themeTint="F2"/>
          <w:sz w:val="40"/>
          <w:szCs w:val="40"/>
        </w:rPr>
      </w:pPr>
    </w:p>
    <w:p w14:paraId="13821408" w14:textId="77777777" w:rsidR="00780ED4" w:rsidRPr="00CE25C3" w:rsidRDefault="00780ED4" w:rsidP="00E33295">
      <w:pPr>
        <w:spacing w:before="240" w:after="240" w:line="360" w:lineRule="auto"/>
        <w:jc w:val="center"/>
        <w:rPr>
          <w:b/>
          <w:color w:val="0D0D0D" w:themeColor="text1" w:themeTint="F2"/>
          <w:sz w:val="40"/>
          <w:szCs w:val="40"/>
        </w:rPr>
      </w:pPr>
    </w:p>
    <w:p w14:paraId="6D6E05C7" w14:textId="77777777" w:rsidR="00780ED4" w:rsidRPr="00CE25C3" w:rsidRDefault="00780ED4" w:rsidP="00E33295">
      <w:pPr>
        <w:spacing w:before="240" w:after="240" w:line="360" w:lineRule="auto"/>
        <w:jc w:val="center"/>
        <w:rPr>
          <w:b/>
          <w:color w:val="0D0D0D" w:themeColor="text1" w:themeTint="F2"/>
          <w:sz w:val="40"/>
          <w:szCs w:val="40"/>
        </w:rPr>
      </w:pPr>
    </w:p>
    <w:p w14:paraId="0B5D7ABC" w14:textId="77777777" w:rsidR="00780ED4" w:rsidRDefault="00780ED4" w:rsidP="00E33295">
      <w:pPr>
        <w:spacing w:before="240" w:after="240" w:line="360" w:lineRule="auto"/>
        <w:jc w:val="center"/>
        <w:rPr>
          <w:b/>
          <w:i/>
          <w:iCs/>
          <w:color w:val="0D0D0D" w:themeColor="text1" w:themeTint="F2"/>
          <w:sz w:val="32"/>
          <w:szCs w:val="32"/>
        </w:rPr>
      </w:pPr>
      <w:r w:rsidRPr="00CE25C3">
        <w:rPr>
          <w:b/>
          <w:i/>
          <w:iCs/>
          <w:color w:val="0D0D0D" w:themeColor="text1" w:themeTint="F2"/>
          <w:sz w:val="32"/>
          <w:szCs w:val="32"/>
        </w:rPr>
        <w:t>Title: Reflective Essay on the Development of Academic and Digital Skills Using Gibbs' Reflective Cycle</w:t>
      </w:r>
    </w:p>
    <w:p w14:paraId="6C032B82" w14:textId="77777777" w:rsidR="007F0BF1" w:rsidRDefault="007F0BF1" w:rsidP="00E33295">
      <w:pPr>
        <w:spacing w:before="240" w:after="240" w:line="360" w:lineRule="auto"/>
        <w:jc w:val="center"/>
        <w:rPr>
          <w:b/>
          <w:i/>
          <w:iCs/>
          <w:color w:val="0D0D0D" w:themeColor="text1" w:themeTint="F2"/>
          <w:sz w:val="32"/>
          <w:szCs w:val="32"/>
        </w:rPr>
      </w:pPr>
    </w:p>
    <w:p w14:paraId="022B6281" w14:textId="77777777" w:rsidR="007F0BF1" w:rsidRPr="00CE25C3" w:rsidRDefault="007F0BF1" w:rsidP="00E33295">
      <w:pPr>
        <w:spacing w:before="240" w:after="240" w:line="360" w:lineRule="auto"/>
        <w:jc w:val="center"/>
        <w:rPr>
          <w:i/>
          <w:iCs/>
          <w:color w:val="0D0D0D" w:themeColor="text1" w:themeTint="F2"/>
          <w:sz w:val="32"/>
          <w:szCs w:val="32"/>
        </w:rPr>
      </w:pPr>
    </w:p>
    <w:p w14:paraId="054DB7FA" w14:textId="77777777" w:rsidR="004C70EE" w:rsidRPr="004C70EE" w:rsidRDefault="004C70EE" w:rsidP="004C70EE">
      <w:pPr>
        <w:spacing w:before="240" w:after="240" w:line="360" w:lineRule="auto"/>
        <w:jc w:val="center"/>
        <w:rPr>
          <w:b/>
          <w:color w:val="0D0D0D" w:themeColor="text1" w:themeTint="F2"/>
        </w:rPr>
      </w:pPr>
      <w:r w:rsidRPr="004C70EE">
        <w:rPr>
          <w:b/>
          <w:color w:val="0D0D0D" w:themeColor="text1" w:themeTint="F2"/>
        </w:rPr>
        <w:t xml:space="preserve">Student Name: </w:t>
      </w:r>
      <w:proofErr w:type="spellStart"/>
      <w:r w:rsidRPr="004C70EE">
        <w:rPr>
          <w:b/>
          <w:color w:val="0D0D0D" w:themeColor="text1" w:themeTint="F2"/>
        </w:rPr>
        <w:t>Ruzena</w:t>
      </w:r>
      <w:proofErr w:type="spellEnd"/>
      <w:r w:rsidRPr="004C70EE">
        <w:rPr>
          <w:b/>
          <w:color w:val="0D0D0D" w:themeColor="text1" w:themeTint="F2"/>
        </w:rPr>
        <w:t xml:space="preserve"> </w:t>
      </w:r>
      <w:proofErr w:type="spellStart"/>
      <w:r w:rsidRPr="004C70EE">
        <w:rPr>
          <w:b/>
          <w:color w:val="0D0D0D" w:themeColor="text1" w:themeTint="F2"/>
        </w:rPr>
        <w:t>Mizigarova</w:t>
      </w:r>
      <w:proofErr w:type="spellEnd"/>
    </w:p>
    <w:p w14:paraId="06989928" w14:textId="1197B290" w:rsidR="004C70EE" w:rsidRPr="004C70EE" w:rsidRDefault="004C70EE" w:rsidP="004C70EE">
      <w:pPr>
        <w:spacing w:before="240" w:after="240" w:line="360" w:lineRule="auto"/>
        <w:jc w:val="center"/>
        <w:rPr>
          <w:b/>
          <w:color w:val="0D0D0D" w:themeColor="text1" w:themeTint="F2"/>
        </w:rPr>
      </w:pPr>
      <w:r w:rsidRPr="004C70EE">
        <w:rPr>
          <w:b/>
          <w:color w:val="0D0D0D" w:themeColor="text1" w:themeTint="F2"/>
        </w:rPr>
        <w:t>Student ID 2321859</w:t>
      </w:r>
    </w:p>
    <w:p w14:paraId="0126547E" w14:textId="77777777" w:rsidR="004C70EE" w:rsidRDefault="004C70EE">
      <w:pPr>
        <w:rPr>
          <w:b/>
          <w:color w:val="0D0D0D" w:themeColor="text1" w:themeTint="F2"/>
          <w:sz w:val="32"/>
          <w:szCs w:val="32"/>
        </w:rPr>
      </w:pPr>
      <w:r>
        <w:rPr>
          <w:b/>
          <w:color w:val="0D0D0D" w:themeColor="text1" w:themeTint="F2"/>
          <w:sz w:val="32"/>
          <w:szCs w:val="32"/>
        </w:rPr>
        <w:br w:type="page"/>
      </w:r>
    </w:p>
    <w:p w14:paraId="3C649994" w14:textId="77777777" w:rsidR="004C70EE" w:rsidRPr="00CE25C3" w:rsidRDefault="004C70EE" w:rsidP="00E33295">
      <w:pPr>
        <w:spacing w:before="240" w:after="240" w:line="360" w:lineRule="auto"/>
        <w:jc w:val="both"/>
        <w:rPr>
          <w:b/>
          <w:color w:val="0D0D0D" w:themeColor="text1" w:themeTint="F2"/>
          <w:sz w:val="32"/>
          <w:szCs w:val="32"/>
        </w:rPr>
      </w:pPr>
    </w:p>
    <w:p w14:paraId="6AA6218A" w14:textId="738CA421" w:rsidR="00901EE9" w:rsidRPr="00CE25C3" w:rsidRDefault="00901EE9" w:rsidP="00901EE9">
      <w:pPr>
        <w:pStyle w:val="Heading1"/>
        <w:spacing w:before="240" w:after="240" w:line="360" w:lineRule="auto"/>
        <w:jc w:val="both"/>
        <w:rPr>
          <w:b/>
          <w:bCs/>
          <w:color w:val="0D0D0D" w:themeColor="text1" w:themeTint="F2"/>
          <w:sz w:val="32"/>
          <w:szCs w:val="32"/>
        </w:rPr>
      </w:pPr>
      <w:r w:rsidRPr="00CE25C3">
        <w:rPr>
          <w:b/>
          <w:bCs/>
          <w:color w:val="0D0D0D" w:themeColor="text1" w:themeTint="F2"/>
          <w:sz w:val="32"/>
          <w:szCs w:val="32"/>
        </w:rPr>
        <w:t>Introduction</w:t>
      </w:r>
    </w:p>
    <w:p w14:paraId="03ACE712" w14:textId="051CF72C" w:rsidR="00901EE9" w:rsidRPr="00CE25C3" w:rsidRDefault="00901EE9" w:rsidP="00901EE9">
      <w:pPr>
        <w:spacing w:before="240" w:after="240" w:line="360" w:lineRule="auto"/>
        <w:jc w:val="both"/>
        <w:rPr>
          <w:rFonts w:eastAsia="Times New Roman"/>
          <w:sz w:val="24"/>
          <w:szCs w:val="24"/>
          <w:lang w:val="en-US"/>
        </w:rPr>
      </w:pPr>
      <w:r w:rsidRPr="00CE25C3">
        <w:rPr>
          <w:color w:val="0D0D0D" w:themeColor="text1" w:themeTint="F2"/>
          <w:sz w:val="24"/>
          <w:szCs w:val="24"/>
        </w:rPr>
        <w:t xml:space="preserve">In my first year at the university, I received a difficult task that revealed my abilities and limitations in building academic and digital skills. The first large assignment was a 2,000-word literature review about the modern theories of motivation in educational psychology. I had written essays in high school, but soon after I realised that university-level work demanded a more elevated degree of research, critical analysis, and accuracy. The greatest challenge that I faced was not only writing academically but also learning how to use the digital tools to do research, reference management and how to properly format the assignment </w:t>
      </w:r>
      <w:r w:rsidRPr="00CE25C3">
        <w:rPr>
          <w:rFonts w:eastAsia="Times New Roman"/>
          <w:sz w:val="24"/>
          <w:szCs w:val="24"/>
          <w:lang w:val="en-US"/>
        </w:rPr>
        <w:t xml:space="preserve">(Goldingay </w:t>
      </w:r>
      <w:r w:rsidRPr="00CE25C3">
        <w:rPr>
          <w:rFonts w:eastAsia="Times New Roman"/>
          <w:i/>
          <w:iCs/>
          <w:sz w:val="24"/>
          <w:szCs w:val="24"/>
          <w:lang w:val="en-US"/>
        </w:rPr>
        <w:t>et al.</w:t>
      </w:r>
      <w:r w:rsidRPr="00CE25C3">
        <w:rPr>
          <w:rFonts w:eastAsia="Times New Roman"/>
          <w:sz w:val="24"/>
          <w:szCs w:val="24"/>
          <w:lang w:val="en-US"/>
        </w:rPr>
        <w:t>, 2016)</w:t>
      </w:r>
      <w:r w:rsidRPr="00CE25C3">
        <w:rPr>
          <w:color w:val="0D0D0D" w:themeColor="text1" w:themeTint="F2"/>
          <w:sz w:val="24"/>
          <w:szCs w:val="24"/>
        </w:rPr>
        <w:t>.</w:t>
      </w:r>
    </w:p>
    <w:p w14:paraId="00000002" w14:textId="1B5B1BCE" w:rsidR="00F72336" w:rsidRPr="00CE25C3" w:rsidRDefault="00742EB0" w:rsidP="00E33295">
      <w:pPr>
        <w:pStyle w:val="Heading1"/>
        <w:spacing w:before="240" w:after="240" w:line="360" w:lineRule="auto"/>
        <w:jc w:val="both"/>
        <w:rPr>
          <w:b/>
          <w:bCs/>
          <w:color w:val="0D0D0D" w:themeColor="text1" w:themeTint="F2"/>
          <w:sz w:val="32"/>
          <w:szCs w:val="32"/>
        </w:rPr>
      </w:pPr>
      <w:r w:rsidRPr="00CE25C3">
        <w:rPr>
          <w:b/>
          <w:bCs/>
          <w:color w:val="0D0D0D" w:themeColor="text1" w:themeTint="F2"/>
          <w:sz w:val="32"/>
          <w:szCs w:val="32"/>
        </w:rPr>
        <w:t>Description</w:t>
      </w:r>
    </w:p>
    <w:p w14:paraId="00000004" w14:textId="732261B5" w:rsidR="00F72336" w:rsidRPr="00CE25C3" w:rsidRDefault="00742EB0" w:rsidP="00E33295">
      <w:pPr>
        <w:spacing w:before="240" w:after="240" w:line="360" w:lineRule="auto"/>
        <w:jc w:val="both"/>
        <w:rPr>
          <w:color w:val="0D0D0D" w:themeColor="text1" w:themeTint="F2"/>
          <w:sz w:val="24"/>
          <w:szCs w:val="24"/>
        </w:rPr>
      </w:pPr>
      <w:r w:rsidRPr="00CE25C3">
        <w:rPr>
          <w:color w:val="0D0D0D" w:themeColor="text1" w:themeTint="F2"/>
          <w:sz w:val="24"/>
          <w:szCs w:val="24"/>
        </w:rPr>
        <w:t>Initially, I tried to search manually for articles with the help of search engines and the university library databases. I also hand-wrote my references with the thought that I could properly format them later. Nevertheless, when I collected more articles, I had difficulties with the organisation of my notes and correct referencing. My first approach of manual referencing quickly became a big problem, because I found out that I was not following the university's required referencing style, something that was making me anxious.</w:t>
      </w:r>
      <w:r w:rsidR="002923B1" w:rsidRPr="00CE25C3">
        <w:rPr>
          <w:color w:val="0D0D0D" w:themeColor="text1" w:themeTint="F2"/>
          <w:sz w:val="24"/>
          <w:szCs w:val="24"/>
        </w:rPr>
        <w:t xml:space="preserve"> </w:t>
      </w:r>
    </w:p>
    <w:p w14:paraId="464FB529" w14:textId="11870C65" w:rsidR="00B401D7" w:rsidRPr="00CE25C3" w:rsidRDefault="00742EB0" w:rsidP="00E33295">
      <w:pPr>
        <w:spacing w:before="240" w:after="240" w:line="360" w:lineRule="auto"/>
        <w:jc w:val="both"/>
        <w:rPr>
          <w:rFonts w:eastAsia="Times New Roman"/>
          <w:sz w:val="24"/>
          <w:szCs w:val="24"/>
          <w:lang w:val="en-US"/>
        </w:rPr>
      </w:pPr>
      <w:r w:rsidRPr="00CE25C3">
        <w:rPr>
          <w:color w:val="0D0D0D" w:themeColor="text1" w:themeTint="F2"/>
          <w:sz w:val="24"/>
          <w:szCs w:val="24"/>
        </w:rPr>
        <w:t xml:space="preserve">In order to overcome this issue, I chose to participate in a workshop called Digital Research Tools and Referencing, which is offered by the university. </w:t>
      </w:r>
      <w:r w:rsidR="00B401D7" w:rsidRPr="00CE25C3">
        <w:rPr>
          <w:color w:val="0D0D0D" w:themeColor="text1" w:themeTint="F2"/>
          <w:sz w:val="24"/>
          <w:szCs w:val="24"/>
        </w:rPr>
        <w:t>It is in this session that I became aware of the availability of a reference management tool known as Zotero that would make my life easier as far as referencing is concerned. I also learned some advanced search techniques of the virtual library of the university which seemed to me as a way to make my research process much more effective. stepped out of the workshop relieved and uncertain</w:t>
      </w:r>
      <w:r w:rsidR="00CE25C3" w:rsidRPr="00CE25C3">
        <w:rPr>
          <w:color w:val="0D0D0D" w:themeColor="text1" w:themeTint="F2"/>
          <w:sz w:val="24"/>
          <w:szCs w:val="24"/>
        </w:rPr>
        <w:t xml:space="preserve"> </w:t>
      </w:r>
      <w:r w:rsidR="002923B1" w:rsidRPr="00CE25C3">
        <w:rPr>
          <w:rFonts w:eastAsia="Times New Roman"/>
          <w:sz w:val="24"/>
          <w:szCs w:val="24"/>
          <w:lang w:val="en-US"/>
        </w:rPr>
        <w:t xml:space="preserve">(Sibeko </w:t>
      </w:r>
      <w:r w:rsidR="002923B1" w:rsidRPr="00CE25C3">
        <w:rPr>
          <w:rFonts w:eastAsia="Times New Roman"/>
          <w:i/>
          <w:iCs/>
          <w:sz w:val="24"/>
          <w:szCs w:val="24"/>
          <w:lang w:val="en-US"/>
        </w:rPr>
        <w:t>et al.</w:t>
      </w:r>
      <w:r w:rsidR="002923B1" w:rsidRPr="00CE25C3">
        <w:rPr>
          <w:rFonts w:eastAsia="Times New Roman"/>
          <w:sz w:val="24"/>
          <w:szCs w:val="24"/>
          <w:lang w:val="en-US"/>
        </w:rPr>
        <w:t>, 2025)</w:t>
      </w:r>
      <w:r w:rsidR="00CE25C3" w:rsidRPr="00CE25C3">
        <w:rPr>
          <w:rFonts w:eastAsia="Times New Roman"/>
          <w:sz w:val="24"/>
          <w:szCs w:val="24"/>
          <w:lang w:val="en-US"/>
        </w:rPr>
        <w:t>.</w:t>
      </w:r>
    </w:p>
    <w:p w14:paraId="00000006" w14:textId="3F29EC01" w:rsidR="00F72336" w:rsidRPr="00CE25C3" w:rsidRDefault="00742EB0" w:rsidP="00E33295">
      <w:pPr>
        <w:pStyle w:val="Heading1"/>
        <w:spacing w:before="240" w:after="240" w:line="360" w:lineRule="auto"/>
        <w:jc w:val="both"/>
        <w:rPr>
          <w:b/>
          <w:bCs/>
          <w:color w:val="0D0D0D" w:themeColor="text1" w:themeTint="F2"/>
          <w:sz w:val="32"/>
          <w:szCs w:val="32"/>
        </w:rPr>
      </w:pPr>
      <w:r w:rsidRPr="00CE25C3">
        <w:rPr>
          <w:b/>
          <w:bCs/>
          <w:color w:val="0D0D0D" w:themeColor="text1" w:themeTint="F2"/>
          <w:sz w:val="32"/>
          <w:szCs w:val="32"/>
        </w:rPr>
        <w:t>Feelings</w:t>
      </w:r>
    </w:p>
    <w:p w14:paraId="00000007" w14:textId="13179F5E" w:rsidR="00F72336" w:rsidRPr="00CE25C3" w:rsidRDefault="00742EB0" w:rsidP="00E33295">
      <w:pPr>
        <w:spacing w:before="240" w:after="240" w:line="360" w:lineRule="auto"/>
        <w:jc w:val="both"/>
        <w:rPr>
          <w:rFonts w:eastAsia="Times New Roman"/>
          <w:sz w:val="24"/>
          <w:szCs w:val="24"/>
          <w:lang w:val="en-US"/>
        </w:rPr>
      </w:pPr>
      <w:r w:rsidRPr="00CE25C3">
        <w:rPr>
          <w:color w:val="0D0D0D" w:themeColor="text1" w:themeTint="F2"/>
          <w:sz w:val="24"/>
          <w:szCs w:val="24"/>
        </w:rPr>
        <w:t xml:space="preserve">At the beginning, I was angry, nervous, and confused. I had imagined that the research and writing skills which I had gained during high school would simply scale up to the </w:t>
      </w:r>
      <w:r w:rsidRPr="00CE25C3">
        <w:rPr>
          <w:color w:val="0D0D0D" w:themeColor="text1" w:themeTint="F2"/>
          <w:sz w:val="24"/>
          <w:szCs w:val="24"/>
        </w:rPr>
        <w:lastRenderedPageBreak/>
        <w:t>university level. But it did not take long to learn that university work needed a much more organised and systematic way of working, especially in research and referencing. I was not able to manage the digital library of the university, and the search filters were confusing. Accessing some full-text articles was also a problem, and this made me even more frustrated</w:t>
      </w:r>
      <w:r w:rsidR="002923B1" w:rsidRPr="00CE25C3">
        <w:rPr>
          <w:color w:val="0D0D0D" w:themeColor="text1" w:themeTint="F2"/>
          <w:sz w:val="24"/>
          <w:szCs w:val="24"/>
        </w:rPr>
        <w:t xml:space="preserve"> </w:t>
      </w:r>
      <w:r w:rsidR="002923B1" w:rsidRPr="00CE25C3">
        <w:rPr>
          <w:rFonts w:eastAsia="Times New Roman"/>
          <w:sz w:val="24"/>
          <w:szCs w:val="24"/>
          <w:lang w:val="en-US"/>
        </w:rPr>
        <w:t>(</w:t>
      </w:r>
      <w:proofErr w:type="spellStart"/>
      <w:r w:rsidR="002923B1" w:rsidRPr="00CE25C3">
        <w:rPr>
          <w:rFonts w:eastAsia="Times New Roman"/>
          <w:sz w:val="24"/>
          <w:szCs w:val="24"/>
          <w:lang w:val="en-US"/>
        </w:rPr>
        <w:t>Luştrea</w:t>
      </w:r>
      <w:proofErr w:type="spellEnd"/>
      <w:r w:rsidR="002923B1" w:rsidRPr="00CE25C3">
        <w:rPr>
          <w:rFonts w:eastAsia="Times New Roman"/>
          <w:sz w:val="24"/>
          <w:szCs w:val="24"/>
          <w:lang w:val="en-US"/>
        </w:rPr>
        <w:t xml:space="preserve"> </w:t>
      </w:r>
      <w:r w:rsidR="002923B1" w:rsidRPr="00CE25C3">
        <w:rPr>
          <w:rFonts w:eastAsia="Times New Roman"/>
          <w:i/>
          <w:iCs/>
          <w:sz w:val="24"/>
          <w:szCs w:val="24"/>
          <w:lang w:val="en-US"/>
        </w:rPr>
        <w:t>et al.</w:t>
      </w:r>
      <w:r w:rsidR="002923B1" w:rsidRPr="00CE25C3">
        <w:rPr>
          <w:rFonts w:eastAsia="Times New Roman"/>
          <w:sz w:val="24"/>
          <w:szCs w:val="24"/>
          <w:lang w:val="en-US"/>
        </w:rPr>
        <w:t>, 2024)</w:t>
      </w:r>
      <w:r w:rsidRPr="00CE25C3">
        <w:rPr>
          <w:color w:val="0D0D0D" w:themeColor="text1" w:themeTint="F2"/>
          <w:sz w:val="24"/>
          <w:szCs w:val="24"/>
        </w:rPr>
        <w:t>.</w:t>
      </w:r>
    </w:p>
    <w:p w14:paraId="00000008" w14:textId="76645291" w:rsidR="00F72336" w:rsidRPr="00CE25C3" w:rsidRDefault="00742EB0" w:rsidP="00E33295">
      <w:pPr>
        <w:spacing w:before="240" w:after="240" w:line="360" w:lineRule="auto"/>
        <w:jc w:val="both"/>
        <w:rPr>
          <w:rFonts w:eastAsia="Times New Roman"/>
          <w:sz w:val="24"/>
          <w:szCs w:val="24"/>
          <w:lang w:val="en-US"/>
        </w:rPr>
      </w:pPr>
      <w:r w:rsidRPr="00CE25C3">
        <w:rPr>
          <w:color w:val="0D0D0D" w:themeColor="text1" w:themeTint="F2"/>
          <w:sz w:val="24"/>
          <w:szCs w:val="24"/>
        </w:rPr>
        <w:t>The procedure of referencing was especially stressful. I did not expect that I would need to work so hard on the issue of proper referencing. I was afraid of committing mistakes because referencing forms part of academic integrity. When I was writing the assignment, the tension increased as I tried to make sure that all the citations were correct. Though this has not been easy, my attitude started to change the moment I started using Zotero. Automatic formatting of citations in the tool helped to relieve most of my anxiety. Nevertheless, there was still a feeling that I would not be able to use these skills in future tasks</w:t>
      </w:r>
      <w:r w:rsidR="002D0B38" w:rsidRPr="00CE25C3">
        <w:rPr>
          <w:color w:val="0D0D0D" w:themeColor="text1" w:themeTint="F2"/>
          <w:sz w:val="24"/>
          <w:szCs w:val="24"/>
        </w:rPr>
        <w:t xml:space="preserve"> </w:t>
      </w:r>
      <w:r w:rsidR="002D0B38" w:rsidRPr="00CE25C3">
        <w:rPr>
          <w:rFonts w:eastAsia="Times New Roman"/>
          <w:sz w:val="24"/>
          <w:szCs w:val="24"/>
          <w:lang w:val="en-US"/>
        </w:rPr>
        <w:t>(Karki and Neupane, 2025)</w:t>
      </w:r>
      <w:r w:rsidRPr="00CE25C3">
        <w:rPr>
          <w:color w:val="0D0D0D" w:themeColor="text1" w:themeTint="F2"/>
          <w:sz w:val="24"/>
          <w:szCs w:val="24"/>
        </w:rPr>
        <w:t>.</w:t>
      </w:r>
    </w:p>
    <w:p w14:paraId="00000009" w14:textId="77777777" w:rsidR="00F72336" w:rsidRPr="00CE25C3" w:rsidRDefault="00742EB0" w:rsidP="00E33295">
      <w:pPr>
        <w:pStyle w:val="Heading1"/>
        <w:spacing w:before="240" w:after="240" w:line="360" w:lineRule="auto"/>
        <w:jc w:val="both"/>
        <w:rPr>
          <w:b/>
          <w:bCs/>
          <w:color w:val="0D0D0D" w:themeColor="text1" w:themeTint="F2"/>
          <w:sz w:val="32"/>
          <w:szCs w:val="32"/>
        </w:rPr>
      </w:pPr>
      <w:r w:rsidRPr="00CE25C3">
        <w:rPr>
          <w:b/>
          <w:bCs/>
          <w:color w:val="0D0D0D" w:themeColor="text1" w:themeTint="F2"/>
          <w:sz w:val="32"/>
          <w:szCs w:val="32"/>
        </w:rPr>
        <w:t>Evaluation</w:t>
      </w:r>
    </w:p>
    <w:p w14:paraId="0000000A" w14:textId="57A5A4D4" w:rsidR="00F72336" w:rsidRPr="00CE25C3" w:rsidRDefault="00742EB0" w:rsidP="00E33295">
      <w:pPr>
        <w:spacing w:before="240" w:after="240" w:line="360" w:lineRule="auto"/>
        <w:jc w:val="both"/>
        <w:rPr>
          <w:color w:val="0D0D0D" w:themeColor="text1" w:themeTint="F2"/>
          <w:sz w:val="24"/>
          <w:szCs w:val="24"/>
        </w:rPr>
      </w:pPr>
      <w:r w:rsidRPr="00CE25C3">
        <w:rPr>
          <w:color w:val="0D0D0D" w:themeColor="text1" w:themeTint="F2"/>
          <w:sz w:val="24"/>
          <w:szCs w:val="24"/>
        </w:rPr>
        <w:t>In reflection of this experience, I can easily point out both negative and positive elements that influenced my learning. On the one hand, the digital research tools workshop made me acquainted with Zotero, which proved to be a revelation in terms of reference management. Through Zotero, I could cite and format my bibliography automatically, and this saved me a lot of time. Organising my references into categories in Zotero also assisted in the organisation of my literature review more concretely, so that I could read the material in a more meaningful manner.</w:t>
      </w:r>
    </w:p>
    <w:p w14:paraId="0000000B" w14:textId="3BBFA2C6" w:rsidR="00F72336" w:rsidRPr="00CE25C3" w:rsidRDefault="00742EB0" w:rsidP="00E33295">
      <w:pPr>
        <w:spacing w:before="240" w:after="240" w:line="360" w:lineRule="auto"/>
        <w:jc w:val="both"/>
        <w:rPr>
          <w:color w:val="0D0D0D" w:themeColor="text1" w:themeTint="F2"/>
          <w:sz w:val="24"/>
          <w:szCs w:val="24"/>
        </w:rPr>
      </w:pPr>
      <w:r w:rsidRPr="00CE25C3">
        <w:rPr>
          <w:color w:val="0D0D0D" w:themeColor="text1" w:themeTint="F2"/>
          <w:sz w:val="24"/>
          <w:szCs w:val="24"/>
        </w:rPr>
        <w:t>The second advantage of the workshop was the acquisition of knowledge about the advanced search techniques, such as Boolean operators, which enabled me to narrow the results of the research more efficiently. This allowed me to pay attention to the most relevant sources, which made my research process more efficient and of high quality.</w:t>
      </w:r>
    </w:p>
    <w:p w14:paraId="4870DABC" w14:textId="41D46550" w:rsidR="002D0B38" w:rsidRPr="00CE25C3" w:rsidRDefault="00742EB0" w:rsidP="00E33295">
      <w:pPr>
        <w:spacing w:before="240" w:after="240" w:line="360" w:lineRule="auto"/>
        <w:jc w:val="both"/>
        <w:rPr>
          <w:color w:val="0D0D0D" w:themeColor="text1" w:themeTint="F2"/>
          <w:sz w:val="24"/>
          <w:szCs w:val="24"/>
        </w:rPr>
      </w:pPr>
      <w:r w:rsidRPr="00CE25C3">
        <w:rPr>
          <w:color w:val="0D0D0D" w:themeColor="text1" w:themeTint="F2"/>
          <w:sz w:val="24"/>
          <w:szCs w:val="24"/>
        </w:rPr>
        <w:t xml:space="preserve">Nevertheless, it had a number of challenges. Despite the assistance that Zotero provided me with references, I had some technical challenges, including the accidental duplication of references during device syncing. I also discovered that I have not exhausted all the options of Zotero, especially the capability of creating in-text citations </w:t>
      </w:r>
      <w:r w:rsidRPr="00CE25C3">
        <w:rPr>
          <w:color w:val="0D0D0D" w:themeColor="text1" w:themeTint="F2"/>
          <w:sz w:val="24"/>
          <w:szCs w:val="24"/>
        </w:rPr>
        <w:lastRenderedPageBreak/>
        <w:t>of multiple authors and the option of controlling various citation styles. Such problems led to some frustration and made me doubt my skills in using the tool</w:t>
      </w:r>
      <w:r w:rsidR="002D0B38" w:rsidRPr="00CE25C3">
        <w:rPr>
          <w:color w:val="0D0D0D" w:themeColor="text1" w:themeTint="F2"/>
          <w:sz w:val="24"/>
          <w:szCs w:val="24"/>
        </w:rPr>
        <w:t xml:space="preserve"> </w:t>
      </w:r>
      <w:r w:rsidR="002D0B38" w:rsidRPr="00CE25C3">
        <w:rPr>
          <w:rFonts w:eastAsia="Times New Roman"/>
          <w:sz w:val="24"/>
          <w:szCs w:val="24"/>
          <w:lang w:val="en-US"/>
        </w:rPr>
        <w:t xml:space="preserve">(McCarthy </w:t>
      </w:r>
      <w:r w:rsidR="002D0B38" w:rsidRPr="00CE25C3">
        <w:rPr>
          <w:rFonts w:eastAsia="Times New Roman"/>
          <w:i/>
          <w:iCs/>
          <w:sz w:val="24"/>
          <w:szCs w:val="24"/>
          <w:lang w:val="en-US"/>
        </w:rPr>
        <w:t>et al.</w:t>
      </w:r>
      <w:r w:rsidR="002D0B38" w:rsidRPr="00CE25C3">
        <w:rPr>
          <w:rFonts w:eastAsia="Times New Roman"/>
          <w:sz w:val="24"/>
          <w:szCs w:val="24"/>
          <w:lang w:val="en-US"/>
        </w:rPr>
        <w:t>, 2021)</w:t>
      </w:r>
      <w:r w:rsidRPr="00CE25C3">
        <w:rPr>
          <w:color w:val="0D0D0D" w:themeColor="text1" w:themeTint="F2"/>
          <w:sz w:val="24"/>
          <w:szCs w:val="24"/>
        </w:rPr>
        <w:t>.</w:t>
      </w:r>
    </w:p>
    <w:p w14:paraId="0A641B85" w14:textId="5E463035" w:rsidR="00B401D7" w:rsidRPr="00CE25C3" w:rsidRDefault="00742EB0" w:rsidP="00E33295">
      <w:pPr>
        <w:spacing w:before="240" w:after="240" w:line="360" w:lineRule="auto"/>
        <w:jc w:val="both"/>
        <w:rPr>
          <w:rFonts w:eastAsia="Times New Roman"/>
          <w:sz w:val="24"/>
          <w:szCs w:val="24"/>
          <w:lang w:val="en-US"/>
        </w:rPr>
      </w:pPr>
      <w:r w:rsidRPr="00CE25C3">
        <w:rPr>
          <w:color w:val="0D0D0D" w:themeColor="text1" w:themeTint="F2"/>
          <w:sz w:val="24"/>
          <w:szCs w:val="24"/>
        </w:rPr>
        <w:t>Also, I had a serious problem with time management. I also did not realise that the assignment would take me so much time, and did not leave sufficient time to revise and refine. Consequently, I rushed the last parts of my paper and failed to go deep with the analysis that I desired. This was furthered by the fact that I did not use digital planning applications like Trello or Google Calendar to simplify the assignment into small tasks. Eventually, I was working</w:t>
      </w:r>
      <w:r w:rsidRPr="00CE25C3">
        <w:rPr>
          <w:color w:val="0D0D0D" w:themeColor="text1" w:themeTint="F2"/>
        </w:rPr>
        <w:t xml:space="preserve"> up to the last minute, which contributed to the stress and affected the quality of my work</w:t>
      </w:r>
      <w:r w:rsidR="002D0B38" w:rsidRPr="00CE25C3">
        <w:rPr>
          <w:color w:val="0D0D0D" w:themeColor="text1" w:themeTint="F2"/>
        </w:rPr>
        <w:t xml:space="preserve"> </w:t>
      </w:r>
      <w:r w:rsidR="002D0B38" w:rsidRPr="00CE25C3">
        <w:rPr>
          <w:rFonts w:eastAsia="Times New Roman"/>
          <w:sz w:val="24"/>
          <w:szCs w:val="24"/>
          <w:lang w:val="en-US"/>
        </w:rPr>
        <w:t>(Guo, 2021)</w:t>
      </w:r>
      <w:r w:rsidRPr="00CE25C3">
        <w:rPr>
          <w:color w:val="0D0D0D" w:themeColor="text1" w:themeTint="F2"/>
        </w:rPr>
        <w:t>.</w:t>
      </w:r>
    </w:p>
    <w:p w14:paraId="0000000E" w14:textId="77777777" w:rsidR="00F72336" w:rsidRPr="00CE25C3" w:rsidRDefault="00742EB0" w:rsidP="00E33295">
      <w:pPr>
        <w:pStyle w:val="Heading1"/>
        <w:spacing w:before="240" w:after="240" w:line="360" w:lineRule="auto"/>
        <w:jc w:val="both"/>
        <w:rPr>
          <w:b/>
          <w:bCs/>
          <w:color w:val="0D0D0D" w:themeColor="text1" w:themeTint="F2"/>
          <w:sz w:val="32"/>
          <w:szCs w:val="32"/>
        </w:rPr>
      </w:pPr>
      <w:r w:rsidRPr="00CE25C3">
        <w:rPr>
          <w:b/>
          <w:bCs/>
          <w:color w:val="0D0D0D" w:themeColor="text1" w:themeTint="F2"/>
          <w:sz w:val="32"/>
          <w:szCs w:val="32"/>
        </w:rPr>
        <w:t>Analysis</w:t>
      </w:r>
    </w:p>
    <w:p w14:paraId="0000000F" w14:textId="57D33CA3" w:rsidR="00F72336" w:rsidRPr="00CE25C3" w:rsidRDefault="00742EB0" w:rsidP="00E33295">
      <w:pPr>
        <w:spacing w:before="240" w:after="240" w:line="360" w:lineRule="auto"/>
        <w:jc w:val="both"/>
        <w:rPr>
          <w:color w:val="0D0D0D" w:themeColor="text1" w:themeTint="F2"/>
          <w:sz w:val="24"/>
          <w:szCs w:val="24"/>
        </w:rPr>
      </w:pPr>
      <w:r w:rsidRPr="00CE25C3">
        <w:rPr>
          <w:color w:val="0D0D0D" w:themeColor="text1" w:themeTint="F2"/>
          <w:sz w:val="24"/>
          <w:szCs w:val="24"/>
        </w:rPr>
        <w:t>Upon closer examination of the experience, it is possible to note a number of factors that contributed to such results. My main problem was that I was not digitally literate when I first entered the university, and could not use all the facilities of the university library and digital tools. Even though I knew the basic research skills I had acquired in high school, I had not acquired the digital competency that was required to access the more sophisticated resources that were offered in the university. The first reason why I was not willing to use Zotero and other digital tools was that I was used to more traditional ways of doing things, including taking notes by hand and referencing manually. This resistance made me slow in adapting to the more digitally oriented research style of the university</w:t>
      </w:r>
      <w:r w:rsidR="002D0B38" w:rsidRPr="00CE25C3">
        <w:rPr>
          <w:color w:val="0D0D0D" w:themeColor="text1" w:themeTint="F2"/>
          <w:sz w:val="24"/>
          <w:szCs w:val="24"/>
        </w:rPr>
        <w:t xml:space="preserve"> </w:t>
      </w:r>
      <w:r w:rsidR="002D0B38" w:rsidRPr="00CE25C3">
        <w:rPr>
          <w:rFonts w:eastAsia="Times New Roman"/>
          <w:sz w:val="24"/>
          <w:szCs w:val="24"/>
          <w:lang w:val="en-US"/>
        </w:rPr>
        <w:t xml:space="preserve">(Koolen, Van Gorp and Van </w:t>
      </w:r>
      <w:proofErr w:type="spellStart"/>
      <w:r w:rsidR="002D0B38" w:rsidRPr="00CE25C3">
        <w:rPr>
          <w:rFonts w:eastAsia="Times New Roman"/>
          <w:sz w:val="24"/>
          <w:szCs w:val="24"/>
          <w:lang w:val="en-US"/>
        </w:rPr>
        <w:t>Ossenbruggen</w:t>
      </w:r>
      <w:proofErr w:type="spellEnd"/>
      <w:r w:rsidR="002D0B38" w:rsidRPr="00CE25C3">
        <w:rPr>
          <w:rFonts w:eastAsia="Times New Roman"/>
          <w:sz w:val="24"/>
          <w:szCs w:val="24"/>
          <w:lang w:val="en-US"/>
        </w:rPr>
        <w:t>, 2018)</w:t>
      </w:r>
      <w:r w:rsidRPr="00CE25C3">
        <w:rPr>
          <w:color w:val="0D0D0D" w:themeColor="text1" w:themeTint="F2"/>
          <w:sz w:val="24"/>
          <w:szCs w:val="24"/>
        </w:rPr>
        <w:t>.</w:t>
      </w:r>
    </w:p>
    <w:p w14:paraId="5DCA30CD" w14:textId="77777777" w:rsidR="002D0B38" w:rsidRPr="00CE25C3" w:rsidRDefault="002D0B38" w:rsidP="00E33295">
      <w:pPr>
        <w:spacing w:before="240" w:after="240" w:line="360" w:lineRule="auto"/>
        <w:jc w:val="both"/>
        <w:rPr>
          <w:rFonts w:eastAsia="Times New Roman"/>
          <w:sz w:val="24"/>
          <w:szCs w:val="24"/>
          <w:lang w:val="en-US"/>
        </w:rPr>
      </w:pPr>
    </w:p>
    <w:p w14:paraId="00000010" w14:textId="40DFDE1D" w:rsidR="00F72336" w:rsidRPr="00CE25C3" w:rsidRDefault="00742EB0" w:rsidP="00E33295">
      <w:pPr>
        <w:spacing w:before="240" w:after="240" w:line="360" w:lineRule="auto"/>
        <w:jc w:val="both"/>
        <w:rPr>
          <w:color w:val="0D0D0D" w:themeColor="text1" w:themeTint="F2"/>
          <w:sz w:val="24"/>
          <w:szCs w:val="24"/>
        </w:rPr>
      </w:pPr>
      <w:r w:rsidRPr="00CE25C3">
        <w:rPr>
          <w:color w:val="0D0D0D" w:themeColor="text1" w:themeTint="F2"/>
          <w:sz w:val="24"/>
          <w:szCs w:val="24"/>
        </w:rPr>
        <w:t>Another important factor was time management. I did not appreciate the complexity of the assignment and did not develop a well-organised plan of how to manage my time. I was left without a clear timetable and breakdown of tasks, so I ended up procrastinating and scrambling to complete the work. I was so occupied with the deadline that I could not make corrections to my work as much as I would have wanted to. With the help of a digital planner such as Google Calendar or Trello, I would have split the assignment into small tasks, established reasonable deadlines for each part, and prevented the last-minute rush</w:t>
      </w:r>
      <w:r w:rsidR="002D0B38" w:rsidRPr="00CE25C3">
        <w:rPr>
          <w:color w:val="0D0D0D" w:themeColor="text1" w:themeTint="F2"/>
          <w:sz w:val="24"/>
          <w:szCs w:val="24"/>
        </w:rPr>
        <w:t xml:space="preserve"> </w:t>
      </w:r>
      <w:r w:rsidR="002D0B38" w:rsidRPr="00CE25C3">
        <w:rPr>
          <w:rFonts w:eastAsia="Times New Roman"/>
          <w:sz w:val="24"/>
          <w:szCs w:val="24"/>
          <w:lang w:val="en-US"/>
        </w:rPr>
        <w:t xml:space="preserve">(Pedroso </w:t>
      </w:r>
      <w:r w:rsidR="002D0B38" w:rsidRPr="00CE25C3">
        <w:rPr>
          <w:rFonts w:eastAsia="Times New Roman"/>
          <w:i/>
          <w:iCs/>
          <w:sz w:val="24"/>
          <w:szCs w:val="24"/>
          <w:lang w:val="en-US"/>
        </w:rPr>
        <w:t>et al.</w:t>
      </w:r>
      <w:r w:rsidR="002D0B38" w:rsidRPr="00CE25C3">
        <w:rPr>
          <w:rFonts w:eastAsia="Times New Roman"/>
          <w:sz w:val="24"/>
          <w:szCs w:val="24"/>
          <w:lang w:val="en-US"/>
        </w:rPr>
        <w:t>, 2023)</w:t>
      </w:r>
      <w:r w:rsidRPr="00CE25C3">
        <w:rPr>
          <w:color w:val="0D0D0D" w:themeColor="text1" w:themeTint="F2"/>
          <w:sz w:val="24"/>
          <w:szCs w:val="24"/>
        </w:rPr>
        <w:t>.</w:t>
      </w:r>
    </w:p>
    <w:p w14:paraId="6758E197" w14:textId="77777777" w:rsidR="002D0B38" w:rsidRPr="00CE25C3" w:rsidRDefault="002D0B38" w:rsidP="00E33295">
      <w:pPr>
        <w:spacing w:before="240" w:after="240" w:line="360" w:lineRule="auto"/>
        <w:jc w:val="both"/>
        <w:rPr>
          <w:rFonts w:eastAsia="Times New Roman"/>
          <w:sz w:val="24"/>
          <w:szCs w:val="24"/>
          <w:lang w:val="en-US"/>
        </w:rPr>
      </w:pPr>
    </w:p>
    <w:p w14:paraId="00000011" w14:textId="0C3F90AC" w:rsidR="00F72336" w:rsidRPr="00CE25C3" w:rsidRDefault="00742EB0" w:rsidP="00E33295">
      <w:pPr>
        <w:spacing w:before="240" w:after="240" w:line="360" w:lineRule="auto"/>
        <w:jc w:val="both"/>
        <w:rPr>
          <w:color w:val="0D0D0D" w:themeColor="text1" w:themeTint="F2"/>
          <w:sz w:val="24"/>
          <w:szCs w:val="24"/>
        </w:rPr>
      </w:pPr>
      <w:r w:rsidRPr="00CE25C3">
        <w:rPr>
          <w:color w:val="0D0D0D" w:themeColor="text1" w:themeTint="F2"/>
          <w:sz w:val="24"/>
          <w:szCs w:val="24"/>
        </w:rPr>
        <w:t xml:space="preserve">Besides, the technical challenges that I experienced with Zotero were partly because I did not know how to use the software efficiently. I did not bother to investigate all the options, including synchronisation on different devices or sorting references more effectively. These minor technical glitches contributed to the pressure and slowed me down. </w:t>
      </w:r>
    </w:p>
    <w:p w14:paraId="00000012" w14:textId="77777777" w:rsidR="00F72336" w:rsidRPr="00CE25C3" w:rsidRDefault="00742EB0" w:rsidP="00E33295">
      <w:pPr>
        <w:spacing w:before="240" w:after="240" w:line="360" w:lineRule="auto"/>
        <w:jc w:val="both"/>
        <w:rPr>
          <w:color w:val="0D0D0D" w:themeColor="text1" w:themeTint="F2"/>
          <w:sz w:val="24"/>
          <w:szCs w:val="24"/>
        </w:rPr>
      </w:pPr>
      <w:r w:rsidRPr="00CE25C3">
        <w:rPr>
          <w:color w:val="0D0D0D" w:themeColor="text1" w:themeTint="F2"/>
          <w:sz w:val="24"/>
          <w:szCs w:val="24"/>
        </w:rPr>
        <w:t>Lastly, the Zone of Proximal Development or ZPD, proposed by Vygotsky can be used to explain the positive influence that the workshop had on me. The extrinsic support that I got during the workshop enabled me to carry my digital skills to a higher extent than I would have done on my own. But to make these skills more durable, I will have to practice them further and further incorporate them into my working routine.</w:t>
      </w:r>
    </w:p>
    <w:p w14:paraId="5D423B8E" w14:textId="77777777" w:rsidR="00EB5F53" w:rsidRPr="00CE25C3" w:rsidRDefault="00742EB0" w:rsidP="00E33295">
      <w:pPr>
        <w:pStyle w:val="Heading1"/>
        <w:spacing w:before="240" w:after="240" w:line="360" w:lineRule="auto"/>
        <w:jc w:val="both"/>
        <w:rPr>
          <w:b/>
          <w:bCs/>
          <w:color w:val="0D0D0D" w:themeColor="text1" w:themeTint="F2"/>
          <w:sz w:val="32"/>
          <w:szCs w:val="32"/>
        </w:rPr>
      </w:pPr>
      <w:r w:rsidRPr="00CE25C3">
        <w:rPr>
          <w:b/>
          <w:bCs/>
          <w:color w:val="0D0D0D" w:themeColor="text1" w:themeTint="F2"/>
          <w:sz w:val="32"/>
          <w:szCs w:val="32"/>
        </w:rPr>
        <w:t>Conclusion</w:t>
      </w:r>
    </w:p>
    <w:p w14:paraId="00000017" w14:textId="29933174" w:rsidR="00F72336" w:rsidRPr="00CE25C3" w:rsidRDefault="00742EB0" w:rsidP="00E33295">
      <w:pPr>
        <w:spacing w:before="240" w:after="240" w:line="360" w:lineRule="auto"/>
        <w:jc w:val="both"/>
        <w:rPr>
          <w:b/>
          <w:bCs/>
          <w:sz w:val="32"/>
          <w:szCs w:val="32"/>
        </w:rPr>
      </w:pPr>
      <w:r w:rsidRPr="00CE25C3">
        <w:t>Looking back, I understand that I could have done the assignment in a number of ways. To start with, I ought to have acquainted myself with Zotero and other online tools before the start of the assignment as opposed to at the last minute. This would have enabled me to gain knowledge of the tools at a more casual rate and to use them with more confidence. Also, the use of a digital planning tool, like Google Calendar or Trello, would have made me structure my activities better and dedicate sufficient time to each phase of the assignment, including the research, writing, and revision parts.</w:t>
      </w:r>
    </w:p>
    <w:p w14:paraId="00000018" w14:textId="77777777" w:rsidR="00F72336" w:rsidRPr="00CE25C3" w:rsidRDefault="00742EB0" w:rsidP="00E33295">
      <w:pPr>
        <w:pStyle w:val="Heading1"/>
        <w:spacing w:before="240" w:after="240" w:line="360" w:lineRule="auto"/>
        <w:jc w:val="both"/>
        <w:rPr>
          <w:b/>
          <w:bCs/>
          <w:color w:val="0D0D0D" w:themeColor="text1" w:themeTint="F2"/>
          <w:sz w:val="32"/>
          <w:szCs w:val="32"/>
        </w:rPr>
      </w:pPr>
      <w:r w:rsidRPr="00CE25C3">
        <w:rPr>
          <w:b/>
          <w:bCs/>
          <w:color w:val="0D0D0D" w:themeColor="text1" w:themeTint="F2"/>
          <w:sz w:val="32"/>
          <w:szCs w:val="32"/>
        </w:rPr>
        <w:t>Smart Action Plan</w:t>
      </w:r>
    </w:p>
    <w:tbl>
      <w:tblPr>
        <w:tblStyle w:val="a"/>
        <w:tblW w:w="9029"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504"/>
        <w:gridCol w:w="1505"/>
        <w:gridCol w:w="1505"/>
        <w:gridCol w:w="1505"/>
        <w:gridCol w:w="1505"/>
        <w:gridCol w:w="1505"/>
      </w:tblGrid>
      <w:tr w:rsidR="000A011A" w:rsidRPr="00CE25C3" w14:paraId="020A6398" w14:textId="77777777">
        <w:tc>
          <w:tcPr>
            <w:tcW w:w="1504" w:type="dxa"/>
            <w:shd w:val="clear" w:color="auto" w:fill="auto"/>
            <w:tcMar>
              <w:top w:w="100" w:type="dxa"/>
              <w:left w:w="100" w:type="dxa"/>
              <w:bottom w:w="100" w:type="dxa"/>
              <w:right w:w="100" w:type="dxa"/>
            </w:tcMar>
          </w:tcPr>
          <w:p w14:paraId="00000019" w14:textId="77777777" w:rsidR="00F72336" w:rsidRPr="00CE25C3" w:rsidRDefault="00742EB0" w:rsidP="00E33295">
            <w:pPr>
              <w:spacing w:before="240" w:after="240" w:line="360" w:lineRule="auto"/>
              <w:jc w:val="both"/>
              <w:rPr>
                <w:color w:val="0D0D0D" w:themeColor="text1" w:themeTint="F2"/>
              </w:rPr>
            </w:pPr>
            <w:r w:rsidRPr="00CE25C3">
              <w:rPr>
                <w:b/>
                <w:color w:val="0D0D0D" w:themeColor="text1" w:themeTint="F2"/>
              </w:rPr>
              <w:t>Goal</w:t>
            </w:r>
          </w:p>
        </w:tc>
        <w:tc>
          <w:tcPr>
            <w:tcW w:w="1504" w:type="dxa"/>
            <w:shd w:val="clear" w:color="auto" w:fill="auto"/>
            <w:tcMar>
              <w:top w:w="100" w:type="dxa"/>
              <w:left w:w="100" w:type="dxa"/>
              <w:bottom w:w="100" w:type="dxa"/>
              <w:right w:w="100" w:type="dxa"/>
            </w:tcMar>
          </w:tcPr>
          <w:p w14:paraId="0000001A" w14:textId="77777777" w:rsidR="00F72336" w:rsidRPr="00CE25C3" w:rsidRDefault="00742EB0" w:rsidP="00E33295">
            <w:pPr>
              <w:spacing w:before="240" w:after="240" w:line="360" w:lineRule="auto"/>
              <w:jc w:val="both"/>
              <w:rPr>
                <w:color w:val="0D0D0D" w:themeColor="text1" w:themeTint="F2"/>
              </w:rPr>
            </w:pPr>
            <w:r w:rsidRPr="00CE25C3">
              <w:rPr>
                <w:b/>
                <w:color w:val="0D0D0D" w:themeColor="text1" w:themeTint="F2"/>
              </w:rPr>
              <w:t>Specific</w:t>
            </w:r>
          </w:p>
        </w:tc>
        <w:tc>
          <w:tcPr>
            <w:tcW w:w="1504" w:type="dxa"/>
            <w:shd w:val="clear" w:color="auto" w:fill="auto"/>
            <w:tcMar>
              <w:top w:w="100" w:type="dxa"/>
              <w:left w:w="100" w:type="dxa"/>
              <w:bottom w:w="100" w:type="dxa"/>
              <w:right w:w="100" w:type="dxa"/>
            </w:tcMar>
          </w:tcPr>
          <w:p w14:paraId="0000001B" w14:textId="77777777" w:rsidR="00F72336" w:rsidRPr="00CE25C3" w:rsidRDefault="00742EB0" w:rsidP="00E33295">
            <w:pPr>
              <w:spacing w:before="240" w:after="240" w:line="360" w:lineRule="auto"/>
              <w:jc w:val="both"/>
              <w:rPr>
                <w:color w:val="0D0D0D" w:themeColor="text1" w:themeTint="F2"/>
              </w:rPr>
            </w:pPr>
            <w:r w:rsidRPr="00CE25C3">
              <w:rPr>
                <w:b/>
                <w:color w:val="0D0D0D" w:themeColor="text1" w:themeTint="F2"/>
              </w:rPr>
              <w:t>Measurable</w:t>
            </w:r>
          </w:p>
        </w:tc>
        <w:tc>
          <w:tcPr>
            <w:tcW w:w="1504" w:type="dxa"/>
            <w:shd w:val="clear" w:color="auto" w:fill="auto"/>
            <w:tcMar>
              <w:top w:w="100" w:type="dxa"/>
              <w:left w:w="100" w:type="dxa"/>
              <w:bottom w:w="100" w:type="dxa"/>
              <w:right w:w="100" w:type="dxa"/>
            </w:tcMar>
          </w:tcPr>
          <w:p w14:paraId="0000001C" w14:textId="77777777" w:rsidR="00F72336" w:rsidRPr="00CE25C3" w:rsidRDefault="00742EB0" w:rsidP="00E33295">
            <w:pPr>
              <w:spacing w:before="240" w:after="240" w:line="360" w:lineRule="auto"/>
              <w:jc w:val="both"/>
              <w:rPr>
                <w:color w:val="0D0D0D" w:themeColor="text1" w:themeTint="F2"/>
              </w:rPr>
            </w:pPr>
            <w:r w:rsidRPr="00CE25C3">
              <w:rPr>
                <w:b/>
                <w:color w:val="0D0D0D" w:themeColor="text1" w:themeTint="F2"/>
              </w:rPr>
              <w:t>Achievable</w:t>
            </w:r>
          </w:p>
        </w:tc>
        <w:tc>
          <w:tcPr>
            <w:tcW w:w="1504" w:type="dxa"/>
            <w:shd w:val="clear" w:color="auto" w:fill="auto"/>
            <w:tcMar>
              <w:top w:w="100" w:type="dxa"/>
              <w:left w:w="100" w:type="dxa"/>
              <w:bottom w:w="100" w:type="dxa"/>
              <w:right w:w="100" w:type="dxa"/>
            </w:tcMar>
          </w:tcPr>
          <w:p w14:paraId="0000001D" w14:textId="77777777" w:rsidR="00F72336" w:rsidRPr="00CE25C3" w:rsidRDefault="00742EB0" w:rsidP="00E33295">
            <w:pPr>
              <w:spacing w:before="240" w:after="240" w:line="360" w:lineRule="auto"/>
              <w:jc w:val="both"/>
              <w:rPr>
                <w:color w:val="0D0D0D" w:themeColor="text1" w:themeTint="F2"/>
              </w:rPr>
            </w:pPr>
            <w:r w:rsidRPr="00CE25C3">
              <w:rPr>
                <w:b/>
                <w:color w:val="0D0D0D" w:themeColor="text1" w:themeTint="F2"/>
              </w:rPr>
              <w:t>Relevant</w:t>
            </w:r>
          </w:p>
        </w:tc>
        <w:tc>
          <w:tcPr>
            <w:tcW w:w="1504" w:type="dxa"/>
            <w:shd w:val="clear" w:color="auto" w:fill="auto"/>
            <w:tcMar>
              <w:top w:w="100" w:type="dxa"/>
              <w:left w:w="100" w:type="dxa"/>
              <w:bottom w:w="100" w:type="dxa"/>
              <w:right w:w="100" w:type="dxa"/>
            </w:tcMar>
          </w:tcPr>
          <w:p w14:paraId="0000001E" w14:textId="77777777" w:rsidR="00F72336" w:rsidRPr="00CE25C3" w:rsidRDefault="00742EB0" w:rsidP="00E33295">
            <w:pPr>
              <w:spacing w:before="240" w:after="240" w:line="360" w:lineRule="auto"/>
              <w:jc w:val="both"/>
              <w:rPr>
                <w:color w:val="0D0D0D" w:themeColor="text1" w:themeTint="F2"/>
              </w:rPr>
            </w:pPr>
            <w:r w:rsidRPr="00CE25C3">
              <w:rPr>
                <w:b/>
                <w:color w:val="0D0D0D" w:themeColor="text1" w:themeTint="F2"/>
              </w:rPr>
              <w:t>Time-Bound</w:t>
            </w:r>
          </w:p>
        </w:tc>
      </w:tr>
      <w:tr w:rsidR="000A011A" w:rsidRPr="00CE25C3" w14:paraId="639B74EA" w14:textId="77777777">
        <w:tc>
          <w:tcPr>
            <w:tcW w:w="1504" w:type="dxa"/>
            <w:shd w:val="clear" w:color="auto" w:fill="auto"/>
            <w:tcMar>
              <w:top w:w="100" w:type="dxa"/>
              <w:left w:w="100" w:type="dxa"/>
              <w:bottom w:w="100" w:type="dxa"/>
              <w:right w:w="100" w:type="dxa"/>
            </w:tcMar>
          </w:tcPr>
          <w:p w14:paraId="0000001F" w14:textId="77777777" w:rsidR="00F72336" w:rsidRPr="00CE25C3" w:rsidRDefault="00742EB0" w:rsidP="00E33295">
            <w:pPr>
              <w:spacing w:before="240" w:after="240" w:line="360" w:lineRule="auto"/>
              <w:jc w:val="both"/>
              <w:rPr>
                <w:color w:val="0D0D0D" w:themeColor="text1" w:themeTint="F2"/>
              </w:rPr>
            </w:pPr>
            <w:r w:rsidRPr="00CE25C3">
              <w:rPr>
                <w:b/>
                <w:color w:val="0D0D0D" w:themeColor="text1" w:themeTint="F2"/>
              </w:rPr>
              <w:t>Master referencing tools</w:t>
            </w:r>
          </w:p>
        </w:tc>
        <w:tc>
          <w:tcPr>
            <w:tcW w:w="1504" w:type="dxa"/>
            <w:shd w:val="clear" w:color="auto" w:fill="auto"/>
            <w:tcMar>
              <w:top w:w="100" w:type="dxa"/>
              <w:left w:w="100" w:type="dxa"/>
              <w:bottom w:w="100" w:type="dxa"/>
              <w:right w:w="100" w:type="dxa"/>
            </w:tcMar>
          </w:tcPr>
          <w:p w14:paraId="00000020" w14:textId="77777777" w:rsidR="00F72336" w:rsidRPr="00CE25C3" w:rsidRDefault="00742EB0" w:rsidP="00E33295">
            <w:pPr>
              <w:spacing w:before="240" w:after="240" w:line="360" w:lineRule="auto"/>
              <w:jc w:val="both"/>
              <w:rPr>
                <w:color w:val="0D0D0D" w:themeColor="text1" w:themeTint="F2"/>
              </w:rPr>
            </w:pPr>
            <w:r w:rsidRPr="00CE25C3">
              <w:rPr>
                <w:color w:val="0D0D0D" w:themeColor="text1" w:themeTint="F2"/>
              </w:rPr>
              <w:t>Complete Zotero certification and use it for 3 assignments.</w:t>
            </w:r>
          </w:p>
        </w:tc>
        <w:tc>
          <w:tcPr>
            <w:tcW w:w="1504" w:type="dxa"/>
            <w:shd w:val="clear" w:color="auto" w:fill="auto"/>
            <w:tcMar>
              <w:top w:w="100" w:type="dxa"/>
              <w:left w:w="100" w:type="dxa"/>
              <w:bottom w:w="100" w:type="dxa"/>
              <w:right w:w="100" w:type="dxa"/>
            </w:tcMar>
          </w:tcPr>
          <w:p w14:paraId="00000021" w14:textId="77777777" w:rsidR="00F72336" w:rsidRPr="00CE25C3" w:rsidRDefault="00742EB0" w:rsidP="00E33295">
            <w:pPr>
              <w:spacing w:before="240" w:after="240" w:line="360" w:lineRule="auto"/>
              <w:jc w:val="both"/>
              <w:rPr>
                <w:color w:val="0D0D0D" w:themeColor="text1" w:themeTint="F2"/>
              </w:rPr>
            </w:pPr>
            <w:r w:rsidRPr="00CE25C3">
              <w:rPr>
                <w:color w:val="0D0D0D" w:themeColor="text1" w:themeTint="F2"/>
              </w:rPr>
              <w:t>Track course completion and use of advanced features.</w:t>
            </w:r>
          </w:p>
        </w:tc>
        <w:tc>
          <w:tcPr>
            <w:tcW w:w="1504" w:type="dxa"/>
            <w:shd w:val="clear" w:color="auto" w:fill="auto"/>
            <w:tcMar>
              <w:top w:w="100" w:type="dxa"/>
              <w:left w:w="100" w:type="dxa"/>
              <w:bottom w:w="100" w:type="dxa"/>
              <w:right w:w="100" w:type="dxa"/>
            </w:tcMar>
          </w:tcPr>
          <w:p w14:paraId="00000022" w14:textId="77777777" w:rsidR="00F72336" w:rsidRPr="00CE25C3" w:rsidRDefault="00742EB0" w:rsidP="00E33295">
            <w:pPr>
              <w:spacing w:before="240" w:after="240" w:line="360" w:lineRule="auto"/>
              <w:jc w:val="both"/>
              <w:rPr>
                <w:color w:val="0D0D0D" w:themeColor="text1" w:themeTint="F2"/>
              </w:rPr>
            </w:pPr>
            <w:r w:rsidRPr="00CE25C3">
              <w:rPr>
                <w:color w:val="0D0D0D" w:themeColor="text1" w:themeTint="F2"/>
              </w:rPr>
              <w:t>Free university course; simple to apply.</w:t>
            </w:r>
          </w:p>
        </w:tc>
        <w:tc>
          <w:tcPr>
            <w:tcW w:w="1504" w:type="dxa"/>
            <w:shd w:val="clear" w:color="auto" w:fill="auto"/>
            <w:tcMar>
              <w:top w:w="100" w:type="dxa"/>
              <w:left w:w="100" w:type="dxa"/>
              <w:bottom w:w="100" w:type="dxa"/>
              <w:right w:w="100" w:type="dxa"/>
            </w:tcMar>
          </w:tcPr>
          <w:p w14:paraId="00000023" w14:textId="77777777" w:rsidR="00F72336" w:rsidRPr="00CE25C3" w:rsidRDefault="00742EB0" w:rsidP="00E33295">
            <w:pPr>
              <w:spacing w:before="240" w:after="240" w:line="360" w:lineRule="auto"/>
              <w:jc w:val="both"/>
              <w:rPr>
                <w:color w:val="0D0D0D" w:themeColor="text1" w:themeTint="F2"/>
              </w:rPr>
            </w:pPr>
            <w:r w:rsidRPr="00CE25C3">
              <w:rPr>
                <w:color w:val="0D0D0D" w:themeColor="text1" w:themeTint="F2"/>
              </w:rPr>
              <w:t>Ensures error-free referencing in assignments.</w:t>
            </w:r>
          </w:p>
        </w:tc>
        <w:tc>
          <w:tcPr>
            <w:tcW w:w="1504" w:type="dxa"/>
            <w:shd w:val="clear" w:color="auto" w:fill="auto"/>
            <w:tcMar>
              <w:top w:w="100" w:type="dxa"/>
              <w:left w:w="100" w:type="dxa"/>
              <w:bottom w:w="100" w:type="dxa"/>
              <w:right w:w="100" w:type="dxa"/>
            </w:tcMar>
          </w:tcPr>
          <w:p w14:paraId="00000024" w14:textId="77777777" w:rsidR="00F72336" w:rsidRPr="00CE25C3" w:rsidRDefault="00742EB0" w:rsidP="00E33295">
            <w:pPr>
              <w:spacing w:before="240" w:after="240" w:line="360" w:lineRule="auto"/>
              <w:jc w:val="both"/>
              <w:rPr>
                <w:color w:val="0D0D0D" w:themeColor="text1" w:themeTint="F2"/>
              </w:rPr>
            </w:pPr>
            <w:r w:rsidRPr="00CE25C3">
              <w:rPr>
                <w:color w:val="0D0D0D" w:themeColor="text1" w:themeTint="F2"/>
              </w:rPr>
              <w:t>Complete by Week 4 of Term 2; apply by the end of Term 2.</w:t>
            </w:r>
          </w:p>
        </w:tc>
      </w:tr>
      <w:tr w:rsidR="000A011A" w:rsidRPr="00CE25C3" w14:paraId="5DE125C7" w14:textId="77777777">
        <w:tc>
          <w:tcPr>
            <w:tcW w:w="1504" w:type="dxa"/>
            <w:shd w:val="clear" w:color="auto" w:fill="auto"/>
            <w:tcMar>
              <w:top w:w="100" w:type="dxa"/>
              <w:left w:w="100" w:type="dxa"/>
              <w:bottom w:w="100" w:type="dxa"/>
              <w:right w:w="100" w:type="dxa"/>
            </w:tcMar>
          </w:tcPr>
          <w:p w14:paraId="00000025" w14:textId="77777777" w:rsidR="00F72336" w:rsidRPr="00CE25C3" w:rsidRDefault="00742EB0" w:rsidP="00E33295">
            <w:pPr>
              <w:spacing w:before="240" w:after="240" w:line="360" w:lineRule="auto"/>
              <w:jc w:val="both"/>
              <w:rPr>
                <w:color w:val="0D0D0D" w:themeColor="text1" w:themeTint="F2"/>
              </w:rPr>
            </w:pPr>
            <w:r w:rsidRPr="00CE25C3">
              <w:rPr>
                <w:b/>
                <w:color w:val="0D0D0D" w:themeColor="text1" w:themeTint="F2"/>
              </w:rPr>
              <w:lastRenderedPageBreak/>
              <w:t>Enhance research and organisation</w:t>
            </w:r>
          </w:p>
        </w:tc>
        <w:tc>
          <w:tcPr>
            <w:tcW w:w="1504" w:type="dxa"/>
            <w:shd w:val="clear" w:color="auto" w:fill="auto"/>
            <w:tcMar>
              <w:top w:w="100" w:type="dxa"/>
              <w:left w:w="100" w:type="dxa"/>
              <w:bottom w:w="100" w:type="dxa"/>
              <w:right w:w="100" w:type="dxa"/>
            </w:tcMar>
          </w:tcPr>
          <w:p w14:paraId="00000026" w14:textId="77777777" w:rsidR="00F72336" w:rsidRPr="00CE25C3" w:rsidRDefault="00742EB0" w:rsidP="00E33295">
            <w:pPr>
              <w:spacing w:before="240" w:after="240" w:line="360" w:lineRule="auto"/>
              <w:jc w:val="both"/>
              <w:rPr>
                <w:color w:val="0D0D0D" w:themeColor="text1" w:themeTint="F2"/>
              </w:rPr>
            </w:pPr>
            <w:r w:rsidRPr="00CE25C3">
              <w:rPr>
                <w:color w:val="0D0D0D" w:themeColor="text1" w:themeTint="F2"/>
              </w:rPr>
              <w:t>Attend 2 workshops and apply techniques in Notion for the organisation.</w:t>
            </w:r>
          </w:p>
        </w:tc>
        <w:tc>
          <w:tcPr>
            <w:tcW w:w="1504" w:type="dxa"/>
            <w:shd w:val="clear" w:color="auto" w:fill="auto"/>
            <w:tcMar>
              <w:top w:w="100" w:type="dxa"/>
              <w:left w:w="100" w:type="dxa"/>
              <w:bottom w:w="100" w:type="dxa"/>
              <w:right w:w="100" w:type="dxa"/>
            </w:tcMar>
          </w:tcPr>
          <w:p w14:paraId="112F2090" w14:textId="77777777" w:rsidR="004E4CD8" w:rsidRPr="00CE25C3" w:rsidRDefault="00742EB0" w:rsidP="00E33295">
            <w:pPr>
              <w:spacing w:before="240" w:after="240" w:line="360" w:lineRule="auto"/>
              <w:jc w:val="both"/>
              <w:rPr>
                <w:rFonts w:eastAsia="Times New Roman"/>
                <w:sz w:val="24"/>
                <w:szCs w:val="24"/>
                <w:lang w:val="en-US"/>
              </w:rPr>
            </w:pPr>
            <w:r w:rsidRPr="00CE25C3">
              <w:rPr>
                <w:color w:val="0D0D0D" w:themeColor="text1" w:themeTint="F2"/>
              </w:rPr>
              <w:t>Record weekly progress and use at least 5 new techniques</w:t>
            </w:r>
            <w:r w:rsidR="004E4CD8" w:rsidRPr="00CE25C3">
              <w:rPr>
                <w:color w:val="0D0D0D" w:themeColor="text1" w:themeTint="F2"/>
              </w:rPr>
              <w:t xml:space="preserve"> </w:t>
            </w:r>
            <w:r w:rsidR="004E4CD8" w:rsidRPr="00CE25C3">
              <w:rPr>
                <w:rFonts w:eastAsia="Times New Roman"/>
                <w:sz w:val="24"/>
                <w:szCs w:val="24"/>
                <w:lang w:val="en-US"/>
              </w:rPr>
              <w:t>(</w:t>
            </w:r>
            <w:proofErr w:type="spellStart"/>
            <w:r w:rsidR="004E4CD8" w:rsidRPr="00CE25C3">
              <w:rPr>
                <w:rFonts w:eastAsia="Times New Roman"/>
                <w:sz w:val="24"/>
                <w:szCs w:val="24"/>
                <w:lang w:val="en-US"/>
              </w:rPr>
              <w:t>Koseda</w:t>
            </w:r>
            <w:proofErr w:type="spellEnd"/>
            <w:r w:rsidR="004E4CD8" w:rsidRPr="00CE25C3">
              <w:rPr>
                <w:rFonts w:eastAsia="Times New Roman"/>
                <w:sz w:val="24"/>
                <w:szCs w:val="24"/>
                <w:lang w:val="en-US"/>
              </w:rPr>
              <w:t>, Cohen and McIntosh, 2024)</w:t>
            </w:r>
          </w:p>
          <w:p w14:paraId="00000027" w14:textId="5800E9E3" w:rsidR="00F72336" w:rsidRPr="00CE25C3" w:rsidRDefault="00742EB0" w:rsidP="00E33295">
            <w:pPr>
              <w:spacing w:before="240" w:after="240" w:line="360" w:lineRule="auto"/>
              <w:jc w:val="both"/>
              <w:rPr>
                <w:color w:val="0D0D0D" w:themeColor="text1" w:themeTint="F2"/>
              </w:rPr>
            </w:pPr>
            <w:r w:rsidRPr="00CE25C3">
              <w:rPr>
                <w:color w:val="0D0D0D" w:themeColor="text1" w:themeTint="F2"/>
              </w:rPr>
              <w:t>.</w:t>
            </w:r>
          </w:p>
        </w:tc>
        <w:tc>
          <w:tcPr>
            <w:tcW w:w="1504" w:type="dxa"/>
            <w:shd w:val="clear" w:color="auto" w:fill="auto"/>
            <w:tcMar>
              <w:top w:w="100" w:type="dxa"/>
              <w:left w:w="100" w:type="dxa"/>
              <w:bottom w:w="100" w:type="dxa"/>
              <w:right w:w="100" w:type="dxa"/>
            </w:tcMar>
          </w:tcPr>
          <w:p w14:paraId="00000028" w14:textId="77777777" w:rsidR="00F72336" w:rsidRPr="00CE25C3" w:rsidRDefault="00742EB0" w:rsidP="00E33295">
            <w:pPr>
              <w:spacing w:before="240" w:after="240" w:line="360" w:lineRule="auto"/>
              <w:jc w:val="both"/>
              <w:rPr>
                <w:color w:val="0D0D0D" w:themeColor="text1" w:themeTint="F2"/>
              </w:rPr>
            </w:pPr>
            <w:r w:rsidRPr="00CE25C3">
              <w:rPr>
                <w:color w:val="0D0D0D" w:themeColor="text1" w:themeTint="F2"/>
              </w:rPr>
              <w:t>Workshops are available; Notion is free to use.</w:t>
            </w:r>
          </w:p>
        </w:tc>
        <w:tc>
          <w:tcPr>
            <w:tcW w:w="1504" w:type="dxa"/>
            <w:shd w:val="clear" w:color="auto" w:fill="auto"/>
            <w:tcMar>
              <w:top w:w="100" w:type="dxa"/>
              <w:left w:w="100" w:type="dxa"/>
              <w:bottom w:w="100" w:type="dxa"/>
              <w:right w:w="100" w:type="dxa"/>
            </w:tcMar>
          </w:tcPr>
          <w:p w14:paraId="00000029" w14:textId="77777777" w:rsidR="00F72336" w:rsidRPr="00CE25C3" w:rsidRDefault="00742EB0" w:rsidP="00E33295">
            <w:pPr>
              <w:spacing w:before="240" w:after="240" w:line="360" w:lineRule="auto"/>
              <w:jc w:val="both"/>
              <w:rPr>
                <w:color w:val="0D0D0D" w:themeColor="text1" w:themeTint="F2"/>
              </w:rPr>
            </w:pPr>
            <w:r w:rsidRPr="00CE25C3">
              <w:rPr>
                <w:color w:val="0D0D0D" w:themeColor="text1" w:themeTint="F2"/>
              </w:rPr>
              <w:t>Improves research and organisation.</w:t>
            </w:r>
          </w:p>
        </w:tc>
        <w:tc>
          <w:tcPr>
            <w:tcW w:w="1504" w:type="dxa"/>
            <w:shd w:val="clear" w:color="auto" w:fill="auto"/>
            <w:tcMar>
              <w:top w:w="100" w:type="dxa"/>
              <w:left w:w="100" w:type="dxa"/>
              <w:bottom w:w="100" w:type="dxa"/>
              <w:right w:w="100" w:type="dxa"/>
            </w:tcMar>
          </w:tcPr>
          <w:p w14:paraId="0000002A" w14:textId="77777777" w:rsidR="00F72336" w:rsidRPr="00CE25C3" w:rsidRDefault="00742EB0" w:rsidP="00E33295">
            <w:pPr>
              <w:spacing w:before="240" w:after="240" w:line="360" w:lineRule="auto"/>
              <w:jc w:val="both"/>
              <w:rPr>
                <w:color w:val="0D0D0D" w:themeColor="text1" w:themeTint="F2"/>
              </w:rPr>
            </w:pPr>
            <w:r w:rsidRPr="00CE25C3">
              <w:rPr>
                <w:color w:val="0D0D0D" w:themeColor="text1" w:themeTint="F2"/>
              </w:rPr>
              <w:t>Attend workshops by Week 6; complete integration by Week 10.</w:t>
            </w:r>
          </w:p>
        </w:tc>
      </w:tr>
      <w:tr w:rsidR="000A011A" w:rsidRPr="00CE25C3" w14:paraId="21731BEF" w14:textId="77777777">
        <w:tc>
          <w:tcPr>
            <w:tcW w:w="1504" w:type="dxa"/>
            <w:shd w:val="clear" w:color="auto" w:fill="auto"/>
            <w:tcMar>
              <w:top w:w="100" w:type="dxa"/>
              <w:left w:w="100" w:type="dxa"/>
              <w:bottom w:w="100" w:type="dxa"/>
              <w:right w:w="100" w:type="dxa"/>
            </w:tcMar>
          </w:tcPr>
          <w:p w14:paraId="0000002B" w14:textId="77777777" w:rsidR="00F72336" w:rsidRPr="00CE25C3" w:rsidRDefault="00742EB0" w:rsidP="00E33295">
            <w:pPr>
              <w:spacing w:before="240" w:after="240" w:line="360" w:lineRule="auto"/>
              <w:jc w:val="both"/>
              <w:rPr>
                <w:color w:val="0D0D0D" w:themeColor="text1" w:themeTint="F2"/>
              </w:rPr>
            </w:pPr>
            <w:r w:rsidRPr="00CE25C3">
              <w:rPr>
                <w:b/>
                <w:color w:val="0D0D0D" w:themeColor="text1" w:themeTint="F2"/>
              </w:rPr>
              <w:t>Improve time management</w:t>
            </w:r>
          </w:p>
        </w:tc>
        <w:tc>
          <w:tcPr>
            <w:tcW w:w="1504" w:type="dxa"/>
            <w:shd w:val="clear" w:color="auto" w:fill="auto"/>
            <w:tcMar>
              <w:top w:w="100" w:type="dxa"/>
              <w:left w:w="100" w:type="dxa"/>
              <w:bottom w:w="100" w:type="dxa"/>
              <w:right w:w="100" w:type="dxa"/>
            </w:tcMar>
          </w:tcPr>
          <w:p w14:paraId="0000002C" w14:textId="77777777" w:rsidR="00F72336" w:rsidRPr="00CE25C3" w:rsidRDefault="00742EB0" w:rsidP="00E33295">
            <w:pPr>
              <w:spacing w:before="240" w:after="240" w:line="360" w:lineRule="auto"/>
              <w:jc w:val="both"/>
              <w:rPr>
                <w:color w:val="0D0D0D" w:themeColor="text1" w:themeTint="F2"/>
              </w:rPr>
            </w:pPr>
            <w:r w:rsidRPr="00CE25C3">
              <w:rPr>
                <w:color w:val="0D0D0D" w:themeColor="text1" w:themeTint="F2"/>
              </w:rPr>
              <w:t>Use Trello for assignment planning and deadlines</w:t>
            </w:r>
          </w:p>
        </w:tc>
        <w:tc>
          <w:tcPr>
            <w:tcW w:w="1504" w:type="dxa"/>
            <w:shd w:val="clear" w:color="auto" w:fill="auto"/>
            <w:tcMar>
              <w:top w:w="100" w:type="dxa"/>
              <w:left w:w="100" w:type="dxa"/>
              <w:bottom w:w="100" w:type="dxa"/>
              <w:right w:w="100" w:type="dxa"/>
            </w:tcMar>
          </w:tcPr>
          <w:p w14:paraId="0000002D" w14:textId="77777777" w:rsidR="00F72336" w:rsidRPr="00CE25C3" w:rsidRDefault="00742EB0" w:rsidP="00E33295">
            <w:pPr>
              <w:spacing w:before="240" w:after="240" w:line="360" w:lineRule="auto"/>
              <w:jc w:val="both"/>
              <w:rPr>
                <w:color w:val="0D0D0D" w:themeColor="text1" w:themeTint="F2"/>
              </w:rPr>
            </w:pPr>
            <w:r w:rsidRPr="00CE25C3">
              <w:rPr>
                <w:color w:val="0D0D0D" w:themeColor="text1" w:themeTint="F2"/>
              </w:rPr>
              <w:t>Track completion rates on Trello.</w:t>
            </w:r>
          </w:p>
        </w:tc>
        <w:tc>
          <w:tcPr>
            <w:tcW w:w="1504" w:type="dxa"/>
            <w:shd w:val="clear" w:color="auto" w:fill="auto"/>
            <w:tcMar>
              <w:top w:w="100" w:type="dxa"/>
              <w:left w:w="100" w:type="dxa"/>
              <w:bottom w:w="100" w:type="dxa"/>
              <w:right w:w="100" w:type="dxa"/>
            </w:tcMar>
          </w:tcPr>
          <w:p w14:paraId="0000002E" w14:textId="77777777" w:rsidR="00F72336" w:rsidRPr="00CE25C3" w:rsidRDefault="00742EB0" w:rsidP="00E33295">
            <w:pPr>
              <w:spacing w:before="240" w:after="240" w:line="360" w:lineRule="auto"/>
              <w:jc w:val="both"/>
              <w:rPr>
                <w:color w:val="0D0D0D" w:themeColor="text1" w:themeTint="F2"/>
              </w:rPr>
            </w:pPr>
            <w:r w:rsidRPr="00CE25C3">
              <w:rPr>
                <w:color w:val="0D0D0D" w:themeColor="text1" w:themeTint="F2"/>
              </w:rPr>
              <w:t>Trello is free; calendar sync is easy to set up.</w:t>
            </w:r>
          </w:p>
        </w:tc>
        <w:tc>
          <w:tcPr>
            <w:tcW w:w="1504" w:type="dxa"/>
            <w:shd w:val="clear" w:color="auto" w:fill="auto"/>
            <w:tcMar>
              <w:top w:w="100" w:type="dxa"/>
              <w:left w:w="100" w:type="dxa"/>
              <w:bottom w:w="100" w:type="dxa"/>
              <w:right w:w="100" w:type="dxa"/>
            </w:tcMar>
          </w:tcPr>
          <w:p w14:paraId="0000002F" w14:textId="77777777" w:rsidR="00F72336" w:rsidRPr="00CE25C3" w:rsidRDefault="00742EB0" w:rsidP="00E33295">
            <w:pPr>
              <w:spacing w:before="240" w:after="240" w:line="360" w:lineRule="auto"/>
              <w:jc w:val="both"/>
              <w:rPr>
                <w:color w:val="0D0D0D" w:themeColor="text1" w:themeTint="F2"/>
              </w:rPr>
            </w:pPr>
            <w:r w:rsidRPr="00CE25C3">
              <w:rPr>
                <w:color w:val="0D0D0D" w:themeColor="text1" w:themeTint="F2"/>
              </w:rPr>
              <w:t>Helps in managing tasks and deadlines.</w:t>
            </w:r>
          </w:p>
        </w:tc>
        <w:tc>
          <w:tcPr>
            <w:tcW w:w="1504" w:type="dxa"/>
            <w:shd w:val="clear" w:color="auto" w:fill="auto"/>
            <w:tcMar>
              <w:top w:w="100" w:type="dxa"/>
              <w:left w:w="100" w:type="dxa"/>
              <w:bottom w:w="100" w:type="dxa"/>
              <w:right w:w="100" w:type="dxa"/>
            </w:tcMar>
          </w:tcPr>
          <w:p w14:paraId="00000030" w14:textId="77777777" w:rsidR="00F72336" w:rsidRPr="00CE25C3" w:rsidRDefault="00742EB0" w:rsidP="00E33295">
            <w:pPr>
              <w:spacing w:before="240" w:after="240" w:line="360" w:lineRule="auto"/>
              <w:jc w:val="both"/>
              <w:rPr>
                <w:color w:val="0D0D0D" w:themeColor="text1" w:themeTint="F2"/>
              </w:rPr>
            </w:pPr>
            <w:r w:rsidRPr="00CE25C3">
              <w:rPr>
                <w:color w:val="0D0D0D" w:themeColor="text1" w:themeTint="F2"/>
              </w:rPr>
              <w:t xml:space="preserve">Set up by Week 2; use throughout Term 2.  </w:t>
            </w:r>
          </w:p>
        </w:tc>
      </w:tr>
      <w:tr w:rsidR="000A011A" w:rsidRPr="00CE25C3" w14:paraId="58037517" w14:textId="77777777">
        <w:tc>
          <w:tcPr>
            <w:tcW w:w="1504" w:type="dxa"/>
            <w:shd w:val="clear" w:color="auto" w:fill="auto"/>
            <w:tcMar>
              <w:top w:w="100" w:type="dxa"/>
              <w:left w:w="100" w:type="dxa"/>
              <w:bottom w:w="100" w:type="dxa"/>
              <w:right w:w="100" w:type="dxa"/>
            </w:tcMar>
          </w:tcPr>
          <w:p w14:paraId="00000031" w14:textId="77777777" w:rsidR="00F72336" w:rsidRPr="00CE25C3" w:rsidRDefault="00742EB0" w:rsidP="00E33295">
            <w:pPr>
              <w:spacing w:before="240" w:after="240" w:line="360" w:lineRule="auto"/>
              <w:jc w:val="both"/>
              <w:rPr>
                <w:color w:val="0D0D0D" w:themeColor="text1" w:themeTint="F2"/>
              </w:rPr>
            </w:pPr>
            <w:r w:rsidRPr="00CE25C3">
              <w:rPr>
                <w:b/>
                <w:color w:val="0D0D0D" w:themeColor="text1" w:themeTint="F2"/>
              </w:rPr>
              <w:t>Backup and version control</w:t>
            </w:r>
          </w:p>
        </w:tc>
        <w:tc>
          <w:tcPr>
            <w:tcW w:w="1504" w:type="dxa"/>
            <w:shd w:val="clear" w:color="auto" w:fill="auto"/>
            <w:tcMar>
              <w:top w:w="100" w:type="dxa"/>
              <w:left w:w="100" w:type="dxa"/>
              <w:bottom w:w="100" w:type="dxa"/>
              <w:right w:w="100" w:type="dxa"/>
            </w:tcMar>
          </w:tcPr>
          <w:p w14:paraId="00000032" w14:textId="77777777" w:rsidR="00F72336" w:rsidRPr="00CE25C3" w:rsidRDefault="00742EB0" w:rsidP="00E33295">
            <w:pPr>
              <w:spacing w:before="240" w:after="240" w:line="360" w:lineRule="auto"/>
              <w:jc w:val="both"/>
              <w:rPr>
                <w:color w:val="0D0D0D" w:themeColor="text1" w:themeTint="F2"/>
              </w:rPr>
            </w:pPr>
            <w:r w:rsidRPr="00CE25C3">
              <w:rPr>
                <w:color w:val="0D0D0D" w:themeColor="text1" w:themeTint="F2"/>
              </w:rPr>
              <w:t>Implement a backup system (e.g., Git or Google Drive).</w:t>
            </w:r>
          </w:p>
        </w:tc>
        <w:tc>
          <w:tcPr>
            <w:tcW w:w="1504" w:type="dxa"/>
            <w:shd w:val="clear" w:color="auto" w:fill="auto"/>
            <w:tcMar>
              <w:top w:w="100" w:type="dxa"/>
              <w:left w:w="100" w:type="dxa"/>
              <w:bottom w:w="100" w:type="dxa"/>
              <w:right w:w="100" w:type="dxa"/>
            </w:tcMar>
          </w:tcPr>
          <w:p w14:paraId="00000033" w14:textId="77777777" w:rsidR="00F72336" w:rsidRPr="00CE25C3" w:rsidRDefault="00742EB0" w:rsidP="00E33295">
            <w:pPr>
              <w:spacing w:before="240" w:after="240" w:line="360" w:lineRule="auto"/>
              <w:jc w:val="both"/>
              <w:rPr>
                <w:color w:val="0D0D0D" w:themeColor="text1" w:themeTint="F2"/>
              </w:rPr>
            </w:pPr>
            <w:r w:rsidRPr="00CE25C3">
              <w:rPr>
                <w:color w:val="0D0D0D" w:themeColor="text1" w:themeTint="F2"/>
              </w:rPr>
              <w:t>Conduct monthly audits to ensure no data loss.</w:t>
            </w:r>
          </w:p>
        </w:tc>
        <w:tc>
          <w:tcPr>
            <w:tcW w:w="1504" w:type="dxa"/>
            <w:shd w:val="clear" w:color="auto" w:fill="auto"/>
            <w:tcMar>
              <w:top w:w="100" w:type="dxa"/>
              <w:left w:w="100" w:type="dxa"/>
              <w:bottom w:w="100" w:type="dxa"/>
              <w:right w:w="100" w:type="dxa"/>
            </w:tcMar>
          </w:tcPr>
          <w:p w14:paraId="00000034" w14:textId="77777777" w:rsidR="00F72336" w:rsidRPr="00CE25C3" w:rsidRDefault="00742EB0" w:rsidP="00E33295">
            <w:pPr>
              <w:spacing w:before="240" w:after="240" w:line="360" w:lineRule="auto"/>
              <w:jc w:val="both"/>
              <w:rPr>
                <w:color w:val="0D0D0D" w:themeColor="text1" w:themeTint="F2"/>
              </w:rPr>
            </w:pPr>
            <w:r w:rsidRPr="00CE25C3">
              <w:rPr>
                <w:color w:val="0D0D0D" w:themeColor="text1" w:themeTint="F2"/>
              </w:rPr>
              <w:t>Easy to set up Google Drive or Git.</w:t>
            </w:r>
          </w:p>
        </w:tc>
        <w:tc>
          <w:tcPr>
            <w:tcW w:w="1504" w:type="dxa"/>
            <w:shd w:val="clear" w:color="auto" w:fill="auto"/>
            <w:tcMar>
              <w:top w:w="100" w:type="dxa"/>
              <w:left w:w="100" w:type="dxa"/>
              <w:bottom w:w="100" w:type="dxa"/>
              <w:right w:w="100" w:type="dxa"/>
            </w:tcMar>
          </w:tcPr>
          <w:p w14:paraId="00000035" w14:textId="77777777" w:rsidR="00F72336" w:rsidRPr="00CE25C3" w:rsidRDefault="00742EB0" w:rsidP="00E33295">
            <w:pPr>
              <w:spacing w:before="240" w:after="240" w:line="360" w:lineRule="auto"/>
              <w:jc w:val="both"/>
              <w:rPr>
                <w:color w:val="0D0D0D" w:themeColor="text1" w:themeTint="F2"/>
              </w:rPr>
            </w:pPr>
            <w:r w:rsidRPr="00CE25C3">
              <w:rPr>
                <w:color w:val="0D0D0D" w:themeColor="text1" w:themeTint="F2"/>
              </w:rPr>
              <w:t>Protects work from data loss.</w:t>
            </w:r>
          </w:p>
        </w:tc>
        <w:tc>
          <w:tcPr>
            <w:tcW w:w="1504" w:type="dxa"/>
            <w:shd w:val="clear" w:color="auto" w:fill="auto"/>
            <w:tcMar>
              <w:top w:w="100" w:type="dxa"/>
              <w:left w:w="100" w:type="dxa"/>
              <w:bottom w:w="100" w:type="dxa"/>
              <w:right w:w="100" w:type="dxa"/>
            </w:tcMar>
          </w:tcPr>
          <w:p w14:paraId="00000036" w14:textId="77777777" w:rsidR="00F72336" w:rsidRPr="00CE25C3" w:rsidRDefault="00742EB0" w:rsidP="00E33295">
            <w:pPr>
              <w:spacing w:before="240" w:after="240" w:line="360" w:lineRule="auto"/>
              <w:jc w:val="both"/>
              <w:rPr>
                <w:color w:val="0D0D0D" w:themeColor="text1" w:themeTint="F2"/>
              </w:rPr>
            </w:pPr>
            <w:r w:rsidRPr="00CE25C3">
              <w:rPr>
                <w:color w:val="0D0D0D" w:themeColor="text1" w:themeTint="F2"/>
              </w:rPr>
              <w:t>Set up by Week 3; audit monthly through Term 2.</w:t>
            </w:r>
          </w:p>
        </w:tc>
      </w:tr>
      <w:tr w:rsidR="000A011A" w:rsidRPr="00CE25C3" w14:paraId="17AFE852" w14:textId="77777777">
        <w:tc>
          <w:tcPr>
            <w:tcW w:w="1504" w:type="dxa"/>
            <w:shd w:val="clear" w:color="auto" w:fill="auto"/>
            <w:tcMar>
              <w:top w:w="100" w:type="dxa"/>
              <w:left w:w="100" w:type="dxa"/>
              <w:bottom w:w="100" w:type="dxa"/>
              <w:right w:w="100" w:type="dxa"/>
            </w:tcMar>
          </w:tcPr>
          <w:p w14:paraId="00000037" w14:textId="77777777" w:rsidR="00F72336" w:rsidRPr="00CE25C3" w:rsidRDefault="00742EB0" w:rsidP="00E33295">
            <w:pPr>
              <w:spacing w:before="240" w:after="240" w:line="360" w:lineRule="auto"/>
              <w:jc w:val="both"/>
              <w:rPr>
                <w:color w:val="0D0D0D" w:themeColor="text1" w:themeTint="F2"/>
              </w:rPr>
            </w:pPr>
            <w:r w:rsidRPr="00CE25C3">
              <w:rPr>
                <w:b/>
                <w:color w:val="0D0D0D" w:themeColor="text1" w:themeTint="F2"/>
              </w:rPr>
              <w:t>Peer-supported learning</w:t>
            </w:r>
          </w:p>
        </w:tc>
        <w:tc>
          <w:tcPr>
            <w:tcW w:w="1504" w:type="dxa"/>
            <w:shd w:val="clear" w:color="auto" w:fill="auto"/>
            <w:tcMar>
              <w:top w:w="100" w:type="dxa"/>
              <w:left w:w="100" w:type="dxa"/>
              <w:bottom w:w="100" w:type="dxa"/>
              <w:right w:w="100" w:type="dxa"/>
            </w:tcMar>
          </w:tcPr>
          <w:p w14:paraId="00000038" w14:textId="72BB343F" w:rsidR="00F72336" w:rsidRPr="00CE25C3" w:rsidRDefault="00742EB0" w:rsidP="00E33295">
            <w:pPr>
              <w:spacing w:before="240" w:after="240" w:line="360" w:lineRule="auto"/>
              <w:jc w:val="both"/>
              <w:rPr>
                <w:rFonts w:eastAsia="Times New Roman"/>
                <w:sz w:val="24"/>
                <w:szCs w:val="24"/>
                <w:lang w:val="en-US"/>
              </w:rPr>
            </w:pPr>
            <w:r w:rsidRPr="00CE25C3">
              <w:rPr>
                <w:color w:val="0D0D0D" w:themeColor="text1" w:themeTint="F2"/>
              </w:rPr>
              <w:t>Form a peer group for biweekly sessions to discuss tools and assignments</w:t>
            </w:r>
            <w:r w:rsidR="004E4CD8" w:rsidRPr="00CE25C3">
              <w:rPr>
                <w:color w:val="0D0D0D" w:themeColor="text1" w:themeTint="F2"/>
              </w:rPr>
              <w:t xml:space="preserve"> </w:t>
            </w:r>
            <w:r w:rsidR="004E4CD8" w:rsidRPr="00CE25C3">
              <w:rPr>
                <w:rFonts w:eastAsia="Times New Roman"/>
                <w:sz w:val="24"/>
                <w:szCs w:val="24"/>
                <w:lang w:val="en-US"/>
              </w:rPr>
              <w:t>(</w:t>
            </w:r>
            <w:proofErr w:type="spellStart"/>
            <w:r w:rsidR="004E4CD8" w:rsidRPr="00CE25C3">
              <w:rPr>
                <w:rFonts w:eastAsia="Times New Roman"/>
                <w:sz w:val="24"/>
                <w:szCs w:val="24"/>
                <w:lang w:val="en-US"/>
              </w:rPr>
              <w:t>Vigentini</w:t>
            </w:r>
            <w:proofErr w:type="spellEnd"/>
            <w:r w:rsidR="004E4CD8" w:rsidRPr="00CE25C3">
              <w:rPr>
                <w:rFonts w:eastAsia="Times New Roman"/>
                <w:sz w:val="24"/>
                <w:szCs w:val="24"/>
                <w:lang w:val="en-US"/>
              </w:rPr>
              <w:t xml:space="preserve">, </w:t>
            </w:r>
            <w:proofErr w:type="spellStart"/>
            <w:r w:rsidR="004E4CD8" w:rsidRPr="00CE25C3">
              <w:rPr>
                <w:rFonts w:eastAsia="Times New Roman"/>
                <w:sz w:val="24"/>
                <w:szCs w:val="24"/>
                <w:lang w:val="en-US"/>
              </w:rPr>
              <w:lastRenderedPageBreak/>
              <w:t>Mirriahi</w:t>
            </w:r>
            <w:proofErr w:type="spellEnd"/>
            <w:r w:rsidR="004E4CD8" w:rsidRPr="00CE25C3">
              <w:rPr>
                <w:rFonts w:eastAsia="Times New Roman"/>
                <w:sz w:val="24"/>
                <w:szCs w:val="24"/>
                <w:lang w:val="en-US"/>
              </w:rPr>
              <w:t xml:space="preserve"> and </w:t>
            </w:r>
            <w:proofErr w:type="spellStart"/>
            <w:r w:rsidR="004E4CD8" w:rsidRPr="00CE25C3">
              <w:rPr>
                <w:rFonts w:eastAsia="Times New Roman"/>
                <w:sz w:val="24"/>
                <w:szCs w:val="24"/>
                <w:lang w:val="en-US"/>
              </w:rPr>
              <w:t>Kligyte</w:t>
            </w:r>
            <w:proofErr w:type="spellEnd"/>
            <w:r w:rsidR="004E4CD8" w:rsidRPr="00CE25C3">
              <w:rPr>
                <w:rFonts w:eastAsia="Times New Roman"/>
                <w:sz w:val="24"/>
                <w:szCs w:val="24"/>
                <w:lang w:val="en-US"/>
              </w:rPr>
              <w:t>, 2023)</w:t>
            </w:r>
            <w:r w:rsidRPr="00CE25C3">
              <w:rPr>
                <w:color w:val="0D0D0D" w:themeColor="text1" w:themeTint="F2"/>
              </w:rPr>
              <w:t>.</w:t>
            </w:r>
          </w:p>
        </w:tc>
        <w:tc>
          <w:tcPr>
            <w:tcW w:w="1504" w:type="dxa"/>
            <w:shd w:val="clear" w:color="auto" w:fill="auto"/>
            <w:tcMar>
              <w:top w:w="100" w:type="dxa"/>
              <w:left w:w="100" w:type="dxa"/>
              <w:bottom w:w="100" w:type="dxa"/>
              <w:right w:w="100" w:type="dxa"/>
            </w:tcMar>
          </w:tcPr>
          <w:p w14:paraId="00000039" w14:textId="77777777" w:rsidR="00F72336" w:rsidRPr="00CE25C3" w:rsidRDefault="00742EB0" w:rsidP="00E33295">
            <w:pPr>
              <w:spacing w:before="240" w:after="240" w:line="360" w:lineRule="auto"/>
              <w:jc w:val="both"/>
              <w:rPr>
                <w:color w:val="0D0D0D" w:themeColor="text1" w:themeTint="F2"/>
              </w:rPr>
            </w:pPr>
            <w:r w:rsidRPr="00CE25C3">
              <w:rPr>
                <w:color w:val="0D0D0D" w:themeColor="text1" w:themeTint="F2"/>
              </w:rPr>
              <w:lastRenderedPageBreak/>
              <w:t>Log group sessions and track attendance.</w:t>
            </w:r>
          </w:p>
        </w:tc>
        <w:tc>
          <w:tcPr>
            <w:tcW w:w="1504" w:type="dxa"/>
            <w:shd w:val="clear" w:color="auto" w:fill="auto"/>
            <w:tcMar>
              <w:top w:w="100" w:type="dxa"/>
              <w:left w:w="100" w:type="dxa"/>
              <w:bottom w:w="100" w:type="dxa"/>
              <w:right w:w="100" w:type="dxa"/>
            </w:tcMar>
          </w:tcPr>
          <w:p w14:paraId="0000003A" w14:textId="77777777" w:rsidR="00F72336" w:rsidRPr="00CE25C3" w:rsidRDefault="00742EB0" w:rsidP="00E33295">
            <w:pPr>
              <w:spacing w:before="240" w:after="240" w:line="360" w:lineRule="auto"/>
              <w:jc w:val="both"/>
              <w:rPr>
                <w:color w:val="0D0D0D" w:themeColor="text1" w:themeTint="F2"/>
              </w:rPr>
            </w:pPr>
            <w:r w:rsidRPr="00CE25C3">
              <w:rPr>
                <w:color w:val="0D0D0D" w:themeColor="text1" w:themeTint="F2"/>
              </w:rPr>
              <w:t>Easy to organise with peers from seminars.</w:t>
            </w:r>
          </w:p>
        </w:tc>
        <w:tc>
          <w:tcPr>
            <w:tcW w:w="1504" w:type="dxa"/>
            <w:shd w:val="clear" w:color="auto" w:fill="auto"/>
            <w:tcMar>
              <w:top w:w="100" w:type="dxa"/>
              <w:left w:w="100" w:type="dxa"/>
              <w:bottom w:w="100" w:type="dxa"/>
              <w:right w:w="100" w:type="dxa"/>
            </w:tcMar>
          </w:tcPr>
          <w:p w14:paraId="0000003B" w14:textId="77777777" w:rsidR="00F72336" w:rsidRPr="00CE25C3" w:rsidRDefault="00742EB0" w:rsidP="00E33295">
            <w:pPr>
              <w:spacing w:before="240" w:after="240" w:line="360" w:lineRule="auto"/>
              <w:jc w:val="both"/>
              <w:rPr>
                <w:color w:val="0D0D0D" w:themeColor="text1" w:themeTint="F2"/>
              </w:rPr>
            </w:pPr>
            <w:r w:rsidRPr="00CE25C3">
              <w:rPr>
                <w:color w:val="0D0D0D" w:themeColor="text1" w:themeTint="F2"/>
              </w:rPr>
              <w:t>Strengthens skills with peer feedback.</w:t>
            </w:r>
          </w:p>
        </w:tc>
        <w:tc>
          <w:tcPr>
            <w:tcW w:w="1504" w:type="dxa"/>
            <w:shd w:val="clear" w:color="auto" w:fill="auto"/>
            <w:tcMar>
              <w:top w:w="100" w:type="dxa"/>
              <w:left w:w="100" w:type="dxa"/>
              <w:bottom w:w="100" w:type="dxa"/>
              <w:right w:w="100" w:type="dxa"/>
            </w:tcMar>
          </w:tcPr>
          <w:p w14:paraId="0000003C" w14:textId="77777777" w:rsidR="00F72336" w:rsidRPr="00CE25C3" w:rsidRDefault="00742EB0" w:rsidP="00E33295">
            <w:pPr>
              <w:spacing w:before="240" w:after="240" w:line="360" w:lineRule="auto"/>
              <w:jc w:val="both"/>
              <w:rPr>
                <w:color w:val="0D0D0D" w:themeColor="text1" w:themeTint="F2"/>
              </w:rPr>
            </w:pPr>
            <w:r w:rsidRPr="00CE25C3">
              <w:rPr>
                <w:color w:val="0D0D0D" w:themeColor="text1" w:themeTint="F2"/>
              </w:rPr>
              <w:t>Organise by Week 2; hold 8 sessions throughout Term 2.</w:t>
            </w:r>
          </w:p>
        </w:tc>
      </w:tr>
    </w:tbl>
    <w:p w14:paraId="3EC6B9ED" w14:textId="50FD41DC" w:rsidR="004E4CD8" w:rsidRPr="00CE25C3" w:rsidRDefault="00901EE9" w:rsidP="00E33295">
      <w:pPr>
        <w:spacing w:before="240" w:after="240" w:line="360" w:lineRule="auto"/>
        <w:jc w:val="both"/>
        <w:rPr>
          <w:b/>
          <w:bCs/>
          <w:color w:val="0D0D0D" w:themeColor="text1" w:themeTint="F2"/>
          <w:sz w:val="32"/>
          <w:szCs w:val="32"/>
        </w:rPr>
      </w:pPr>
      <w:r w:rsidRPr="00CE25C3">
        <w:rPr>
          <w:b/>
          <w:bCs/>
          <w:color w:val="0D0D0D" w:themeColor="text1" w:themeTint="F2"/>
          <w:sz w:val="32"/>
          <w:szCs w:val="32"/>
        </w:rPr>
        <w:t>Conclusion</w:t>
      </w:r>
    </w:p>
    <w:p w14:paraId="6E7BDCBA" w14:textId="77777777" w:rsidR="00901EE9" w:rsidRPr="00CE25C3" w:rsidRDefault="00901EE9" w:rsidP="00901EE9">
      <w:pPr>
        <w:spacing w:before="240" w:after="240" w:line="360" w:lineRule="auto"/>
        <w:jc w:val="both"/>
      </w:pPr>
      <w:r w:rsidRPr="00CE25C3">
        <w:t>I also understand that it is necessary to seek assistance at the earlier stages of the process. Although the workshop had been useful, I had to seek more help earlier, particularly on the technical matters of Zotero. Lastly, I might have created a study group to exchange experiences and ideas on how to use digital tools, which would have relieved my anxiety and given valuable feedback.</w:t>
      </w:r>
    </w:p>
    <w:p w14:paraId="567C0294" w14:textId="77777777" w:rsidR="00901EE9" w:rsidRPr="00CE25C3" w:rsidRDefault="00901EE9" w:rsidP="00E33295">
      <w:pPr>
        <w:spacing w:before="240" w:after="240" w:line="360" w:lineRule="auto"/>
        <w:jc w:val="both"/>
        <w:rPr>
          <w:b/>
          <w:bCs/>
          <w:color w:val="0D0D0D" w:themeColor="text1" w:themeTint="F2"/>
          <w:sz w:val="32"/>
          <w:szCs w:val="32"/>
        </w:rPr>
      </w:pPr>
    </w:p>
    <w:p w14:paraId="314C7170" w14:textId="5CA8A81B" w:rsidR="004E4CD8" w:rsidRPr="00CE25C3" w:rsidRDefault="004E4CD8" w:rsidP="00E33295">
      <w:pPr>
        <w:spacing w:before="240" w:after="240" w:line="360" w:lineRule="auto"/>
        <w:jc w:val="both"/>
        <w:rPr>
          <w:color w:val="0D0D0D" w:themeColor="text1" w:themeTint="F2"/>
        </w:rPr>
      </w:pPr>
      <w:r w:rsidRPr="00CE25C3">
        <w:rPr>
          <w:color w:val="0D0D0D" w:themeColor="text1" w:themeTint="F2"/>
        </w:rPr>
        <w:br w:type="page"/>
      </w:r>
    </w:p>
    <w:p w14:paraId="4D460C85" w14:textId="11D6B71B" w:rsidR="004E4CD8" w:rsidRPr="00CE25C3" w:rsidRDefault="004E4CD8" w:rsidP="00E33295">
      <w:pPr>
        <w:pStyle w:val="Heading1"/>
        <w:spacing w:before="240" w:after="240" w:line="360" w:lineRule="auto"/>
        <w:jc w:val="both"/>
        <w:rPr>
          <w:b/>
          <w:bCs/>
          <w:sz w:val="32"/>
          <w:szCs w:val="32"/>
        </w:rPr>
      </w:pPr>
      <w:r w:rsidRPr="00CE25C3">
        <w:rPr>
          <w:b/>
          <w:bCs/>
          <w:sz w:val="32"/>
          <w:szCs w:val="32"/>
        </w:rPr>
        <w:lastRenderedPageBreak/>
        <w:t>References</w:t>
      </w:r>
    </w:p>
    <w:p w14:paraId="6BF9C21F" w14:textId="77777777" w:rsidR="00CE25C3" w:rsidRPr="00CE25C3" w:rsidRDefault="00CE25C3" w:rsidP="00E33295">
      <w:pPr>
        <w:spacing w:before="240" w:after="240" w:line="360" w:lineRule="auto"/>
        <w:jc w:val="both"/>
      </w:pPr>
      <w:r w:rsidRPr="00CE25C3">
        <w:rPr>
          <w:color w:val="222222"/>
          <w:shd w:val="clear" w:color="auto" w:fill="FFFFFF"/>
        </w:rPr>
        <w:t xml:space="preserve">Goldingay, Sophie, Danielle Hitch, Ann Carrington, Sharlene </w:t>
      </w:r>
      <w:proofErr w:type="spellStart"/>
      <w:r w:rsidRPr="00CE25C3">
        <w:rPr>
          <w:color w:val="222222"/>
          <w:shd w:val="clear" w:color="auto" w:fill="FFFFFF"/>
        </w:rPr>
        <w:t>Nipperess</w:t>
      </w:r>
      <w:proofErr w:type="spellEnd"/>
      <w:r w:rsidRPr="00CE25C3">
        <w:rPr>
          <w:color w:val="222222"/>
          <w:shd w:val="clear" w:color="auto" w:fill="FFFFFF"/>
        </w:rPr>
        <w:t>, and Viola Rosario.</w:t>
      </w:r>
      <w:r>
        <w:rPr>
          <w:color w:val="222222"/>
          <w:shd w:val="clear" w:color="auto" w:fill="FFFFFF"/>
        </w:rPr>
        <w:t xml:space="preserve"> (2016)</w:t>
      </w:r>
      <w:r w:rsidRPr="00CE25C3">
        <w:rPr>
          <w:color w:val="222222"/>
          <w:shd w:val="clear" w:color="auto" w:fill="FFFFFF"/>
        </w:rPr>
        <w:t xml:space="preserve"> "Transforming roles to support student development of academic literacies: A reflection on one team’s experience." </w:t>
      </w:r>
      <w:r w:rsidRPr="00CE25C3">
        <w:rPr>
          <w:i/>
          <w:iCs/>
          <w:color w:val="222222"/>
          <w:shd w:val="clear" w:color="auto" w:fill="FFFFFF"/>
        </w:rPr>
        <w:t>Reflective Practice</w:t>
      </w:r>
      <w:r w:rsidRPr="00CE25C3">
        <w:rPr>
          <w:color w:val="222222"/>
          <w:shd w:val="clear" w:color="auto" w:fill="FFFFFF"/>
        </w:rPr>
        <w:t xml:space="preserve"> 17, no. 3 (2016): 334-346.</w:t>
      </w:r>
      <w:r w:rsidRPr="00CE25C3">
        <w:rPr>
          <w:color w:val="05103E"/>
          <w:shd w:val="clear" w:color="auto" w:fill="FFFFFF"/>
        </w:rPr>
        <w:t xml:space="preserve"> </w:t>
      </w:r>
      <w:hyperlink r:id="rId7" w:history="1">
        <w:r w:rsidRPr="00CE25C3">
          <w:rPr>
            <w:rStyle w:val="Hyperlink"/>
            <w:color w:val="1155CC"/>
            <w:shd w:val="clear" w:color="auto" w:fill="FFFFFF"/>
          </w:rPr>
          <w:t>https://doi.org/10.1080/14623943.2016.1164682</w:t>
        </w:r>
      </w:hyperlink>
    </w:p>
    <w:p w14:paraId="67992036" w14:textId="77777777" w:rsidR="00CE25C3" w:rsidRPr="00CE25C3" w:rsidRDefault="00CE25C3" w:rsidP="00E33295">
      <w:pPr>
        <w:spacing w:before="240" w:after="240" w:line="360" w:lineRule="auto"/>
        <w:jc w:val="both"/>
        <w:rPr>
          <w:rFonts w:eastAsia="Times New Roman"/>
          <w:sz w:val="24"/>
          <w:szCs w:val="24"/>
          <w:lang w:val="en-US"/>
        </w:rPr>
      </w:pPr>
      <w:r w:rsidRPr="00CE25C3">
        <w:rPr>
          <w:rFonts w:eastAsia="Times New Roman"/>
          <w:sz w:val="24"/>
          <w:szCs w:val="24"/>
          <w:lang w:val="en-US"/>
        </w:rPr>
        <w:t xml:space="preserve">Guo, L. (2021) 'How should reflection be supported in higher education? — A meta-analysis of reflection interventions,' </w:t>
      </w:r>
      <w:r w:rsidRPr="00CE25C3">
        <w:rPr>
          <w:rFonts w:eastAsia="Times New Roman"/>
          <w:i/>
          <w:iCs/>
          <w:sz w:val="24"/>
          <w:szCs w:val="24"/>
          <w:lang w:val="en-US"/>
        </w:rPr>
        <w:t>Reflective Practice</w:t>
      </w:r>
      <w:r w:rsidRPr="00CE25C3">
        <w:rPr>
          <w:rFonts w:eastAsia="Times New Roman"/>
          <w:sz w:val="24"/>
          <w:szCs w:val="24"/>
          <w:lang w:val="en-US"/>
        </w:rPr>
        <w:t>, 23(1), pp. 118–146. https://doi.org/10.1080/14623943.2021.1995856.</w:t>
      </w:r>
    </w:p>
    <w:p w14:paraId="7875A8AE" w14:textId="77777777" w:rsidR="00CE25C3" w:rsidRPr="00CE25C3" w:rsidRDefault="00CE25C3" w:rsidP="00E33295">
      <w:pPr>
        <w:spacing w:before="240" w:after="240" w:line="360" w:lineRule="auto"/>
        <w:jc w:val="both"/>
        <w:rPr>
          <w:rFonts w:eastAsia="Times New Roman"/>
          <w:sz w:val="24"/>
          <w:szCs w:val="24"/>
          <w:lang w:val="en-US"/>
        </w:rPr>
      </w:pPr>
      <w:r w:rsidRPr="00CE25C3">
        <w:rPr>
          <w:rFonts w:eastAsia="Times New Roman"/>
          <w:sz w:val="24"/>
          <w:szCs w:val="24"/>
          <w:lang w:val="en-US"/>
        </w:rPr>
        <w:t xml:space="preserve">Karki, S. and Neupane, B.P. (2025) 'Developing Professionally through Online Activities: Reflections and Revelations,' </w:t>
      </w:r>
      <w:r w:rsidRPr="00CE25C3">
        <w:rPr>
          <w:rFonts w:eastAsia="Times New Roman"/>
          <w:i/>
          <w:iCs/>
          <w:sz w:val="24"/>
          <w:szCs w:val="24"/>
          <w:lang w:val="en-US"/>
        </w:rPr>
        <w:t>KMC Journal</w:t>
      </w:r>
      <w:r w:rsidRPr="00CE25C3">
        <w:rPr>
          <w:rFonts w:eastAsia="Times New Roman"/>
          <w:sz w:val="24"/>
          <w:szCs w:val="24"/>
          <w:lang w:val="en-US"/>
        </w:rPr>
        <w:t>, 7(1), pp. 118–136. https://doi.org/10.3126/kmcj.v7i1.75126.</w:t>
      </w:r>
    </w:p>
    <w:p w14:paraId="54D51F15" w14:textId="77777777" w:rsidR="00CE25C3" w:rsidRPr="00CE25C3" w:rsidRDefault="00CE25C3" w:rsidP="00E33295">
      <w:pPr>
        <w:spacing w:before="240" w:after="240" w:line="360" w:lineRule="auto"/>
        <w:jc w:val="both"/>
        <w:rPr>
          <w:rFonts w:eastAsia="Times New Roman"/>
          <w:sz w:val="24"/>
          <w:szCs w:val="24"/>
          <w:lang w:val="en-US"/>
        </w:rPr>
      </w:pPr>
      <w:r w:rsidRPr="00CE25C3">
        <w:rPr>
          <w:rFonts w:eastAsia="Times New Roman"/>
          <w:sz w:val="24"/>
          <w:szCs w:val="24"/>
          <w:lang w:val="en-US"/>
        </w:rPr>
        <w:t xml:space="preserve">Koolen, M., Van Gorp, J. and Van </w:t>
      </w:r>
      <w:proofErr w:type="spellStart"/>
      <w:r w:rsidRPr="00CE25C3">
        <w:rPr>
          <w:rFonts w:eastAsia="Times New Roman"/>
          <w:sz w:val="24"/>
          <w:szCs w:val="24"/>
          <w:lang w:val="en-US"/>
        </w:rPr>
        <w:t>Ossenbruggen</w:t>
      </w:r>
      <w:proofErr w:type="spellEnd"/>
      <w:r w:rsidRPr="00CE25C3">
        <w:rPr>
          <w:rFonts w:eastAsia="Times New Roman"/>
          <w:sz w:val="24"/>
          <w:szCs w:val="24"/>
          <w:lang w:val="en-US"/>
        </w:rPr>
        <w:t xml:space="preserve">, J. (2018) 'Toward a model for digital tool criticism: Reflection as integrative practice,' </w:t>
      </w:r>
      <w:r w:rsidRPr="00CE25C3">
        <w:rPr>
          <w:rFonts w:eastAsia="Times New Roman"/>
          <w:i/>
          <w:iCs/>
          <w:sz w:val="24"/>
          <w:szCs w:val="24"/>
          <w:lang w:val="en-US"/>
        </w:rPr>
        <w:t>Digital Scholarship in the Humanities</w:t>
      </w:r>
      <w:r w:rsidRPr="00CE25C3">
        <w:rPr>
          <w:rFonts w:eastAsia="Times New Roman"/>
          <w:sz w:val="24"/>
          <w:szCs w:val="24"/>
          <w:lang w:val="en-US"/>
        </w:rPr>
        <w:t>, 34(2), pp. 368–385. https://doi.org/10.1093/llc/fqy048.</w:t>
      </w:r>
    </w:p>
    <w:p w14:paraId="0F165CD9" w14:textId="77777777" w:rsidR="00CE25C3" w:rsidRPr="00CE25C3" w:rsidRDefault="00CE25C3" w:rsidP="00E33295">
      <w:pPr>
        <w:spacing w:before="240" w:after="240" w:line="360" w:lineRule="auto"/>
        <w:jc w:val="both"/>
        <w:rPr>
          <w:rFonts w:eastAsia="Times New Roman"/>
          <w:sz w:val="24"/>
          <w:szCs w:val="24"/>
          <w:lang w:val="en-US"/>
        </w:rPr>
      </w:pPr>
      <w:proofErr w:type="spellStart"/>
      <w:r w:rsidRPr="00CE25C3">
        <w:rPr>
          <w:rFonts w:eastAsia="Times New Roman"/>
          <w:sz w:val="24"/>
          <w:szCs w:val="24"/>
          <w:lang w:val="en-US"/>
        </w:rPr>
        <w:t>Koseda</w:t>
      </w:r>
      <w:proofErr w:type="spellEnd"/>
      <w:r w:rsidRPr="00CE25C3">
        <w:rPr>
          <w:rFonts w:eastAsia="Times New Roman"/>
          <w:sz w:val="24"/>
          <w:szCs w:val="24"/>
          <w:lang w:val="en-US"/>
        </w:rPr>
        <w:t xml:space="preserve">, E., Cohen, I.K. and McIntosh, B. (2024) 'A Critical analysis of universal employability skills for international students in Higher education,' </w:t>
      </w:r>
      <w:r w:rsidRPr="00CE25C3">
        <w:rPr>
          <w:rFonts w:eastAsia="Times New Roman"/>
          <w:i/>
          <w:iCs/>
          <w:sz w:val="24"/>
          <w:szCs w:val="24"/>
          <w:lang w:val="en-US"/>
        </w:rPr>
        <w:t>World Studies in Education</w:t>
      </w:r>
      <w:r w:rsidRPr="00CE25C3">
        <w:rPr>
          <w:rFonts w:eastAsia="Times New Roman"/>
          <w:sz w:val="24"/>
          <w:szCs w:val="24"/>
          <w:lang w:val="en-US"/>
        </w:rPr>
        <w:t xml:space="preserve">, 24(2), pp. 5–30. </w:t>
      </w:r>
      <w:hyperlink r:id="rId8" w:history="1">
        <w:r w:rsidRPr="00CE25C3">
          <w:rPr>
            <w:rStyle w:val="Hyperlink"/>
            <w:rFonts w:eastAsia="Times New Roman"/>
            <w:sz w:val="24"/>
            <w:szCs w:val="24"/>
            <w:lang w:val="en-US"/>
          </w:rPr>
          <w:t>https://doi.org/10.7459/wse/240202</w:t>
        </w:r>
      </w:hyperlink>
      <w:r w:rsidRPr="00CE25C3">
        <w:rPr>
          <w:rFonts w:eastAsia="Times New Roman"/>
          <w:sz w:val="24"/>
          <w:szCs w:val="24"/>
          <w:lang w:val="en-US"/>
        </w:rPr>
        <w:t>.</w:t>
      </w:r>
    </w:p>
    <w:p w14:paraId="67F499BE" w14:textId="41B822F5" w:rsidR="00CE25C3" w:rsidRPr="00CE25C3" w:rsidRDefault="00CE25C3" w:rsidP="00E33295">
      <w:pPr>
        <w:spacing w:before="240" w:after="240" w:line="360" w:lineRule="auto"/>
        <w:jc w:val="both"/>
        <w:rPr>
          <w:rFonts w:eastAsia="Times New Roman"/>
          <w:sz w:val="24"/>
          <w:szCs w:val="24"/>
          <w:lang w:val="en-US"/>
        </w:rPr>
      </w:pPr>
      <w:proofErr w:type="spellStart"/>
      <w:r w:rsidRPr="00CE25C3">
        <w:rPr>
          <w:color w:val="222222"/>
          <w:shd w:val="clear" w:color="auto" w:fill="FFFFFF"/>
        </w:rPr>
        <w:t>Luştrea</w:t>
      </w:r>
      <w:proofErr w:type="spellEnd"/>
      <w:r w:rsidRPr="00CE25C3">
        <w:rPr>
          <w:color w:val="222222"/>
          <w:shd w:val="clear" w:color="auto" w:fill="FFFFFF"/>
        </w:rPr>
        <w:t xml:space="preserve">, A., Dincă, M., Berge, T., </w:t>
      </w:r>
      <w:proofErr w:type="spellStart"/>
      <w:r w:rsidRPr="00CE25C3">
        <w:rPr>
          <w:color w:val="222222"/>
          <w:shd w:val="clear" w:color="auto" w:fill="FFFFFF"/>
        </w:rPr>
        <w:t>Oniţiu</w:t>
      </w:r>
      <w:proofErr w:type="spellEnd"/>
      <w:r w:rsidRPr="00CE25C3">
        <w:rPr>
          <w:color w:val="222222"/>
          <w:shd w:val="clear" w:color="auto" w:fill="FFFFFF"/>
        </w:rPr>
        <w:t xml:space="preserve">, A., Thomassen, M., </w:t>
      </w:r>
      <w:proofErr w:type="spellStart"/>
      <w:r w:rsidRPr="00CE25C3">
        <w:rPr>
          <w:color w:val="222222"/>
          <w:shd w:val="clear" w:color="auto" w:fill="FFFFFF"/>
        </w:rPr>
        <w:t>Craşovan</w:t>
      </w:r>
      <w:proofErr w:type="spellEnd"/>
      <w:r w:rsidRPr="00CE25C3">
        <w:rPr>
          <w:color w:val="222222"/>
          <w:shd w:val="clear" w:color="auto" w:fill="FFFFFF"/>
        </w:rPr>
        <w:t xml:space="preserve">, M. and </w:t>
      </w:r>
      <w:proofErr w:type="spellStart"/>
      <w:r w:rsidRPr="00CE25C3">
        <w:rPr>
          <w:color w:val="222222"/>
          <w:shd w:val="clear" w:color="auto" w:fill="FFFFFF"/>
        </w:rPr>
        <w:t>Lucheş</w:t>
      </w:r>
      <w:proofErr w:type="spellEnd"/>
      <w:r w:rsidRPr="00CE25C3">
        <w:rPr>
          <w:color w:val="222222"/>
          <w:shd w:val="clear" w:color="auto" w:fill="FFFFFF"/>
        </w:rPr>
        <w:t xml:space="preserve">, D., (2024). The Digital Reflective Journal: A Self-Assessment Tool for Higher Education Students. In </w:t>
      </w:r>
      <w:r w:rsidRPr="00CE25C3">
        <w:rPr>
          <w:i/>
          <w:iCs/>
          <w:color w:val="222222"/>
          <w:shd w:val="clear" w:color="auto" w:fill="FFFFFF"/>
        </w:rPr>
        <w:t>Digital Assessment in Higher Education: Navigating and Researching Challenges and Opportunities</w:t>
      </w:r>
      <w:r w:rsidRPr="00CE25C3">
        <w:rPr>
          <w:color w:val="222222"/>
          <w:shd w:val="clear" w:color="auto" w:fill="FFFFFF"/>
        </w:rPr>
        <w:t xml:space="preserve"> (pp. 259-283). Singapore: Springer Nature </w:t>
      </w:r>
      <w:proofErr w:type="spellStart"/>
      <w:r w:rsidRPr="00CE25C3">
        <w:rPr>
          <w:color w:val="222222"/>
          <w:shd w:val="clear" w:color="auto" w:fill="FFFFFF"/>
        </w:rPr>
        <w:t>Singapore.</w:t>
      </w:r>
      <w:hyperlink r:id="rId9" w:history="1">
        <w:r w:rsidRPr="00CE25C3">
          <w:rPr>
            <w:rStyle w:val="Hyperlink"/>
            <w:color w:val="1155CC"/>
            <w:shd w:val="clear" w:color="auto" w:fill="FFFFFF"/>
          </w:rPr>
          <w:t>https</w:t>
        </w:r>
        <w:proofErr w:type="spellEnd"/>
        <w:r w:rsidRPr="00CE25C3">
          <w:rPr>
            <w:rStyle w:val="Hyperlink"/>
            <w:color w:val="1155CC"/>
            <w:shd w:val="clear" w:color="auto" w:fill="FFFFFF"/>
          </w:rPr>
          <w:t>://doi.org/10.1007/978-981-97-6136-4_12</w:t>
        </w:r>
      </w:hyperlink>
      <w:r w:rsidRPr="00CE25C3">
        <w:rPr>
          <w:color w:val="05103E"/>
          <w:shd w:val="clear" w:color="auto" w:fill="FFFFFF"/>
        </w:rPr>
        <w:t>.</w:t>
      </w:r>
    </w:p>
    <w:p w14:paraId="2DBAEE9C" w14:textId="77777777" w:rsidR="00CE25C3" w:rsidRPr="00CE25C3" w:rsidRDefault="00CE25C3" w:rsidP="00E33295">
      <w:pPr>
        <w:spacing w:before="240" w:after="240" w:line="360" w:lineRule="auto"/>
        <w:jc w:val="both"/>
        <w:rPr>
          <w:rFonts w:eastAsia="Times New Roman"/>
          <w:sz w:val="24"/>
          <w:szCs w:val="24"/>
          <w:lang w:val="en-US"/>
        </w:rPr>
      </w:pPr>
      <w:r w:rsidRPr="00CE25C3">
        <w:rPr>
          <w:color w:val="222222"/>
          <w:sz w:val="24"/>
          <w:szCs w:val="24"/>
          <w:shd w:val="clear" w:color="auto" w:fill="FFFFFF"/>
        </w:rPr>
        <w:t>McCarthy, B., Bessell, N., Murphy, S. and Hartigan, I., (2021). Nursing and speech and language students’ perspectives of reflection as a clinical learning strategy in undergraduate healthcare education: A qualitative study. </w:t>
      </w:r>
      <w:r w:rsidRPr="00CE25C3">
        <w:rPr>
          <w:i/>
          <w:iCs/>
          <w:color w:val="222222"/>
          <w:sz w:val="24"/>
          <w:szCs w:val="24"/>
          <w:shd w:val="clear" w:color="auto" w:fill="FFFFFF"/>
        </w:rPr>
        <w:t>Nurse Education in Practice</w:t>
      </w:r>
      <w:r w:rsidRPr="00CE25C3">
        <w:rPr>
          <w:color w:val="222222"/>
          <w:sz w:val="24"/>
          <w:szCs w:val="24"/>
          <w:shd w:val="clear" w:color="auto" w:fill="FFFFFF"/>
        </w:rPr>
        <w:t>, </w:t>
      </w:r>
      <w:r w:rsidRPr="00CE25C3">
        <w:rPr>
          <w:i/>
          <w:iCs/>
          <w:color w:val="222222"/>
          <w:sz w:val="24"/>
          <w:szCs w:val="24"/>
          <w:shd w:val="clear" w:color="auto" w:fill="FFFFFF"/>
        </w:rPr>
        <w:t>57</w:t>
      </w:r>
      <w:r w:rsidRPr="00CE25C3">
        <w:rPr>
          <w:color w:val="222222"/>
          <w:sz w:val="24"/>
          <w:szCs w:val="24"/>
          <w:shd w:val="clear" w:color="auto" w:fill="FFFFFF"/>
        </w:rPr>
        <w:t>, p.103251.</w:t>
      </w:r>
      <w:r w:rsidRPr="00CE25C3">
        <w:rPr>
          <w:rFonts w:eastAsia="Times New Roman"/>
          <w:sz w:val="24"/>
          <w:szCs w:val="24"/>
          <w:lang w:val="en-US"/>
        </w:rPr>
        <w:t>https://doi.org/10.1016/j.nepr.2021.103251.</w:t>
      </w:r>
    </w:p>
    <w:p w14:paraId="77608F51" w14:textId="77777777" w:rsidR="00CE25C3" w:rsidRPr="00CE25C3" w:rsidRDefault="00CE25C3" w:rsidP="00E33295">
      <w:pPr>
        <w:spacing w:before="240" w:after="240" w:line="360" w:lineRule="auto"/>
        <w:jc w:val="both"/>
        <w:rPr>
          <w:rFonts w:eastAsia="Times New Roman"/>
          <w:sz w:val="24"/>
          <w:szCs w:val="24"/>
          <w:lang w:val="en-US"/>
        </w:rPr>
      </w:pPr>
      <w:r w:rsidRPr="00CE25C3">
        <w:rPr>
          <w:rFonts w:eastAsia="Times New Roman"/>
          <w:color w:val="222222"/>
          <w:sz w:val="24"/>
          <w:szCs w:val="24"/>
          <w:shd w:val="clear" w:color="auto" w:fill="FFFFFF"/>
          <w:lang w:val="en-US"/>
        </w:rPr>
        <w:t xml:space="preserve">Pedroso, J.E., </w:t>
      </w:r>
      <w:proofErr w:type="spellStart"/>
      <w:r w:rsidRPr="00CE25C3">
        <w:rPr>
          <w:rFonts w:eastAsia="Times New Roman"/>
          <w:color w:val="222222"/>
          <w:sz w:val="24"/>
          <w:szCs w:val="24"/>
          <w:shd w:val="clear" w:color="auto" w:fill="FFFFFF"/>
          <w:lang w:val="en-US"/>
        </w:rPr>
        <w:t>Sulleza</w:t>
      </w:r>
      <w:proofErr w:type="spellEnd"/>
      <w:r w:rsidRPr="00CE25C3">
        <w:rPr>
          <w:rFonts w:eastAsia="Times New Roman"/>
          <w:color w:val="222222"/>
          <w:sz w:val="24"/>
          <w:szCs w:val="24"/>
          <w:shd w:val="clear" w:color="auto" w:fill="FFFFFF"/>
          <w:lang w:val="en-US"/>
        </w:rPr>
        <w:t xml:space="preserve">, R.S., Francisco, K.H.M.C., Noman, A.J.O. and Martinez, C.A.V., (2023). Unlocking the power of Canva: Students’ views on using the all-in-one </w:t>
      </w:r>
      <w:r w:rsidRPr="00CE25C3">
        <w:rPr>
          <w:rFonts w:eastAsia="Times New Roman"/>
          <w:color w:val="222222"/>
          <w:sz w:val="24"/>
          <w:szCs w:val="24"/>
          <w:shd w:val="clear" w:color="auto" w:fill="FFFFFF"/>
          <w:lang w:val="en-US"/>
        </w:rPr>
        <w:lastRenderedPageBreak/>
        <w:t xml:space="preserve">tool for creativity and collaboration. </w:t>
      </w:r>
      <w:r w:rsidRPr="00CE25C3">
        <w:rPr>
          <w:rFonts w:eastAsia="Times New Roman"/>
          <w:i/>
          <w:iCs/>
          <w:color w:val="222222"/>
          <w:sz w:val="24"/>
          <w:szCs w:val="24"/>
          <w:shd w:val="clear" w:color="auto" w:fill="FFFFFF"/>
          <w:lang w:val="en-US"/>
        </w:rPr>
        <w:t>Journal of Digital Learning and Distance Education</w:t>
      </w:r>
      <w:r w:rsidRPr="00CE25C3">
        <w:rPr>
          <w:rFonts w:eastAsia="Times New Roman"/>
          <w:color w:val="222222"/>
          <w:sz w:val="24"/>
          <w:szCs w:val="24"/>
          <w:shd w:val="clear" w:color="auto" w:fill="FFFFFF"/>
          <w:lang w:val="en-US"/>
        </w:rPr>
        <w:t xml:space="preserve">, </w:t>
      </w:r>
      <w:r w:rsidRPr="00CE25C3">
        <w:rPr>
          <w:rFonts w:eastAsia="Times New Roman"/>
          <w:i/>
          <w:iCs/>
          <w:color w:val="222222"/>
          <w:sz w:val="24"/>
          <w:szCs w:val="24"/>
          <w:shd w:val="clear" w:color="auto" w:fill="FFFFFF"/>
          <w:lang w:val="en-US"/>
        </w:rPr>
        <w:t>2</w:t>
      </w:r>
      <w:r w:rsidRPr="00CE25C3">
        <w:rPr>
          <w:rFonts w:eastAsia="Times New Roman"/>
          <w:color w:val="222222"/>
          <w:sz w:val="24"/>
          <w:szCs w:val="24"/>
          <w:shd w:val="clear" w:color="auto" w:fill="FFFFFF"/>
          <w:lang w:val="en-US"/>
        </w:rPr>
        <w:t>(2), pp.443-461.</w:t>
      </w:r>
      <w:r w:rsidRPr="00CE25C3">
        <w:rPr>
          <w:rFonts w:eastAsia="Times New Roman"/>
          <w:color w:val="05103E"/>
          <w:sz w:val="24"/>
          <w:szCs w:val="24"/>
          <w:shd w:val="clear" w:color="auto" w:fill="FFFFFF"/>
          <w:lang w:val="en-US"/>
        </w:rPr>
        <w:t xml:space="preserve"> </w:t>
      </w:r>
      <w:hyperlink r:id="rId10" w:history="1">
        <w:r w:rsidRPr="00CE25C3">
          <w:rPr>
            <w:rFonts w:eastAsia="Times New Roman"/>
            <w:color w:val="1155CC"/>
            <w:sz w:val="24"/>
            <w:szCs w:val="24"/>
            <w:u w:val="single"/>
            <w:shd w:val="clear" w:color="auto" w:fill="FFFFFF"/>
            <w:lang w:val="en-US"/>
          </w:rPr>
          <w:t>https://doi.org/10.56778/jdlde.v2i2.117</w:t>
        </w:r>
      </w:hyperlink>
      <w:r w:rsidRPr="00CE25C3">
        <w:rPr>
          <w:rFonts w:eastAsia="Times New Roman"/>
          <w:color w:val="05103E"/>
          <w:sz w:val="24"/>
          <w:szCs w:val="24"/>
          <w:shd w:val="clear" w:color="auto" w:fill="FFFFFF"/>
          <w:lang w:val="en-US"/>
        </w:rPr>
        <w:t>.</w:t>
      </w:r>
    </w:p>
    <w:p w14:paraId="4E66FC8D" w14:textId="77777777" w:rsidR="00CE25C3" w:rsidRPr="00CE25C3" w:rsidRDefault="00CE25C3" w:rsidP="00E33295">
      <w:pPr>
        <w:spacing w:before="240" w:after="240" w:line="360" w:lineRule="auto"/>
        <w:jc w:val="both"/>
        <w:rPr>
          <w:rFonts w:eastAsia="Times New Roman"/>
          <w:sz w:val="24"/>
          <w:szCs w:val="24"/>
          <w:lang w:val="en-US"/>
        </w:rPr>
      </w:pPr>
      <w:r w:rsidRPr="00CE25C3">
        <w:rPr>
          <w:color w:val="222222"/>
          <w:sz w:val="24"/>
          <w:szCs w:val="24"/>
          <w:shd w:val="clear" w:color="auto" w:fill="FFFFFF"/>
        </w:rPr>
        <w:t xml:space="preserve">Sibeko, N., Ezeji, I.N., </w:t>
      </w:r>
      <w:proofErr w:type="spellStart"/>
      <w:r w:rsidRPr="00CE25C3">
        <w:rPr>
          <w:color w:val="222222"/>
          <w:sz w:val="24"/>
          <w:szCs w:val="24"/>
          <w:shd w:val="clear" w:color="auto" w:fill="FFFFFF"/>
        </w:rPr>
        <w:t>Uleanya</w:t>
      </w:r>
      <w:proofErr w:type="spellEnd"/>
      <w:r w:rsidRPr="00CE25C3">
        <w:rPr>
          <w:color w:val="222222"/>
          <w:sz w:val="24"/>
          <w:szCs w:val="24"/>
          <w:shd w:val="clear" w:color="auto" w:fill="FFFFFF"/>
        </w:rPr>
        <w:t>, C. and Adigun, M., (2024), July. Reflections on Leading and Managing Computer Science Final Year Projects in a South African Rural University Using Gibb’s Framework. In </w:t>
      </w:r>
      <w:r w:rsidRPr="00CE25C3">
        <w:rPr>
          <w:i/>
          <w:iCs/>
          <w:color w:val="222222"/>
          <w:sz w:val="24"/>
          <w:szCs w:val="24"/>
          <w:shd w:val="clear" w:color="auto" w:fill="FFFFFF"/>
        </w:rPr>
        <w:t>Annual Conference of the Southern African Computer Lecturers' Association</w:t>
      </w:r>
      <w:r w:rsidRPr="00CE25C3">
        <w:rPr>
          <w:color w:val="222222"/>
          <w:sz w:val="24"/>
          <w:szCs w:val="24"/>
          <w:shd w:val="clear" w:color="auto" w:fill="FFFFFF"/>
        </w:rPr>
        <w:t> (pp. 67-82). Cham: Springer Nature Switzerland.</w:t>
      </w:r>
      <w:r w:rsidRPr="00CE25C3">
        <w:rPr>
          <w:rFonts w:eastAsia="Times New Roman"/>
          <w:sz w:val="24"/>
          <w:szCs w:val="24"/>
          <w:lang w:val="en-US"/>
        </w:rPr>
        <w:t>https://doi.org/10.1007/978-3-031-82478-4_5.</w:t>
      </w:r>
    </w:p>
    <w:p w14:paraId="5FF39D3D" w14:textId="77777777" w:rsidR="00CE25C3" w:rsidRPr="00CE25C3" w:rsidRDefault="00CE25C3" w:rsidP="00E33295">
      <w:pPr>
        <w:spacing w:before="240" w:after="240" w:line="360" w:lineRule="auto"/>
        <w:jc w:val="both"/>
        <w:rPr>
          <w:rFonts w:eastAsia="Times New Roman"/>
          <w:sz w:val="24"/>
          <w:szCs w:val="24"/>
          <w:lang w:val="en-US"/>
        </w:rPr>
      </w:pPr>
      <w:proofErr w:type="spellStart"/>
      <w:r w:rsidRPr="00CE25C3">
        <w:rPr>
          <w:rFonts w:eastAsia="Times New Roman"/>
          <w:sz w:val="24"/>
          <w:szCs w:val="24"/>
          <w:lang w:val="en-US"/>
        </w:rPr>
        <w:t>Vigentini</w:t>
      </w:r>
      <w:proofErr w:type="spellEnd"/>
      <w:r w:rsidRPr="00CE25C3">
        <w:rPr>
          <w:rFonts w:eastAsia="Times New Roman"/>
          <w:sz w:val="24"/>
          <w:szCs w:val="24"/>
          <w:lang w:val="en-US"/>
        </w:rPr>
        <w:t xml:space="preserve">, L., </w:t>
      </w:r>
      <w:proofErr w:type="spellStart"/>
      <w:r w:rsidRPr="00CE25C3">
        <w:rPr>
          <w:rFonts w:eastAsia="Times New Roman"/>
          <w:sz w:val="24"/>
          <w:szCs w:val="24"/>
          <w:lang w:val="en-US"/>
        </w:rPr>
        <w:t>Mirriahi</w:t>
      </w:r>
      <w:proofErr w:type="spellEnd"/>
      <w:r w:rsidRPr="00CE25C3">
        <w:rPr>
          <w:rFonts w:eastAsia="Times New Roman"/>
          <w:sz w:val="24"/>
          <w:szCs w:val="24"/>
          <w:lang w:val="en-US"/>
        </w:rPr>
        <w:t xml:space="preserve">, N. and </w:t>
      </w:r>
      <w:proofErr w:type="spellStart"/>
      <w:r w:rsidRPr="00CE25C3">
        <w:rPr>
          <w:rFonts w:eastAsia="Times New Roman"/>
          <w:sz w:val="24"/>
          <w:szCs w:val="24"/>
          <w:lang w:val="en-US"/>
        </w:rPr>
        <w:t>Kligyte</w:t>
      </w:r>
      <w:proofErr w:type="spellEnd"/>
      <w:r w:rsidRPr="00CE25C3">
        <w:rPr>
          <w:rFonts w:eastAsia="Times New Roman"/>
          <w:sz w:val="24"/>
          <w:szCs w:val="24"/>
          <w:lang w:val="en-US"/>
        </w:rPr>
        <w:t xml:space="preserve">, G. (2023) 'From reflective Practitioner to Active Researcher: Towards a Role for Learning Analytics in Higher Education Scholarship,' in </w:t>
      </w:r>
      <w:r w:rsidRPr="00CE25C3">
        <w:rPr>
          <w:rFonts w:eastAsia="Times New Roman"/>
          <w:i/>
          <w:iCs/>
          <w:sz w:val="24"/>
          <w:szCs w:val="24"/>
          <w:lang w:val="en-US"/>
        </w:rPr>
        <w:t>Springer eBooks</w:t>
      </w:r>
      <w:r w:rsidRPr="00CE25C3">
        <w:rPr>
          <w:rFonts w:eastAsia="Times New Roman"/>
          <w:sz w:val="24"/>
          <w:szCs w:val="24"/>
          <w:lang w:val="en-US"/>
        </w:rPr>
        <w:t>, pp. 3445–3473. https://doi.org/10.1007/978-3-319-17461-7_6.</w:t>
      </w:r>
    </w:p>
    <w:p w14:paraId="753B405A" w14:textId="77777777" w:rsidR="004E4CD8" w:rsidRPr="00CE25C3" w:rsidRDefault="004E4CD8" w:rsidP="00E33295">
      <w:pPr>
        <w:spacing w:before="240" w:after="240" w:line="360" w:lineRule="auto"/>
        <w:jc w:val="both"/>
      </w:pPr>
    </w:p>
    <w:sectPr w:rsidR="004E4CD8" w:rsidRPr="00CE25C3">
      <w:footerReference w:type="default" r:id="rId11"/>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FDE0729" w14:textId="77777777" w:rsidR="007F3E5B" w:rsidRDefault="007F3E5B" w:rsidP="000A011A">
      <w:pPr>
        <w:spacing w:line="240" w:lineRule="auto"/>
      </w:pPr>
      <w:r>
        <w:separator/>
      </w:r>
    </w:p>
  </w:endnote>
  <w:endnote w:type="continuationSeparator" w:id="0">
    <w:p w14:paraId="42DED6CC" w14:textId="77777777" w:rsidR="007F3E5B" w:rsidRDefault="007F3E5B" w:rsidP="000A011A">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99526476"/>
      <w:docPartObj>
        <w:docPartGallery w:val="Page Numbers (Bottom of Page)"/>
        <w:docPartUnique/>
      </w:docPartObj>
    </w:sdtPr>
    <w:sdtEndPr>
      <w:rPr>
        <w:noProof/>
      </w:rPr>
    </w:sdtEndPr>
    <w:sdtContent>
      <w:p w14:paraId="2189AB5C" w14:textId="6F89B85A" w:rsidR="000A011A" w:rsidRDefault="000A011A">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D23956B" w14:textId="77777777" w:rsidR="000A011A" w:rsidRDefault="000A011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251F9FA" w14:textId="77777777" w:rsidR="007F3E5B" w:rsidRDefault="007F3E5B" w:rsidP="000A011A">
      <w:pPr>
        <w:spacing w:line="240" w:lineRule="auto"/>
      </w:pPr>
      <w:r>
        <w:separator/>
      </w:r>
    </w:p>
  </w:footnote>
  <w:footnote w:type="continuationSeparator" w:id="0">
    <w:p w14:paraId="73C94731" w14:textId="77777777" w:rsidR="007F3E5B" w:rsidRDefault="007F3E5B" w:rsidP="000A011A">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72336"/>
    <w:rsid w:val="000A011A"/>
    <w:rsid w:val="001045BC"/>
    <w:rsid w:val="001D3B98"/>
    <w:rsid w:val="002923B1"/>
    <w:rsid w:val="002D0B38"/>
    <w:rsid w:val="003E1CC6"/>
    <w:rsid w:val="00470E12"/>
    <w:rsid w:val="00487568"/>
    <w:rsid w:val="004C70EE"/>
    <w:rsid w:val="004D45DD"/>
    <w:rsid w:val="004E4CD8"/>
    <w:rsid w:val="00514898"/>
    <w:rsid w:val="006C2DAA"/>
    <w:rsid w:val="00742EB0"/>
    <w:rsid w:val="00780ED4"/>
    <w:rsid w:val="007F0BF1"/>
    <w:rsid w:val="007F3E5B"/>
    <w:rsid w:val="00892577"/>
    <w:rsid w:val="00901EE9"/>
    <w:rsid w:val="00A262C6"/>
    <w:rsid w:val="00A54699"/>
    <w:rsid w:val="00AF5C9C"/>
    <w:rsid w:val="00B401D7"/>
    <w:rsid w:val="00B7012D"/>
    <w:rsid w:val="00CE25C3"/>
    <w:rsid w:val="00E102EF"/>
    <w:rsid w:val="00E33295"/>
    <w:rsid w:val="00EB5F53"/>
    <w:rsid w:val="00EF6A66"/>
    <w:rsid w:val="00F72336"/>
    <w:rsid w:val="00FA0BA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802B37A"/>
  <w15:docId w15:val="{E2829B2F-6657-475E-B294-C4DAECBFC25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GB"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0" w:type="dxa"/>
        <w:left w:w="0" w:type="dxa"/>
        <w:bottom w:w="0" w:type="dxa"/>
        <w:right w:w="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
    <w:basedOn w:val="TableNormal0"/>
    <w:tblPr>
      <w:tblStyleRowBandSize w:val="1"/>
      <w:tblStyleColBandSize w:val="1"/>
      <w:tblCellMar>
        <w:top w:w="100" w:type="dxa"/>
        <w:left w:w="100" w:type="dxa"/>
        <w:bottom w:w="100" w:type="dxa"/>
        <w:right w:w="100" w:type="dxa"/>
      </w:tblCellMar>
    </w:tblPr>
  </w:style>
  <w:style w:type="paragraph" w:styleId="Header">
    <w:name w:val="header"/>
    <w:basedOn w:val="Normal"/>
    <w:link w:val="HeaderChar"/>
    <w:uiPriority w:val="99"/>
    <w:unhideWhenUsed/>
    <w:rsid w:val="000A011A"/>
    <w:pPr>
      <w:tabs>
        <w:tab w:val="center" w:pos="4680"/>
        <w:tab w:val="right" w:pos="9360"/>
      </w:tabs>
      <w:spacing w:line="240" w:lineRule="auto"/>
    </w:pPr>
  </w:style>
  <w:style w:type="character" w:customStyle="1" w:styleId="HeaderChar">
    <w:name w:val="Header Char"/>
    <w:basedOn w:val="DefaultParagraphFont"/>
    <w:link w:val="Header"/>
    <w:uiPriority w:val="99"/>
    <w:rsid w:val="000A011A"/>
  </w:style>
  <w:style w:type="paragraph" w:styleId="Footer">
    <w:name w:val="footer"/>
    <w:basedOn w:val="Normal"/>
    <w:link w:val="FooterChar"/>
    <w:uiPriority w:val="99"/>
    <w:unhideWhenUsed/>
    <w:rsid w:val="000A011A"/>
    <w:pPr>
      <w:tabs>
        <w:tab w:val="center" w:pos="4680"/>
        <w:tab w:val="right" w:pos="9360"/>
      </w:tabs>
      <w:spacing w:line="240" w:lineRule="auto"/>
    </w:pPr>
  </w:style>
  <w:style w:type="character" w:customStyle="1" w:styleId="FooterChar">
    <w:name w:val="Footer Char"/>
    <w:basedOn w:val="DefaultParagraphFont"/>
    <w:link w:val="Footer"/>
    <w:uiPriority w:val="99"/>
    <w:rsid w:val="000A011A"/>
  </w:style>
  <w:style w:type="paragraph" w:styleId="NormalWeb">
    <w:name w:val="Normal (Web)"/>
    <w:basedOn w:val="Normal"/>
    <w:uiPriority w:val="99"/>
    <w:semiHidden/>
    <w:unhideWhenUsed/>
    <w:rsid w:val="000A011A"/>
    <w:pPr>
      <w:spacing w:before="100" w:beforeAutospacing="1" w:after="100" w:afterAutospacing="1" w:line="240" w:lineRule="auto"/>
    </w:pPr>
    <w:rPr>
      <w:rFonts w:ascii="Times New Roman" w:eastAsia="Times New Roman" w:hAnsi="Times New Roman" w:cs="Times New Roman"/>
      <w:sz w:val="24"/>
      <w:szCs w:val="24"/>
      <w:lang w:val="en-US"/>
    </w:rPr>
  </w:style>
  <w:style w:type="character" w:styleId="Strong">
    <w:name w:val="Strong"/>
    <w:basedOn w:val="DefaultParagraphFont"/>
    <w:uiPriority w:val="22"/>
    <w:qFormat/>
    <w:rsid w:val="000A011A"/>
    <w:rPr>
      <w:b/>
      <w:bCs/>
    </w:rPr>
  </w:style>
  <w:style w:type="character" w:styleId="Emphasis">
    <w:name w:val="Emphasis"/>
    <w:basedOn w:val="DefaultParagraphFont"/>
    <w:uiPriority w:val="20"/>
    <w:qFormat/>
    <w:rsid w:val="000A011A"/>
    <w:rPr>
      <w:i/>
      <w:iCs/>
    </w:rPr>
  </w:style>
  <w:style w:type="character" w:customStyle="1" w:styleId="sr-only">
    <w:name w:val="sr-only"/>
    <w:basedOn w:val="DefaultParagraphFont"/>
    <w:rsid w:val="000A011A"/>
  </w:style>
  <w:style w:type="character" w:customStyle="1" w:styleId="url">
    <w:name w:val="url"/>
    <w:basedOn w:val="DefaultParagraphFont"/>
    <w:rsid w:val="004E4CD8"/>
  </w:style>
  <w:style w:type="character" w:styleId="Hyperlink">
    <w:name w:val="Hyperlink"/>
    <w:basedOn w:val="DefaultParagraphFont"/>
    <w:uiPriority w:val="99"/>
    <w:unhideWhenUsed/>
    <w:rsid w:val="004E4CD8"/>
    <w:rPr>
      <w:color w:val="0000FF"/>
      <w:u w:val="single"/>
    </w:rPr>
  </w:style>
  <w:style w:type="character" w:styleId="UnresolvedMention">
    <w:name w:val="Unresolved Mention"/>
    <w:basedOn w:val="DefaultParagraphFont"/>
    <w:uiPriority w:val="99"/>
    <w:semiHidden/>
    <w:unhideWhenUsed/>
    <w:rsid w:val="00EF6A6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130790">
      <w:bodyDiv w:val="1"/>
      <w:marLeft w:val="0"/>
      <w:marRight w:val="0"/>
      <w:marTop w:val="0"/>
      <w:marBottom w:val="0"/>
      <w:divBdr>
        <w:top w:val="none" w:sz="0" w:space="0" w:color="auto"/>
        <w:left w:val="none" w:sz="0" w:space="0" w:color="auto"/>
        <w:bottom w:val="none" w:sz="0" w:space="0" w:color="auto"/>
        <w:right w:val="none" w:sz="0" w:space="0" w:color="auto"/>
      </w:divBdr>
    </w:div>
    <w:div w:id="463934283">
      <w:bodyDiv w:val="1"/>
      <w:marLeft w:val="0"/>
      <w:marRight w:val="0"/>
      <w:marTop w:val="0"/>
      <w:marBottom w:val="0"/>
      <w:divBdr>
        <w:top w:val="none" w:sz="0" w:space="0" w:color="auto"/>
        <w:left w:val="none" w:sz="0" w:space="0" w:color="auto"/>
        <w:bottom w:val="none" w:sz="0" w:space="0" w:color="auto"/>
        <w:right w:val="none" w:sz="0" w:space="0" w:color="auto"/>
      </w:divBdr>
    </w:div>
    <w:div w:id="761072069">
      <w:bodyDiv w:val="1"/>
      <w:marLeft w:val="0"/>
      <w:marRight w:val="0"/>
      <w:marTop w:val="0"/>
      <w:marBottom w:val="0"/>
      <w:divBdr>
        <w:top w:val="none" w:sz="0" w:space="0" w:color="auto"/>
        <w:left w:val="none" w:sz="0" w:space="0" w:color="auto"/>
        <w:bottom w:val="none" w:sz="0" w:space="0" w:color="auto"/>
        <w:right w:val="none" w:sz="0" w:space="0" w:color="auto"/>
      </w:divBdr>
    </w:div>
    <w:div w:id="841240673">
      <w:bodyDiv w:val="1"/>
      <w:marLeft w:val="0"/>
      <w:marRight w:val="0"/>
      <w:marTop w:val="0"/>
      <w:marBottom w:val="0"/>
      <w:divBdr>
        <w:top w:val="none" w:sz="0" w:space="0" w:color="auto"/>
        <w:left w:val="none" w:sz="0" w:space="0" w:color="auto"/>
        <w:bottom w:val="none" w:sz="0" w:space="0" w:color="auto"/>
        <w:right w:val="none" w:sz="0" w:space="0" w:color="auto"/>
      </w:divBdr>
    </w:div>
    <w:div w:id="1253588102">
      <w:bodyDiv w:val="1"/>
      <w:marLeft w:val="0"/>
      <w:marRight w:val="0"/>
      <w:marTop w:val="0"/>
      <w:marBottom w:val="0"/>
      <w:divBdr>
        <w:top w:val="none" w:sz="0" w:space="0" w:color="auto"/>
        <w:left w:val="none" w:sz="0" w:space="0" w:color="auto"/>
        <w:bottom w:val="none" w:sz="0" w:space="0" w:color="auto"/>
        <w:right w:val="none" w:sz="0" w:space="0" w:color="auto"/>
      </w:divBdr>
    </w:div>
    <w:div w:id="1260287175">
      <w:bodyDiv w:val="1"/>
      <w:marLeft w:val="0"/>
      <w:marRight w:val="0"/>
      <w:marTop w:val="0"/>
      <w:marBottom w:val="0"/>
      <w:divBdr>
        <w:top w:val="none" w:sz="0" w:space="0" w:color="auto"/>
        <w:left w:val="none" w:sz="0" w:space="0" w:color="auto"/>
        <w:bottom w:val="none" w:sz="0" w:space="0" w:color="auto"/>
        <w:right w:val="none" w:sz="0" w:space="0" w:color="auto"/>
      </w:divBdr>
    </w:div>
    <w:div w:id="1409615236">
      <w:bodyDiv w:val="1"/>
      <w:marLeft w:val="0"/>
      <w:marRight w:val="0"/>
      <w:marTop w:val="0"/>
      <w:marBottom w:val="0"/>
      <w:divBdr>
        <w:top w:val="none" w:sz="0" w:space="0" w:color="auto"/>
        <w:left w:val="none" w:sz="0" w:space="0" w:color="auto"/>
        <w:bottom w:val="none" w:sz="0" w:space="0" w:color="auto"/>
        <w:right w:val="none" w:sz="0" w:space="0" w:color="auto"/>
      </w:divBdr>
    </w:div>
    <w:div w:id="1482118561">
      <w:bodyDiv w:val="1"/>
      <w:marLeft w:val="0"/>
      <w:marRight w:val="0"/>
      <w:marTop w:val="0"/>
      <w:marBottom w:val="0"/>
      <w:divBdr>
        <w:top w:val="none" w:sz="0" w:space="0" w:color="auto"/>
        <w:left w:val="none" w:sz="0" w:space="0" w:color="auto"/>
        <w:bottom w:val="none" w:sz="0" w:space="0" w:color="auto"/>
        <w:right w:val="none" w:sz="0" w:space="0" w:color="auto"/>
      </w:divBdr>
    </w:div>
    <w:div w:id="1517571649">
      <w:bodyDiv w:val="1"/>
      <w:marLeft w:val="0"/>
      <w:marRight w:val="0"/>
      <w:marTop w:val="0"/>
      <w:marBottom w:val="0"/>
      <w:divBdr>
        <w:top w:val="none" w:sz="0" w:space="0" w:color="auto"/>
        <w:left w:val="none" w:sz="0" w:space="0" w:color="auto"/>
        <w:bottom w:val="none" w:sz="0" w:space="0" w:color="auto"/>
        <w:right w:val="none" w:sz="0" w:space="0" w:color="auto"/>
      </w:divBdr>
    </w:div>
    <w:div w:id="1686711650">
      <w:bodyDiv w:val="1"/>
      <w:marLeft w:val="0"/>
      <w:marRight w:val="0"/>
      <w:marTop w:val="0"/>
      <w:marBottom w:val="0"/>
      <w:divBdr>
        <w:top w:val="none" w:sz="0" w:space="0" w:color="auto"/>
        <w:left w:val="none" w:sz="0" w:space="0" w:color="auto"/>
        <w:bottom w:val="none" w:sz="0" w:space="0" w:color="auto"/>
        <w:right w:val="none" w:sz="0" w:space="0" w:color="auto"/>
      </w:divBdr>
      <w:divsChild>
        <w:div w:id="1731229423">
          <w:marLeft w:val="-720"/>
          <w:marRight w:val="0"/>
          <w:marTop w:val="0"/>
          <w:marBottom w:val="0"/>
          <w:divBdr>
            <w:top w:val="none" w:sz="0" w:space="0" w:color="auto"/>
            <w:left w:val="none" w:sz="0" w:space="0" w:color="auto"/>
            <w:bottom w:val="none" w:sz="0" w:space="0" w:color="auto"/>
            <w:right w:val="none" w:sz="0" w:space="0" w:color="auto"/>
          </w:divBdr>
        </w:div>
      </w:divsChild>
    </w:div>
    <w:div w:id="1689599760">
      <w:bodyDiv w:val="1"/>
      <w:marLeft w:val="0"/>
      <w:marRight w:val="0"/>
      <w:marTop w:val="0"/>
      <w:marBottom w:val="0"/>
      <w:divBdr>
        <w:top w:val="none" w:sz="0" w:space="0" w:color="auto"/>
        <w:left w:val="none" w:sz="0" w:space="0" w:color="auto"/>
        <w:bottom w:val="none" w:sz="0" w:space="0" w:color="auto"/>
        <w:right w:val="none" w:sz="0" w:space="0" w:color="auto"/>
      </w:divBdr>
    </w:div>
    <w:div w:id="1815751022">
      <w:bodyDiv w:val="1"/>
      <w:marLeft w:val="0"/>
      <w:marRight w:val="0"/>
      <w:marTop w:val="0"/>
      <w:marBottom w:val="0"/>
      <w:divBdr>
        <w:top w:val="none" w:sz="0" w:space="0" w:color="auto"/>
        <w:left w:val="none" w:sz="0" w:space="0" w:color="auto"/>
        <w:bottom w:val="none" w:sz="0" w:space="0" w:color="auto"/>
        <w:right w:val="none" w:sz="0" w:space="0" w:color="auto"/>
      </w:divBdr>
    </w:div>
    <w:div w:id="1845317997">
      <w:bodyDiv w:val="1"/>
      <w:marLeft w:val="0"/>
      <w:marRight w:val="0"/>
      <w:marTop w:val="0"/>
      <w:marBottom w:val="0"/>
      <w:divBdr>
        <w:top w:val="none" w:sz="0" w:space="0" w:color="auto"/>
        <w:left w:val="none" w:sz="0" w:space="0" w:color="auto"/>
        <w:bottom w:val="none" w:sz="0" w:space="0" w:color="auto"/>
        <w:right w:val="none" w:sz="0" w:space="0" w:color="auto"/>
      </w:divBdr>
      <w:divsChild>
        <w:div w:id="1258103493">
          <w:marLeft w:val="0"/>
          <w:marRight w:val="0"/>
          <w:marTop w:val="0"/>
          <w:marBottom w:val="0"/>
          <w:divBdr>
            <w:top w:val="none" w:sz="0" w:space="0" w:color="auto"/>
            <w:left w:val="none" w:sz="0" w:space="0" w:color="auto"/>
            <w:bottom w:val="none" w:sz="0" w:space="0" w:color="auto"/>
            <w:right w:val="none" w:sz="0" w:space="0" w:color="auto"/>
          </w:divBdr>
          <w:divsChild>
            <w:div w:id="1698503243">
              <w:marLeft w:val="0"/>
              <w:marRight w:val="0"/>
              <w:marTop w:val="0"/>
              <w:marBottom w:val="0"/>
              <w:divBdr>
                <w:top w:val="none" w:sz="0" w:space="0" w:color="auto"/>
                <w:left w:val="none" w:sz="0" w:space="0" w:color="auto"/>
                <w:bottom w:val="none" w:sz="0" w:space="0" w:color="auto"/>
                <w:right w:val="none" w:sz="0" w:space="0" w:color="auto"/>
              </w:divBdr>
              <w:divsChild>
                <w:div w:id="979186177">
                  <w:marLeft w:val="0"/>
                  <w:marRight w:val="0"/>
                  <w:marTop w:val="0"/>
                  <w:marBottom w:val="0"/>
                  <w:divBdr>
                    <w:top w:val="none" w:sz="0" w:space="0" w:color="auto"/>
                    <w:left w:val="none" w:sz="0" w:space="0" w:color="auto"/>
                    <w:bottom w:val="none" w:sz="0" w:space="0" w:color="auto"/>
                    <w:right w:val="none" w:sz="0" w:space="0" w:color="auto"/>
                  </w:divBdr>
                  <w:divsChild>
                    <w:div w:id="936790638">
                      <w:marLeft w:val="0"/>
                      <w:marRight w:val="0"/>
                      <w:marTop w:val="0"/>
                      <w:marBottom w:val="0"/>
                      <w:divBdr>
                        <w:top w:val="none" w:sz="0" w:space="0" w:color="auto"/>
                        <w:left w:val="none" w:sz="0" w:space="0" w:color="auto"/>
                        <w:bottom w:val="none" w:sz="0" w:space="0" w:color="auto"/>
                        <w:right w:val="none" w:sz="0" w:space="0" w:color="auto"/>
                      </w:divBdr>
                      <w:divsChild>
                        <w:div w:id="1224832016">
                          <w:marLeft w:val="0"/>
                          <w:marRight w:val="0"/>
                          <w:marTop w:val="0"/>
                          <w:marBottom w:val="0"/>
                          <w:divBdr>
                            <w:top w:val="none" w:sz="0" w:space="0" w:color="auto"/>
                            <w:left w:val="none" w:sz="0" w:space="0" w:color="auto"/>
                            <w:bottom w:val="none" w:sz="0" w:space="0" w:color="auto"/>
                            <w:right w:val="none" w:sz="0" w:space="0" w:color="auto"/>
                          </w:divBdr>
                          <w:divsChild>
                            <w:div w:id="2071347076">
                              <w:marLeft w:val="0"/>
                              <w:marRight w:val="0"/>
                              <w:marTop w:val="0"/>
                              <w:marBottom w:val="0"/>
                              <w:divBdr>
                                <w:top w:val="none" w:sz="0" w:space="0" w:color="auto"/>
                                <w:left w:val="none" w:sz="0" w:space="0" w:color="auto"/>
                                <w:bottom w:val="none" w:sz="0" w:space="0" w:color="auto"/>
                                <w:right w:val="none" w:sz="0" w:space="0" w:color="auto"/>
                              </w:divBdr>
                              <w:divsChild>
                                <w:div w:id="714626070">
                                  <w:marLeft w:val="0"/>
                                  <w:marRight w:val="0"/>
                                  <w:marTop w:val="0"/>
                                  <w:marBottom w:val="0"/>
                                  <w:divBdr>
                                    <w:top w:val="none" w:sz="0" w:space="0" w:color="auto"/>
                                    <w:left w:val="none" w:sz="0" w:space="0" w:color="auto"/>
                                    <w:bottom w:val="none" w:sz="0" w:space="0" w:color="auto"/>
                                    <w:right w:val="none" w:sz="0" w:space="0" w:color="auto"/>
                                  </w:divBdr>
                                  <w:divsChild>
                                    <w:div w:id="16115441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24834577">
                      <w:marLeft w:val="0"/>
                      <w:marRight w:val="0"/>
                      <w:marTop w:val="0"/>
                      <w:marBottom w:val="0"/>
                      <w:divBdr>
                        <w:top w:val="none" w:sz="0" w:space="0" w:color="auto"/>
                        <w:left w:val="none" w:sz="0" w:space="0" w:color="auto"/>
                        <w:bottom w:val="none" w:sz="0" w:space="0" w:color="auto"/>
                        <w:right w:val="none" w:sz="0" w:space="0" w:color="auto"/>
                      </w:divBdr>
                      <w:divsChild>
                        <w:div w:id="21238424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869492218">
      <w:bodyDiv w:val="1"/>
      <w:marLeft w:val="0"/>
      <w:marRight w:val="0"/>
      <w:marTop w:val="0"/>
      <w:marBottom w:val="0"/>
      <w:divBdr>
        <w:top w:val="none" w:sz="0" w:space="0" w:color="auto"/>
        <w:left w:val="none" w:sz="0" w:space="0" w:color="auto"/>
        <w:bottom w:val="none" w:sz="0" w:space="0" w:color="auto"/>
        <w:right w:val="none" w:sz="0" w:space="0" w:color="auto"/>
      </w:divBdr>
    </w:div>
    <w:div w:id="2040424675">
      <w:bodyDiv w:val="1"/>
      <w:marLeft w:val="0"/>
      <w:marRight w:val="0"/>
      <w:marTop w:val="0"/>
      <w:marBottom w:val="0"/>
      <w:divBdr>
        <w:top w:val="none" w:sz="0" w:space="0" w:color="auto"/>
        <w:left w:val="none" w:sz="0" w:space="0" w:color="auto"/>
        <w:bottom w:val="none" w:sz="0" w:space="0" w:color="auto"/>
        <w:right w:val="none" w:sz="0" w:space="0" w:color="auto"/>
      </w:divBdr>
    </w:div>
    <w:div w:id="2143618534">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7459/wse/240202" TargetMode="Externa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yperlink" Target="https://doi.org/10.1080/14623943.2016.1164682" TargetMode="Externa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jpeg"/><Relationship Id="rId11" Type="http://schemas.openxmlformats.org/officeDocument/2006/relationships/footer" Target="footer1.xml"/><Relationship Id="rId5" Type="http://schemas.openxmlformats.org/officeDocument/2006/relationships/endnotes" Target="endnotes.xml"/><Relationship Id="rId10" Type="http://schemas.openxmlformats.org/officeDocument/2006/relationships/hyperlink" Target="https://doi.org/10.56778/jdlde.v2i2.117" TargetMode="External"/><Relationship Id="rId4" Type="http://schemas.openxmlformats.org/officeDocument/2006/relationships/footnotes" Target="footnotes.xml"/><Relationship Id="rId9" Type="http://schemas.openxmlformats.org/officeDocument/2006/relationships/hyperlink" Target="https://doi.org/10.1007/978-981-97-6136-4_1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47</TotalTime>
  <Pages>9</Pages>
  <Words>2032</Words>
  <Characters>11057</Characters>
  <DocSecurity>0</DocSecurity>
  <Lines>325</Lines>
  <Paragraphs>89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13000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2025-07-02T14:50:00Z</dcterms:created>
  <dcterms:modified xsi:type="dcterms:W3CDTF">2025-07-04T11:39:00Z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09d97ac2-912d-4c47-8054-963663f91be2</vt:lpwstr>
  </property>
</Properties>
</file>