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28095" w14:textId="77777777" w:rsidR="004300D0" w:rsidRPr="004300D0" w:rsidRDefault="00975323" w:rsidP="00967E91">
      <w:pPr>
        <w:spacing w:before="100" w:beforeAutospacing="1" w:after="100" w:afterAutospacing="1" w:line="240" w:lineRule="auto"/>
        <w:rPr>
          <w:rFonts w:ascii="Arial" w:hAnsi="Arial" w:cs="Arial"/>
          <w:b/>
          <w:bCs/>
          <w:sz w:val="22"/>
          <w:szCs w:val="22"/>
        </w:rPr>
      </w:pPr>
      <w:r w:rsidRPr="004300D0">
        <w:rPr>
          <w:rFonts w:ascii="Arial" w:hAnsi="Arial" w:cs="Arial"/>
          <w:b/>
          <w:bCs/>
          <w:sz w:val="22"/>
          <w:szCs w:val="22"/>
        </w:rPr>
        <w:t>Name:</w:t>
      </w:r>
      <w:r w:rsidRPr="004300D0">
        <w:rPr>
          <w:rFonts w:ascii="Arial" w:hAnsi="Arial" w:cs="Arial"/>
          <w:sz w:val="22"/>
          <w:szCs w:val="22"/>
        </w:rPr>
        <w:t xml:space="preserve"> </w:t>
      </w:r>
      <w:r w:rsidR="006A2EE6" w:rsidRPr="004300D0">
        <w:rPr>
          <w:rFonts w:ascii="Arial" w:hAnsi="Arial" w:cs="Arial"/>
          <w:sz w:val="22"/>
          <w:szCs w:val="22"/>
        </w:rPr>
        <w:t>Shelima Begum</w:t>
      </w:r>
      <w:r w:rsidRPr="004300D0">
        <w:rPr>
          <w:rFonts w:ascii="Arial" w:hAnsi="Arial" w:cs="Arial"/>
          <w:sz w:val="22"/>
          <w:szCs w:val="22"/>
        </w:rPr>
        <w:br/>
      </w:r>
    </w:p>
    <w:p w14:paraId="3557DABF" w14:textId="066FABE7" w:rsidR="004300D0" w:rsidRPr="004300D0" w:rsidRDefault="00975323" w:rsidP="00967E91">
      <w:pPr>
        <w:spacing w:before="100" w:beforeAutospacing="1" w:after="100" w:afterAutospacing="1" w:line="240" w:lineRule="auto"/>
        <w:rPr>
          <w:rFonts w:ascii="Arial" w:hAnsi="Arial" w:cs="Arial"/>
          <w:b/>
          <w:bCs/>
          <w:sz w:val="22"/>
          <w:szCs w:val="22"/>
        </w:rPr>
      </w:pPr>
      <w:r w:rsidRPr="004300D0">
        <w:rPr>
          <w:rFonts w:ascii="Arial" w:hAnsi="Arial" w:cs="Arial"/>
          <w:b/>
          <w:bCs/>
          <w:sz w:val="22"/>
          <w:szCs w:val="22"/>
        </w:rPr>
        <w:t>Student Number:</w:t>
      </w:r>
      <w:r w:rsidRPr="004300D0">
        <w:rPr>
          <w:rFonts w:ascii="Arial" w:hAnsi="Arial" w:cs="Arial"/>
          <w:sz w:val="22"/>
          <w:szCs w:val="22"/>
        </w:rPr>
        <w:t xml:space="preserve"> </w:t>
      </w:r>
      <w:r w:rsidR="006A2EE6" w:rsidRPr="004300D0">
        <w:rPr>
          <w:rFonts w:ascii="Arial" w:hAnsi="Arial" w:cs="Arial"/>
          <w:sz w:val="22"/>
          <w:szCs w:val="22"/>
        </w:rPr>
        <w:t>2410917</w:t>
      </w:r>
      <w:r w:rsidRPr="004300D0">
        <w:rPr>
          <w:rFonts w:ascii="Arial" w:hAnsi="Arial" w:cs="Arial"/>
          <w:sz w:val="22"/>
          <w:szCs w:val="22"/>
        </w:rPr>
        <w:br/>
      </w:r>
    </w:p>
    <w:p w14:paraId="41B545B9" w14:textId="6A5B8747" w:rsidR="004300D0" w:rsidRPr="004300D0" w:rsidRDefault="00975323" w:rsidP="00967E91">
      <w:pPr>
        <w:spacing w:before="100" w:beforeAutospacing="1" w:after="100" w:afterAutospacing="1" w:line="240" w:lineRule="auto"/>
        <w:rPr>
          <w:rFonts w:ascii="Arial" w:hAnsi="Arial" w:cs="Arial"/>
          <w:sz w:val="22"/>
          <w:szCs w:val="22"/>
        </w:rPr>
      </w:pPr>
      <w:r w:rsidRPr="004300D0">
        <w:rPr>
          <w:rFonts w:ascii="Arial" w:hAnsi="Arial" w:cs="Arial"/>
          <w:b/>
          <w:bCs/>
          <w:sz w:val="22"/>
          <w:szCs w:val="22"/>
        </w:rPr>
        <w:t>Module Code &amp; Title:</w:t>
      </w:r>
      <w:r w:rsidR="00590C98" w:rsidRPr="004300D0">
        <w:rPr>
          <w:rFonts w:ascii="Arial" w:hAnsi="Arial" w:cs="Arial"/>
          <w:b/>
          <w:bCs/>
          <w:sz w:val="22"/>
          <w:szCs w:val="22"/>
        </w:rPr>
        <w:t xml:space="preserve"> </w:t>
      </w:r>
      <w:r w:rsidR="00B200E3" w:rsidRPr="004300D0">
        <w:rPr>
          <w:rFonts w:ascii="Arial" w:hAnsi="Arial" w:cs="Arial"/>
          <w:sz w:val="22"/>
          <w:szCs w:val="22"/>
        </w:rPr>
        <w:t>LCLM</w:t>
      </w:r>
      <w:r w:rsidR="00A27B4E" w:rsidRPr="004300D0">
        <w:rPr>
          <w:rFonts w:ascii="Arial" w:hAnsi="Arial" w:cs="Arial"/>
          <w:sz w:val="22"/>
          <w:szCs w:val="22"/>
        </w:rPr>
        <w:t>5002</w:t>
      </w:r>
      <w:r w:rsidRPr="004300D0">
        <w:rPr>
          <w:rFonts w:ascii="Arial" w:hAnsi="Arial" w:cs="Arial"/>
          <w:sz w:val="22"/>
          <w:szCs w:val="22"/>
        </w:rPr>
        <w:t xml:space="preserve"> –</w:t>
      </w:r>
      <w:r w:rsidR="00D613D0" w:rsidRPr="004300D0">
        <w:rPr>
          <w:rFonts w:ascii="Arial" w:hAnsi="Arial" w:cs="Arial"/>
          <w:sz w:val="22"/>
          <w:szCs w:val="22"/>
        </w:rPr>
        <w:t xml:space="preserve"> Developing and </w:t>
      </w:r>
      <w:r w:rsidR="00893554" w:rsidRPr="004300D0">
        <w:rPr>
          <w:rFonts w:ascii="Arial" w:hAnsi="Arial" w:cs="Arial"/>
          <w:sz w:val="22"/>
          <w:szCs w:val="22"/>
        </w:rPr>
        <w:t>Managing Teams</w:t>
      </w:r>
      <w:r w:rsidR="00D613D0" w:rsidRPr="004300D0">
        <w:rPr>
          <w:rFonts w:ascii="Arial" w:hAnsi="Arial" w:cs="Arial"/>
          <w:sz w:val="22"/>
          <w:szCs w:val="22"/>
        </w:rPr>
        <w:t xml:space="preserve"> </w:t>
      </w:r>
    </w:p>
    <w:p w14:paraId="418EE94D" w14:textId="77777777" w:rsidR="004300D0" w:rsidRPr="004300D0" w:rsidRDefault="004300D0" w:rsidP="00967E91">
      <w:pPr>
        <w:pStyle w:val="ListParagraph"/>
        <w:spacing w:before="100" w:beforeAutospacing="1" w:after="100" w:afterAutospacing="1" w:line="240" w:lineRule="auto"/>
        <w:ind w:left="0"/>
        <w:rPr>
          <w:rFonts w:ascii="Arial" w:hAnsi="Arial" w:cs="Arial"/>
          <w:sz w:val="22"/>
          <w:szCs w:val="22"/>
        </w:rPr>
      </w:pPr>
    </w:p>
    <w:p w14:paraId="6F1C1136" w14:textId="17AB886F" w:rsidR="004300D0" w:rsidRPr="004300D0" w:rsidRDefault="00975323" w:rsidP="00967E91">
      <w:pPr>
        <w:spacing w:before="100" w:beforeAutospacing="1" w:after="100" w:afterAutospacing="1" w:line="240" w:lineRule="auto"/>
        <w:rPr>
          <w:rFonts w:ascii="Arial" w:hAnsi="Arial" w:cs="Arial"/>
          <w:b/>
          <w:bCs/>
          <w:sz w:val="22"/>
          <w:szCs w:val="22"/>
        </w:rPr>
      </w:pPr>
      <w:r w:rsidRPr="004300D0">
        <w:rPr>
          <w:rFonts w:ascii="Arial" w:hAnsi="Arial" w:cs="Arial"/>
          <w:b/>
          <w:bCs/>
          <w:sz w:val="22"/>
          <w:szCs w:val="22"/>
        </w:rPr>
        <w:t>Lecturer’s Name:</w:t>
      </w:r>
      <w:r w:rsidR="000F5B6E" w:rsidRPr="004300D0">
        <w:rPr>
          <w:rFonts w:ascii="Arial" w:eastAsia="Times New Roman" w:hAnsi="Arial" w:cs="Arial"/>
          <w:b/>
          <w:bCs/>
          <w:sz w:val="22"/>
          <w:szCs w:val="22"/>
          <w:lang w:eastAsia="en-GB"/>
        </w:rPr>
        <w:t xml:space="preserve"> </w:t>
      </w:r>
      <w:r w:rsidR="000F5B6E" w:rsidRPr="004300D0">
        <w:rPr>
          <w:rFonts w:ascii="Arial" w:hAnsi="Arial" w:cs="Arial"/>
          <w:sz w:val="22"/>
          <w:szCs w:val="22"/>
        </w:rPr>
        <w:t>Doreen Nyaa Amundam</w:t>
      </w:r>
      <w:r w:rsidRPr="004300D0">
        <w:rPr>
          <w:rFonts w:ascii="Arial" w:hAnsi="Arial" w:cs="Arial"/>
          <w:sz w:val="22"/>
          <w:szCs w:val="22"/>
        </w:rPr>
        <w:br/>
      </w:r>
    </w:p>
    <w:p w14:paraId="24ED712A" w14:textId="5B3A8563" w:rsidR="006A2EE6" w:rsidRPr="004300D0" w:rsidRDefault="00975323" w:rsidP="00967E91">
      <w:pPr>
        <w:spacing w:before="100" w:beforeAutospacing="1" w:after="100" w:afterAutospacing="1" w:line="240" w:lineRule="auto"/>
        <w:rPr>
          <w:rFonts w:ascii="Arial" w:hAnsi="Arial" w:cs="Arial"/>
          <w:sz w:val="22"/>
          <w:szCs w:val="22"/>
        </w:rPr>
      </w:pPr>
      <w:r w:rsidRPr="004300D0">
        <w:rPr>
          <w:rFonts w:ascii="Arial" w:hAnsi="Arial" w:cs="Arial"/>
          <w:b/>
          <w:bCs/>
          <w:sz w:val="22"/>
          <w:szCs w:val="22"/>
        </w:rPr>
        <w:t>Assignment Title:</w:t>
      </w:r>
      <w:r w:rsidR="003E4514" w:rsidRPr="004300D0">
        <w:rPr>
          <w:rFonts w:ascii="Arial" w:hAnsi="Arial" w:cs="Arial"/>
          <w:b/>
          <w:bCs/>
          <w:sz w:val="22"/>
          <w:szCs w:val="22"/>
        </w:rPr>
        <w:t xml:space="preserve"> </w:t>
      </w:r>
      <w:r w:rsidR="003E4514" w:rsidRPr="004300D0">
        <w:rPr>
          <w:rFonts w:ascii="Arial" w:hAnsi="Arial" w:cs="Arial"/>
          <w:sz w:val="22"/>
          <w:szCs w:val="22"/>
        </w:rPr>
        <w:t>Component 2 – Individual Report</w:t>
      </w:r>
      <w:r w:rsidRPr="004300D0">
        <w:rPr>
          <w:rFonts w:ascii="Arial" w:hAnsi="Arial" w:cs="Arial"/>
          <w:sz w:val="22"/>
          <w:szCs w:val="22"/>
        </w:rPr>
        <w:t xml:space="preserve"> </w:t>
      </w:r>
    </w:p>
    <w:p w14:paraId="3A41BBC6" w14:textId="77777777" w:rsidR="00975323" w:rsidRPr="00975323" w:rsidRDefault="00975323" w:rsidP="00975323">
      <w:pPr>
        <w:rPr>
          <w:rFonts w:ascii="Arial" w:hAnsi="Arial" w:cs="Arial"/>
        </w:rPr>
      </w:pPr>
    </w:p>
    <w:p w14:paraId="14642B77" w14:textId="77777777" w:rsidR="00975323" w:rsidRPr="00975323" w:rsidRDefault="00975323" w:rsidP="00975323">
      <w:pPr>
        <w:rPr>
          <w:rFonts w:ascii="Arial" w:hAnsi="Arial" w:cs="Arial"/>
        </w:rPr>
      </w:pPr>
    </w:p>
    <w:p w14:paraId="0827A430" w14:textId="77777777" w:rsidR="00975323" w:rsidRPr="00975323" w:rsidRDefault="00975323" w:rsidP="00975323">
      <w:pPr>
        <w:rPr>
          <w:rFonts w:ascii="Arial" w:hAnsi="Arial" w:cs="Arial"/>
        </w:rPr>
      </w:pPr>
    </w:p>
    <w:p w14:paraId="6EF39DF7" w14:textId="77777777" w:rsidR="00975323" w:rsidRPr="00975323" w:rsidRDefault="00975323" w:rsidP="00975323">
      <w:pPr>
        <w:rPr>
          <w:rFonts w:ascii="Arial" w:hAnsi="Arial" w:cs="Arial"/>
        </w:rPr>
      </w:pPr>
    </w:p>
    <w:p w14:paraId="04CBF543" w14:textId="77777777" w:rsidR="00975323" w:rsidRPr="00975323" w:rsidRDefault="00975323" w:rsidP="00975323">
      <w:pPr>
        <w:rPr>
          <w:rFonts w:ascii="Arial" w:hAnsi="Arial" w:cs="Arial"/>
        </w:rPr>
      </w:pPr>
    </w:p>
    <w:p w14:paraId="78022CC1" w14:textId="77777777" w:rsidR="00975323" w:rsidRPr="00975323" w:rsidRDefault="00975323" w:rsidP="00975323">
      <w:pPr>
        <w:rPr>
          <w:rFonts w:ascii="Arial" w:hAnsi="Arial" w:cs="Arial"/>
        </w:rPr>
      </w:pPr>
    </w:p>
    <w:p w14:paraId="5ABD1AE6" w14:textId="77777777" w:rsidR="00975323" w:rsidRPr="00975323" w:rsidRDefault="00975323" w:rsidP="00975323">
      <w:pPr>
        <w:rPr>
          <w:rFonts w:ascii="Arial" w:hAnsi="Arial" w:cs="Arial"/>
        </w:rPr>
      </w:pPr>
    </w:p>
    <w:p w14:paraId="42EC60A1" w14:textId="77777777" w:rsidR="00975323" w:rsidRPr="00975323" w:rsidRDefault="00975323" w:rsidP="00975323">
      <w:pPr>
        <w:rPr>
          <w:rFonts w:ascii="Arial" w:hAnsi="Arial" w:cs="Arial"/>
        </w:rPr>
      </w:pPr>
    </w:p>
    <w:p w14:paraId="2385F568" w14:textId="77777777" w:rsidR="00975323" w:rsidRPr="00975323" w:rsidRDefault="00975323" w:rsidP="00975323">
      <w:pPr>
        <w:rPr>
          <w:rFonts w:ascii="Arial" w:hAnsi="Arial" w:cs="Arial"/>
        </w:rPr>
      </w:pPr>
    </w:p>
    <w:p w14:paraId="3C55C23F" w14:textId="77777777" w:rsidR="00975323" w:rsidRPr="00975323" w:rsidRDefault="00975323" w:rsidP="00975323">
      <w:pPr>
        <w:rPr>
          <w:rFonts w:ascii="Arial" w:hAnsi="Arial" w:cs="Arial"/>
        </w:rPr>
      </w:pPr>
    </w:p>
    <w:p w14:paraId="2C9C5E76" w14:textId="77777777" w:rsidR="00975323" w:rsidRPr="00975323" w:rsidRDefault="00975323" w:rsidP="00975323">
      <w:pPr>
        <w:rPr>
          <w:rFonts w:ascii="Arial" w:hAnsi="Arial" w:cs="Arial"/>
        </w:rPr>
      </w:pPr>
    </w:p>
    <w:p w14:paraId="173C4BB2" w14:textId="77777777" w:rsidR="00975323" w:rsidRPr="00975323" w:rsidRDefault="00975323" w:rsidP="00975323">
      <w:pPr>
        <w:rPr>
          <w:rFonts w:ascii="Arial" w:hAnsi="Arial" w:cs="Arial"/>
        </w:rPr>
      </w:pPr>
    </w:p>
    <w:p w14:paraId="2D84DE88" w14:textId="77777777" w:rsidR="00975323" w:rsidRPr="00975323" w:rsidRDefault="00975323" w:rsidP="00975323">
      <w:pPr>
        <w:rPr>
          <w:rFonts w:ascii="Arial" w:hAnsi="Arial" w:cs="Arial"/>
        </w:rPr>
      </w:pPr>
    </w:p>
    <w:p w14:paraId="590F62FE" w14:textId="77777777" w:rsidR="00975323" w:rsidRPr="00975323" w:rsidRDefault="00975323" w:rsidP="00975323">
      <w:pPr>
        <w:rPr>
          <w:rFonts w:ascii="Arial" w:hAnsi="Arial" w:cs="Arial"/>
        </w:rPr>
      </w:pPr>
    </w:p>
    <w:p w14:paraId="0A66B673" w14:textId="77777777" w:rsidR="00975323" w:rsidRPr="004765FA" w:rsidRDefault="00975323" w:rsidP="00975323">
      <w:pPr>
        <w:rPr>
          <w:rFonts w:ascii="Arial" w:hAnsi="Arial" w:cs="Arial"/>
          <w:sz w:val="22"/>
          <w:szCs w:val="22"/>
        </w:rPr>
      </w:pPr>
    </w:p>
    <w:p w14:paraId="0CBA41EC" w14:textId="77777777" w:rsidR="001D6657" w:rsidRPr="004765FA" w:rsidRDefault="001D6657" w:rsidP="00975323">
      <w:pPr>
        <w:rPr>
          <w:rFonts w:ascii="Arial" w:hAnsi="Arial" w:cs="Arial"/>
          <w:b/>
          <w:bCs/>
          <w:sz w:val="22"/>
          <w:szCs w:val="22"/>
        </w:rPr>
      </w:pPr>
    </w:p>
    <w:p w14:paraId="5C8B529A" w14:textId="77777777" w:rsidR="008D62AA" w:rsidRPr="004765FA" w:rsidRDefault="008D62AA" w:rsidP="00975323">
      <w:pPr>
        <w:rPr>
          <w:rFonts w:ascii="Arial" w:hAnsi="Arial" w:cs="Arial"/>
          <w:b/>
          <w:bCs/>
          <w:sz w:val="22"/>
          <w:szCs w:val="22"/>
        </w:rPr>
      </w:pPr>
    </w:p>
    <w:p w14:paraId="7EE350BB" w14:textId="77777777" w:rsidR="008D62AA" w:rsidRPr="004765FA" w:rsidRDefault="008D62AA" w:rsidP="00975323">
      <w:pPr>
        <w:rPr>
          <w:rFonts w:ascii="Arial" w:hAnsi="Arial" w:cs="Arial"/>
          <w:b/>
          <w:bCs/>
          <w:sz w:val="22"/>
          <w:szCs w:val="22"/>
        </w:rPr>
      </w:pPr>
    </w:p>
    <w:p w14:paraId="336CA2C5" w14:textId="77777777" w:rsidR="008D62AA" w:rsidRPr="004765FA" w:rsidRDefault="008D62AA" w:rsidP="00975323">
      <w:pPr>
        <w:rPr>
          <w:rFonts w:ascii="Arial" w:hAnsi="Arial" w:cs="Arial"/>
          <w:b/>
          <w:bCs/>
          <w:sz w:val="22"/>
          <w:szCs w:val="22"/>
        </w:rPr>
      </w:pPr>
    </w:p>
    <w:p w14:paraId="33133863" w14:textId="77777777" w:rsidR="008D62AA" w:rsidRPr="004765FA" w:rsidRDefault="008D62AA" w:rsidP="00975323">
      <w:pPr>
        <w:rPr>
          <w:rFonts w:ascii="Arial" w:hAnsi="Arial" w:cs="Arial"/>
          <w:b/>
          <w:bCs/>
          <w:sz w:val="22"/>
          <w:szCs w:val="22"/>
        </w:rPr>
      </w:pPr>
    </w:p>
    <w:p w14:paraId="72EACFE8" w14:textId="77777777" w:rsidR="00910ED2" w:rsidRPr="004765FA" w:rsidRDefault="00910ED2" w:rsidP="00354DF5">
      <w:pPr>
        <w:pStyle w:val="NoSpacing"/>
        <w:spacing w:line="360" w:lineRule="auto"/>
        <w:rPr>
          <w:rFonts w:ascii="Arial" w:hAnsi="Arial" w:cs="Arial"/>
          <w:sz w:val="22"/>
          <w:szCs w:val="22"/>
        </w:rPr>
      </w:pPr>
    </w:p>
    <w:p w14:paraId="00A3138D" w14:textId="23BF09E1" w:rsidR="008D62AA" w:rsidRPr="004765FA" w:rsidRDefault="008D62AA" w:rsidP="00354DF5">
      <w:pPr>
        <w:pStyle w:val="NoSpacing"/>
        <w:spacing w:line="360" w:lineRule="auto"/>
        <w:rPr>
          <w:rFonts w:ascii="Arial" w:hAnsi="Arial" w:cs="Arial"/>
          <w:sz w:val="22"/>
          <w:szCs w:val="22"/>
        </w:rPr>
      </w:pPr>
      <w:r w:rsidRPr="004765FA">
        <w:rPr>
          <w:rFonts w:ascii="Arial" w:hAnsi="Arial" w:cs="Arial"/>
          <w:sz w:val="22"/>
          <w:szCs w:val="22"/>
        </w:rPr>
        <w:lastRenderedPageBreak/>
        <w:t>Contents</w:t>
      </w:r>
    </w:p>
    <w:p w14:paraId="658D8118" w14:textId="77777777" w:rsidR="008D62AA" w:rsidRPr="004765FA" w:rsidRDefault="008D62AA" w:rsidP="00354DF5">
      <w:pPr>
        <w:pStyle w:val="NoSpacing"/>
        <w:spacing w:line="360" w:lineRule="auto"/>
        <w:rPr>
          <w:rFonts w:ascii="Arial" w:hAnsi="Arial" w:cs="Arial"/>
          <w:sz w:val="22"/>
          <w:szCs w:val="22"/>
        </w:rPr>
      </w:pPr>
    </w:p>
    <w:p w14:paraId="4D803BC4" w14:textId="62E400D0" w:rsidR="0012105E" w:rsidRPr="00392B83" w:rsidRDefault="00416938" w:rsidP="0012105E">
      <w:pPr>
        <w:pStyle w:val="NoSpacing"/>
        <w:spacing w:line="360" w:lineRule="auto"/>
        <w:rPr>
          <w:rFonts w:ascii="Arial" w:hAnsi="Arial" w:cs="Arial"/>
          <w:sz w:val="22"/>
          <w:szCs w:val="22"/>
        </w:rPr>
      </w:pPr>
      <w:r w:rsidRPr="004765FA">
        <w:rPr>
          <w:rFonts w:ascii="Arial" w:hAnsi="Arial" w:cs="Arial"/>
          <w:sz w:val="22"/>
          <w:szCs w:val="22"/>
        </w:rPr>
        <w:t>1</w:t>
      </w:r>
      <w:r w:rsidR="0012105E" w:rsidRPr="004765FA">
        <w:rPr>
          <w:rFonts w:ascii="Arial" w:eastAsia="Times New Roman" w:hAnsi="Arial" w:cs="Arial"/>
          <w:kern w:val="0"/>
          <w:sz w:val="22"/>
          <w:szCs w:val="22"/>
          <w:lang w:eastAsia="en-GB"/>
          <w14:ligatures w14:val="none"/>
        </w:rPr>
        <w:t xml:space="preserve"> </w:t>
      </w:r>
      <w:r w:rsidR="0012105E" w:rsidRPr="00392B83">
        <w:rPr>
          <w:rFonts w:ascii="Arial" w:hAnsi="Arial" w:cs="Arial"/>
          <w:sz w:val="22"/>
          <w:szCs w:val="22"/>
        </w:rPr>
        <w:t>Introduction ....................................................</w:t>
      </w:r>
      <w:r w:rsidR="004E1EE4" w:rsidRPr="00392B83">
        <w:rPr>
          <w:rFonts w:ascii="Arial" w:hAnsi="Arial" w:cs="Arial"/>
          <w:sz w:val="22"/>
          <w:szCs w:val="22"/>
        </w:rPr>
        <w:t>.........</w:t>
      </w:r>
      <w:r w:rsidR="0012105E" w:rsidRPr="00392B83">
        <w:rPr>
          <w:rFonts w:ascii="Arial" w:hAnsi="Arial" w:cs="Arial"/>
          <w:sz w:val="22"/>
          <w:szCs w:val="22"/>
        </w:rPr>
        <w:t>.</w:t>
      </w:r>
      <w:r w:rsidR="005933FC" w:rsidRPr="00392B83">
        <w:rPr>
          <w:rFonts w:ascii="Arial" w:hAnsi="Arial" w:cs="Arial"/>
          <w:sz w:val="22"/>
          <w:szCs w:val="22"/>
        </w:rPr>
        <w:t>.......</w:t>
      </w:r>
      <w:r w:rsidR="0012105E" w:rsidRPr="00392B83">
        <w:rPr>
          <w:rFonts w:ascii="Arial" w:hAnsi="Arial" w:cs="Arial"/>
          <w:sz w:val="22"/>
          <w:szCs w:val="22"/>
        </w:rPr>
        <w:t xml:space="preserve">. </w:t>
      </w:r>
      <w:r w:rsidR="00C64E3E" w:rsidRPr="00392B83">
        <w:rPr>
          <w:rFonts w:ascii="Arial" w:hAnsi="Arial" w:cs="Arial"/>
          <w:sz w:val="22"/>
          <w:szCs w:val="22"/>
        </w:rPr>
        <w:t>3</w:t>
      </w:r>
    </w:p>
    <w:p w14:paraId="4B81AC8A" w14:textId="3FF011D4" w:rsidR="0012105E" w:rsidRPr="00392B83" w:rsidRDefault="0012105E" w:rsidP="0012105E">
      <w:pPr>
        <w:pStyle w:val="NoSpacing"/>
        <w:spacing w:line="360" w:lineRule="auto"/>
        <w:rPr>
          <w:rFonts w:ascii="Arial" w:hAnsi="Arial" w:cs="Arial"/>
          <w:sz w:val="22"/>
          <w:szCs w:val="22"/>
        </w:rPr>
      </w:pPr>
      <w:r w:rsidRPr="00392B83">
        <w:rPr>
          <w:rFonts w:ascii="Arial" w:hAnsi="Arial" w:cs="Arial"/>
          <w:sz w:val="22"/>
          <w:szCs w:val="22"/>
        </w:rPr>
        <w:t xml:space="preserve">2 Explanation of Business Transformation Factors ........ </w:t>
      </w:r>
      <w:r w:rsidR="00392B83">
        <w:rPr>
          <w:rFonts w:ascii="Arial" w:hAnsi="Arial" w:cs="Arial"/>
          <w:sz w:val="22"/>
          <w:szCs w:val="22"/>
        </w:rPr>
        <w:t xml:space="preserve">  </w:t>
      </w:r>
      <w:r w:rsidR="00C64E3E" w:rsidRPr="00392B83">
        <w:rPr>
          <w:rFonts w:ascii="Arial" w:hAnsi="Arial" w:cs="Arial"/>
          <w:sz w:val="22"/>
          <w:szCs w:val="22"/>
        </w:rPr>
        <w:t>4-5</w:t>
      </w:r>
    </w:p>
    <w:p w14:paraId="48C50EE9" w14:textId="03B659C9" w:rsidR="0012105E" w:rsidRPr="00392B83" w:rsidRDefault="0012105E" w:rsidP="0012105E">
      <w:pPr>
        <w:pStyle w:val="NoSpacing"/>
        <w:spacing w:line="360" w:lineRule="auto"/>
        <w:rPr>
          <w:rFonts w:ascii="Arial" w:hAnsi="Arial" w:cs="Arial"/>
          <w:sz w:val="22"/>
          <w:szCs w:val="22"/>
        </w:rPr>
      </w:pPr>
      <w:r w:rsidRPr="00392B83">
        <w:rPr>
          <w:rFonts w:ascii="Arial" w:hAnsi="Arial" w:cs="Arial"/>
          <w:sz w:val="22"/>
          <w:szCs w:val="22"/>
        </w:rPr>
        <w:t>3 Evaluation of Contemporary HR Practices ................</w:t>
      </w:r>
      <w:r w:rsidR="00C64E3E" w:rsidRPr="00392B83">
        <w:rPr>
          <w:rFonts w:ascii="Arial" w:hAnsi="Arial" w:cs="Arial"/>
          <w:sz w:val="22"/>
          <w:szCs w:val="22"/>
        </w:rPr>
        <w:t>.</w:t>
      </w:r>
      <w:r w:rsidR="00D53E14">
        <w:rPr>
          <w:rFonts w:ascii="Arial" w:hAnsi="Arial" w:cs="Arial"/>
          <w:sz w:val="22"/>
          <w:szCs w:val="22"/>
        </w:rPr>
        <w:t xml:space="preserve">.   </w:t>
      </w:r>
      <w:r w:rsidR="00C64E3E" w:rsidRPr="00392B83">
        <w:rPr>
          <w:rFonts w:ascii="Arial" w:hAnsi="Arial" w:cs="Arial"/>
          <w:sz w:val="22"/>
          <w:szCs w:val="22"/>
        </w:rPr>
        <w:t>6-7</w:t>
      </w:r>
    </w:p>
    <w:p w14:paraId="4AD9E63F" w14:textId="55819A42" w:rsidR="0012105E" w:rsidRPr="00392B83" w:rsidRDefault="0012105E" w:rsidP="0012105E">
      <w:pPr>
        <w:pStyle w:val="NoSpacing"/>
        <w:spacing w:line="360" w:lineRule="auto"/>
        <w:rPr>
          <w:rFonts w:ascii="Arial" w:hAnsi="Arial" w:cs="Arial"/>
          <w:sz w:val="22"/>
          <w:szCs w:val="22"/>
        </w:rPr>
      </w:pPr>
      <w:r w:rsidRPr="00392B83">
        <w:rPr>
          <w:rFonts w:ascii="Arial" w:hAnsi="Arial" w:cs="Arial"/>
          <w:sz w:val="22"/>
          <w:szCs w:val="22"/>
        </w:rPr>
        <w:t>4 Critical Evaluation of Managerial Implementation .....</w:t>
      </w:r>
      <w:r w:rsidR="005933FC" w:rsidRPr="00392B83">
        <w:rPr>
          <w:rFonts w:ascii="Arial" w:hAnsi="Arial" w:cs="Arial"/>
          <w:sz w:val="22"/>
          <w:szCs w:val="22"/>
        </w:rPr>
        <w:t>.</w:t>
      </w:r>
      <w:r w:rsidRPr="00392B83">
        <w:rPr>
          <w:rFonts w:ascii="Arial" w:hAnsi="Arial" w:cs="Arial"/>
          <w:sz w:val="22"/>
          <w:szCs w:val="22"/>
        </w:rPr>
        <w:t xml:space="preserve"> </w:t>
      </w:r>
      <w:r w:rsidR="00D53E14">
        <w:rPr>
          <w:rFonts w:ascii="Arial" w:hAnsi="Arial" w:cs="Arial"/>
          <w:sz w:val="22"/>
          <w:szCs w:val="22"/>
        </w:rPr>
        <w:t xml:space="preserve">    </w:t>
      </w:r>
      <w:r w:rsidR="00572ED4" w:rsidRPr="00392B83">
        <w:rPr>
          <w:rFonts w:ascii="Arial" w:hAnsi="Arial" w:cs="Arial"/>
          <w:sz w:val="22"/>
          <w:szCs w:val="22"/>
        </w:rPr>
        <w:t>8-9</w:t>
      </w:r>
    </w:p>
    <w:p w14:paraId="2462E46B" w14:textId="2E3F4CB3" w:rsidR="0012105E" w:rsidRPr="00392B83" w:rsidRDefault="0012105E" w:rsidP="0012105E">
      <w:pPr>
        <w:pStyle w:val="NoSpacing"/>
        <w:spacing w:line="360" w:lineRule="auto"/>
        <w:rPr>
          <w:rFonts w:ascii="Arial" w:hAnsi="Arial" w:cs="Arial"/>
          <w:sz w:val="22"/>
          <w:szCs w:val="22"/>
        </w:rPr>
      </w:pPr>
      <w:r w:rsidRPr="00392B83">
        <w:rPr>
          <w:rFonts w:ascii="Arial" w:hAnsi="Arial" w:cs="Arial"/>
          <w:sz w:val="22"/>
          <w:szCs w:val="22"/>
        </w:rPr>
        <w:t>5 Recommendations</w:t>
      </w:r>
      <w:r w:rsidR="00C71389" w:rsidRPr="00392B83">
        <w:rPr>
          <w:rFonts w:ascii="Arial" w:hAnsi="Arial" w:cs="Arial"/>
          <w:sz w:val="22"/>
          <w:szCs w:val="22"/>
        </w:rPr>
        <w:t xml:space="preserve"> and</w:t>
      </w:r>
      <w:r w:rsidRPr="00392B83">
        <w:rPr>
          <w:rFonts w:ascii="Arial" w:hAnsi="Arial" w:cs="Arial"/>
          <w:sz w:val="22"/>
          <w:szCs w:val="22"/>
        </w:rPr>
        <w:t xml:space="preserve"> </w:t>
      </w:r>
      <w:r w:rsidR="00F5088C" w:rsidRPr="00392B83">
        <w:rPr>
          <w:rFonts w:ascii="Arial" w:hAnsi="Arial" w:cs="Arial"/>
          <w:sz w:val="22"/>
          <w:szCs w:val="22"/>
        </w:rPr>
        <w:t xml:space="preserve">Conclusion </w:t>
      </w:r>
      <w:r w:rsidR="00065374">
        <w:rPr>
          <w:rFonts w:ascii="Arial" w:hAnsi="Arial" w:cs="Arial"/>
          <w:sz w:val="22"/>
          <w:szCs w:val="22"/>
        </w:rPr>
        <w:t>with table</w:t>
      </w:r>
      <w:r w:rsidRPr="00392B83">
        <w:rPr>
          <w:rFonts w:ascii="Arial" w:hAnsi="Arial" w:cs="Arial"/>
          <w:sz w:val="22"/>
          <w:szCs w:val="22"/>
        </w:rPr>
        <w:t>..................</w:t>
      </w:r>
      <w:r w:rsidR="00572ED4" w:rsidRPr="00392B83">
        <w:rPr>
          <w:rFonts w:ascii="Arial" w:hAnsi="Arial" w:cs="Arial"/>
          <w:sz w:val="22"/>
          <w:szCs w:val="22"/>
        </w:rPr>
        <w:t>10</w:t>
      </w:r>
    </w:p>
    <w:p w14:paraId="00E19512" w14:textId="365CDDD3" w:rsidR="0012105E" w:rsidRPr="00392B83" w:rsidRDefault="006D61DF" w:rsidP="0012105E">
      <w:pPr>
        <w:pStyle w:val="NoSpacing"/>
        <w:spacing w:line="360" w:lineRule="auto"/>
        <w:rPr>
          <w:rFonts w:ascii="Arial" w:hAnsi="Arial" w:cs="Arial"/>
          <w:sz w:val="22"/>
          <w:szCs w:val="22"/>
        </w:rPr>
      </w:pPr>
      <w:r w:rsidRPr="00392B83">
        <w:rPr>
          <w:rFonts w:ascii="Arial" w:hAnsi="Arial" w:cs="Arial"/>
          <w:sz w:val="22"/>
          <w:szCs w:val="22"/>
        </w:rPr>
        <w:t>6</w:t>
      </w:r>
      <w:r w:rsidR="0012105E" w:rsidRPr="00392B83">
        <w:rPr>
          <w:rFonts w:ascii="Arial" w:hAnsi="Arial" w:cs="Arial"/>
          <w:sz w:val="22"/>
          <w:szCs w:val="22"/>
        </w:rPr>
        <w:t xml:space="preserve"> References ......................................................</w:t>
      </w:r>
      <w:r w:rsidR="00572ED4" w:rsidRPr="00392B83">
        <w:rPr>
          <w:rFonts w:ascii="Arial" w:hAnsi="Arial" w:cs="Arial"/>
          <w:sz w:val="22"/>
          <w:szCs w:val="22"/>
        </w:rPr>
        <w:t>........</w:t>
      </w:r>
      <w:r w:rsidR="00AC65F1" w:rsidRPr="00392B83">
        <w:rPr>
          <w:rFonts w:ascii="Arial" w:hAnsi="Arial" w:cs="Arial"/>
          <w:sz w:val="22"/>
          <w:szCs w:val="22"/>
        </w:rPr>
        <w:t>..</w:t>
      </w:r>
      <w:r w:rsidR="005933FC" w:rsidRPr="00392B83">
        <w:rPr>
          <w:rFonts w:ascii="Arial" w:hAnsi="Arial" w:cs="Arial"/>
          <w:sz w:val="22"/>
          <w:szCs w:val="22"/>
        </w:rPr>
        <w:t>......</w:t>
      </w:r>
      <w:r w:rsidR="0012105E" w:rsidRPr="00392B83">
        <w:rPr>
          <w:rFonts w:ascii="Arial" w:hAnsi="Arial" w:cs="Arial"/>
          <w:sz w:val="22"/>
          <w:szCs w:val="22"/>
        </w:rPr>
        <w:t xml:space="preserve"> </w:t>
      </w:r>
      <w:r w:rsidR="00572ED4" w:rsidRPr="00392B83">
        <w:rPr>
          <w:rFonts w:ascii="Arial" w:hAnsi="Arial" w:cs="Arial"/>
          <w:sz w:val="22"/>
          <w:szCs w:val="22"/>
        </w:rPr>
        <w:t>11</w:t>
      </w:r>
    </w:p>
    <w:p w14:paraId="0DCC95C6" w14:textId="06AE95F2" w:rsidR="008D62AA" w:rsidRPr="00392B83" w:rsidRDefault="008D62AA" w:rsidP="0012105E">
      <w:pPr>
        <w:pStyle w:val="NoSpacing"/>
        <w:spacing w:line="360" w:lineRule="auto"/>
        <w:rPr>
          <w:rFonts w:ascii="Arial" w:hAnsi="Arial" w:cs="Arial"/>
          <w:sz w:val="22"/>
          <w:szCs w:val="22"/>
        </w:rPr>
      </w:pPr>
    </w:p>
    <w:p w14:paraId="4E46F700" w14:textId="77777777" w:rsidR="008D62AA" w:rsidRPr="004765FA" w:rsidRDefault="008D62AA" w:rsidP="00975323">
      <w:pPr>
        <w:rPr>
          <w:rFonts w:ascii="Arial" w:hAnsi="Arial" w:cs="Arial"/>
          <w:b/>
          <w:bCs/>
          <w:sz w:val="22"/>
          <w:szCs w:val="22"/>
        </w:rPr>
      </w:pPr>
    </w:p>
    <w:p w14:paraId="7AC78646" w14:textId="77777777" w:rsidR="008D62AA" w:rsidRPr="004765FA" w:rsidRDefault="008D62AA" w:rsidP="00975323">
      <w:pPr>
        <w:rPr>
          <w:rFonts w:ascii="Arial" w:hAnsi="Arial" w:cs="Arial"/>
          <w:b/>
          <w:bCs/>
          <w:sz w:val="22"/>
          <w:szCs w:val="22"/>
        </w:rPr>
      </w:pPr>
    </w:p>
    <w:p w14:paraId="1C6D47A3" w14:textId="77777777" w:rsidR="008D62AA" w:rsidRPr="004765FA" w:rsidRDefault="008D62AA" w:rsidP="00975323">
      <w:pPr>
        <w:rPr>
          <w:rFonts w:ascii="Arial" w:hAnsi="Arial" w:cs="Arial"/>
          <w:b/>
          <w:bCs/>
          <w:sz w:val="22"/>
          <w:szCs w:val="22"/>
        </w:rPr>
      </w:pPr>
    </w:p>
    <w:p w14:paraId="756D3682" w14:textId="77777777" w:rsidR="008D62AA" w:rsidRPr="004765FA" w:rsidRDefault="008D62AA" w:rsidP="00975323">
      <w:pPr>
        <w:rPr>
          <w:rFonts w:ascii="Arial" w:hAnsi="Arial" w:cs="Arial"/>
          <w:b/>
          <w:bCs/>
          <w:sz w:val="22"/>
          <w:szCs w:val="22"/>
        </w:rPr>
      </w:pPr>
    </w:p>
    <w:p w14:paraId="65EEC0F3" w14:textId="77777777" w:rsidR="008D62AA" w:rsidRPr="004765FA" w:rsidRDefault="008D62AA" w:rsidP="00975323">
      <w:pPr>
        <w:rPr>
          <w:rFonts w:ascii="Arial" w:hAnsi="Arial" w:cs="Arial"/>
          <w:b/>
          <w:bCs/>
          <w:sz w:val="22"/>
          <w:szCs w:val="22"/>
        </w:rPr>
      </w:pPr>
    </w:p>
    <w:p w14:paraId="5BAD9D41" w14:textId="77777777" w:rsidR="008D62AA" w:rsidRPr="004765FA" w:rsidRDefault="008D62AA" w:rsidP="00975323">
      <w:pPr>
        <w:rPr>
          <w:rFonts w:ascii="Arial" w:hAnsi="Arial" w:cs="Arial"/>
          <w:b/>
          <w:bCs/>
          <w:sz w:val="22"/>
          <w:szCs w:val="22"/>
        </w:rPr>
      </w:pPr>
    </w:p>
    <w:p w14:paraId="768E50DE" w14:textId="77777777" w:rsidR="008D62AA" w:rsidRPr="004765FA" w:rsidRDefault="008D62AA" w:rsidP="00975323">
      <w:pPr>
        <w:rPr>
          <w:rFonts w:ascii="Arial" w:hAnsi="Arial" w:cs="Arial"/>
          <w:b/>
          <w:bCs/>
          <w:sz w:val="22"/>
          <w:szCs w:val="22"/>
        </w:rPr>
      </w:pPr>
    </w:p>
    <w:p w14:paraId="2D9C5B11" w14:textId="77777777" w:rsidR="008D62AA" w:rsidRPr="004765FA" w:rsidRDefault="008D62AA" w:rsidP="00975323">
      <w:pPr>
        <w:rPr>
          <w:rFonts w:ascii="Arial" w:hAnsi="Arial" w:cs="Arial"/>
          <w:b/>
          <w:bCs/>
          <w:sz w:val="22"/>
          <w:szCs w:val="22"/>
        </w:rPr>
      </w:pPr>
    </w:p>
    <w:p w14:paraId="5BFB54CA" w14:textId="77777777" w:rsidR="008D62AA" w:rsidRPr="004765FA" w:rsidRDefault="008D62AA" w:rsidP="00975323">
      <w:pPr>
        <w:rPr>
          <w:rFonts w:ascii="Arial" w:hAnsi="Arial" w:cs="Arial"/>
          <w:b/>
          <w:bCs/>
          <w:sz w:val="22"/>
          <w:szCs w:val="22"/>
        </w:rPr>
      </w:pPr>
    </w:p>
    <w:p w14:paraId="52C3A718" w14:textId="77777777" w:rsidR="008D62AA" w:rsidRPr="004765FA" w:rsidRDefault="008D62AA" w:rsidP="00975323">
      <w:pPr>
        <w:rPr>
          <w:rFonts w:ascii="Arial" w:hAnsi="Arial" w:cs="Arial"/>
          <w:b/>
          <w:bCs/>
          <w:sz w:val="22"/>
          <w:szCs w:val="22"/>
        </w:rPr>
      </w:pPr>
    </w:p>
    <w:p w14:paraId="0F8E250C" w14:textId="77777777" w:rsidR="00E51B02" w:rsidRPr="004765FA" w:rsidRDefault="00E51B02" w:rsidP="00C47A9B">
      <w:pPr>
        <w:spacing w:line="360" w:lineRule="auto"/>
        <w:rPr>
          <w:rFonts w:ascii="Arial" w:hAnsi="Arial" w:cs="Arial"/>
          <w:b/>
          <w:bCs/>
          <w:sz w:val="22"/>
          <w:szCs w:val="22"/>
        </w:rPr>
      </w:pPr>
    </w:p>
    <w:p w14:paraId="188BB7A3" w14:textId="77777777" w:rsidR="000978B0" w:rsidRPr="004765FA" w:rsidRDefault="000978B0" w:rsidP="00C47A9B">
      <w:pPr>
        <w:spacing w:line="360" w:lineRule="auto"/>
        <w:rPr>
          <w:rFonts w:ascii="Arial" w:hAnsi="Arial" w:cs="Arial"/>
          <w:b/>
          <w:bCs/>
          <w:sz w:val="22"/>
          <w:szCs w:val="22"/>
        </w:rPr>
      </w:pPr>
    </w:p>
    <w:p w14:paraId="6F45C611" w14:textId="77777777" w:rsidR="000978B0" w:rsidRPr="004765FA" w:rsidRDefault="000978B0" w:rsidP="00C47A9B">
      <w:pPr>
        <w:spacing w:line="360" w:lineRule="auto"/>
        <w:rPr>
          <w:rFonts w:ascii="Arial" w:hAnsi="Arial" w:cs="Arial"/>
          <w:b/>
          <w:bCs/>
          <w:sz w:val="22"/>
          <w:szCs w:val="22"/>
        </w:rPr>
      </w:pPr>
    </w:p>
    <w:p w14:paraId="551BBF7A" w14:textId="77777777" w:rsidR="000978B0" w:rsidRPr="004765FA" w:rsidRDefault="000978B0" w:rsidP="00C47A9B">
      <w:pPr>
        <w:spacing w:line="360" w:lineRule="auto"/>
        <w:rPr>
          <w:rFonts w:ascii="Arial" w:hAnsi="Arial" w:cs="Arial"/>
          <w:b/>
          <w:bCs/>
          <w:sz w:val="22"/>
          <w:szCs w:val="22"/>
        </w:rPr>
      </w:pPr>
    </w:p>
    <w:p w14:paraId="642BE836" w14:textId="77777777" w:rsidR="000978B0" w:rsidRPr="004765FA" w:rsidRDefault="000978B0" w:rsidP="00C47A9B">
      <w:pPr>
        <w:spacing w:line="360" w:lineRule="auto"/>
        <w:rPr>
          <w:rFonts w:ascii="Arial" w:hAnsi="Arial" w:cs="Arial"/>
          <w:b/>
          <w:bCs/>
          <w:sz w:val="22"/>
          <w:szCs w:val="22"/>
        </w:rPr>
      </w:pPr>
    </w:p>
    <w:p w14:paraId="39464C63" w14:textId="77777777" w:rsidR="000978B0" w:rsidRPr="004765FA" w:rsidRDefault="000978B0" w:rsidP="00C47A9B">
      <w:pPr>
        <w:spacing w:line="360" w:lineRule="auto"/>
        <w:rPr>
          <w:rFonts w:ascii="Arial" w:hAnsi="Arial" w:cs="Arial"/>
          <w:b/>
          <w:bCs/>
          <w:sz w:val="22"/>
          <w:szCs w:val="22"/>
        </w:rPr>
      </w:pPr>
    </w:p>
    <w:p w14:paraId="2309096E" w14:textId="77777777" w:rsidR="000978B0" w:rsidRPr="004765FA" w:rsidRDefault="000978B0" w:rsidP="00C47A9B">
      <w:pPr>
        <w:spacing w:line="360" w:lineRule="auto"/>
        <w:rPr>
          <w:rFonts w:ascii="Arial" w:hAnsi="Arial" w:cs="Arial"/>
          <w:b/>
          <w:bCs/>
          <w:sz w:val="22"/>
          <w:szCs w:val="22"/>
        </w:rPr>
      </w:pPr>
    </w:p>
    <w:p w14:paraId="33D56028" w14:textId="77777777" w:rsidR="000978B0" w:rsidRPr="004765FA" w:rsidRDefault="000978B0" w:rsidP="00C47A9B">
      <w:pPr>
        <w:spacing w:line="360" w:lineRule="auto"/>
        <w:rPr>
          <w:rFonts w:ascii="Arial" w:hAnsi="Arial" w:cs="Arial"/>
          <w:b/>
          <w:bCs/>
          <w:sz w:val="22"/>
          <w:szCs w:val="22"/>
        </w:rPr>
      </w:pPr>
    </w:p>
    <w:p w14:paraId="1380B352" w14:textId="77777777" w:rsidR="000978B0" w:rsidRDefault="000978B0" w:rsidP="00C47A9B">
      <w:pPr>
        <w:spacing w:line="360" w:lineRule="auto"/>
        <w:rPr>
          <w:rFonts w:ascii="Arial" w:hAnsi="Arial" w:cs="Arial"/>
          <w:b/>
          <w:bCs/>
          <w:sz w:val="22"/>
          <w:szCs w:val="22"/>
        </w:rPr>
      </w:pPr>
    </w:p>
    <w:p w14:paraId="45032F56" w14:textId="77777777" w:rsidR="00A87ECB" w:rsidRDefault="00A87ECB" w:rsidP="00C47A9B">
      <w:pPr>
        <w:spacing w:line="360" w:lineRule="auto"/>
        <w:rPr>
          <w:rFonts w:ascii="Arial" w:hAnsi="Arial" w:cs="Arial"/>
          <w:b/>
          <w:bCs/>
          <w:sz w:val="22"/>
          <w:szCs w:val="22"/>
        </w:rPr>
      </w:pPr>
    </w:p>
    <w:p w14:paraId="5E65B5EA" w14:textId="77777777" w:rsidR="00A87ECB" w:rsidRPr="004765FA" w:rsidRDefault="00A87ECB" w:rsidP="00C47A9B">
      <w:pPr>
        <w:spacing w:line="360" w:lineRule="auto"/>
        <w:rPr>
          <w:rFonts w:ascii="Arial" w:hAnsi="Arial" w:cs="Arial"/>
          <w:b/>
          <w:bCs/>
          <w:sz w:val="22"/>
          <w:szCs w:val="22"/>
        </w:rPr>
      </w:pPr>
    </w:p>
    <w:p w14:paraId="6DD455D1" w14:textId="5F77BCAD" w:rsidR="00975323" w:rsidRPr="004765FA" w:rsidRDefault="00975323" w:rsidP="00C47A9B">
      <w:pPr>
        <w:spacing w:line="360" w:lineRule="auto"/>
        <w:rPr>
          <w:rFonts w:ascii="Arial" w:hAnsi="Arial" w:cs="Arial"/>
          <w:sz w:val="22"/>
          <w:szCs w:val="22"/>
        </w:rPr>
      </w:pPr>
      <w:r w:rsidRPr="004765FA">
        <w:rPr>
          <w:rFonts w:ascii="Arial" w:hAnsi="Arial" w:cs="Arial"/>
          <w:b/>
          <w:bCs/>
          <w:sz w:val="22"/>
          <w:szCs w:val="22"/>
        </w:rPr>
        <w:lastRenderedPageBreak/>
        <w:t>Introduction</w:t>
      </w:r>
    </w:p>
    <w:p w14:paraId="27D955A0" w14:textId="4B2E54AB" w:rsidR="008A0213" w:rsidRPr="004765FA" w:rsidRDefault="008A0213" w:rsidP="008A0213">
      <w:pPr>
        <w:spacing w:line="360" w:lineRule="auto"/>
        <w:rPr>
          <w:rFonts w:ascii="Arial" w:hAnsi="Arial" w:cs="Arial"/>
          <w:sz w:val="22"/>
          <w:szCs w:val="22"/>
        </w:rPr>
      </w:pPr>
      <w:r w:rsidRPr="004765FA">
        <w:rPr>
          <w:rFonts w:ascii="Arial" w:hAnsi="Arial" w:cs="Arial"/>
          <w:sz w:val="22"/>
          <w:szCs w:val="22"/>
        </w:rPr>
        <w:t>The contemporary workplace is undergoing rapid transformation driven by digital technologies and the growing prevalence of flexible working arrangements. Organisations such as Barclays in London and Birmingham are increasingly adopting these trends to remain competitive, improve employee engagement, and respond to evolving market demands. However, these changes present challenges for human resources (HR) departments, including increased grievance cases, adaptation to digital platforms, and ensuring equitable management of flexible work. Effective HR practices are critical in addressing these issues, and departmental managers at Barclays play a pivotal role in implementing and sustaining them.</w:t>
      </w:r>
    </w:p>
    <w:p w14:paraId="57B6A321" w14:textId="77777777" w:rsidR="008A0213" w:rsidRPr="004765FA" w:rsidRDefault="008A0213" w:rsidP="008A0213">
      <w:pPr>
        <w:spacing w:line="360" w:lineRule="auto"/>
        <w:rPr>
          <w:rFonts w:ascii="Arial" w:hAnsi="Arial" w:cs="Arial"/>
          <w:sz w:val="22"/>
          <w:szCs w:val="22"/>
        </w:rPr>
      </w:pPr>
      <w:r w:rsidRPr="004765FA">
        <w:rPr>
          <w:rFonts w:ascii="Arial" w:hAnsi="Arial" w:cs="Arial"/>
          <w:sz w:val="22"/>
          <w:szCs w:val="22"/>
        </w:rPr>
        <w:t>This report evaluates the specific factors influencing business transformation within Barclays, explores contemporary HR practices to address these challenges, and critically examines how managers can ensure these practices are adopted with urgency. The aim is to provide evidence-based insights that support organisational efficiency, employee wellbeing, and sustainable digital transformation.</w:t>
      </w:r>
    </w:p>
    <w:p w14:paraId="5FDCC4DE" w14:textId="77777777" w:rsidR="00975323" w:rsidRPr="004765FA" w:rsidRDefault="00975323" w:rsidP="006B3872">
      <w:pPr>
        <w:spacing w:line="360" w:lineRule="auto"/>
        <w:rPr>
          <w:rFonts w:ascii="Arial" w:hAnsi="Arial" w:cs="Arial"/>
          <w:sz w:val="22"/>
          <w:szCs w:val="22"/>
        </w:rPr>
      </w:pPr>
    </w:p>
    <w:p w14:paraId="72E72353" w14:textId="705F8031" w:rsidR="00975323" w:rsidRPr="004765FA" w:rsidRDefault="00975323" w:rsidP="00C47A9B">
      <w:pPr>
        <w:spacing w:line="360" w:lineRule="auto"/>
        <w:rPr>
          <w:rFonts w:ascii="Arial" w:hAnsi="Arial" w:cs="Arial"/>
          <w:sz w:val="22"/>
          <w:szCs w:val="22"/>
        </w:rPr>
      </w:pPr>
    </w:p>
    <w:p w14:paraId="3F29A435" w14:textId="77777777" w:rsidR="001F2D54" w:rsidRPr="004765FA" w:rsidRDefault="001F2D54" w:rsidP="00C47A9B">
      <w:pPr>
        <w:spacing w:line="360" w:lineRule="auto"/>
        <w:rPr>
          <w:rFonts w:ascii="Arial" w:hAnsi="Arial" w:cs="Arial"/>
          <w:sz w:val="22"/>
          <w:szCs w:val="22"/>
        </w:rPr>
      </w:pPr>
    </w:p>
    <w:p w14:paraId="3B9F7535" w14:textId="77777777" w:rsidR="001F2D54" w:rsidRPr="004765FA" w:rsidRDefault="001F2D54" w:rsidP="00C47A9B">
      <w:pPr>
        <w:spacing w:line="360" w:lineRule="auto"/>
        <w:rPr>
          <w:rFonts w:ascii="Arial" w:hAnsi="Arial" w:cs="Arial"/>
          <w:sz w:val="22"/>
          <w:szCs w:val="22"/>
        </w:rPr>
      </w:pPr>
    </w:p>
    <w:p w14:paraId="5BC16CFC" w14:textId="77777777" w:rsidR="001F2D54" w:rsidRPr="004765FA" w:rsidRDefault="001F2D54" w:rsidP="00C47A9B">
      <w:pPr>
        <w:spacing w:line="360" w:lineRule="auto"/>
        <w:rPr>
          <w:rFonts w:ascii="Arial" w:hAnsi="Arial" w:cs="Arial"/>
          <w:sz w:val="22"/>
          <w:szCs w:val="22"/>
        </w:rPr>
      </w:pPr>
    </w:p>
    <w:p w14:paraId="6E185D99" w14:textId="77777777" w:rsidR="001F2D54" w:rsidRPr="004765FA" w:rsidRDefault="001F2D54" w:rsidP="00C47A9B">
      <w:pPr>
        <w:spacing w:line="360" w:lineRule="auto"/>
        <w:rPr>
          <w:rFonts w:ascii="Arial" w:hAnsi="Arial" w:cs="Arial"/>
          <w:sz w:val="22"/>
          <w:szCs w:val="22"/>
        </w:rPr>
      </w:pPr>
    </w:p>
    <w:p w14:paraId="18A10346" w14:textId="77777777" w:rsidR="001F2D54" w:rsidRPr="004765FA" w:rsidRDefault="001F2D54" w:rsidP="00C47A9B">
      <w:pPr>
        <w:spacing w:line="360" w:lineRule="auto"/>
        <w:rPr>
          <w:rFonts w:ascii="Arial" w:hAnsi="Arial" w:cs="Arial"/>
          <w:sz w:val="22"/>
          <w:szCs w:val="22"/>
        </w:rPr>
      </w:pPr>
    </w:p>
    <w:p w14:paraId="5ADF0D18" w14:textId="77777777" w:rsidR="001F2D54" w:rsidRPr="004765FA" w:rsidRDefault="001F2D54" w:rsidP="00C47A9B">
      <w:pPr>
        <w:spacing w:line="360" w:lineRule="auto"/>
        <w:rPr>
          <w:rFonts w:ascii="Arial" w:hAnsi="Arial" w:cs="Arial"/>
          <w:sz w:val="22"/>
          <w:szCs w:val="22"/>
        </w:rPr>
      </w:pPr>
    </w:p>
    <w:p w14:paraId="19436450" w14:textId="77777777" w:rsidR="001F2D54" w:rsidRPr="004765FA" w:rsidRDefault="001F2D54" w:rsidP="00C47A9B">
      <w:pPr>
        <w:spacing w:line="360" w:lineRule="auto"/>
        <w:rPr>
          <w:rFonts w:ascii="Arial" w:hAnsi="Arial" w:cs="Arial"/>
          <w:sz w:val="22"/>
          <w:szCs w:val="22"/>
        </w:rPr>
      </w:pPr>
    </w:p>
    <w:p w14:paraId="54130478" w14:textId="77777777" w:rsidR="001F2D54" w:rsidRPr="004765FA" w:rsidRDefault="001F2D54" w:rsidP="00C47A9B">
      <w:pPr>
        <w:spacing w:line="360" w:lineRule="auto"/>
        <w:rPr>
          <w:rFonts w:ascii="Arial" w:hAnsi="Arial" w:cs="Arial"/>
          <w:sz w:val="22"/>
          <w:szCs w:val="22"/>
        </w:rPr>
      </w:pPr>
    </w:p>
    <w:p w14:paraId="15ADCC83" w14:textId="77777777" w:rsidR="001F2D54" w:rsidRPr="004765FA" w:rsidRDefault="001F2D54" w:rsidP="00C47A9B">
      <w:pPr>
        <w:spacing w:line="360" w:lineRule="auto"/>
        <w:rPr>
          <w:rFonts w:ascii="Arial" w:hAnsi="Arial" w:cs="Arial"/>
          <w:sz w:val="22"/>
          <w:szCs w:val="22"/>
        </w:rPr>
      </w:pPr>
    </w:p>
    <w:p w14:paraId="4BB6E843" w14:textId="77777777" w:rsidR="001F2D54" w:rsidRPr="004765FA" w:rsidRDefault="001F2D54" w:rsidP="00C47A9B">
      <w:pPr>
        <w:spacing w:line="360" w:lineRule="auto"/>
        <w:rPr>
          <w:rFonts w:ascii="Arial" w:hAnsi="Arial" w:cs="Arial"/>
          <w:sz w:val="22"/>
          <w:szCs w:val="22"/>
        </w:rPr>
      </w:pPr>
    </w:p>
    <w:p w14:paraId="6B34FCFC" w14:textId="77777777" w:rsidR="001F2D54" w:rsidRDefault="001F2D54" w:rsidP="00C47A9B">
      <w:pPr>
        <w:spacing w:line="360" w:lineRule="auto"/>
        <w:rPr>
          <w:rFonts w:ascii="Arial" w:hAnsi="Arial" w:cs="Arial"/>
          <w:sz w:val="22"/>
          <w:szCs w:val="22"/>
        </w:rPr>
      </w:pPr>
    </w:p>
    <w:p w14:paraId="58884D19" w14:textId="77777777" w:rsidR="00A87ECB" w:rsidRPr="004765FA" w:rsidRDefault="00A87ECB" w:rsidP="00C47A9B">
      <w:pPr>
        <w:spacing w:line="360" w:lineRule="auto"/>
        <w:rPr>
          <w:rFonts w:ascii="Arial" w:hAnsi="Arial" w:cs="Arial"/>
          <w:sz w:val="22"/>
          <w:szCs w:val="22"/>
        </w:rPr>
      </w:pPr>
    </w:p>
    <w:p w14:paraId="530757F2" w14:textId="3022DD33" w:rsidR="001F2D54" w:rsidRPr="004765FA" w:rsidRDefault="001F2D54" w:rsidP="00C47A9B">
      <w:pPr>
        <w:spacing w:line="360" w:lineRule="auto"/>
        <w:rPr>
          <w:rFonts w:ascii="Arial" w:hAnsi="Arial" w:cs="Arial"/>
          <w:sz w:val="22"/>
          <w:szCs w:val="22"/>
        </w:rPr>
      </w:pPr>
      <w:r w:rsidRPr="004765FA">
        <w:rPr>
          <w:rFonts w:ascii="Arial" w:hAnsi="Arial" w:cs="Arial"/>
          <w:sz w:val="22"/>
          <w:szCs w:val="22"/>
        </w:rPr>
        <w:lastRenderedPageBreak/>
        <w:t xml:space="preserve">2 . </w:t>
      </w:r>
      <w:r w:rsidRPr="004765FA">
        <w:rPr>
          <w:rFonts w:ascii="Arial" w:hAnsi="Arial" w:cs="Arial"/>
          <w:b/>
          <w:bCs/>
          <w:sz w:val="22"/>
          <w:szCs w:val="22"/>
        </w:rPr>
        <w:t>Explanation of Business Transformation Factors at Barclays</w:t>
      </w:r>
    </w:p>
    <w:p w14:paraId="6FD99120" w14:textId="77777777" w:rsidR="00322F9E" w:rsidRDefault="00322F9E" w:rsidP="00322F9E">
      <w:pPr>
        <w:spacing w:line="360" w:lineRule="auto"/>
        <w:rPr>
          <w:rFonts w:ascii="Arial" w:hAnsi="Arial" w:cs="Arial"/>
          <w:sz w:val="22"/>
          <w:szCs w:val="22"/>
        </w:rPr>
      </w:pPr>
      <w:r w:rsidRPr="004765FA">
        <w:rPr>
          <w:rFonts w:ascii="Arial" w:hAnsi="Arial" w:cs="Arial"/>
          <w:sz w:val="22"/>
          <w:szCs w:val="22"/>
        </w:rPr>
        <w:t>Barclays, as a leading multinational banking and financial services organisation, has been undergoing significant business transformation to remain competitive in an increasingly digital and customer-centric market. Two primary factors driving this transformation are digital technology trends and flexible working arrangements, which are reshaping how employees operate and how HR manages organisational change. Understanding these factors is crucial for developing HR strategies that support efficiency, employee engagement, and regulatory compliance.</w:t>
      </w:r>
    </w:p>
    <w:p w14:paraId="09F8D10A" w14:textId="76BF9AED" w:rsidR="006834CE" w:rsidRPr="004765FA" w:rsidRDefault="0036484A" w:rsidP="00322F9E">
      <w:pPr>
        <w:spacing w:line="360" w:lineRule="auto"/>
        <w:rPr>
          <w:rFonts w:ascii="Arial" w:hAnsi="Arial" w:cs="Arial"/>
          <w:sz w:val="22"/>
          <w:szCs w:val="22"/>
        </w:rPr>
      </w:pPr>
      <w:r>
        <w:rPr>
          <w:rFonts w:ascii="Arial" w:hAnsi="Arial" w:cs="Arial"/>
          <w:sz w:val="22"/>
          <w:szCs w:val="22"/>
        </w:rPr>
        <w:t>Digital Technology</w:t>
      </w:r>
    </w:p>
    <w:p w14:paraId="46DEC987" w14:textId="77777777" w:rsidR="0036484A" w:rsidRDefault="00322F9E" w:rsidP="00322F9E">
      <w:pPr>
        <w:spacing w:line="360" w:lineRule="auto"/>
        <w:rPr>
          <w:rFonts w:ascii="Arial" w:hAnsi="Arial" w:cs="Arial"/>
          <w:sz w:val="22"/>
          <w:szCs w:val="22"/>
        </w:rPr>
      </w:pPr>
      <w:r w:rsidRPr="004765FA">
        <w:rPr>
          <w:rFonts w:ascii="Arial" w:hAnsi="Arial" w:cs="Arial"/>
          <w:sz w:val="22"/>
          <w:szCs w:val="22"/>
        </w:rPr>
        <w:t xml:space="preserve">Digital technology trends are central to Barclays’ transformation strategy. The rise of digital banking, artificial intelligence (AI), cloud computing, and data analytics has accelerated the need for employees to adopt new skills and adapt to innovative systems (Bondarouk &amp; Brewster, 2016). </w:t>
      </w:r>
    </w:p>
    <w:p w14:paraId="08A16B45" w14:textId="44E2AB9F" w:rsidR="00322F9E" w:rsidRPr="004765FA" w:rsidRDefault="00322F9E" w:rsidP="00322F9E">
      <w:pPr>
        <w:spacing w:line="360" w:lineRule="auto"/>
        <w:rPr>
          <w:rFonts w:ascii="Arial" w:hAnsi="Arial" w:cs="Arial"/>
          <w:sz w:val="22"/>
          <w:szCs w:val="22"/>
        </w:rPr>
      </w:pPr>
      <w:r w:rsidRPr="004765FA">
        <w:rPr>
          <w:rFonts w:ascii="Arial" w:hAnsi="Arial" w:cs="Arial"/>
          <w:sz w:val="22"/>
          <w:szCs w:val="22"/>
        </w:rPr>
        <w:t>Barclays has implemented advanced digital platforms to streamline customer interactions, enhance cybersecurity, and improve operational efficiency. These innovations require HR to manage employee training, change resistance, and skill development to ensure staff can leverage technology effectively. Failure to address these areas can result in operational inefficiencies, low adoption rates, and increased employee frustration, which may manifest in grievances or reduced engagement (Leonardi, 2021).</w:t>
      </w:r>
    </w:p>
    <w:p w14:paraId="339CE63F" w14:textId="77777777" w:rsidR="00322F9E" w:rsidRDefault="00322F9E" w:rsidP="00322F9E">
      <w:pPr>
        <w:spacing w:line="360" w:lineRule="auto"/>
        <w:rPr>
          <w:rFonts w:ascii="Arial" w:hAnsi="Arial" w:cs="Arial"/>
          <w:sz w:val="22"/>
          <w:szCs w:val="22"/>
        </w:rPr>
      </w:pPr>
      <w:r w:rsidRPr="004765FA">
        <w:rPr>
          <w:rFonts w:ascii="Arial" w:hAnsi="Arial" w:cs="Arial"/>
          <w:sz w:val="22"/>
          <w:szCs w:val="22"/>
        </w:rPr>
        <w:t>In addition to digital transformation, flexible working arrangements are reshaping the workforce at Barclays. The organisation has increasingly embraced hybrid working models, offering employees the option to work from home or in the office, depending on business needs and personal circumstances. Flexible working supports work-life balance, improves job satisfaction, and attracts diverse talent (CIPD, 2022). However, it also presents challenges, such as maintaining team cohesion, ensuring consistent performance monitoring, and preventing perceptions of inequality among employees who may have different levels of access to flexible arrangements. For HR, this requires designing policies that balance flexibility with accountability, while ensuring equity and fairness across all departments.</w:t>
      </w:r>
    </w:p>
    <w:p w14:paraId="355CA0AB" w14:textId="47881057" w:rsidR="001F77AC" w:rsidRPr="004765FA" w:rsidRDefault="00165BDF" w:rsidP="00322F9E">
      <w:pPr>
        <w:spacing w:line="360" w:lineRule="auto"/>
        <w:rPr>
          <w:rFonts w:ascii="Arial" w:hAnsi="Arial" w:cs="Arial"/>
          <w:sz w:val="22"/>
          <w:szCs w:val="22"/>
        </w:rPr>
      </w:pPr>
      <w:r>
        <w:rPr>
          <w:rFonts w:ascii="Arial" w:hAnsi="Arial" w:cs="Arial"/>
          <w:sz w:val="22"/>
          <w:szCs w:val="22"/>
        </w:rPr>
        <w:t>Technological Adoption and flexible working</w:t>
      </w:r>
    </w:p>
    <w:p w14:paraId="2539D0DC" w14:textId="77777777" w:rsidR="00322F9E" w:rsidRPr="004765FA" w:rsidRDefault="00322F9E" w:rsidP="00322F9E">
      <w:pPr>
        <w:spacing w:line="360" w:lineRule="auto"/>
        <w:rPr>
          <w:rFonts w:ascii="Arial" w:hAnsi="Arial" w:cs="Arial"/>
          <w:sz w:val="22"/>
          <w:szCs w:val="22"/>
        </w:rPr>
      </w:pPr>
      <w:r w:rsidRPr="004765FA">
        <w:rPr>
          <w:rFonts w:ascii="Arial" w:hAnsi="Arial" w:cs="Arial"/>
          <w:sz w:val="22"/>
          <w:szCs w:val="22"/>
        </w:rPr>
        <w:t xml:space="preserve">Another key factor is the broader cultural and organisational shift that accompanies technological adoption and flexible working. Barclays’ transformation is not solely technological; it requires employees to embrace a culture of continuous learning, adaptability, and collaboration (Kotter, 2012). HR must therefore foster a supportive </w:t>
      </w:r>
      <w:r w:rsidRPr="004765FA">
        <w:rPr>
          <w:rFonts w:ascii="Arial" w:hAnsi="Arial" w:cs="Arial"/>
          <w:sz w:val="22"/>
          <w:szCs w:val="22"/>
        </w:rPr>
        <w:lastRenderedPageBreak/>
        <w:t>environment through leadership development, communication strategies, and engagement initiatives that reinforce the organisation’s vision. Employees’ ability to adapt is influenced by the clarity of strategic objectives, the availability of training, and the effectiveness of line managers in guiding change.</w:t>
      </w:r>
    </w:p>
    <w:p w14:paraId="360E56D3" w14:textId="77777777" w:rsidR="00322F9E" w:rsidRPr="004765FA" w:rsidRDefault="00322F9E" w:rsidP="00322F9E">
      <w:pPr>
        <w:spacing w:line="360" w:lineRule="auto"/>
        <w:rPr>
          <w:rFonts w:ascii="Arial" w:hAnsi="Arial" w:cs="Arial"/>
          <w:sz w:val="22"/>
          <w:szCs w:val="22"/>
        </w:rPr>
      </w:pPr>
      <w:r w:rsidRPr="004765FA">
        <w:rPr>
          <w:rFonts w:ascii="Arial" w:hAnsi="Arial" w:cs="Arial"/>
          <w:sz w:val="22"/>
          <w:szCs w:val="22"/>
        </w:rPr>
        <w:t>Furthermore, regulatory compliance and risk management play a role in shaping transformation factors. As a financial institution, Barclays must ensure that digital initiatives and flexible working policies comply with legal requirements, cybersecurity standards, and industry regulations. HR’s role includes updating procedures, monitoring adherence, and supporting managers to mitigate risks associated with non-compliance.</w:t>
      </w:r>
    </w:p>
    <w:p w14:paraId="5F259A64" w14:textId="77777777" w:rsidR="00322F9E" w:rsidRPr="004765FA" w:rsidRDefault="00322F9E" w:rsidP="00322F9E">
      <w:pPr>
        <w:spacing w:line="360" w:lineRule="auto"/>
        <w:rPr>
          <w:rFonts w:ascii="Arial" w:hAnsi="Arial" w:cs="Arial"/>
          <w:sz w:val="22"/>
          <w:szCs w:val="22"/>
        </w:rPr>
      </w:pPr>
      <w:r w:rsidRPr="004765FA">
        <w:rPr>
          <w:rFonts w:ascii="Arial" w:hAnsi="Arial" w:cs="Arial"/>
          <w:sz w:val="22"/>
          <w:szCs w:val="22"/>
        </w:rPr>
        <w:t>In summary, Barclays’ business transformation is driven by the integration of digital technology trends, flexible working arrangements, and organisational culture shifts, all within a regulatory framework. These factors influence employee behaviour, operational efficiency, and overall organisational performance. Effective HR strategies are essential to support this transformation by equipping managers and employees with the skills, guidance, and resources needed to adapt successfully. Understanding these drivers enables Barclays to maintain competitive advantage, foster employee engagement, and ensure sustainable business growth.</w:t>
      </w:r>
    </w:p>
    <w:p w14:paraId="4D477F06" w14:textId="77777777" w:rsidR="001F2D54" w:rsidRPr="004765FA" w:rsidRDefault="001F2D54" w:rsidP="00C47A9B">
      <w:pPr>
        <w:spacing w:line="360" w:lineRule="auto"/>
        <w:rPr>
          <w:rFonts w:ascii="Arial" w:hAnsi="Arial" w:cs="Arial"/>
          <w:sz w:val="22"/>
          <w:szCs w:val="22"/>
        </w:rPr>
      </w:pPr>
    </w:p>
    <w:p w14:paraId="30EAC30F" w14:textId="77777777" w:rsidR="001F2D54" w:rsidRPr="004765FA" w:rsidRDefault="001F2D54" w:rsidP="00C47A9B">
      <w:pPr>
        <w:spacing w:line="360" w:lineRule="auto"/>
        <w:rPr>
          <w:rFonts w:ascii="Arial" w:hAnsi="Arial" w:cs="Arial"/>
          <w:sz w:val="22"/>
          <w:szCs w:val="22"/>
        </w:rPr>
      </w:pPr>
    </w:p>
    <w:p w14:paraId="6191BB36" w14:textId="77777777" w:rsidR="001F2D54" w:rsidRPr="004765FA" w:rsidRDefault="001F2D54" w:rsidP="00C47A9B">
      <w:pPr>
        <w:spacing w:line="360" w:lineRule="auto"/>
        <w:rPr>
          <w:rFonts w:ascii="Arial" w:hAnsi="Arial" w:cs="Arial"/>
          <w:sz w:val="22"/>
          <w:szCs w:val="22"/>
        </w:rPr>
      </w:pPr>
    </w:p>
    <w:p w14:paraId="4972C6B4" w14:textId="77777777" w:rsidR="001F2D54" w:rsidRPr="004765FA" w:rsidRDefault="001F2D54" w:rsidP="00C47A9B">
      <w:pPr>
        <w:spacing w:line="360" w:lineRule="auto"/>
        <w:rPr>
          <w:rFonts w:ascii="Arial" w:hAnsi="Arial" w:cs="Arial"/>
          <w:sz w:val="22"/>
          <w:szCs w:val="22"/>
        </w:rPr>
      </w:pPr>
    </w:p>
    <w:p w14:paraId="756C5312" w14:textId="77777777" w:rsidR="00A40594" w:rsidRPr="004765FA" w:rsidRDefault="00A40594" w:rsidP="003E00DF">
      <w:pPr>
        <w:spacing w:line="360" w:lineRule="auto"/>
        <w:rPr>
          <w:rFonts w:ascii="Arial" w:hAnsi="Arial" w:cs="Arial"/>
          <w:b/>
          <w:bCs/>
          <w:sz w:val="22"/>
          <w:szCs w:val="22"/>
        </w:rPr>
      </w:pPr>
    </w:p>
    <w:p w14:paraId="58810F1A" w14:textId="77777777" w:rsidR="00A40594" w:rsidRPr="004765FA" w:rsidRDefault="00A40594" w:rsidP="003E00DF">
      <w:pPr>
        <w:spacing w:line="360" w:lineRule="auto"/>
        <w:rPr>
          <w:rFonts w:ascii="Arial" w:hAnsi="Arial" w:cs="Arial"/>
          <w:b/>
          <w:bCs/>
          <w:sz w:val="22"/>
          <w:szCs w:val="22"/>
        </w:rPr>
      </w:pPr>
    </w:p>
    <w:p w14:paraId="65BAABFD" w14:textId="77777777" w:rsidR="00A40594" w:rsidRPr="004765FA" w:rsidRDefault="00A40594" w:rsidP="003E00DF">
      <w:pPr>
        <w:spacing w:line="360" w:lineRule="auto"/>
        <w:rPr>
          <w:rFonts w:ascii="Arial" w:hAnsi="Arial" w:cs="Arial"/>
          <w:b/>
          <w:bCs/>
          <w:sz w:val="22"/>
          <w:szCs w:val="22"/>
        </w:rPr>
      </w:pPr>
    </w:p>
    <w:p w14:paraId="4BBD4184" w14:textId="77777777" w:rsidR="00A40594" w:rsidRPr="004765FA" w:rsidRDefault="00A40594" w:rsidP="003E00DF">
      <w:pPr>
        <w:spacing w:line="360" w:lineRule="auto"/>
        <w:rPr>
          <w:rFonts w:ascii="Arial" w:hAnsi="Arial" w:cs="Arial"/>
          <w:b/>
          <w:bCs/>
          <w:sz w:val="22"/>
          <w:szCs w:val="22"/>
        </w:rPr>
      </w:pPr>
    </w:p>
    <w:p w14:paraId="7C363249" w14:textId="77777777" w:rsidR="00A40594" w:rsidRPr="004765FA" w:rsidRDefault="00A40594" w:rsidP="003E00DF">
      <w:pPr>
        <w:spacing w:line="360" w:lineRule="auto"/>
        <w:rPr>
          <w:rFonts w:ascii="Arial" w:hAnsi="Arial" w:cs="Arial"/>
          <w:b/>
          <w:bCs/>
          <w:sz w:val="22"/>
          <w:szCs w:val="22"/>
        </w:rPr>
      </w:pPr>
    </w:p>
    <w:p w14:paraId="59E90665" w14:textId="77777777" w:rsidR="00A40594" w:rsidRPr="004765FA" w:rsidRDefault="00A40594" w:rsidP="003E00DF">
      <w:pPr>
        <w:spacing w:line="360" w:lineRule="auto"/>
        <w:rPr>
          <w:rFonts w:ascii="Arial" w:hAnsi="Arial" w:cs="Arial"/>
          <w:b/>
          <w:bCs/>
          <w:sz w:val="22"/>
          <w:szCs w:val="22"/>
        </w:rPr>
      </w:pPr>
    </w:p>
    <w:p w14:paraId="054BA890" w14:textId="77777777" w:rsidR="003F2109" w:rsidRPr="004765FA" w:rsidRDefault="003F2109" w:rsidP="003E00DF">
      <w:pPr>
        <w:spacing w:line="360" w:lineRule="auto"/>
        <w:rPr>
          <w:rFonts w:ascii="Arial" w:hAnsi="Arial" w:cs="Arial"/>
          <w:b/>
          <w:bCs/>
          <w:sz w:val="22"/>
          <w:szCs w:val="22"/>
        </w:rPr>
      </w:pPr>
    </w:p>
    <w:p w14:paraId="65CC0A41" w14:textId="77777777" w:rsidR="003F2109" w:rsidRPr="004765FA" w:rsidRDefault="003F2109" w:rsidP="003E00DF">
      <w:pPr>
        <w:spacing w:line="360" w:lineRule="auto"/>
        <w:rPr>
          <w:rFonts w:ascii="Arial" w:hAnsi="Arial" w:cs="Arial"/>
          <w:b/>
          <w:bCs/>
          <w:sz w:val="22"/>
          <w:szCs w:val="22"/>
        </w:rPr>
      </w:pPr>
    </w:p>
    <w:p w14:paraId="76FCDD1F" w14:textId="77777777" w:rsidR="003F2109" w:rsidRPr="004765FA" w:rsidRDefault="003F2109" w:rsidP="003E00DF">
      <w:pPr>
        <w:spacing w:line="360" w:lineRule="auto"/>
        <w:rPr>
          <w:rFonts w:ascii="Arial" w:hAnsi="Arial" w:cs="Arial"/>
          <w:b/>
          <w:bCs/>
          <w:sz w:val="22"/>
          <w:szCs w:val="22"/>
        </w:rPr>
      </w:pPr>
    </w:p>
    <w:p w14:paraId="19FE6350" w14:textId="2F736A53" w:rsidR="004A2BF2" w:rsidRPr="004765FA" w:rsidRDefault="004A2BF2" w:rsidP="00A42C31">
      <w:pPr>
        <w:spacing w:line="360" w:lineRule="auto"/>
        <w:rPr>
          <w:rFonts w:ascii="Arial" w:hAnsi="Arial" w:cs="Arial"/>
          <w:b/>
          <w:bCs/>
          <w:sz w:val="22"/>
          <w:szCs w:val="22"/>
        </w:rPr>
      </w:pPr>
      <w:r w:rsidRPr="004765FA">
        <w:rPr>
          <w:rFonts w:ascii="Arial" w:hAnsi="Arial" w:cs="Arial"/>
          <w:b/>
          <w:bCs/>
          <w:sz w:val="22"/>
          <w:szCs w:val="22"/>
        </w:rPr>
        <w:lastRenderedPageBreak/>
        <w:t>3 . Evaluation of Contemporary HR Practices at Barclays</w:t>
      </w:r>
    </w:p>
    <w:p w14:paraId="5839C9AC" w14:textId="0F5DBBE8"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To support its ongoing business transformation, Barclays has adopted a range of contemporary HR practices that address the challenges of digital technology adoption, flexible working arrangements, and organisational change. These practices aim to enhance employee engagement, facilitate skill development, and ensure operational efficiency across the workforce.</w:t>
      </w:r>
    </w:p>
    <w:p w14:paraId="3BFAB369"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1. Digital Skills Training and Learning Development</w:t>
      </w:r>
      <w:r w:rsidRPr="004765FA">
        <w:rPr>
          <w:rFonts w:ascii="Arial" w:hAnsi="Arial" w:cs="Arial"/>
          <w:sz w:val="22"/>
          <w:szCs w:val="22"/>
        </w:rPr>
        <w:br/>
        <w:t>As Barclays integrates AI, cloud computing, and advanced data analytics into its operations, employees require continuous upskilling to remain effective. The HR department implements structured digital skills training programs, including e-learning modules, workshops, and mentorship initiatives, to ensure staff can effectively navigate new technologies (Bondarouk &amp; Brewster, 2016). These initiatives are tailored to different departments, ensuring relevance and applicability. By proactively addressing skill gaps, Barclays reduces resistance to technological adoption, improves productivity, and minimises potential grievances arising from employees feeling unsupported during transitions.</w:t>
      </w:r>
    </w:p>
    <w:p w14:paraId="1BC19A83"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2. Flexible Working Policies and Employee Wellbeing Programs</w:t>
      </w:r>
      <w:r w:rsidRPr="004765FA">
        <w:rPr>
          <w:rFonts w:ascii="Arial" w:hAnsi="Arial" w:cs="Arial"/>
          <w:sz w:val="22"/>
          <w:szCs w:val="22"/>
        </w:rPr>
        <w:br/>
        <w:t>Barclays has embraced flexible working arrangements, including hybrid working models, flexible start and finish times, and remote working options. Contemporary HR practices focus on work-life balance and wellbeing initiatives, such as virtual wellness sessions, mental health resources, and workload management strategies (CIPD, 2022). By implementing clear guidelines and outcome-based performance measures, managers can ensure fairness and maintain productivity, even in distributed teams. These policies not only enhance employee satisfaction but also attract diverse talent, reinforcing Barclays’ reputation as a forward-thinking employer.</w:t>
      </w:r>
    </w:p>
    <w:p w14:paraId="6D51657C"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3. Performance Management and Continuous Feedback</w:t>
      </w:r>
      <w:r w:rsidRPr="004765FA">
        <w:rPr>
          <w:rFonts w:ascii="Arial" w:hAnsi="Arial" w:cs="Arial"/>
          <w:sz w:val="22"/>
          <w:szCs w:val="22"/>
        </w:rPr>
        <w:br/>
        <w:t>Barclays’ HR practices emphasise continuous performance management rather than traditional annual appraisals. Managers are trained to conduct regular check-ins, set clear objectives, and provide constructive feedback aligned with digital and flexible working goals. This approach enables early identification of performance issues, supports career development, and fosters accountability across hybrid teams (Purcell &amp; Hutchinson, 2007). The integration of data-driven performance tools allows managers to monitor progress efficiently while maintaining transparency and fairness, reducing potential grievances and misunderstandings.</w:t>
      </w:r>
    </w:p>
    <w:p w14:paraId="66AF3457"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4. Employee Engagement and Organisational Culture Initiatives</w:t>
      </w:r>
      <w:r w:rsidRPr="004765FA">
        <w:rPr>
          <w:rFonts w:ascii="Arial" w:hAnsi="Arial" w:cs="Arial"/>
          <w:sz w:val="22"/>
          <w:szCs w:val="22"/>
        </w:rPr>
        <w:br/>
        <w:t xml:space="preserve">Maintaining engagement during periods of transformation is a priority for Barclays. HR </w:t>
      </w:r>
      <w:r w:rsidRPr="004765FA">
        <w:rPr>
          <w:rFonts w:ascii="Arial" w:hAnsi="Arial" w:cs="Arial"/>
          <w:sz w:val="22"/>
          <w:szCs w:val="22"/>
        </w:rPr>
        <w:lastRenderedPageBreak/>
        <w:t>employs strategies such as internal communication campaigns, virtual town halls, and recognition schemes to align employees with the organisation’s vision and transformation objectives (Kotter, 2012). These practices encourage collaboration, reinforce a culture of innovation, and create psychological safety, enabling employees to adapt to technological changes and flexible working arrangements effectively.</w:t>
      </w:r>
    </w:p>
    <w:p w14:paraId="6A77D5D4"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5. Inclusion, Diversity, and Compliance-Focused Practices</w:t>
      </w:r>
      <w:r w:rsidRPr="004765FA">
        <w:rPr>
          <w:rFonts w:ascii="Arial" w:hAnsi="Arial" w:cs="Arial"/>
          <w:sz w:val="22"/>
          <w:szCs w:val="22"/>
        </w:rPr>
        <w:br/>
        <w:t>Barclays ensures that HR practices are compliant with employment law, diversity, and inclusion standards. Managers are trained to implement flexible working equitably, monitor adherence to policies, and address any bias or inequality promptly. HR audits, employee surveys, and feedback mechanisms provide ongoing oversight, supporting both ethical practice and regulatory compliance (Leonardi, 2021). These measures contribute to a positive organisational climate, helping to retain talent and improve engagement during transformation initiatives.</w:t>
      </w:r>
    </w:p>
    <w:p w14:paraId="12531942" w14:textId="4B04D171"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6. HR Technology and Automation</w:t>
      </w:r>
      <w:r w:rsidRPr="004765FA">
        <w:rPr>
          <w:rFonts w:ascii="Arial" w:hAnsi="Arial" w:cs="Arial"/>
          <w:sz w:val="22"/>
          <w:szCs w:val="22"/>
        </w:rPr>
        <w:br/>
        <w:t>Finally, Barclays leverages HR technology platforms to automate administrative tasks such as payroll, leave management, and recruitment processes. This allows HR professionals to focus on strategic initiatives like employee development and engagement, while managers receive real-time insights to make informed decisions. Automation enhances efficiency, reduces errors, and supports seamless communication between employees and HR</w:t>
      </w:r>
      <w:r w:rsidR="00F03614">
        <w:rPr>
          <w:rFonts w:ascii="Arial" w:hAnsi="Arial" w:cs="Arial"/>
          <w:sz w:val="22"/>
          <w:szCs w:val="22"/>
        </w:rPr>
        <w:t xml:space="preserve"> </w:t>
      </w:r>
      <w:r w:rsidRPr="004765FA">
        <w:rPr>
          <w:rFonts w:ascii="Arial" w:hAnsi="Arial" w:cs="Arial"/>
          <w:sz w:val="22"/>
          <w:szCs w:val="22"/>
        </w:rPr>
        <w:t>particularly in hybrid working contexts.</w:t>
      </w:r>
    </w:p>
    <w:p w14:paraId="18FCBA64" w14:textId="77777777" w:rsidR="00A42C31" w:rsidRPr="004765FA" w:rsidRDefault="00A42C31" w:rsidP="00A42C31">
      <w:pPr>
        <w:spacing w:line="360" w:lineRule="auto"/>
        <w:rPr>
          <w:rFonts w:ascii="Arial" w:hAnsi="Arial" w:cs="Arial"/>
          <w:sz w:val="22"/>
          <w:szCs w:val="22"/>
        </w:rPr>
      </w:pPr>
      <w:r w:rsidRPr="004765FA">
        <w:rPr>
          <w:rFonts w:ascii="Arial" w:hAnsi="Arial" w:cs="Arial"/>
          <w:sz w:val="22"/>
          <w:szCs w:val="22"/>
        </w:rPr>
        <w:t>Summary</w:t>
      </w:r>
      <w:r w:rsidRPr="004765FA">
        <w:rPr>
          <w:rFonts w:ascii="Arial" w:hAnsi="Arial" w:cs="Arial"/>
          <w:sz w:val="22"/>
          <w:szCs w:val="22"/>
        </w:rPr>
        <w:br/>
        <w:t>Overall, Barclays’ contemporary HR practices provide a comprehensive framework to address the challenges posed by digital transformation and flexible working. By combining digital skills training, flexible policies, continuous performance management, engagement initiatives, compliance measures, and HR technology, the organisation ensures that employees are equipped, supported, and motivated to embrace change. These practices also create a foundation for managers to implement transformation initiatives effectively, reduce grievances, and achieve strategic business objectives.</w:t>
      </w:r>
    </w:p>
    <w:p w14:paraId="0B5F6379" w14:textId="77777777" w:rsidR="003F2109" w:rsidRPr="004765FA" w:rsidRDefault="003F2109" w:rsidP="003E00DF">
      <w:pPr>
        <w:spacing w:line="360" w:lineRule="auto"/>
        <w:rPr>
          <w:rFonts w:ascii="Arial" w:hAnsi="Arial" w:cs="Arial"/>
          <w:b/>
          <w:bCs/>
          <w:sz w:val="22"/>
          <w:szCs w:val="22"/>
        </w:rPr>
      </w:pPr>
    </w:p>
    <w:p w14:paraId="0145BA4A" w14:textId="77777777" w:rsidR="003F2109" w:rsidRPr="004765FA" w:rsidRDefault="003F2109" w:rsidP="003E00DF">
      <w:pPr>
        <w:spacing w:line="360" w:lineRule="auto"/>
        <w:rPr>
          <w:rFonts w:ascii="Arial" w:hAnsi="Arial" w:cs="Arial"/>
          <w:b/>
          <w:bCs/>
          <w:sz w:val="22"/>
          <w:szCs w:val="22"/>
        </w:rPr>
      </w:pPr>
    </w:p>
    <w:p w14:paraId="3C2D9730" w14:textId="77777777" w:rsidR="003F2109" w:rsidRDefault="003F2109" w:rsidP="003E00DF">
      <w:pPr>
        <w:spacing w:line="360" w:lineRule="auto"/>
        <w:rPr>
          <w:rFonts w:ascii="Arial" w:hAnsi="Arial" w:cs="Arial"/>
          <w:b/>
          <w:bCs/>
          <w:sz w:val="22"/>
          <w:szCs w:val="22"/>
        </w:rPr>
      </w:pPr>
    </w:p>
    <w:p w14:paraId="6017CD7F" w14:textId="77777777" w:rsidR="00E85C71" w:rsidRDefault="00E85C71" w:rsidP="003E00DF">
      <w:pPr>
        <w:spacing w:line="360" w:lineRule="auto"/>
        <w:rPr>
          <w:rFonts w:ascii="Arial" w:hAnsi="Arial" w:cs="Arial"/>
          <w:b/>
          <w:bCs/>
          <w:sz w:val="22"/>
          <w:szCs w:val="22"/>
        </w:rPr>
      </w:pPr>
    </w:p>
    <w:p w14:paraId="2961188E" w14:textId="77777777" w:rsidR="00E85C71" w:rsidRPr="004765FA" w:rsidRDefault="00E85C71" w:rsidP="003E00DF">
      <w:pPr>
        <w:spacing w:line="360" w:lineRule="auto"/>
        <w:rPr>
          <w:rFonts w:ascii="Arial" w:hAnsi="Arial" w:cs="Arial"/>
          <w:b/>
          <w:bCs/>
          <w:sz w:val="22"/>
          <w:szCs w:val="22"/>
        </w:rPr>
      </w:pPr>
    </w:p>
    <w:p w14:paraId="75FEE94A" w14:textId="4DFCDCCA" w:rsidR="003A1308" w:rsidRPr="004765FA" w:rsidRDefault="00875F50" w:rsidP="003E00DF">
      <w:pPr>
        <w:spacing w:line="360" w:lineRule="auto"/>
        <w:rPr>
          <w:rFonts w:ascii="Arial" w:hAnsi="Arial" w:cs="Arial"/>
          <w:b/>
          <w:bCs/>
          <w:sz w:val="22"/>
          <w:szCs w:val="22"/>
        </w:rPr>
      </w:pPr>
      <w:r w:rsidRPr="004765FA">
        <w:rPr>
          <w:rFonts w:ascii="Arial" w:hAnsi="Arial" w:cs="Arial"/>
          <w:b/>
          <w:bCs/>
          <w:sz w:val="22"/>
          <w:szCs w:val="22"/>
        </w:rPr>
        <w:lastRenderedPageBreak/>
        <w:t xml:space="preserve">4 . </w:t>
      </w:r>
      <w:r w:rsidR="000F06A0" w:rsidRPr="004765FA">
        <w:rPr>
          <w:rFonts w:ascii="Arial" w:hAnsi="Arial" w:cs="Arial"/>
          <w:b/>
          <w:bCs/>
          <w:sz w:val="22"/>
          <w:szCs w:val="22"/>
        </w:rPr>
        <w:t>Critical Evaluation of Managerial Implementation</w:t>
      </w:r>
    </w:p>
    <w:p w14:paraId="4D1BAB98" w14:textId="21FC2F93" w:rsidR="003A1308" w:rsidRPr="004765FA" w:rsidRDefault="003A1308" w:rsidP="003A1308">
      <w:pPr>
        <w:spacing w:line="360" w:lineRule="auto"/>
        <w:rPr>
          <w:rFonts w:ascii="Arial" w:hAnsi="Arial" w:cs="Arial"/>
          <w:sz w:val="22"/>
          <w:szCs w:val="22"/>
        </w:rPr>
      </w:pPr>
      <w:r w:rsidRPr="004765FA">
        <w:rPr>
          <w:rFonts w:ascii="Arial" w:hAnsi="Arial" w:cs="Arial"/>
          <w:sz w:val="22"/>
          <w:szCs w:val="22"/>
        </w:rPr>
        <w:t>Ensuring the urgent implementation of contemporary HR practices at Barclays</w:t>
      </w:r>
      <w:r w:rsidR="00D132C3">
        <w:rPr>
          <w:rFonts w:ascii="Arial" w:hAnsi="Arial" w:cs="Arial"/>
          <w:sz w:val="22"/>
          <w:szCs w:val="22"/>
        </w:rPr>
        <w:t xml:space="preserve"> </w:t>
      </w:r>
      <w:r w:rsidRPr="004765FA">
        <w:rPr>
          <w:rFonts w:ascii="Arial" w:hAnsi="Arial" w:cs="Arial"/>
          <w:sz w:val="22"/>
          <w:szCs w:val="22"/>
        </w:rPr>
        <w:t>particularly those responding to digital transformation and flexible working</w:t>
      </w:r>
      <w:r w:rsidR="00D132C3">
        <w:rPr>
          <w:rFonts w:ascii="Arial" w:hAnsi="Arial" w:cs="Arial"/>
          <w:sz w:val="22"/>
          <w:szCs w:val="22"/>
        </w:rPr>
        <w:t xml:space="preserve"> </w:t>
      </w:r>
      <w:r w:rsidRPr="004765FA">
        <w:rPr>
          <w:rFonts w:ascii="Arial" w:hAnsi="Arial" w:cs="Arial"/>
          <w:sz w:val="22"/>
          <w:szCs w:val="22"/>
        </w:rPr>
        <w:t>requires strong managerial capability, strategic alignment, and sustained employee engagement. Departmental managers play a pivotal role as operational leaders who translate organisational policies into daily practice. Research suggests managers are the most influential factor shaping employee perceptions of fairness, communication, and organisational support (Purcell &amp; Hutchinson, 2007).</w:t>
      </w:r>
    </w:p>
    <w:p w14:paraId="3992C202" w14:textId="55584824" w:rsidR="003A1308" w:rsidRPr="00F532D6" w:rsidRDefault="00F532D6" w:rsidP="00F532D6">
      <w:pPr>
        <w:pStyle w:val="ListParagraph"/>
        <w:numPr>
          <w:ilvl w:val="0"/>
          <w:numId w:val="9"/>
        </w:numPr>
        <w:spacing w:line="360" w:lineRule="auto"/>
        <w:rPr>
          <w:rFonts w:ascii="Arial" w:hAnsi="Arial" w:cs="Arial"/>
          <w:sz w:val="22"/>
          <w:szCs w:val="22"/>
        </w:rPr>
      </w:pPr>
      <w:r>
        <w:rPr>
          <w:rFonts w:ascii="Arial" w:hAnsi="Arial" w:cs="Arial"/>
          <w:sz w:val="22"/>
          <w:szCs w:val="22"/>
        </w:rPr>
        <w:t>M</w:t>
      </w:r>
      <w:r w:rsidR="003A1308" w:rsidRPr="00F532D6">
        <w:rPr>
          <w:rFonts w:ascii="Arial" w:hAnsi="Arial" w:cs="Arial"/>
          <w:sz w:val="22"/>
          <w:szCs w:val="22"/>
        </w:rPr>
        <w:t>anagers must adopt strategic communication practices to reinforce the rationale and urgency behind new digital and flexible initiatives. Transparent communication reduces employee resistance and fosters psychological safety during change (Kotter, 2012). For example, introducing digital collaboration platforms at Barclays must be accompanied by clear messaging on expectations, training availability, and performance alignment. Ineffective communication can lead to uncertainty, disengagement, and increased grievance cases, particularly in hybrid settings where employees may feel invisible or unsupported (Charalampous et al., 2019). Managers must tailor communication channels to remote and on-site staff, ensuring inclusivity and dialogue.</w:t>
      </w:r>
    </w:p>
    <w:p w14:paraId="4E298DC2" w14:textId="798E2AB4" w:rsidR="003A1308" w:rsidRPr="00F532D6" w:rsidRDefault="00F532D6" w:rsidP="00F532D6">
      <w:pPr>
        <w:pStyle w:val="ListParagraph"/>
        <w:numPr>
          <w:ilvl w:val="0"/>
          <w:numId w:val="9"/>
        </w:numPr>
        <w:spacing w:line="360" w:lineRule="auto"/>
        <w:rPr>
          <w:rFonts w:ascii="Arial" w:hAnsi="Arial" w:cs="Arial"/>
          <w:sz w:val="22"/>
          <w:szCs w:val="22"/>
        </w:rPr>
      </w:pPr>
      <w:r>
        <w:rPr>
          <w:rFonts w:ascii="Arial" w:hAnsi="Arial" w:cs="Arial"/>
          <w:sz w:val="22"/>
          <w:szCs w:val="22"/>
        </w:rPr>
        <w:t>M</w:t>
      </w:r>
      <w:r w:rsidR="003A1308" w:rsidRPr="00F532D6">
        <w:rPr>
          <w:rFonts w:ascii="Arial" w:hAnsi="Arial" w:cs="Arial"/>
          <w:sz w:val="22"/>
          <w:szCs w:val="22"/>
        </w:rPr>
        <w:t>anagerial digital competence is critical. While HR may introduce new technologies, adoption often fails if managers lack capability to support and model usage (Bondarouk &amp; Brewster, 2016). Investment in digital leadership training, coaching, and upskilling is essential. Managers at Barclays must also use data-driven tools responsibly</w:t>
      </w:r>
      <w:r w:rsidR="005D6D4E">
        <w:rPr>
          <w:rFonts w:ascii="Arial" w:hAnsi="Arial" w:cs="Arial"/>
          <w:sz w:val="22"/>
          <w:szCs w:val="22"/>
        </w:rPr>
        <w:t xml:space="preserve">, </w:t>
      </w:r>
      <w:r w:rsidR="003A1308" w:rsidRPr="00F532D6">
        <w:rPr>
          <w:rFonts w:ascii="Arial" w:hAnsi="Arial" w:cs="Arial"/>
          <w:sz w:val="22"/>
          <w:szCs w:val="22"/>
        </w:rPr>
        <w:t>balancing performance insights with ethical considerations to maintain trust (Leonardi, 2021).</w:t>
      </w:r>
    </w:p>
    <w:p w14:paraId="2B302CCF" w14:textId="094FFF5A" w:rsidR="003A1308" w:rsidRPr="00F532D6" w:rsidRDefault="00F532D6" w:rsidP="00F532D6">
      <w:pPr>
        <w:pStyle w:val="ListParagraph"/>
        <w:numPr>
          <w:ilvl w:val="0"/>
          <w:numId w:val="9"/>
        </w:numPr>
        <w:spacing w:line="360" w:lineRule="auto"/>
        <w:rPr>
          <w:rFonts w:ascii="Arial" w:hAnsi="Arial" w:cs="Arial"/>
          <w:sz w:val="22"/>
          <w:szCs w:val="22"/>
        </w:rPr>
      </w:pPr>
      <w:r>
        <w:rPr>
          <w:rFonts w:ascii="Arial" w:hAnsi="Arial" w:cs="Arial"/>
          <w:sz w:val="22"/>
          <w:szCs w:val="22"/>
        </w:rPr>
        <w:t>M</w:t>
      </w:r>
      <w:r w:rsidR="003A1308" w:rsidRPr="00F532D6">
        <w:rPr>
          <w:rFonts w:ascii="Arial" w:hAnsi="Arial" w:cs="Arial"/>
          <w:sz w:val="22"/>
          <w:szCs w:val="22"/>
        </w:rPr>
        <w:t>anagers must implement proactive performance and wellbeing practices. Flexible working requires outcome-based management rather than presenteeism (CIPD, 2022). Managers should set clear objectives, hold regular performance check-ins, and support employee wellbeing through workload management and early intervention strategies (McDowell et al., 2020).</w:t>
      </w:r>
    </w:p>
    <w:p w14:paraId="7233D92A" w14:textId="74CC478B" w:rsidR="003A1308" w:rsidRPr="00F532D6" w:rsidRDefault="00F532D6" w:rsidP="00F532D6">
      <w:pPr>
        <w:pStyle w:val="ListParagraph"/>
        <w:numPr>
          <w:ilvl w:val="0"/>
          <w:numId w:val="9"/>
        </w:numPr>
        <w:spacing w:line="360" w:lineRule="auto"/>
        <w:rPr>
          <w:rFonts w:ascii="Arial" w:hAnsi="Arial" w:cs="Arial"/>
          <w:sz w:val="22"/>
          <w:szCs w:val="22"/>
        </w:rPr>
      </w:pPr>
      <w:r>
        <w:rPr>
          <w:rFonts w:ascii="Arial" w:hAnsi="Arial" w:cs="Arial"/>
          <w:sz w:val="22"/>
          <w:szCs w:val="22"/>
        </w:rPr>
        <w:t>E</w:t>
      </w:r>
      <w:r w:rsidR="003A1308" w:rsidRPr="00F532D6">
        <w:rPr>
          <w:rFonts w:ascii="Arial" w:hAnsi="Arial" w:cs="Arial"/>
          <w:sz w:val="22"/>
          <w:szCs w:val="22"/>
        </w:rPr>
        <w:t>nsuring compliance and equity is essential. Managers must enforce consistent flexible working practices to avoid perceptions of favouritism or discrimination. HR audits, feedback loops, and inclusion-focused leadership behaviours can support fair implementation.</w:t>
      </w:r>
    </w:p>
    <w:p w14:paraId="4A1F038A" w14:textId="77777777" w:rsidR="003A1308" w:rsidRPr="004765FA" w:rsidRDefault="003A1308" w:rsidP="003A1308">
      <w:pPr>
        <w:spacing w:line="360" w:lineRule="auto"/>
        <w:rPr>
          <w:rFonts w:ascii="Arial" w:hAnsi="Arial" w:cs="Arial"/>
          <w:sz w:val="22"/>
          <w:szCs w:val="22"/>
        </w:rPr>
      </w:pPr>
      <w:r w:rsidRPr="004765FA">
        <w:rPr>
          <w:rFonts w:ascii="Arial" w:hAnsi="Arial" w:cs="Arial"/>
          <w:sz w:val="22"/>
          <w:szCs w:val="22"/>
        </w:rPr>
        <w:t xml:space="preserve">Finally, urgency requires change leadership capability. Managers must champion change, overcome resistance, and reinforce cultural transformation using frameworks such as </w:t>
      </w:r>
      <w:r w:rsidRPr="004765FA">
        <w:rPr>
          <w:rFonts w:ascii="Arial" w:hAnsi="Arial" w:cs="Arial"/>
          <w:sz w:val="22"/>
          <w:szCs w:val="22"/>
        </w:rPr>
        <w:lastRenderedPageBreak/>
        <w:t>Lewin’s (1951) change model—unfreeze, change, refreeze. Recognition schemes, role-modelling, and iterative feedback mechanisms accelerate behavioural adoption.</w:t>
      </w:r>
    </w:p>
    <w:p w14:paraId="22D79289" w14:textId="77777777" w:rsidR="003A1308" w:rsidRPr="004765FA" w:rsidRDefault="003A1308" w:rsidP="003A1308">
      <w:pPr>
        <w:spacing w:line="360" w:lineRule="auto"/>
        <w:rPr>
          <w:rFonts w:ascii="Arial" w:hAnsi="Arial" w:cs="Arial"/>
          <w:sz w:val="22"/>
          <w:szCs w:val="22"/>
        </w:rPr>
      </w:pPr>
      <w:r w:rsidRPr="004765FA">
        <w:rPr>
          <w:rFonts w:ascii="Arial" w:hAnsi="Arial" w:cs="Arial"/>
          <w:sz w:val="22"/>
          <w:szCs w:val="22"/>
        </w:rPr>
        <w:t>In summary, departmental managers at Barclays must combine communication excellence, digital literacy, performance leadership, equity-focused decision-making, and continuous change capability to rapidly implement modern HR practices. Sustained organisational support, managerial development, and strong HR-leadership collaboration are necessary to mitigate risks and ensure long-term success.</w:t>
      </w:r>
    </w:p>
    <w:tbl>
      <w:tblPr>
        <w:tblStyle w:val="TableGrid"/>
        <w:tblpPr w:leftFromText="180" w:rightFromText="180" w:vertAnchor="page" w:horzAnchor="margin" w:tblpXSpec="center" w:tblpY="4633"/>
        <w:tblW w:w="10910" w:type="dxa"/>
        <w:tblLook w:val="04A0" w:firstRow="1" w:lastRow="0" w:firstColumn="1" w:lastColumn="0" w:noHBand="0" w:noVBand="1"/>
      </w:tblPr>
      <w:tblGrid>
        <w:gridCol w:w="3220"/>
        <w:gridCol w:w="3220"/>
        <w:gridCol w:w="4470"/>
      </w:tblGrid>
      <w:tr w:rsidR="00D53E14" w:rsidRPr="004E3126" w14:paraId="73CBB1CD" w14:textId="77777777" w:rsidTr="00D53E14">
        <w:trPr>
          <w:trHeight w:val="663"/>
        </w:trPr>
        <w:tc>
          <w:tcPr>
            <w:tcW w:w="3220" w:type="dxa"/>
            <w:vAlign w:val="center"/>
          </w:tcPr>
          <w:p w14:paraId="7E896D51" w14:textId="77777777" w:rsidR="00D53E14" w:rsidRPr="004E3126" w:rsidRDefault="00D53E14" w:rsidP="00D53E14">
            <w:pPr>
              <w:rPr>
                <w:rFonts w:ascii="Arial" w:hAnsi="Arial" w:cs="Arial"/>
                <w:sz w:val="22"/>
                <w:szCs w:val="22"/>
              </w:rPr>
            </w:pPr>
            <w:r w:rsidRPr="004E3126">
              <w:rPr>
                <w:rStyle w:val="Strong"/>
                <w:rFonts w:ascii="Arial" w:hAnsi="Arial" w:cs="Arial"/>
                <w:sz w:val="22"/>
                <w:szCs w:val="22"/>
              </w:rPr>
              <w:t>Problem / Challenge</w:t>
            </w:r>
          </w:p>
        </w:tc>
        <w:tc>
          <w:tcPr>
            <w:tcW w:w="3220" w:type="dxa"/>
            <w:vAlign w:val="center"/>
          </w:tcPr>
          <w:p w14:paraId="7933A9D1" w14:textId="77777777" w:rsidR="00D53E14" w:rsidRPr="004E3126" w:rsidRDefault="00D53E14" w:rsidP="00D53E14">
            <w:pPr>
              <w:rPr>
                <w:rFonts w:ascii="Arial" w:hAnsi="Arial" w:cs="Arial"/>
                <w:sz w:val="22"/>
                <w:szCs w:val="22"/>
              </w:rPr>
            </w:pPr>
            <w:r w:rsidRPr="004E3126">
              <w:rPr>
                <w:rStyle w:val="Strong"/>
                <w:rFonts w:ascii="Arial" w:hAnsi="Arial" w:cs="Arial"/>
                <w:sz w:val="22"/>
                <w:szCs w:val="22"/>
              </w:rPr>
              <w:t>Impact / Consequence</w:t>
            </w:r>
          </w:p>
        </w:tc>
        <w:tc>
          <w:tcPr>
            <w:tcW w:w="4470" w:type="dxa"/>
            <w:vAlign w:val="center"/>
          </w:tcPr>
          <w:p w14:paraId="4E06BE9F" w14:textId="77777777" w:rsidR="00D53E14" w:rsidRPr="004E3126" w:rsidRDefault="00D53E14" w:rsidP="00D53E14">
            <w:pPr>
              <w:rPr>
                <w:rFonts w:ascii="Arial" w:hAnsi="Arial" w:cs="Arial"/>
                <w:sz w:val="22"/>
                <w:szCs w:val="22"/>
              </w:rPr>
            </w:pPr>
            <w:r w:rsidRPr="004E3126">
              <w:rPr>
                <w:rStyle w:val="Strong"/>
                <w:rFonts w:ascii="Arial" w:hAnsi="Arial" w:cs="Arial"/>
                <w:sz w:val="22"/>
                <w:szCs w:val="22"/>
              </w:rPr>
              <w:t>Proposed Solution / HR Practice / Managerial Action</w:t>
            </w:r>
          </w:p>
        </w:tc>
      </w:tr>
      <w:tr w:rsidR="00D53E14" w:rsidRPr="004E3126" w14:paraId="0C9D885A" w14:textId="77777777" w:rsidTr="00D53E14">
        <w:trPr>
          <w:trHeight w:val="663"/>
        </w:trPr>
        <w:tc>
          <w:tcPr>
            <w:tcW w:w="3220" w:type="dxa"/>
            <w:vAlign w:val="center"/>
          </w:tcPr>
          <w:p w14:paraId="6870EFB8" w14:textId="77777777" w:rsidR="00D53E14" w:rsidRPr="004E3126" w:rsidRDefault="00D53E14" w:rsidP="00D53E14">
            <w:pPr>
              <w:rPr>
                <w:rFonts w:ascii="Arial" w:hAnsi="Arial" w:cs="Arial"/>
                <w:sz w:val="22"/>
                <w:szCs w:val="22"/>
              </w:rPr>
            </w:pPr>
            <w:r w:rsidRPr="004E3126">
              <w:rPr>
                <w:rFonts w:ascii="Arial" w:hAnsi="Arial" w:cs="Arial"/>
                <w:sz w:val="22"/>
                <w:szCs w:val="22"/>
              </w:rPr>
              <w:t>Resistance to digital technology adoption</w:t>
            </w:r>
          </w:p>
        </w:tc>
        <w:tc>
          <w:tcPr>
            <w:tcW w:w="3220" w:type="dxa"/>
            <w:vAlign w:val="center"/>
          </w:tcPr>
          <w:p w14:paraId="4FA95590" w14:textId="77777777" w:rsidR="00D53E14" w:rsidRPr="004E3126" w:rsidRDefault="00D53E14" w:rsidP="00D53E14">
            <w:pPr>
              <w:rPr>
                <w:rFonts w:ascii="Arial" w:hAnsi="Arial" w:cs="Arial"/>
                <w:sz w:val="22"/>
                <w:szCs w:val="22"/>
              </w:rPr>
            </w:pPr>
            <w:r w:rsidRPr="004E3126">
              <w:rPr>
                <w:rFonts w:ascii="Arial" w:hAnsi="Arial" w:cs="Arial"/>
                <w:sz w:val="22"/>
                <w:szCs w:val="22"/>
              </w:rPr>
              <w:t>Low productivity, inefficient use of new systems, employee frustration</w:t>
            </w:r>
          </w:p>
        </w:tc>
        <w:tc>
          <w:tcPr>
            <w:tcW w:w="4470" w:type="dxa"/>
            <w:vAlign w:val="center"/>
          </w:tcPr>
          <w:p w14:paraId="2E44487C" w14:textId="77777777" w:rsidR="00D53E14" w:rsidRPr="004E3126" w:rsidRDefault="00D53E14" w:rsidP="00D53E14">
            <w:pPr>
              <w:rPr>
                <w:rFonts w:ascii="Arial" w:hAnsi="Arial" w:cs="Arial"/>
                <w:sz w:val="22"/>
                <w:szCs w:val="22"/>
              </w:rPr>
            </w:pPr>
            <w:r w:rsidRPr="004E3126">
              <w:rPr>
                <w:rFonts w:ascii="Arial" w:hAnsi="Arial" w:cs="Arial"/>
                <w:sz w:val="22"/>
                <w:szCs w:val="22"/>
              </w:rPr>
              <w:t>Implement structured digital skills training, e-learning, workshops, and mentorship programs; managers provide support and modelling of technology use (Bondarouk &amp; Brewster, 2016)</w:t>
            </w:r>
          </w:p>
        </w:tc>
      </w:tr>
      <w:tr w:rsidR="00D53E14" w:rsidRPr="004E3126" w14:paraId="64AE9D6F" w14:textId="77777777" w:rsidTr="00D53E14">
        <w:trPr>
          <w:trHeight w:val="691"/>
        </w:trPr>
        <w:tc>
          <w:tcPr>
            <w:tcW w:w="3220" w:type="dxa"/>
            <w:vAlign w:val="center"/>
          </w:tcPr>
          <w:p w14:paraId="1284AD3B" w14:textId="77777777" w:rsidR="00D53E14" w:rsidRPr="004E3126" w:rsidRDefault="00D53E14" w:rsidP="00D53E14">
            <w:pPr>
              <w:rPr>
                <w:rFonts w:ascii="Arial" w:hAnsi="Arial" w:cs="Arial"/>
                <w:sz w:val="22"/>
                <w:szCs w:val="22"/>
              </w:rPr>
            </w:pPr>
            <w:r w:rsidRPr="004E3126">
              <w:rPr>
                <w:rFonts w:ascii="Arial" w:hAnsi="Arial" w:cs="Arial"/>
                <w:sz w:val="22"/>
                <w:szCs w:val="22"/>
              </w:rPr>
              <w:t>Lack of digital competence among managers</w:t>
            </w:r>
          </w:p>
        </w:tc>
        <w:tc>
          <w:tcPr>
            <w:tcW w:w="3220" w:type="dxa"/>
            <w:vAlign w:val="center"/>
          </w:tcPr>
          <w:p w14:paraId="06F65D52" w14:textId="77777777" w:rsidR="00D53E14" w:rsidRPr="004E3126" w:rsidRDefault="00D53E14" w:rsidP="00D53E14">
            <w:pPr>
              <w:rPr>
                <w:rFonts w:ascii="Arial" w:hAnsi="Arial" w:cs="Arial"/>
                <w:sz w:val="22"/>
                <w:szCs w:val="22"/>
              </w:rPr>
            </w:pPr>
            <w:r w:rsidRPr="004E3126">
              <w:rPr>
                <w:rFonts w:ascii="Arial" w:hAnsi="Arial" w:cs="Arial"/>
                <w:sz w:val="22"/>
                <w:szCs w:val="22"/>
              </w:rPr>
              <w:t>Poor guidance for employees, low adoption of digital tools, misalignment with organisational goals</w:t>
            </w:r>
          </w:p>
        </w:tc>
        <w:tc>
          <w:tcPr>
            <w:tcW w:w="4470" w:type="dxa"/>
            <w:vAlign w:val="center"/>
          </w:tcPr>
          <w:p w14:paraId="3466BEB3" w14:textId="77777777" w:rsidR="00D53E14" w:rsidRPr="004E3126" w:rsidRDefault="00D53E14" w:rsidP="00D53E14">
            <w:pPr>
              <w:rPr>
                <w:rFonts w:ascii="Arial" w:hAnsi="Arial" w:cs="Arial"/>
                <w:sz w:val="22"/>
                <w:szCs w:val="22"/>
              </w:rPr>
            </w:pPr>
            <w:r w:rsidRPr="004E3126">
              <w:rPr>
                <w:rFonts w:ascii="Arial" w:hAnsi="Arial" w:cs="Arial"/>
                <w:sz w:val="22"/>
                <w:szCs w:val="22"/>
              </w:rPr>
              <w:t>Invest in managerial digital literacy and leadership development programs; provide coaching and upskilling opportunities (Leonardi, 2021)</w:t>
            </w:r>
          </w:p>
        </w:tc>
      </w:tr>
      <w:tr w:rsidR="00D53E14" w:rsidRPr="004E3126" w14:paraId="4FFB0C8E" w14:textId="77777777" w:rsidTr="00D53E14">
        <w:trPr>
          <w:trHeight w:val="663"/>
        </w:trPr>
        <w:tc>
          <w:tcPr>
            <w:tcW w:w="3220" w:type="dxa"/>
            <w:vAlign w:val="center"/>
          </w:tcPr>
          <w:p w14:paraId="19DAA54F" w14:textId="77777777" w:rsidR="00D53E14" w:rsidRPr="004E3126" w:rsidRDefault="00D53E14" w:rsidP="00D53E14">
            <w:pPr>
              <w:rPr>
                <w:rFonts w:ascii="Arial" w:hAnsi="Arial" w:cs="Arial"/>
                <w:sz w:val="22"/>
                <w:szCs w:val="22"/>
              </w:rPr>
            </w:pPr>
            <w:r w:rsidRPr="004E3126">
              <w:rPr>
                <w:rFonts w:ascii="Arial" w:hAnsi="Arial" w:cs="Arial"/>
                <w:sz w:val="22"/>
                <w:szCs w:val="22"/>
              </w:rPr>
              <w:t>Challenges of flexible working arrangements (hybrid/remote)</w:t>
            </w:r>
          </w:p>
        </w:tc>
        <w:tc>
          <w:tcPr>
            <w:tcW w:w="3220" w:type="dxa"/>
            <w:vAlign w:val="center"/>
          </w:tcPr>
          <w:p w14:paraId="74049672" w14:textId="77777777" w:rsidR="00D53E14" w:rsidRPr="004E3126" w:rsidRDefault="00D53E14" w:rsidP="00D53E14">
            <w:pPr>
              <w:rPr>
                <w:rFonts w:ascii="Arial" w:hAnsi="Arial" w:cs="Arial"/>
                <w:sz w:val="22"/>
                <w:szCs w:val="22"/>
              </w:rPr>
            </w:pPr>
            <w:r w:rsidRPr="004E3126">
              <w:rPr>
                <w:rFonts w:ascii="Arial" w:hAnsi="Arial" w:cs="Arial"/>
                <w:sz w:val="22"/>
                <w:szCs w:val="22"/>
              </w:rPr>
              <w:t>Reduced team cohesion, inconsistent performance monitoring, perceived inequality</w:t>
            </w:r>
          </w:p>
        </w:tc>
        <w:tc>
          <w:tcPr>
            <w:tcW w:w="4470" w:type="dxa"/>
            <w:vAlign w:val="center"/>
          </w:tcPr>
          <w:p w14:paraId="6F0C8FF1" w14:textId="77777777" w:rsidR="00D53E14" w:rsidRPr="004E3126" w:rsidRDefault="00D53E14" w:rsidP="00D53E14">
            <w:pPr>
              <w:rPr>
                <w:rFonts w:ascii="Arial" w:hAnsi="Arial" w:cs="Arial"/>
                <w:sz w:val="22"/>
                <w:szCs w:val="22"/>
              </w:rPr>
            </w:pPr>
            <w:r w:rsidRPr="004E3126">
              <w:rPr>
                <w:rFonts w:ascii="Arial" w:hAnsi="Arial" w:cs="Arial"/>
                <w:sz w:val="22"/>
                <w:szCs w:val="22"/>
              </w:rPr>
              <w:t>Develop clear flexible working policies, outcome-based performance frameworks, and equitable application; managers monitor and support teams fairly (CIPD, 2022)</w:t>
            </w:r>
          </w:p>
        </w:tc>
      </w:tr>
      <w:tr w:rsidR="00D53E14" w:rsidRPr="004E3126" w14:paraId="10CD968C" w14:textId="77777777" w:rsidTr="00D53E14">
        <w:trPr>
          <w:trHeight w:val="663"/>
        </w:trPr>
        <w:tc>
          <w:tcPr>
            <w:tcW w:w="3220" w:type="dxa"/>
            <w:vAlign w:val="center"/>
          </w:tcPr>
          <w:p w14:paraId="6D1D951A" w14:textId="77777777" w:rsidR="00D53E14" w:rsidRPr="004E3126" w:rsidRDefault="00D53E14" w:rsidP="00D53E14">
            <w:pPr>
              <w:rPr>
                <w:rFonts w:ascii="Arial" w:hAnsi="Arial" w:cs="Arial"/>
                <w:sz w:val="22"/>
                <w:szCs w:val="22"/>
              </w:rPr>
            </w:pPr>
            <w:r w:rsidRPr="004E3126">
              <w:rPr>
                <w:rFonts w:ascii="Arial" w:hAnsi="Arial" w:cs="Arial"/>
                <w:sz w:val="22"/>
                <w:szCs w:val="22"/>
              </w:rPr>
              <w:t>Increased grievance cases due to change</w:t>
            </w:r>
          </w:p>
        </w:tc>
        <w:tc>
          <w:tcPr>
            <w:tcW w:w="3220" w:type="dxa"/>
            <w:vAlign w:val="center"/>
          </w:tcPr>
          <w:p w14:paraId="22EDE768" w14:textId="77777777" w:rsidR="00D53E14" w:rsidRPr="004E3126" w:rsidRDefault="00D53E14" w:rsidP="00D53E14">
            <w:pPr>
              <w:rPr>
                <w:rFonts w:ascii="Arial" w:hAnsi="Arial" w:cs="Arial"/>
                <w:sz w:val="22"/>
                <w:szCs w:val="22"/>
              </w:rPr>
            </w:pPr>
            <w:r w:rsidRPr="004E3126">
              <w:rPr>
                <w:rFonts w:ascii="Arial" w:hAnsi="Arial" w:cs="Arial"/>
                <w:sz w:val="22"/>
                <w:szCs w:val="22"/>
              </w:rPr>
              <w:t>Employee dissatisfaction, legal risk, reputational impact</w:t>
            </w:r>
          </w:p>
        </w:tc>
        <w:tc>
          <w:tcPr>
            <w:tcW w:w="4470" w:type="dxa"/>
            <w:vAlign w:val="center"/>
          </w:tcPr>
          <w:p w14:paraId="1BD3360F" w14:textId="77777777" w:rsidR="00D53E14" w:rsidRPr="004E3126" w:rsidRDefault="00D53E14" w:rsidP="00D53E14">
            <w:pPr>
              <w:rPr>
                <w:rFonts w:ascii="Arial" w:hAnsi="Arial" w:cs="Arial"/>
                <w:sz w:val="22"/>
                <w:szCs w:val="22"/>
              </w:rPr>
            </w:pPr>
            <w:r w:rsidRPr="004E3126">
              <w:rPr>
                <w:rFonts w:ascii="Arial" w:hAnsi="Arial" w:cs="Arial"/>
                <w:sz w:val="22"/>
                <w:szCs w:val="22"/>
              </w:rPr>
              <w:t>Implement transparent communication strategies, regular feedback loops, and wellbeing initiatives; managers address concerns promptly (Charalampous et al., 2019)</w:t>
            </w:r>
          </w:p>
        </w:tc>
      </w:tr>
      <w:tr w:rsidR="00D53E14" w:rsidRPr="004E3126" w14:paraId="4AB613DC" w14:textId="77777777" w:rsidTr="00D53E14">
        <w:trPr>
          <w:trHeight w:val="663"/>
        </w:trPr>
        <w:tc>
          <w:tcPr>
            <w:tcW w:w="3220" w:type="dxa"/>
            <w:vAlign w:val="center"/>
          </w:tcPr>
          <w:p w14:paraId="3A153C12" w14:textId="77777777" w:rsidR="00D53E14" w:rsidRPr="004E3126" w:rsidRDefault="00D53E14" w:rsidP="00D53E14">
            <w:pPr>
              <w:rPr>
                <w:rFonts w:ascii="Arial" w:hAnsi="Arial" w:cs="Arial"/>
                <w:sz w:val="22"/>
                <w:szCs w:val="22"/>
              </w:rPr>
            </w:pPr>
            <w:r w:rsidRPr="004E3126">
              <w:rPr>
                <w:rFonts w:ascii="Arial" w:hAnsi="Arial" w:cs="Arial"/>
                <w:sz w:val="22"/>
                <w:szCs w:val="22"/>
              </w:rPr>
              <w:t>Poor communication of organisational change</w:t>
            </w:r>
          </w:p>
        </w:tc>
        <w:tc>
          <w:tcPr>
            <w:tcW w:w="3220" w:type="dxa"/>
            <w:vAlign w:val="center"/>
          </w:tcPr>
          <w:p w14:paraId="5BAE55C1" w14:textId="77777777" w:rsidR="00D53E14" w:rsidRPr="004E3126" w:rsidRDefault="00D53E14" w:rsidP="00D53E14">
            <w:pPr>
              <w:rPr>
                <w:rFonts w:ascii="Arial" w:hAnsi="Arial" w:cs="Arial"/>
                <w:sz w:val="22"/>
                <w:szCs w:val="22"/>
              </w:rPr>
            </w:pPr>
            <w:r w:rsidRPr="004E3126">
              <w:rPr>
                <w:rFonts w:ascii="Arial" w:hAnsi="Arial" w:cs="Arial"/>
                <w:sz w:val="22"/>
                <w:szCs w:val="22"/>
              </w:rPr>
              <w:t>Confusion, disengagement, slower adoption of HR practices</w:t>
            </w:r>
          </w:p>
        </w:tc>
        <w:tc>
          <w:tcPr>
            <w:tcW w:w="4470" w:type="dxa"/>
            <w:vAlign w:val="center"/>
          </w:tcPr>
          <w:p w14:paraId="4A1CB770" w14:textId="77777777" w:rsidR="00D53E14" w:rsidRPr="004E3126" w:rsidRDefault="00D53E14" w:rsidP="00D53E14">
            <w:pPr>
              <w:rPr>
                <w:rFonts w:ascii="Arial" w:hAnsi="Arial" w:cs="Arial"/>
                <w:sz w:val="22"/>
                <w:szCs w:val="22"/>
              </w:rPr>
            </w:pPr>
            <w:r w:rsidRPr="004E3126">
              <w:rPr>
                <w:rFonts w:ascii="Arial" w:hAnsi="Arial" w:cs="Arial"/>
                <w:sz w:val="22"/>
                <w:szCs w:val="22"/>
              </w:rPr>
              <w:t>Use multi-channel communication: emails, dashboards, virtual town halls, team briefings; managers reinforce rationale and urgency for initiatives (Kotter, 2012)</w:t>
            </w:r>
          </w:p>
        </w:tc>
      </w:tr>
      <w:tr w:rsidR="00D53E14" w:rsidRPr="004E3126" w14:paraId="2A373450" w14:textId="77777777" w:rsidTr="00D53E14">
        <w:trPr>
          <w:trHeight w:val="691"/>
        </w:trPr>
        <w:tc>
          <w:tcPr>
            <w:tcW w:w="3220" w:type="dxa"/>
            <w:vAlign w:val="center"/>
          </w:tcPr>
          <w:p w14:paraId="4624C666" w14:textId="77777777" w:rsidR="00D53E14" w:rsidRPr="004E3126" w:rsidRDefault="00D53E14" w:rsidP="00D53E14">
            <w:pPr>
              <w:rPr>
                <w:rFonts w:ascii="Arial" w:hAnsi="Arial" w:cs="Arial"/>
                <w:sz w:val="22"/>
                <w:szCs w:val="22"/>
              </w:rPr>
            </w:pPr>
            <w:r w:rsidRPr="004E3126">
              <w:rPr>
                <w:rFonts w:ascii="Arial" w:hAnsi="Arial" w:cs="Arial"/>
                <w:sz w:val="22"/>
                <w:szCs w:val="22"/>
              </w:rPr>
              <w:t>Compliance and regulatory risk</w:t>
            </w:r>
          </w:p>
        </w:tc>
        <w:tc>
          <w:tcPr>
            <w:tcW w:w="3220" w:type="dxa"/>
            <w:vAlign w:val="center"/>
          </w:tcPr>
          <w:p w14:paraId="0BDC0AFA" w14:textId="77777777" w:rsidR="00D53E14" w:rsidRPr="004E3126" w:rsidRDefault="00D53E14" w:rsidP="00D53E14">
            <w:pPr>
              <w:rPr>
                <w:rFonts w:ascii="Arial" w:hAnsi="Arial" w:cs="Arial"/>
                <w:sz w:val="22"/>
                <w:szCs w:val="22"/>
              </w:rPr>
            </w:pPr>
            <w:r w:rsidRPr="004E3126">
              <w:rPr>
                <w:rFonts w:ascii="Arial" w:hAnsi="Arial" w:cs="Arial"/>
                <w:sz w:val="22"/>
                <w:szCs w:val="22"/>
              </w:rPr>
              <w:t>Legal breaches, reputational damage, penalties</w:t>
            </w:r>
          </w:p>
        </w:tc>
        <w:tc>
          <w:tcPr>
            <w:tcW w:w="4470" w:type="dxa"/>
            <w:vAlign w:val="center"/>
          </w:tcPr>
          <w:p w14:paraId="139DDD15" w14:textId="77777777" w:rsidR="00D53E14" w:rsidRPr="004E3126" w:rsidRDefault="00D53E14" w:rsidP="00D53E14">
            <w:pPr>
              <w:rPr>
                <w:rFonts w:ascii="Arial" w:hAnsi="Arial" w:cs="Arial"/>
                <w:sz w:val="22"/>
                <w:szCs w:val="22"/>
              </w:rPr>
            </w:pPr>
            <w:r w:rsidRPr="004E3126">
              <w:rPr>
                <w:rFonts w:ascii="Arial" w:hAnsi="Arial" w:cs="Arial"/>
                <w:sz w:val="22"/>
                <w:szCs w:val="22"/>
              </w:rPr>
              <w:t>Managers enforce adherence to HR policies, conduct audits, and integrate compliance into performance monitoring (Leonardi, 2021)</w:t>
            </w:r>
          </w:p>
        </w:tc>
      </w:tr>
      <w:tr w:rsidR="00D53E14" w:rsidRPr="004E3126" w14:paraId="699C7268" w14:textId="77777777" w:rsidTr="00D53E14">
        <w:trPr>
          <w:trHeight w:val="663"/>
        </w:trPr>
        <w:tc>
          <w:tcPr>
            <w:tcW w:w="3220" w:type="dxa"/>
            <w:vAlign w:val="center"/>
          </w:tcPr>
          <w:p w14:paraId="22DEB80E" w14:textId="77777777" w:rsidR="00D53E14" w:rsidRPr="004E3126" w:rsidRDefault="00D53E14" w:rsidP="00D53E14">
            <w:pPr>
              <w:rPr>
                <w:rFonts w:ascii="Arial" w:hAnsi="Arial" w:cs="Arial"/>
                <w:sz w:val="22"/>
                <w:szCs w:val="22"/>
              </w:rPr>
            </w:pPr>
            <w:r w:rsidRPr="004E3126">
              <w:rPr>
                <w:rFonts w:ascii="Arial" w:hAnsi="Arial" w:cs="Arial"/>
                <w:sz w:val="22"/>
                <w:szCs w:val="22"/>
              </w:rPr>
              <w:t>Ineffective performance management in hybrid teams</w:t>
            </w:r>
          </w:p>
        </w:tc>
        <w:tc>
          <w:tcPr>
            <w:tcW w:w="3220" w:type="dxa"/>
            <w:vAlign w:val="center"/>
          </w:tcPr>
          <w:p w14:paraId="5547C681" w14:textId="77777777" w:rsidR="00D53E14" w:rsidRPr="004E3126" w:rsidRDefault="00D53E14" w:rsidP="00D53E14">
            <w:pPr>
              <w:rPr>
                <w:rFonts w:ascii="Arial" w:hAnsi="Arial" w:cs="Arial"/>
                <w:sz w:val="22"/>
                <w:szCs w:val="22"/>
              </w:rPr>
            </w:pPr>
            <w:r w:rsidRPr="004E3126">
              <w:rPr>
                <w:rFonts w:ascii="Arial" w:hAnsi="Arial" w:cs="Arial"/>
                <w:sz w:val="22"/>
                <w:szCs w:val="22"/>
              </w:rPr>
              <w:t>Reduced accountability, unclear objectives, lower employee motivation</w:t>
            </w:r>
          </w:p>
        </w:tc>
        <w:tc>
          <w:tcPr>
            <w:tcW w:w="4470" w:type="dxa"/>
            <w:vAlign w:val="center"/>
          </w:tcPr>
          <w:p w14:paraId="3D971F66" w14:textId="77777777" w:rsidR="00D53E14" w:rsidRPr="004E3126" w:rsidRDefault="00D53E14" w:rsidP="00D53E14">
            <w:pPr>
              <w:rPr>
                <w:rFonts w:ascii="Arial" w:hAnsi="Arial" w:cs="Arial"/>
                <w:sz w:val="22"/>
                <w:szCs w:val="22"/>
              </w:rPr>
            </w:pPr>
            <w:r w:rsidRPr="004E3126">
              <w:rPr>
                <w:rFonts w:ascii="Arial" w:hAnsi="Arial" w:cs="Arial"/>
                <w:sz w:val="22"/>
                <w:szCs w:val="22"/>
              </w:rPr>
              <w:t>Implement continuous performance management, regular check-ins, and constructive feedback aligned with digital and flexible work objectives (Purcell &amp; Hutchinson, 2007)</w:t>
            </w:r>
          </w:p>
        </w:tc>
      </w:tr>
      <w:tr w:rsidR="00D53E14" w:rsidRPr="004E3126" w14:paraId="400F2047" w14:textId="77777777" w:rsidTr="00D53E14">
        <w:trPr>
          <w:trHeight w:val="663"/>
        </w:trPr>
        <w:tc>
          <w:tcPr>
            <w:tcW w:w="3220" w:type="dxa"/>
            <w:vAlign w:val="center"/>
          </w:tcPr>
          <w:p w14:paraId="31DDDE44" w14:textId="77777777" w:rsidR="00D53E14" w:rsidRPr="004E3126" w:rsidRDefault="00D53E14" w:rsidP="00D53E14">
            <w:pPr>
              <w:rPr>
                <w:rFonts w:ascii="Arial" w:hAnsi="Arial" w:cs="Arial"/>
                <w:sz w:val="22"/>
                <w:szCs w:val="22"/>
              </w:rPr>
            </w:pPr>
            <w:r w:rsidRPr="004E3126">
              <w:rPr>
                <w:rFonts w:ascii="Arial" w:hAnsi="Arial" w:cs="Arial"/>
                <w:sz w:val="22"/>
                <w:szCs w:val="22"/>
              </w:rPr>
              <w:t>Employee wellbeing challenges due to transformation</w:t>
            </w:r>
          </w:p>
        </w:tc>
        <w:tc>
          <w:tcPr>
            <w:tcW w:w="3220" w:type="dxa"/>
            <w:vAlign w:val="center"/>
          </w:tcPr>
          <w:p w14:paraId="27A4B26B" w14:textId="77777777" w:rsidR="00D53E14" w:rsidRPr="004E3126" w:rsidRDefault="00D53E14" w:rsidP="00D53E14">
            <w:pPr>
              <w:rPr>
                <w:rFonts w:ascii="Arial" w:hAnsi="Arial" w:cs="Arial"/>
                <w:sz w:val="22"/>
                <w:szCs w:val="22"/>
              </w:rPr>
            </w:pPr>
            <w:r w:rsidRPr="004E3126">
              <w:rPr>
                <w:rFonts w:ascii="Arial" w:hAnsi="Arial" w:cs="Arial"/>
                <w:sz w:val="22"/>
                <w:szCs w:val="22"/>
              </w:rPr>
              <w:t>Stress, burnout, absenteeism, lower engagement</w:t>
            </w:r>
          </w:p>
        </w:tc>
        <w:tc>
          <w:tcPr>
            <w:tcW w:w="4470" w:type="dxa"/>
            <w:vAlign w:val="center"/>
          </w:tcPr>
          <w:p w14:paraId="745D72EF" w14:textId="77777777" w:rsidR="00D53E14" w:rsidRPr="004E3126" w:rsidRDefault="00D53E14" w:rsidP="00D53E14">
            <w:pPr>
              <w:rPr>
                <w:rFonts w:ascii="Arial" w:hAnsi="Arial" w:cs="Arial"/>
                <w:sz w:val="22"/>
                <w:szCs w:val="22"/>
              </w:rPr>
            </w:pPr>
            <w:r w:rsidRPr="004E3126">
              <w:rPr>
                <w:rFonts w:ascii="Arial" w:hAnsi="Arial" w:cs="Arial"/>
                <w:sz w:val="22"/>
                <w:szCs w:val="22"/>
              </w:rPr>
              <w:t>Offer wellbeing programs, virtual wellness sessions, workload management strategies, and early interventions (CIPD, 2022; McDowell et al., 2020)</w:t>
            </w:r>
          </w:p>
        </w:tc>
      </w:tr>
      <w:tr w:rsidR="00D53E14" w:rsidRPr="004E3126" w14:paraId="622F9A16" w14:textId="77777777" w:rsidTr="00D53E14">
        <w:trPr>
          <w:trHeight w:val="663"/>
        </w:trPr>
        <w:tc>
          <w:tcPr>
            <w:tcW w:w="3220" w:type="dxa"/>
            <w:vAlign w:val="center"/>
          </w:tcPr>
          <w:p w14:paraId="1F561B89" w14:textId="77777777" w:rsidR="00D53E14" w:rsidRPr="004E3126" w:rsidRDefault="00D53E14" w:rsidP="00D53E14">
            <w:pPr>
              <w:rPr>
                <w:rFonts w:ascii="Arial" w:hAnsi="Arial" w:cs="Arial"/>
                <w:sz w:val="22"/>
                <w:szCs w:val="22"/>
              </w:rPr>
            </w:pPr>
            <w:r w:rsidRPr="004E3126">
              <w:rPr>
                <w:rFonts w:ascii="Arial" w:hAnsi="Arial" w:cs="Arial"/>
                <w:sz w:val="22"/>
                <w:szCs w:val="22"/>
              </w:rPr>
              <w:t>Cultural resistance to change</w:t>
            </w:r>
          </w:p>
        </w:tc>
        <w:tc>
          <w:tcPr>
            <w:tcW w:w="3220" w:type="dxa"/>
            <w:vAlign w:val="center"/>
          </w:tcPr>
          <w:p w14:paraId="456B2525" w14:textId="77777777" w:rsidR="00D53E14" w:rsidRPr="004E3126" w:rsidRDefault="00D53E14" w:rsidP="00D53E14">
            <w:pPr>
              <w:rPr>
                <w:rFonts w:ascii="Arial" w:hAnsi="Arial" w:cs="Arial"/>
                <w:sz w:val="22"/>
                <w:szCs w:val="22"/>
              </w:rPr>
            </w:pPr>
            <w:r w:rsidRPr="004E3126">
              <w:rPr>
                <w:rFonts w:ascii="Arial" w:hAnsi="Arial" w:cs="Arial"/>
                <w:sz w:val="22"/>
                <w:szCs w:val="22"/>
              </w:rPr>
              <w:t>Slow adoption of transformation initiatives, reduced innovation</w:t>
            </w:r>
          </w:p>
        </w:tc>
        <w:tc>
          <w:tcPr>
            <w:tcW w:w="4470" w:type="dxa"/>
            <w:vAlign w:val="center"/>
          </w:tcPr>
          <w:p w14:paraId="3A7CD622" w14:textId="77777777" w:rsidR="00D53E14" w:rsidRPr="004E3126" w:rsidRDefault="00D53E14" w:rsidP="00D53E14">
            <w:pPr>
              <w:rPr>
                <w:rFonts w:ascii="Arial" w:hAnsi="Arial" w:cs="Arial"/>
                <w:sz w:val="22"/>
                <w:szCs w:val="22"/>
              </w:rPr>
            </w:pPr>
            <w:r w:rsidRPr="004E3126">
              <w:rPr>
                <w:rFonts w:ascii="Arial" w:hAnsi="Arial" w:cs="Arial"/>
                <w:sz w:val="22"/>
                <w:szCs w:val="22"/>
              </w:rPr>
              <w:t xml:space="preserve">Managers act as change champions, apply change models (e.g., Lewin’s unfreeze-change-refreeze), and encourage </w:t>
            </w:r>
            <w:r w:rsidRPr="004E3126">
              <w:rPr>
                <w:rFonts w:ascii="Arial" w:hAnsi="Arial" w:cs="Arial"/>
                <w:sz w:val="22"/>
                <w:szCs w:val="22"/>
              </w:rPr>
              <w:lastRenderedPageBreak/>
              <w:t>recognition, collaboration, and iterative feedback (Lewin, 1951; Kotter, 2012)</w:t>
            </w:r>
          </w:p>
        </w:tc>
      </w:tr>
    </w:tbl>
    <w:p w14:paraId="79BB4791" w14:textId="77777777" w:rsidR="00F532D6" w:rsidRDefault="00F532D6" w:rsidP="003E00DF">
      <w:pPr>
        <w:spacing w:line="360" w:lineRule="auto"/>
        <w:rPr>
          <w:rFonts w:ascii="Arial" w:hAnsi="Arial" w:cs="Arial"/>
          <w:b/>
          <w:bCs/>
          <w:sz w:val="22"/>
          <w:szCs w:val="22"/>
        </w:rPr>
      </w:pPr>
    </w:p>
    <w:p w14:paraId="4221588F" w14:textId="77777777" w:rsidR="00F532D6" w:rsidRPr="004765FA" w:rsidRDefault="00F532D6" w:rsidP="003E00DF">
      <w:pPr>
        <w:spacing w:line="360" w:lineRule="auto"/>
        <w:rPr>
          <w:rFonts w:ascii="Arial" w:hAnsi="Arial" w:cs="Arial"/>
          <w:b/>
          <w:bCs/>
          <w:sz w:val="22"/>
          <w:szCs w:val="22"/>
        </w:rPr>
      </w:pPr>
    </w:p>
    <w:p w14:paraId="4D655FE8" w14:textId="4DBF5B56" w:rsidR="009D238C" w:rsidRPr="004765FA" w:rsidRDefault="009D238C" w:rsidP="009D238C">
      <w:pPr>
        <w:spacing w:line="360" w:lineRule="auto"/>
        <w:rPr>
          <w:rFonts w:ascii="Arial" w:hAnsi="Arial" w:cs="Arial"/>
          <w:sz w:val="22"/>
          <w:szCs w:val="22"/>
        </w:rPr>
      </w:pPr>
      <w:r w:rsidRPr="004765FA">
        <w:rPr>
          <w:rFonts w:ascii="Arial" w:hAnsi="Arial" w:cs="Arial"/>
          <w:sz w:val="22"/>
          <w:szCs w:val="22"/>
        </w:rPr>
        <w:t xml:space="preserve">5. Recommendations </w:t>
      </w:r>
      <w:r w:rsidR="001D5D79" w:rsidRPr="004765FA">
        <w:rPr>
          <w:rFonts w:ascii="Arial" w:hAnsi="Arial" w:cs="Arial"/>
          <w:sz w:val="22"/>
          <w:szCs w:val="22"/>
        </w:rPr>
        <w:t xml:space="preserve">and conclusions </w:t>
      </w:r>
    </w:p>
    <w:p w14:paraId="48970AC8" w14:textId="77777777" w:rsidR="009D238C" w:rsidRPr="004765FA" w:rsidRDefault="009D238C" w:rsidP="009D238C">
      <w:pPr>
        <w:spacing w:line="360" w:lineRule="auto"/>
        <w:rPr>
          <w:rFonts w:ascii="Arial" w:hAnsi="Arial" w:cs="Arial"/>
          <w:sz w:val="22"/>
          <w:szCs w:val="22"/>
        </w:rPr>
      </w:pPr>
      <w:r w:rsidRPr="004765FA">
        <w:rPr>
          <w:rFonts w:ascii="Arial" w:hAnsi="Arial" w:cs="Arial"/>
          <w:sz w:val="22"/>
          <w:szCs w:val="22"/>
        </w:rPr>
        <w:t>Recommendations</w:t>
      </w:r>
    </w:p>
    <w:p w14:paraId="658573F8" w14:textId="77777777" w:rsidR="009D238C" w:rsidRPr="004765FA" w:rsidRDefault="009D238C" w:rsidP="009D238C">
      <w:pPr>
        <w:numPr>
          <w:ilvl w:val="0"/>
          <w:numId w:val="7"/>
        </w:numPr>
        <w:spacing w:line="360" w:lineRule="auto"/>
        <w:rPr>
          <w:rFonts w:ascii="Arial" w:hAnsi="Arial" w:cs="Arial"/>
          <w:sz w:val="22"/>
          <w:szCs w:val="22"/>
        </w:rPr>
      </w:pPr>
      <w:r w:rsidRPr="004765FA">
        <w:rPr>
          <w:rFonts w:ascii="Arial" w:hAnsi="Arial" w:cs="Arial"/>
          <w:sz w:val="22"/>
          <w:szCs w:val="22"/>
        </w:rPr>
        <w:t>Managerial Development: Invest in training programs to enhance digital literacy, emotional intelligence, and change management skills for all departmental managers at Barclays.</w:t>
      </w:r>
    </w:p>
    <w:p w14:paraId="4BBEDEB7" w14:textId="77777777" w:rsidR="009D238C" w:rsidRPr="004765FA" w:rsidRDefault="009D238C" w:rsidP="009D238C">
      <w:pPr>
        <w:numPr>
          <w:ilvl w:val="0"/>
          <w:numId w:val="7"/>
        </w:numPr>
        <w:spacing w:line="360" w:lineRule="auto"/>
        <w:rPr>
          <w:rFonts w:ascii="Arial" w:hAnsi="Arial" w:cs="Arial"/>
          <w:sz w:val="22"/>
          <w:szCs w:val="22"/>
        </w:rPr>
      </w:pPr>
      <w:r w:rsidRPr="004765FA">
        <w:rPr>
          <w:rFonts w:ascii="Arial" w:hAnsi="Arial" w:cs="Arial"/>
          <w:sz w:val="22"/>
          <w:szCs w:val="22"/>
        </w:rPr>
        <w:t>Structured Communication: Implement multi-channel communication strategies to ensure clarity and transparency for both remote and on-site employees.</w:t>
      </w:r>
    </w:p>
    <w:p w14:paraId="7472E25A" w14:textId="77777777" w:rsidR="009D238C" w:rsidRPr="004765FA" w:rsidRDefault="009D238C" w:rsidP="009D238C">
      <w:pPr>
        <w:numPr>
          <w:ilvl w:val="0"/>
          <w:numId w:val="7"/>
        </w:numPr>
        <w:spacing w:line="360" w:lineRule="auto"/>
        <w:rPr>
          <w:rFonts w:ascii="Arial" w:hAnsi="Arial" w:cs="Arial"/>
          <w:sz w:val="22"/>
          <w:szCs w:val="22"/>
        </w:rPr>
      </w:pPr>
      <w:r w:rsidRPr="004765FA">
        <w:rPr>
          <w:rFonts w:ascii="Arial" w:hAnsi="Arial" w:cs="Arial"/>
          <w:sz w:val="22"/>
          <w:szCs w:val="22"/>
        </w:rPr>
        <w:t>Performance and Wellbeing Integration: Introduce outcome-focused performance frameworks and proactive wellbeing initiatives to support flexible work arrangements.</w:t>
      </w:r>
    </w:p>
    <w:p w14:paraId="766288A9" w14:textId="77777777" w:rsidR="009D238C" w:rsidRPr="004765FA" w:rsidRDefault="009D238C" w:rsidP="009D238C">
      <w:pPr>
        <w:numPr>
          <w:ilvl w:val="0"/>
          <w:numId w:val="7"/>
        </w:numPr>
        <w:spacing w:line="360" w:lineRule="auto"/>
        <w:rPr>
          <w:rFonts w:ascii="Arial" w:hAnsi="Arial" w:cs="Arial"/>
          <w:sz w:val="22"/>
          <w:szCs w:val="22"/>
        </w:rPr>
      </w:pPr>
      <w:r w:rsidRPr="004765FA">
        <w:rPr>
          <w:rFonts w:ascii="Arial" w:hAnsi="Arial" w:cs="Arial"/>
          <w:sz w:val="22"/>
          <w:szCs w:val="22"/>
        </w:rPr>
        <w:t>Monitoring and Feedback: Establish regular audits, feedback loops, and recognition schemes to encourage consistent adoption of HR practices.</w:t>
      </w:r>
    </w:p>
    <w:p w14:paraId="3D219FE0" w14:textId="77777777" w:rsidR="009D238C" w:rsidRPr="004765FA" w:rsidRDefault="009D238C" w:rsidP="009D238C">
      <w:pPr>
        <w:numPr>
          <w:ilvl w:val="0"/>
          <w:numId w:val="7"/>
        </w:numPr>
        <w:spacing w:line="360" w:lineRule="auto"/>
        <w:rPr>
          <w:rFonts w:ascii="Arial" w:hAnsi="Arial" w:cs="Arial"/>
          <w:sz w:val="22"/>
          <w:szCs w:val="22"/>
        </w:rPr>
      </w:pPr>
      <w:r w:rsidRPr="004765FA">
        <w:rPr>
          <w:rFonts w:ascii="Arial" w:hAnsi="Arial" w:cs="Arial"/>
          <w:sz w:val="22"/>
          <w:szCs w:val="22"/>
        </w:rPr>
        <w:t>Leadership Support: Ensure senior leadership actively champions digital and flexible work initiatives, providing resources and aligning objectives to reinforce urgency and compliance.</w:t>
      </w:r>
    </w:p>
    <w:p w14:paraId="4DFF1E2E" w14:textId="77777777" w:rsidR="009D238C" w:rsidRPr="004765FA" w:rsidRDefault="009D238C" w:rsidP="009D238C">
      <w:pPr>
        <w:spacing w:line="360" w:lineRule="auto"/>
        <w:rPr>
          <w:rFonts w:ascii="Arial" w:hAnsi="Arial" w:cs="Arial"/>
          <w:sz w:val="22"/>
          <w:szCs w:val="22"/>
        </w:rPr>
      </w:pPr>
      <w:r w:rsidRPr="004765FA">
        <w:rPr>
          <w:rFonts w:ascii="Arial" w:hAnsi="Arial" w:cs="Arial"/>
          <w:sz w:val="22"/>
          <w:szCs w:val="22"/>
        </w:rPr>
        <w:t>By following these recommendations, Barclays can achieve effective HR implementation, reduce grievances, and maximise the benefits of digital and flexible work practices.</w:t>
      </w:r>
    </w:p>
    <w:p w14:paraId="424914B5" w14:textId="77777777" w:rsidR="003F2109" w:rsidRPr="004765FA" w:rsidRDefault="003F2109" w:rsidP="003E00DF">
      <w:pPr>
        <w:spacing w:line="360" w:lineRule="auto"/>
        <w:rPr>
          <w:rFonts w:ascii="Arial" w:hAnsi="Arial" w:cs="Arial"/>
          <w:b/>
          <w:bCs/>
          <w:sz w:val="22"/>
          <w:szCs w:val="22"/>
        </w:rPr>
      </w:pPr>
    </w:p>
    <w:p w14:paraId="2020413F" w14:textId="77777777" w:rsidR="00141EEF" w:rsidRPr="004765FA" w:rsidRDefault="00141EEF" w:rsidP="00141EEF">
      <w:pPr>
        <w:spacing w:line="360" w:lineRule="auto"/>
        <w:rPr>
          <w:rFonts w:ascii="Arial" w:hAnsi="Arial" w:cs="Arial"/>
          <w:sz w:val="22"/>
          <w:szCs w:val="22"/>
        </w:rPr>
      </w:pPr>
      <w:r w:rsidRPr="004765FA">
        <w:rPr>
          <w:rFonts w:ascii="Arial" w:hAnsi="Arial" w:cs="Arial"/>
          <w:sz w:val="22"/>
          <w:szCs w:val="22"/>
        </w:rPr>
        <w:t>Conclusion</w:t>
      </w:r>
    </w:p>
    <w:p w14:paraId="5115AAD2" w14:textId="70204CCA" w:rsidR="00D53E14" w:rsidRPr="00D53E14" w:rsidRDefault="00141EEF" w:rsidP="003E00DF">
      <w:pPr>
        <w:spacing w:line="360" w:lineRule="auto"/>
        <w:rPr>
          <w:rFonts w:ascii="Arial" w:hAnsi="Arial" w:cs="Arial"/>
          <w:sz w:val="22"/>
          <w:szCs w:val="22"/>
        </w:rPr>
      </w:pPr>
      <w:r w:rsidRPr="004765FA">
        <w:rPr>
          <w:rFonts w:ascii="Arial" w:hAnsi="Arial" w:cs="Arial"/>
          <w:sz w:val="22"/>
          <w:szCs w:val="22"/>
        </w:rPr>
        <w:t>The analysis demonstrates that digital technology trends and flexible working arrangements are central drivers of organisational transformation at Barclays, presenting both opportunities and challenges. Contemporary HR practices</w:t>
      </w:r>
      <w:r w:rsidR="00B46190">
        <w:rPr>
          <w:rFonts w:ascii="Arial" w:hAnsi="Arial" w:cs="Arial"/>
          <w:sz w:val="22"/>
          <w:szCs w:val="22"/>
        </w:rPr>
        <w:t xml:space="preserve">, </w:t>
      </w:r>
      <w:r w:rsidRPr="004765FA">
        <w:rPr>
          <w:rFonts w:ascii="Arial" w:hAnsi="Arial" w:cs="Arial"/>
          <w:sz w:val="22"/>
          <w:szCs w:val="22"/>
        </w:rPr>
        <w:t>including digital training, performance management, employee engagement initiatives, and wellbeing strategies</w:t>
      </w:r>
      <w:r w:rsidR="00B46190">
        <w:rPr>
          <w:rFonts w:ascii="Arial" w:hAnsi="Arial" w:cs="Arial"/>
          <w:sz w:val="22"/>
          <w:szCs w:val="22"/>
        </w:rPr>
        <w:t xml:space="preserve"> </w:t>
      </w:r>
      <w:r w:rsidRPr="004765FA">
        <w:rPr>
          <w:rFonts w:ascii="Arial" w:hAnsi="Arial" w:cs="Arial"/>
          <w:sz w:val="22"/>
          <w:szCs w:val="22"/>
        </w:rPr>
        <w:t>are essential in mitigating risks and enhancing adoption. Successful implementation relies heavily on departmental managers who must exercise strategic communication, digital competence, equitable decision-making, and change leadership. Failure to embed these practices rapidly can exacerbate grievances, reduce productivity, and undermine organisational objectives.</w:t>
      </w:r>
    </w:p>
    <w:p w14:paraId="10965CBA" w14:textId="77777777" w:rsidR="00D53E14" w:rsidRDefault="00D53E14" w:rsidP="003E00DF">
      <w:pPr>
        <w:spacing w:line="360" w:lineRule="auto"/>
        <w:rPr>
          <w:rFonts w:ascii="Arial" w:hAnsi="Arial" w:cs="Arial"/>
          <w:b/>
          <w:bCs/>
          <w:sz w:val="22"/>
          <w:szCs w:val="22"/>
        </w:rPr>
      </w:pPr>
    </w:p>
    <w:p w14:paraId="3B641286" w14:textId="47472D01" w:rsidR="00975323" w:rsidRPr="004765FA" w:rsidRDefault="00975323" w:rsidP="003E00DF">
      <w:pPr>
        <w:spacing w:line="360" w:lineRule="auto"/>
        <w:rPr>
          <w:rFonts w:ascii="Arial" w:hAnsi="Arial" w:cs="Arial"/>
          <w:sz w:val="22"/>
          <w:szCs w:val="22"/>
        </w:rPr>
      </w:pPr>
      <w:r w:rsidRPr="004765FA">
        <w:rPr>
          <w:rFonts w:ascii="Arial" w:hAnsi="Arial" w:cs="Arial"/>
          <w:b/>
          <w:bCs/>
          <w:sz w:val="22"/>
          <w:szCs w:val="22"/>
        </w:rPr>
        <w:lastRenderedPageBreak/>
        <w:t>References</w:t>
      </w:r>
    </w:p>
    <w:p w14:paraId="2104B3B0"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Bondarouk, T. &amp; Brewster, C. (2016) 'Conceptualising the future of HRM and technology research', </w:t>
      </w:r>
      <w:r w:rsidRPr="004765FA">
        <w:rPr>
          <w:rFonts w:ascii="Arial" w:hAnsi="Arial" w:cs="Arial"/>
          <w:i/>
          <w:iCs/>
          <w:sz w:val="22"/>
          <w:szCs w:val="22"/>
        </w:rPr>
        <w:t>The International Journal of Human Resource Management</w:t>
      </w:r>
      <w:r w:rsidRPr="004765FA">
        <w:rPr>
          <w:rFonts w:ascii="Arial" w:hAnsi="Arial" w:cs="Arial"/>
          <w:sz w:val="22"/>
          <w:szCs w:val="22"/>
        </w:rPr>
        <w:t>, 27(21), pp. 2652-2671.</w:t>
      </w:r>
    </w:p>
    <w:p w14:paraId="4C6E1F95"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CIPD (2022) </w:t>
      </w:r>
      <w:r w:rsidRPr="004765FA">
        <w:rPr>
          <w:rFonts w:ascii="Arial" w:hAnsi="Arial" w:cs="Arial"/>
          <w:i/>
          <w:iCs/>
          <w:sz w:val="22"/>
          <w:szCs w:val="22"/>
        </w:rPr>
        <w:t>Flexible Working Practices Report</w:t>
      </w:r>
      <w:r w:rsidRPr="004765FA">
        <w:rPr>
          <w:rFonts w:ascii="Arial" w:hAnsi="Arial" w:cs="Arial"/>
          <w:sz w:val="22"/>
          <w:szCs w:val="22"/>
        </w:rPr>
        <w:t>. London: CIPD.</w:t>
      </w:r>
    </w:p>
    <w:p w14:paraId="37BE7D42"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Kotter, J. (2012) </w:t>
      </w:r>
      <w:r w:rsidRPr="004765FA">
        <w:rPr>
          <w:rFonts w:ascii="Arial" w:hAnsi="Arial" w:cs="Arial"/>
          <w:i/>
          <w:iCs/>
          <w:sz w:val="22"/>
          <w:szCs w:val="22"/>
        </w:rPr>
        <w:t>Leading Change</w:t>
      </w:r>
      <w:r w:rsidRPr="004765FA">
        <w:rPr>
          <w:rFonts w:ascii="Arial" w:hAnsi="Arial" w:cs="Arial"/>
          <w:sz w:val="22"/>
          <w:szCs w:val="22"/>
        </w:rPr>
        <w:t>. Harvard Business Review Press.</w:t>
      </w:r>
    </w:p>
    <w:p w14:paraId="21D8168F"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Leonardi, P. (2021) </w:t>
      </w:r>
      <w:r w:rsidRPr="004765FA">
        <w:rPr>
          <w:rFonts w:ascii="Arial" w:hAnsi="Arial" w:cs="Arial"/>
          <w:i/>
          <w:iCs/>
          <w:sz w:val="22"/>
          <w:szCs w:val="22"/>
        </w:rPr>
        <w:t>The Digital Mindset: What it Takes to Compete in the Age of Data</w:t>
      </w:r>
      <w:r w:rsidRPr="004765FA">
        <w:rPr>
          <w:rFonts w:ascii="Arial" w:hAnsi="Arial" w:cs="Arial"/>
          <w:sz w:val="22"/>
          <w:szCs w:val="22"/>
        </w:rPr>
        <w:t>. Harvard Business School Press.</w:t>
      </w:r>
    </w:p>
    <w:p w14:paraId="79E62DA8"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McDowell, C. et al. (2020) 'Mental health challenges in the workforce', </w:t>
      </w:r>
      <w:r w:rsidRPr="004765FA">
        <w:rPr>
          <w:rFonts w:ascii="Arial" w:hAnsi="Arial" w:cs="Arial"/>
          <w:i/>
          <w:iCs/>
          <w:sz w:val="22"/>
          <w:szCs w:val="22"/>
        </w:rPr>
        <w:t>HR Review Journal</w:t>
      </w:r>
      <w:r w:rsidRPr="004765FA">
        <w:rPr>
          <w:rFonts w:ascii="Arial" w:hAnsi="Arial" w:cs="Arial"/>
          <w:sz w:val="22"/>
          <w:szCs w:val="22"/>
        </w:rPr>
        <w:t>, 15(2), pp. 112-121.</w:t>
      </w:r>
    </w:p>
    <w:p w14:paraId="0E7291B3"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Purcell, J. &amp; Hutchinson, S. (2007) 'Front-line managers as agents in HRM-performance causal chain', </w:t>
      </w:r>
      <w:r w:rsidRPr="004765FA">
        <w:rPr>
          <w:rFonts w:ascii="Arial" w:hAnsi="Arial" w:cs="Arial"/>
          <w:i/>
          <w:iCs/>
          <w:sz w:val="22"/>
          <w:szCs w:val="22"/>
        </w:rPr>
        <w:t>Human Resource Management Journal</w:t>
      </w:r>
      <w:r w:rsidRPr="004765FA">
        <w:rPr>
          <w:rFonts w:ascii="Arial" w:hAnsi="Arial" w:cs="Arial"/>
          <w:sz w:val="22"/>
          <w:szCs w:val="22"/>
        </w:rPr>
        <w:t>, 17(1), pp. 3-20.</w:t>
      </w:r>
    </w:p>
    <w:p w14:paraId="5C4C49AE"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Charalampous, M. et al. (2019) ‘Systematic review of remote e-working and employee wellbeing’, </w:t>
      </w:r>
      <w:r w:rsidRPr="004765FA">
        <w:rPr>
          <w:rFonts w:ascii="Arial" w:hAnsi="Arial" w:cs="Arial"/>
          <w:i/>
          <w:iCs/>
          <w:sz w:val="22"/>
          <w:szCs w:val="22"/>
        </w:rPr>
        <w:t>Journal of Occupational Health Psychology</w:t>
      </w:r>
      <w:r w:rsidRPr="004765FA">
        <w:rPr>
          <w:rFonts w:ascii="Arial" w:hAnsi="Arial" w:cs="Arial"/>
          <w:sz w:val="22"/>
          <w:szCs w:val="22"/>
        </w:rPr>
        <w:t>, 24(1), pp. 1-19.</w:t>
      </w:r>
    </w:p>
    <w:p w14:paraId="75B38740" w14:textId="77777777" w:rsidR="00DF33B8" w:rsidRPr="004765FA" w:rsidRDefault="00DF33B8" w:rsidP="00DF33B8">
      <w:pPr>
        <w:spacing w:line="360" w:lineRule="auto"/>
        <w:rPr>
          <w:rFonts w:ascii="Arial" w:hAnsi="Arial" w:cs="Arial"/>
          <w:sz w:val="22"/>
          <w:szCs w:val="22"/>
        </w:rPr>
      </w:pPr>
      <w:r w:rsidRPr="004765FA">
        <w:rPr>
          <w:rFonts w:ascii="Arial" w:hAnsi="Arial" w:cs="Arial"/>
          <w:sz w:val="22"/>
          <w:szCs w:val="22"/>
        </w:rPr>
        <w:t xml:space="preserve">Lewin, K. (1951) </w:t>
      </w:r>
      <w:r w:rsidRPr="004765FA">
        <w:rPr>
          <w:rFonts w:ascii="Arial" w:hAnsi="Arial" w:cs="Arial"/>
          <w:i/>
          <w:iCs/>
          <w:sz w:val="22"/>
          <w:szCs w:val="22"/>
        </w:rPr>
        <w:t>Field Theory in Social Science</w:t>
      </w:r>
      <w:r w:rsidRPr="004765FA">
        <w:rPr>
          <w:rFonts w:ascii="Arial" w:hAnsi="Arial" w:cs="Arial"/>
          <w:sz w:val="22"/>
          <w:szCs w:val="22"/>
        </w:rPr>
        <w:t>. New York: Harper &amp; Row.</w:t>
      </w:r>
    </w:p>
    <w:p w14:paraId="4AABF376" w14:textId="49AD4F5D" w:rsidR="00975323" w:rsidRPr="00975323" w:rsidRDefault="00975323" w:rsidP="003E00DF">
      <w:pPr>
        <w:spacing w:line="360" w:lineRule="auto"/>
        <w:rPr>
          <w:rFonts w:ascii="Arial" w:hAnsi="Arial" w:cs="Arial"/>
        </w:rPr>
      </w:pPr>
    </w:p>
    <w:p w14:paraId="7DBD7030" w14:textId="77777777" w:rsidR="00D47129" w:rsidRPr="00975323" w:rsidRDefault="00D47129" w:rsidP="003E00DF">
      <w:pPr>
        <w:spacing w:line="360" w:lineRule="auto"/>
        <w:rPr>
          <w:rFonts w:ascii="Arial" w:hAnsi="Arial" w:cs="Arial"/>
        </w:rPr>
      </w:pPr>
    </w:p>
    <w:p w14:paraId="15A42889" w14:textId="77777777" w:rsidR="00D47129" w:rsidRPr="00975323" w:rsidRDefault="00D47129" w:rsidP="003E00DF">
      <w:pPr>
        <w:spacing w:line="360" w:lineRule="auto"/>
        <w:rPr>
          <w:rFonts w:ascii="Arial" w:hAnsi="Arial" w:cs="Arial"/>
        </w:rPr>
      </w:pPr>
    </w:p>
    <w:p w14:paraId="6E3623F5" w14:textId="77777777" w:rsidR="00D47129" w:rsidRPr="00975323" w:rsidRDefault="00D47129" w:rsidP="003E00DF">
      <w:pPr>
        <w:spacing w:line="360" w:lineRule="auto"/>
        <w:rPr>
          <w:rFonts w:ascii="Arial" w:hAnsi="Arial" w:cs="Arial"/>
        </w:rPr>
      </w:pPr>
    </w:p>
    <w:p w14:paraId="7AEE95B0" w14:textId="77777777" w:rsidR="00D47129" w:rsidRPr="00975323" w:rsidRDefault="00D47129" w:rsidP="003E00DF">
      <w:pPr>
        <w:spacing w:line="360" w:lineRule="auto"/>
        <w:rPr>
          <w:rFonts w:ascii="Arial" w:hAnsi="Arial" w:cs="Arial"/>
        </w:rPr>
      </w:pPr>
    </w:p>
    <w:p w14:paraId="22C30BF0" w14:textId="77777777" w:rsidR="00D47129" w:rsidRPr="00975323" w:rsidRDefault="00D47129">
      <w:pPr>
        <w:rPr>
          <w:rFonts w:ascii="Arial" w:hAnsi="Arial" w:cs="Arial"/>
        </w:rPr>
      </w:pPr>
    </w:p>
    <w:sectPr w:rsidR="00D47129" w:rsidRPr="0097532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848A0" w14:textId="77777777" w:rsidR="004A31F5" w:rsidRDefault="004A31F5" w:rsidP="007B7EE1">
      <w:pPr>
        <w:spacing w:after="0" w:line="240" w:lineRule="auto"/>
      </w:pPr>
      <w:r>
        <w:separator/>
      </w:r>
    </w:p>
  </w:endnote>
  <w:endnote w:type="continuationSeparator" w:id="0">
    <w:p w14:paraId="76C09690" w14:textId="77777777" w:rsidR="004A31F5" w:rsidRDefault="004A31F5" w:rsidP="007B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12181"/>
      <w:docPartObj>
        <w:docPartGallery w:val="Page Numbers (Bottom of Page)"/>
        <w:docPartUnique/>
      </w:docPartObj>
    </w:sdtPr>
    <w:sdtContent>
      <w:p w14:paraId="2BA55603" w14:textId="36DDEB6C" w:rsidR="004E1EE4" w:rsidRDefault="004E1EE4">
        <w:pPr>
          <w:pStyle w:val="Footer"/>
          <w:jc w:val="right"/>
        </w:pPr>
        <w:r>
          <w:fldChar w:fldCharType="begin"/>
        </w:r>
        <w:r>
          <w:instrText>PAGE   \* MERGEFORMAT</w:instrText>
        </w:r>
        <w:r>
          <w:fldChar w:fldCharType="separate"/>
        </w:r>
        <w:r>
          <w:t>2</w:t>
        </w:r>
        <w:r>
          <w:fldChar w:fldCharType="end"/>
        </w:r>
      </w:p>
    </w:sdtContent>
  </w:sdt>
  <w:p w14:paraId="51E0680A" w14:textId="77777777" w:rsidR="007B7EE1" w:rsidRDefault="007B7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1B7AB" w14:textId="77777777" w:rsidR="004A31F5" w:rsidRDefault="004A31F5" w:rsidP="007B7EE1">
      <w:pPr>
        <w:spacing w:after="0" w:line="240" w:lineRule="auto"/>
      </w:pPr>
      <w:r>
        <w:separator/>
      </w:r>
    </w:p>
  </w:footnote>
  <w:footnote w:type="continuationSeparator" w:id="0">
    <w:p w14:paraId="25EB84C2" w14:textId="77777777" w:rsidR="004A31F5" w:rsidRDefault="004A31F5" w:rsidP="007B7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32C7"/>
    <w:multiLevelType w:val="hybridMultilevel"/>
    <w:tmpl w:val="72C8D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D3C44"/>
    <w:multiLevelType w:val="multilevel"/>
    <w:tmpl w:val="5A026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0E2D10"/>
    <w:multiLevelType w:val="hybridMultilevel"/>
    <w:tmpl w:val="3C18D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88197E"/>
    <w:multiLevelType w:val="multilevel"/>
    <w:tmpl w:val="4302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04480"/>
    <w:multiLevelType w:val="multilevel"/>
    <w:tmpl w:val="2CB4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054128"/>
    <w:multiLevelType w:val="multilevel"/>
    <w:tmpl w:val="9542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8D5C08"/>
    <w:multiLevelType w:val="multilevel"/>
    <w:tmpl w:val="CF48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48308B"/>
    <w:multiLevelType w:val="multilevel"/>
    <w:tmpl w:val="F8881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BF3DA0"/>
    <w:multiLevelType w:val="hybridMultilevel"/>
    <w:tmpl w:val="CA5242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25613735">
    <w:abstractNumId w:val="5"/>
  </w:num>
  <w:num w:numId="2" w16cid:durableId="832718799">
    <w:abstractNumId w:val="4"/>
  </w:num>
  <w:num w:numId="3" w16cid:durableId="361978077">
    <w:abstractNumId w:val="3"/>
  </w:num>
  <w:num w:numId="4" w16cid:durableId="1855263884">
    <w:abstractNumId w:val="6"/>
  </w:num>
  <w:num w:numId="5" w16cid:durableId="1891647333">
    <w:abstractNumId w:val="1"/>
  </w:num>
  <w:num w:numId="6" w16cid:durableId="1886019691">
    <w:abstractNumId w:val="0"/>
  </w:num>
  <w:num w:numId="7" w16cid:durableId="108550371">
    <w:abstractNumId w:val="7"/>
  </w:num>
  <w:num w:numId="8" w16cid:durableId="1731617461">
    <w:abstractNumId w:val="8"/>
  </w:num>
  <w:num w:numId="9" w16cid:durableId="310987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29"/>
    <w:rsid w:val="00010269"/>
    <w:rsid w:val="00011C8C"/>
    <w:rsid w:val="00012B78"/>
    <w:rsid w:val="00017ABA"/>
    <w:rsid w:val="00065374"/>
    <w:rsid w:val="000665C6"/>
    <w:rsid w:val="000978B0"/>
    <w:rsid w:val="000E0ACB"/>
    <w:rsid w:val="000F06A0"/>
    <w:rsid w:val="000F5B6E"/>
    <w:rsid w:val="00107BCE"/>
    <w:rsid w:val="0011700A"/>
    <w:rsid w:val="0012105E"/>
    <w:rsid w:val="00127C15"/>
    <w:rsid w:val="00141EEF"/>
    <w:rsid w:val="00150B9B"/>
    <w:rsid w:val="00165BDF"/>
    <w:rsid w:val="001770AF"/>
    <w:rsid w:val="00180900"/>
    <w:rsid w:val="0018096E"/>
    <w:rsid w:val="001A0D06"/>
    <w:rsid w:val="001C74B3"/>
    <w:rsid w:val="001D5D79"/>
    <w:rsid w:val="001D6657"/>
    <w:rsid w:val="001F2D54"/>
    <w:rsid w:val="001F32FE"/>
    <w:rsid w:val="001F77AC"/>
    <w:rsid w:val="00284321"/>
    <w:rsid w:val="00284A7E"/>
    <w:rsid w:val="002C15A2"/>
    <w:rsid w:val="002C4178"/>
    <w:rsid w:val="00322F9E"/>
    <w:rsid w:val="00323F6C"/>
    <w:rsid w:val="00354DF5"/>
    <w:rsid w:val="0036484A"/>
    <w:rsid w:val="00392B83"/>
    <w:rsid w:val="003A1308"/>
    <w:rsid w:val="003C11E5"/>
    <w:rsid w:val="003E00DF"/>
    <w:rsid w:val="003E4514"/>
    <w:rsid w:val="003F2109"/>
    <w:rsid w:val="00416938"/>
    <w:rsid w:val="00424ADF"/>
    <w:rsid w:val="004300D0"/>
    <w:rsid w:val="004375C8"/>
    <w:rsid w:val="00463368"/>
    <w:rsid w:val="00464B53"/>
    <w:rsid w:val="004765FA"/>
    <w:rsid w:val="00483D89"/>
    <w:rsid w:val="0048681C"/>
    <w:rsid w:val="004A2BF2"/>
    <w:rsid w:val="004A31F5"/>
    <w:rsid w:val="004B5F4C"/>
    <w:rsid w:val="004E1EE4"/>
    <w:rsid w:val="004E34C5"/>
    <w:rsid w:val="00502677"/>
    <w:rsid w:val="00536301"/>
    <w:rsid w:val="00572ED4"/>
    <w:rsid w:val="00590C98"/>
    <w:rsid w:val="005933FC"/>
    <w:rsid w:val="005C691D"/>
    <w:rsid w:val="005D0349"/>
    <w:rsid w:val="005D6D4E"/>
    <w:rsid w:val="00605F22"/>
    <w:rsid w:val="00612CA6"/>
    <w:rsid w:val="00652E4B"/>
    <w:rsid w:val="00654FB1"/>
    <w:rsid w:val="006834CE"/>
    <w:rsid w:val="006925DB"/>
    <w:rsid w:val="006947C2"/>
    <w:rsid w:val="006A2EE6"/>
    <w:rsid w:val="006A3E19"/>
    <w:rsid w:val="006B0AF1"/>
    <w:rsid w:val="006B3872"/>
    <w:rsid w:val="006C1486"/>
    <w:rsid w:val="006D61DF"/>
    <w:rsid w:val="006F1CEB"/>
    <w:rsid w:val="007603A5"/>
    <w:rsid w:val="0077344C"/>
    <w:rsid w:val="007B7EE1"/>
    <w:rsid w:val="00802F6F"/>
    <w:rsid w:val="00875F50"/>
    <w:rsid w:val="00893554"/>
    <w:rsid w:val="008955CE"/>
    <w:rsid w:val="008A0213"/>
    <w:rsid w:val="008B5F86"/>
    <w:rsid w:val="008D62AA"/>
    <w:rsid w:val="008E23F7"/>
    <w:rsid w:val="00910ED2"/>
    <w:rsid w:val="009252A3"/>
    <w:rsid w:val="0093774C"/>
    <w:rsid w:val="00950903"/>
    <w:rsid w:val="00967E91"/>
    <w:rsid w:val="00975323"/>
    <w:rsid w:val="009860EE"/>
    <w:rsid w:val="009C0B7F"/>
    <w:rsid w:val="009D238C"/>
    <w:rsid w:val="009D5FD4"/>
    <w:rsid w:val="00A27B4E"/>
    <w:rsid w:val="00A31E0E"/>
    <w:rsid w:val="00A40594"/>
    <w:rsid w:val="00A42C31"/>
    <w:rsid w:val="00A476A5"/>
    <w:rsid w:val="00A87ECB"/>
    <w:rsid w:val="00AC65F1"/>
    <w:rsid w:val="00B200E3"/>
    <w:rsid w:val="00B4460C"/>
    <w:rsid w:val="00B46190"/>
    <w:rsid w:val="00B61688"/>
    <w:rsid w:val="00BD34B7"/>
    <w:rsid w:val="00BD56C8"/>
    <w:rsid w:val="00BD7811"/>
    <w:rsid w:val="00C120A4"/>
    <w:rsid w:val="00C25E95"/>
    <w:rsid w:val="00C360E9"/>
    <w:rsid w:val="00C47A9B"/>
    <w:rsid w:val="00C51B44"/>
    <w:rsid w:val="00C64E3E"/>
    <w:rsid w:val="00C71389"/>
    <w:rsid w:val="00CC44AA"/>
    <w:rsid w:val="00D132C3"/>
    <w:rsid w:val="00D47129"/>
    <w:rsid w:val="00D53E14"/>
    <w:rsid w:val="00D613D0"/>
    <w:rsid w:val="00D74860"/>
    <w:rsid w:val="00DB41AA"/>
    <w:rsid w:val="00DD0216"/>
    <w:rsid w:val="00DE60CE"/>
    <w:rsid w:val="00DF33B8"/>
    <w:rsid w:val="00E51B02"/>
    <w:rsid w:val="00E621B5"/>
    <w:rsid w:val="00E85C71"/>
    <w:rsid w:val="00EF0CBC"/>
    <w:rsid w:val="00EF52A6"/>
    <w:rsid w:val="00F03614"/>
    <w:rsid w:val="00F22E7F"/>
    <w:rsid w:val="00F5088C"/>
    <w:rsid w:val="00F532D6"/>
    <w:rsid w:val="00F64082"/>
    <w:rsid w:val="00F661DD"/>
    <w:rsid w:val="00F7038B"/>
    <w:rsid w:val="00FB160D"/>
    <w:rsid w:val="00FD0F18"/>
    <w:rsid w:val="00FF4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C0D60"/>
  <w15:chartTrackingRefBased/>
  <w15:docId w15:val="{BD8F20C8-DBB7-43DD-938E-6433BBEEA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7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7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129"/>
    <w:rPr>
      <w:rFonts w:eastAsiaTheme="majorEastAsia" w:cstheme="majorBidi"/>
      <w:color w:val="272727" w:themeColor="text1" w:themeTint="D8"/>
    </w:rPr>
  </w:style>
  <w:style w:type="paragraph" w:styleId="Title">
    <w:name w:val="Title"/>
    <w:basedOn w:val="Normal"/>
    <w:next w:val="Normal"/>
    <w:link w:val="TitleChar"/>
    <w:uiPriority w:val="10"/>
    <w:qFormat/>
    <w:rsid w:val="00D47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129"/>
    <w:pPr>
      <w:spacing w:before="160"/>
      <w:jc w:val="center"/>
    </w:pPr>
    <w:rPr>
      <w:i/>
      <w:iCs/>
      <w:color w:val="404040" w:themeColor="text1" w:themeTint="BF"/>
    </w:rPr>
  </w:style>
  <w:style w:type="character" w:customStyle="1" w:styleId="QuoteChar">
    <w:name w:val="Quote Char"/>
    <w:basedOn w:val="DefaultParagraphFont"/>
    <w:link w:val="Quote"/>
    <w:uiPriority w:val="29"/>
    <w:rsid w:val="00D47129"/>
    <w:rPr>
      <w:i/>
      <w:iCs/>
      <w:color w:val="404040" w:themeColor="text1" w:themeTint="BF"/>
    </w:rPr>
  </w:style>
  <w:style w:type="paragraph" w:styleId="ListParagraph">
    <w:name w:val="List Paragraph"/>
    <w:basedOn w:val="Normal"/>
    <w:uiPriority w:val="34"/>
    <w:qFormat/>
    <w:rsid w:val="00D47129"/>
    <w:pPr>
      <w:ind w:left="720"/>
      <w:contextualSpacing/>
    </w:pPr>
  </w:style>
  <w:style w:type="character" w:styleId="IntenseEmphasis">
    <w:name w:val="Intense Emphasis"/>
    <w:basedOn w:val="DefaultParagraphFont"/>
    <w:uiPriority w:val="21"/>
    <w:qFormat/>
    <w:rsid w:val="00D47129"/>
    <w:rPr>
      <w:i/>
      <w:iCs/>
      <w:color w:val="0F4761" w:themeColor="accent1" w:themeShade="BF"/>
    </w:rPr>
  </w:style>
  <w:style w:type="paragraph" w:styleId="IntenseQuote">
    <w:name w:val="Intense Quote"/>
    <w:basedOn w:val="Normal"/>
    <w:next w:val="Normal"/>
    <w:link w:val="IntenseQuoteChar"/>
    <w:uiPriority w:val="30"/>
    <w:qFormat/>
    <w:rsid w:val="00D47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129"/>
    <w:rPr>
      <w:i/>
      <w:iCs/>
      <w:color w:val="0F4761" w:themeColor="accent1" w:themeShade="BF"/>
    </w:rPr>
  </w:style>
  <w:style w:type="character" w:styleId="IntenseReference">
    <w:name w:val="Intense Reference"/>
    <w:basedOn w:val="DefaultParagraphFont"/>
    <w:uiPriority w:val="32"/>
    <w:qFormat/>
    <w:rsid w:val="00D47129"/>
    <w:rPr>
      <w:b/>
      <w:bCs/>
      <w:smallCaps/>
      <w:color w:val="0F4761" w:themeColor="accent1" w:themeShade="BF"/>
      <w:spacing w:val="5"/>
    </w:rPr>
  </w:style>
  <w:style w:type="paragraph" w:styleId="Header">
    <w:name w:val="header"/>
    <w:basedOn w:val="Normal"/>
    <w:link w:val="HeaderChar"/>
    <w:uiPriority w:val="99"/>
    <w:unhideWhenUsed/>
    <w:rsid w:val="007B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EE1"/>
  </w:style>
  <w:style w:type="paragraph" w:styleId="Footer">
    <w:name w:val="footer"/>
    <w:basedOn w:val="Normal"/>
    <w:link w:val="FooterChar"/>
    <w:uiPriority w:val="99"/>
    <w:unhideWhenUsed/>
    <w:rsid w:val="007B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EE1"/>
  </w:style>
  <w:style w:type="paragraph" w:styleId="TOCHeading">
    <w:name w:val="TOC Heading"/>
    <w:basedOn w:val="Heading1"/>
    <w:next w:val="Normal"/>
    <w:uiPriority w:val="39"/>
    <w:unhideWhenUsed/>
    <w:qFormat/>
    <w:rsid w:val="009D5FD4"/>
    <w:pPr>
      <w:spacing w:before="240" w:after="0" w:line="259" w:lineRule="auto"/>
      <w:outlineLvl w:val="9"/>
    </w:pPr>
    <w:rPr>
      <w:kern w:val="0"/>
      <w:sz w:val="32"/>
      <w:szCs w:val="32"/>
      <w:lang w:eastAsia="en-GB"/>
      <w14:ligatures w14:val="none"/>
    </w:rPr>
  </w:style>
  <w:style w:type="paragraph" w:styleId="NoSpacing">
    <w:name w:val="No Spacing"/>
    <w:uiPriority w:val="1"/>
    <w:qFormat/>
    <w:rsid w:val="00354DF5"/>
    <w:pPr>
      <w:spacing w:after="0" w:line="240" w:lineRule="auto"/>
    </w:pPr>
  </w:style>
  <w:style w:type="table" w:styleId="TableGrid">
    <w:name w:val="Table Grid"/>
    <w:basedOn w:val="TableNormal"/>
    <w:uiPriority w:val="39"/>
    <w:rsid w:val="00EF0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105E"/>
    <w:rPr>
      <w:rFonts w:ascii="Times New Roman" w:hAnsi="Times New Roman" w:cs="Times New Roman"/>
    </w:rPr>
  </w:style>
  <w:style w:type="character" w:styleId="Strong">
    <w:name w:val="Strong"/>
    <w:basedOn w:val="DefaultParagraphFont"/>
    <w:uiPriority w:val="22"/>
    <w:qFormat/>
    <w:rsid w:val="00D53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56325">
      <w:bodyDiv w:val="1"/>
      <w:marLeft w:val="0"/>
      <w:marRight w:val="0"/>
      <w:marTop w:val="0"/>
      <w:marBottom w:val="0"/>
      <w:divBdr>
        <w:top w:val="none" w:sz="0" w:space="0" w:color="auto"/>
        <w:left w:val="none" w:sz="0" w:space="0" w:color="auto"/>
        <w:bottom w:val="none" w:sz="0" w:space="0" w:color="auto"/>
        <w:right w:val="none" w:sz="0" w:space="0" w:color="auto"/>
      </w:divBdr>
      <w:divsChild>
        <w:div w:id="95098700">
          <w:marLeft w:val="0"/>
          <w:marRight w:val="0"/>
          <w:marTop w:val="0"/>
          <w:marBottom w:val="0"/>
          <w:divBdr>
            <w:top w:val="none" w:sz="0" w:space="0" w:color="auto"/>
            <w:left w:val="none" w:sz="0" w:space="0" w:color="auto"/>
            <w:bottom w:val="none" w:sz="0" w:space="0" w:color="auto"/>
            <w:right w:val="none" w:sz="0" w:space="0" w:color="auto"/>
          </w:divBdr>
        </w:div>
        <w:div w:id="1381709169">
          <w:marLeft w:val="0"/>
          <w:marRight w:val="0"/>
          <w:marTop w:val="0"/>
          <w:marBottom w:val="0"/>
          <w:divBdr>
            <w:top w:val="none" w:sz="0" w:space="0" w:color="auto"/>
            <w:left w:val="none" w:sz="0" w:space="0" w:color="auto"/>
            <w:bottom w:val="none" w:sz="0" w:space="0" w:color="auto"/>
            <w:right w:val="none" w:sz="0" w:space="0" w:color="auto"/>
          </w:divBdr>
        </w:div>
        <w:div w:id="1378772554">
          <w:marLeft w:val="0"/>
          <w:marRight w:val="0"/>
          <w:marTop w:val="0"/>
          <w:marBottom w:val="0"/>
          <w:divBdr>
            <w:top w:val="none" w:sz="0" w:space="0" w:color="auto"/>
            <w:left w:val="none" w:sz="0" w:space="0" w:color="auto"/>
            <w:bottom w:val="none" w:sz="0" w:space="0" w:color="auto"/>
            <w:right w:val="none" w:sz="0" w:space="0" w:color="auto"/>
          </w:divBdr>
        </w:div>
        <w:div w:id="1723095990">
          <w:marLeft w:val="0"/>
          <w:marRight w:val="0"/>
          <w:marTop w:val="0"/>
          <w:marBottom w:val="0"/>
          <w:divBdr>
            <w:top w:val="none" w:sz="0" w:space="0" w:color="auto"/>
            <w:left w:val="none" w:sz="0" w:space="0" w:color="auto"/>
            <w:bottom w:val="none" w:sz="0" w:space="0" w:color="auto"/>
            <w:right w:val="none" w:sz="0" w:space="0" w:color="auto"/>
          </w:divBdr>
        </w:div>
        <w:div w:id="1181746063">
          <w:marLeft w:val="0"/>
          <w:marRight w:val="0"/>
          <w:marTop w:val="0"/>
          <w:marBottom w:val="0"/>
          <w:divBdr>
            <w:top w:val="none" w:sz="0" w:space="0" w:color="auto"/>
            <w:left w:val="none" w:sz="0" w:space="0" w:color="auto"/>
            <w:bottom w:val="none" w:sz="0" w:space="0" w:color="auto"/>
            <w:right w:val="none" w:sz="0" w:space="0" w:color="auto"/>
          </w:divBdr>
        </w:div>
        <w:div w:id="37626802">
          <w:marLeft w:val="0"/>
          <w:marRight w:val="0"/>
          <w:marTop w:val="0"/>
          <w:marBottom w:val="0"/>
          <w:divBdr>
            <w:top w:val="none" w:sz="0" w:space="0" w:color="auto"/>
            <w:left w:val="none" w:sz="0" w:space="0" w:color="auto"/>
            <w:bottom w:val="none" w:sz="0" w:space="0" w:color="auto"/>
            <w:right w:val="none" w:sz="0" w:space="0" w:color="auto"/>
          </w:divBdr>
        </w:div>
        <w:div w:id="1342122178">
          <w:marLeft w:val="0"/>
          <w:marRight w:val="0"/>
          <w:marTop w:val="0"/>
          <w:marBottom w:val="0"/>
          <w:divBdr>
            <w:top w:val="none" w:sz="0" w:space="0" w:color="auto"/>
            <w:left w:val="none" w:sz="0" w:space="0" w:color="auto"/>
            <w:bottom w:val="none" w:sz="0" w:space="0" w:color="auto"/>
            <w:right w:val="none" w:sz="0" w:space="0" w:color="auto"/>
          </w:divBdr>
        </w:div>
        <w:div w:id="656498718">
          <w:marLeft w:val="0"/>
          <w:marRight w:val="0"/>
          <w:marTop w:val="0"/>
          <w:marBottom w:val="0"/>
          <w:divBdr>
            <w:top w:val="none" w:sz="0" w:space="0" w:color="auto"/>
            <w:left w:val="none" w:sz="0" w:space="0" w:color="auto"/>
            <w:bottom w:val="none" w:sz="0" w:space="0" w:color="auto"/>
            <w:right w:val="none" w:sz="0" w:space="0" w:color="auto"/>
          </w:divBdr>
        </w:div>
        <w:div w:id="270742635">
          <w:marLeft w:val="0"/>
          <w:marRight w:val="0"/>
          <w:marTop w:val="0"/>
          <w:marBottom w:val="0"/>
          <w:divBdr>
            <w:top w:val="none" w:sz="0" w:space="0" w:color="auto"/>
            <w:left w:val="none" w:sz="0" w:space="0" w:color="auto"/>
            <w:bottom w:val="none" w:sz="0" w:space="0" w:color="auto"/>
            <w:right w:val="none" w:sz="0" w:space="0" w:color="auto"/>
          </w:divBdr>
        </w:div>
      </w:divsChild>
    </w:div>
    <w:div w:id="665783776">
      <w:bodyDiv w:val="1"/>
      <w:marLeft w:val="0"/>
      <w:marRight w:val="0"/>
      <w:marTop w:val="0"/>
      <w:marBottom w:val="0"/>
      <w:divBdr>
        <w:top w:val="none" w:sz="0" w:space="0" w:color="auto"/>
        <w:left w:val="none" w:sz="0" w:space="0" w:color="auto"/>
        <w:bottom w:val="none" w:sz="0" w:space="0" w:color="auto"/>
        <w:right w:val="none" w:sz="0" w:space="0" w:color="auto"/>
      </w:divBdr>
    </w:div>
    <w:div w:id="1040472966">
      <w:bodyDiv w:val="1"/>
      <w:marLeft w:val="0"/>
      <w:marRight w:val="0"/>
      <w:marTop w:val="0"/>
      <w:marBottom w:val="0"/>
      <w:divBdr>
        <w:top w:val="none" w:sz="0" w:space="0" w:color="auto"/>
        <w:left w:val="none" w:sz="0" w:space="0" w:color="auto"/>
        <w:bottom w:val="none" w:sz="0" w:space="0" w:color="auto"/>
        <w:right w:val="none" w:sz="0" w:space="0" w:color="auto"/>
      </w:divBdr>
    </w:div>
    <w:div w:id="1099178699">
      <w:bodyDiv w:val="1"/>
      <w:marLeft w:val="0"/>
      <w:marRight w:val="0"/>
      <w:marTop w:val="0"/>
      <w:marBottom w:val="0"/>
      <w:divBdr>
        <w:top w:val="none" w:sz="0" w:space="0" w:color="auto"/>
        <w:left w:val="none" w:sz="0" w:space="0" w:color="auto"/>
        <w:bottom w:val="none" w:sz="0" w:space="0" w:color="auto"/>
        <w:right w:val="none" w:sz="0" w:space="0" w:color="auto"/>
      </w:divBdr>
    </w:div>
    <w:div w:id="1138299724">
      <w:bodyDiv w:val="1"/>
      <w:marLeft w:val="0"/>
      <w:marRight w:val="0"/>
      <w:marTop w:val="0"/>
      <w:marBottom w:val="0"/>
      <w:divBdr>
        <w:top w:val="none" w:sz="0" w:space="0" w:color="auto"/>
        <w:left w:val="none" w:sz="0" w:space="0" w:color="auto"/>
        <w:bottom w:val="none" w:sz="0" w:space="0" w:color="auto"/>
        <w:right w:val="none" w:sz="0" w:space="0" w:color="auto"/>
      </w:divBdr>
    </w:div>
    <w:div w:id="1204364493">
      <w:bodyDiv w:val="1"/>
      <w:marLeft w:val="0"/>
      <w:marRight w:val="0"/>
      <w:marTop w:val="0"/>
      <w:marBottom w:val="0"/>
      <w:divBdr>
        <w:top w:val="none" w:sz="0" w:space="0" w:color="auto"/>
        <w:left w:val="none" w:sz="0" w:space="0" w:color="auto"/>
        <w:bottom w:val="none" w:sz="0" w:space="0" w:color="auto"/>
        <w:right w:val="none" w:sz="0" w:space="0" w:color="auto"/>
      </w:divBdr>
    </w:div>
    <w:div w:id="1218472626">
      <w:bodyDiv w:val="1"/>
      <w:marLeft w:val="0"/>
      <w:marRight w:val="0"/>
      <w:marTop w:val="0"/>
      <w:marBottom w:val="0"/>
      <w:divBdr>
        <w:top w:val="none" w:sz="0" w:space="0" w:color="auto"/>
        <w:left w:val="none" w:sz="0" w:space="0" w:color="auto"/>
        <w:bottom w:val="none" w:sz="0" w:space="0" w:color="auto"/>
        <w:right w:val="none" w:sz="0" w:space="0" w:color="auto"/>
      </w:divBdr>
    </w:div>
    <w:div w:id="1343896271">
      <w:bodyDiv w:val="1"/>
      <w:marLeft w:val="0"/>
      <w:marRight w:val="0"/>
      <w:marTop w:val="0"/>
      <w:marBottom w:val="0"/>
      <w:divBdr>
        <w:top w:val="none" w:sz="0" w:space="0" w:color="auto"/>
        <w:left w:val="none" w:sz="0" w:space="0" w:color="auto"/>
        <w:bottom w:val="none" w:sz="0" w:space="0" w:color="auto"/>
        <w:right w:val="none" w:sz="0" w:space="0" w:color="auto"/>
      </w:divBdr>
    </w:div>
    <w:div w:id="1349402635">
      <w:bodyDiv w:val="1"/>
      <w:marLeft w:val="0"/>
      <w:marRight w:val="0"/>
      <w:marTop w:val="0"/>
      <w:marBottom w:val="0"/>
      <w:divBdr>
        <w:top w:val="none" w:sz="0" w:space="0" w:color="auto"/>
        <w:left w:val="none" w:sz="0" w:space="0" w:color="auto"/>
        <w:bottom w:val="none" w:sz="0" w:space="0" w:color="auto"/>
        <w:right w:val="none" w:sz="0" w:space="0" w:color="auto"/>
      </w:divBdr>
    </w:div>
    <w:div w:id="1429084748">
      <w:bodyDiv w:val="1"/>
      <w:marLeft w:val="0"/>
      <w:marRight w:val="0"/>
      <w:marTop w:val="0"/>
      <w:marBottom w:val="0"/>
      <w:divBdr>
        <w:top w:val="none" w:sz="0" w:space="0" w:color="auto"/>
        <w:left w:val="none" w:sz="0" w:space="0" w:color="auto"/>
        <w:bottom w:val="none" w:sz="0" w:space="0" w:color="auto"/>
        <w:right w:val="none" w:sz="0" w:space="0" w:color="auto"/>
      </w:divBdr>
    </w:div>
    <w:div w:id="1525561444">
      <w:bodyDiv w:val="1"/>
      <w:marLeft w:val="0"/>
      <w:marRight w:val="0"/>
      <w:marTop w:val="0"/>
      <w:marBottom w:val="0"/>
      <w:divBdr>
        <w:top w:val="none" w:sz="0" w:space="0" w:color="auto"/>
        <w:left w:val="none" w:sz="0" w:space="0" w:color="auto"/>
        <w:bottom w:val="none" w:sz="0" w:space="0" w:color="auto"/>
        <w:right w:val="none" w:sz="0" w:space="0" w:color="auto"/>
      </w:divBdr>
    </w:div>
    <w:div w:id="1927808342">
      <w:bodyDiv w:val="1"/>
      <w:marLeft w:val="0"/>
      <w:marRight w:val="0"/>
      <w:marTop w:val="0"/>
      <w:marBottom w:val="0"/>
      <w:divBdr>
        <w:top w:val="none" w:sz="0" w:space="0" w:color="auto"/>
        <w:left w:val="none" w:sz="0" w:space="0" w:color="auto"/>
        <w:bottom w:val="none" w:sz="0" w:space="0" w:color="auto"/>
        <w:right w:val="none" w:sz="0" w:space="0" w:color="auto"/>
      </w:divBdr>
    </w:div>
    <w:div w:id="2050718046">
      <w:bodyDiv w:val="1"/>
      <w:marLeft w:val="0"/>
      <w:marRight w:val="0"/>
      <w:marTop w:val="0"/>
      <w:marBottom w:val="0"/>
      <w:divBdr>
        <w:top w:val="none" w:sz="0" w:space="0" w:color="auto"/>
        <w:left w:val="none" w:sz="0" w:space="0" w:color="auto"/>
        <w:bottom w:val="none" w:sz="0" w:space="0" w:color="auto"/>
        <w:right w:val="none" w:sz="0" w:space="0" w:color="auto"/>
      </w:divBdr>
    </w:div>
    <w:div w:id="2108846016">
      <w:bodyDiv w:val="1"/>
      <w:marLeft w:val="0"/>
      <w:marRight w:val="0"/>
      <w:marTop w:val="0"/>
      <w:marBottom w:val="0"/>
      <w:divBdr>
        <w:top w:val="none" w:sz="0" w:space="0" w:color="auto"/>
        <w:left w:val="none" w:sz="0" w:space="0" w:color="auto"/>
        <w:bottom w:val="none" w:sz="0" w:space="0" w:color="auto"/>
        <w:right w:val="none" w:sz="0" w:space="0" w:color="auto"/>
      </w:divBdr>
      <w:divsChild>
        <w:div w:id="1052074137">
          <w:marLeft w:val="0"/>
          <w:marRight w:val="0"/>
          <w:marTop w:val="0"/>
          <w:marBottom w:val="0"/>
          <w:divBdr>
            <w:top w:val="none" w:sz="0" w:space="0" w:color="auto"/>
            <w:left w:val="none" w:sz="0" w:space="0" w:color="auto"/>
            <w:bottom w:val="none" w:sz="0" w:space="0" w:color="auto"/>
            <w:right w:val="none" w:sz="0" w:space="0" w:color="auto"/>
          </w:divBdr>
        </w:div>
        <w:div w:id="2043509736">
          <w:marLeft w:val="0"/>
          <w:marRight w:val="0"/>
          <w:marTop w:val="0"/>
          <w:marBottom w:val="0"/>
          <w:divBdr>
            <w:top w:val="none" w:sz="0" w:space="0" w:color="auto"/>
            <w:left w:val="none" w:sz="0" w:space="0" w:color="auto"/>
            <w:bottom w:val="none" w:sz="0" w:space="0" w:color="auto"/>
            <w:right w:val="none" w:sz="0" w:space="0" w:color="auto"/>
          </w:divBdr>
        </w:div>
        <w:div w:id="273681127">
          <w:marLeft w:val="0"/>
          <w:marRight w:val="0"/>
          <w:marTop w:val="0"/>
          <w:marBottom w:val="0"/>
          <w:divBdr>
            <w:top w:val="none" w:sz="0" w:space="0" w:color="auto"/>
            <w:left w:val="none" w:sz="0" w:space="0" w:color="auto"/>
            <w:bottom w:val="none" w:sz="0" w:space="0" w:color="auto"/>
            <w:right w:val="none" w:sz="0" w:space="0" w:color="auto"/>
          </w:divBdr>
        </w:div>
        <w:div w:id="806779001">
          <w:marLeft w:val="0"/>
          <w:marRight w:val="0"/>
          <w:marTop w:val="0"/>
          <w:marBottom w:val="0"/>
          <w:divBdr>
            <w:top w:val="none" w:sz="0" w:space="0" w:color="auto"/>
            <w:left w:val="none" w:sz="0" w:space="0" w:color="auto"/>
            <w:bottom w:val="none" w:sz="0" w:space="0" w:color="auto"/>
            <w:right w:val="none" w:sz="0" w:space="0" w:color="auto"/>
          </w:divBdr>
        </w:div>
        <w:div w:id="369115999">
          <w:marLeft w:val="0"/>
          <w:marRight w:val="0"/>
          <w:marTop w:val="0"/>
          <w:marBottom w:val="0"/>
          <w:divBdr>
            <w:top w:val="none" w:sz="0" w:space="0" w:color="auto"/>
            <w:left w:val="none" w:sz="0" w:space="0" w:color="auto"/>
            <w:bottom w:val="none" w:sz="0" w:space="0" w:color="auto"/>
            <w:right w:val="none" w:sz="0" w:space="0" w:color="auto"/>
          </w:divBdr>
        </w:div>
        <w:div w:id="677654764">
          <w:marLeft w:val="0"/>
          <w:marRight w:val="0"/>
          <w:marTop w:val="0"/>
          <w:marBottom w:val="0"/>
          <w:divBdr>
            <w:top w:val="none" w:sz="0" w:space="0" w:color="auto"/>
            <w:left w:val="none" w:sz="0" w:space="0" w:color="auto"/>
            <w:bottom w:val="none" w:sz="0" w:space="0" w:color="auto"/>
            <w:right w:val="none" w:sz="0" w:space="0" w:color="auto"/>
          </w:divBdr>
        </w:div>
        <w:div w:id="343092864">
          <w:marLeft w:val="0"/>
          <w:marRight w:val="0"/>
          <w:marTop w:val="0"/>
          <w:marBottom w:val="0"/>
          <w:divBdr>
            <w:top w:val="none" w:sz="0" w:space="0" w:color="auto"/>
            <w:left w:val="none" w:sz="0" w:space="0" w:color="auto"/>
            <w:bottom w:val="none" w:sz="0" w:space="0" w:color="auto"/>
            <w:right w:val="none" w:sz="0" w:space="0" w:color="auto"/>
          </w:divBdr>
        </w:div>
        <w:div w:id="1737389840">
          <w:marLeft w:val="0"/>
          <w:marRight w:val="0"/>
          <w:marTop w:val="0"/>
          <w:marBottom w:val="0"/>
          <w:divBdr>
            <w:top w:val="none" w:sz="0" w:space="0" w:color="auto"/>
            <w:left w:val="none" w:sz="0" w:space="0" w:color="auto"/>
            <w:bottom w:val="none" w:sz="0" w:space="0" w:color="auto"/>
            <w:right w:val="none" w:sz="0" w:space="0" w:color="auto"/>
          </w:divBdr>
        </w:div>
        <w:div w:id="1431126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A373-7226-4CB0-B82B-75F999F11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11</Pages>
  <Words>2828</Words>
  <Characters>16125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unaisahkarim1@gmail.com</dc:creator>
  <cp:keywords/>
  <dc:description/>
  <cp:lastModifiedBy>unaisahkarim1@gmail.com</cp:lastModifiedBy>
  <cp:revision>128</cp:revision>
  <dcterms:created xsi:type="dcterms:W3CDTF">2025-07-04T08:43:00Z</dcterms:created>
  <dcterms:modified xsi:type="dcterms:W3CDTF">2025-11-18T12:26:00Z</dcterms:modified>
</cp:coreProperties>
</file>