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DA4BA50" w14:paraId="35E8698B" wp14:textId="77A79E8F">
      <w:pPr>
        <w:jc w:val="center"/>
      </w:pPr>
      <w:r>
        <w:br/>
      </w:r>
    </w:p>
    <w:p xmlns:wp14="http://schemas.microsoft.com/office/word/2010/wordml" w:rsidP="4DA4BA50" w14:paraId="51D7C12D" wp14:textId="7E3FAD65">
      <w:pPr>
        <w:jc w:val="center"/>
        <w:rPr>
          <w:rFonts w:ascii="Helvetica" w:hAnsi="Helvetica" w:eastAsia="Helvetica" w:cs="Helvetica"/>
          <w:b w:val="1"/>
          <w:bCs w:val="1"/>
          <w:noProof w:val="0"/>
          <w:color w:val="000000" w:themeColor="text1" w:themeTint="FF" w:themeShade="FF"/>
          <w:sz w:val="22"/>
          <w:szCs w:val="22"/>
          <w:lang w:val="en-GB"/>
        </w:rPr>
      </w:pPr>
    </w:p>
    <w:p xmlns:wp14="http://schemas.microsoft.com/office/word/2010/wordml" w:rsidP="4DA4BA50" w14:paraId="17D772EE" wp14:textId="000F1146">
      <w:pPr>
        <w:jc w:val="center"/>
        <w:rPr>
          <w:rFonts w:ascii="Helvetica" w:hAnsi="Helvetica" w:eastAsia="Helvetica" w:cs="Helvetica"/>
          <w:b w:val="1"/>
          <w:bCs w:val="1"/>
          <w:noProof w:val="0"/>
          <w:color w:val="000000" w:themeColor="text1" w:themeTint="FF" w:themeShade="FF"/>
          <w:sz w:val="22"/>
          <w:szCs w:val="22"/>
          <w:lang w:val="en-GB"/>
        </w:rPr>
      </w:pPr>
    </w:p>
    <w:p xmlns:wp14="http://schemas.microsoft.com/office/word/2010/wordml" w:rsidP="4DA4BA50" w14:paraId="03FF8904" wp14:textId="32D3600A">
      <w:pPr>
        <w:jc w:val="center"/>
        <w:rPr>
          <w:rFonts w:ascii="Helvetica" w:hAnsi="Helvetica" w:eastAsia="Helvetica" w:cs="Helvetica"/>
          <w:b w:val="1"/>
          <w:bCs w:val="1"/>
          <w:noProof w:val="0"/>
          <w:color w:val="000000" w:themeColor="text1" w:themeTint="FF" w:themeShade="FF"/>
          <w:sz w:val="22"/>
          <w:szCs w:val="22"/>
          <w:lang w:val="en-GB"/>
        </w:rPr>
      </w:pPr>
    </w:p>
    <w:p xmlns:wp14="http://schemas.microsoft.com/office/word/2010/wordml" w:rsidP="4DA4BA50" w14:paraId="718F8CDA" wp14:textId="4AC2CFC1">
      <w:pPr>
        <w:jc w:val="center"/>
        <w:rPr>
          <w:rFonts w:ascii="Helvetica" w:hAnsi="Helvetica" w:eastAsia="Helvetica" w:cs="Helvetica"/>
          <w:b w:val="1"/>
          <w:bCs w:val="1"/>
          <w:noProof w:val="0"/>
          <w:color w:val="000000" w:themeColor="text1" w:themeTint="FF" w:themeShade="FF"/>
          <w:sz w:val="22"/>
          <w:szCs w:val="22"/>
          <w:lang w:val="en-GB"/>
        </w:rPr>
      </w:pPr>
    </w:p>
    <w:p xmlns:wp14="http://schemas.microsoft.com/office/word/2010/wordml" w:rsidP="4DA4BA50" w14:paraId="7EE49C75" wp14:textId="72E4887E">
      <w:pPr>
        <w:jc w:val="center"/>
        <w:rPr>
          <w:rFonts w:ascii="Helvetica" w:hAnsi="Helvetica" w:eastAsia="Helvetica" w:cs="Helvetica"/>
          <w:b w:val="1"/>
          <w:bCs w:val="1"/>
          <w:noProof w:val="0"/>
          <w:color w:val="000000" w:themeColor="text1" w:themeTint="FF" w:themeShade="FF"/>
          <w:sz w:val="22"/>
          <w:szCs w:val="22"/>
          <w:lang w:val="en-GB"/>
        </w:rPr>
      </w:pPr>
    </w:p>
    <w:p xmlns:wp14="http://schemas.microsoft.com/office/word/2010/wordml" w:rsidP="4DA4BA50" w14:paraId="33DE2BD1" wp14:textId="4C487950">
      <w:pPr>
        <w:jc w:val="center"/>
        <w:rPr>
          <w:rFonts w:ascii="Helvetica" w:hAnsi="Helvetica" w:eastAsia="Helvetica" w:cs="Helvetica"/>
          <w:b w:val="1"/>
          <w:bCs w:val="1"/>
          <w:noProof w:val="0"/>
          <w:color w:val="000000" w:themeColor="text1" w:themeTint="FF" w:themeShade="FF"/>
          <w:sz w:val="22"/>
          <w:szCs w:val="22"/>
          <w:lang w:val="en-GB"/>
        </w:rPr>
      </w:pPr>
    </w:p>
    <w:p xmlns:wp14="http://schemas.microsoft.com/office/word/2010/wordml" w:rsidP="4DA4BA50" w14:paraId="26B287CD" wp14:textId="0DC67381">
      <w:pPr>
        <w:jc w:val="center"/>
        <w:rPr>
          <w:rFonts w:ascii="Helvetica" w:hAnsi="Helvetica" w:eastAsia="Helvetica" w:cs="Helvetica"/>
          <w:b w:val="1"/>
          <w:bCs w:val="1"/>
          <w:noProof w:val="0"/>
          <w:color w:val="000000" w:themeColor="text1" w:themeTint="FF" w:themeShade="FF"/>
          <w:sz w:val="22"/>
          <w:szCs w:val="22"/>
          <w:lang w:val="en-GB"/>
        </w:rPr>
      </w:pPr>
    </w:p>
    <w:p xmlns:wp14="http://schemas.microsoft.com/office/word/2010/wordml" w:rsidP="4DA4BA50" w14:paraId="3D41F934" wp14:textId="4B37E18F">
      <w:pPr>
        <w:jc w:val="center"/>
        <w:rPr>
          <w:rFonts w:ascii="Helvetica" w:hAnsi="Helvetica" w:eastAsia="Helvetica" w:cs="Helvetica"/>
          <w:b w:val="1"/>
          <w:bCs w:val="1"/>
          <w:noProof w:val="0"/>
          <w:color w:val="000000" w:themeColor="text1" w:themeTint="FF" w:themeShade="FF"/>
          <w:sz w:val="22"/>
          <w:szCs w:val="22"/>
          <w:lang w:val="en-GB"/>
        </w:rPr>
      </w:pPr>
    </w:p>
    <w:p xmlns:wp14="http://schemas.microsoft.com/office/word/2010/wordml" w:rsidP="4DA4BA50" w14:paraId="5D74B5EA" wp14:textId="37BC77E1">
      <w:pPr>
        <w:jc w:val="center"/>
        <w:rPr>
          <w:rFonts w:ascii="Helvetica" w:hAnsi="Helvetica" w:eastAsia="Helvetica" w:cs="Helvetica"/>
          <w:b w:val="1"/>
          <w:bCs w:val="1"/>
          <w:noProof w:val="0"/>
          <w:color w:val="000000" w:themeColor="text1" w:themeTint="FF" w:themeShade="FF"/>
          <w:sz w:val="22"/>
          <w:szCs w:val="22"/>
          <w:lang w:val="en-GB"/>
        </w:rPr>
      </w:pPr>
    </w:p>
    <w:p xmlns:wp14="http://schemas.microsoft.com/office/word/2010/wordml" w:rsidP="4DA4BA50" w14:paraId="02C0C163" wp14:textId="79A68CC4">
      <w:pPr>
        <w:jc w:val="center"/>
      </w:pPr>
      <w:r w:rsidRPr="4DA4BA50" w:rsidR="740BFB6B">
        <w:rPr>
          <w:rFonts w:ascii="Helvetica" w:hAnsi="Helvetica" w:eastAsia="Helvetica" w:cs="Helvetica"/>
          <w:b w:val="1"/>
          <w:bCs w:val="1"/>
          <w:noProof w:val="0"/>
          <w:color w:val="000000" w:themeColor="text1" w:themeTint="FF" w:themeShade="FF"/>
          <w:sz w:val="22"/>
          <w:szCs w:val="22"/>
          <w:lang w:val="en-GB"/>
        </w:rPr>
        <w:t xml:space="preserve">Reflective Commentary </w:t>
      </w:r>
    </w:p>
    <w:p xmlns:wp14="http://schemas.microsoft.com/office/word/2010/wordml" w14:paraId="1A329F46" wp14:textId="0CB0DEA9">
      <w:r>
        <w:br/>
      </w:r>
    </w:p>
    <w:p xmlns:wp14="http://schemas.microsoft.com/office/word/2010/wordml" w14:paraId="6750FB1A" wp14:textId="6B64EEC0">
      <w:r>
        <w:br/>
      </w:r>
    </w:p>
    <w:p xmlns:wp14="http://schemas.microsoft.com/office/word/2010/wordml" w14:paraId="12E8AB53" wp14:textId="42523592">
      <w:r>
        <w:br/>
      </w:r>
    </w:p>
    <w:p xmlns:wp14="http://schemas.microsoft.com/office/word/2010/wordml" w14:paraId="0778EF89" wp14:textId="4D001167">
      <w:r>
        <w:br/>
      </w:r>
    </w:p>
    <w:p xmlns:wp14="http://schemas.microsoft.com/office/word/2010/wordml" w14:paraId="5B9480F7" wp14:textId="5938C844">
      <w:r>
        <w:br/>
      </w:r>
    </w:p>
    <w:p xmlns:wp14="http://schemas.microsoft.com/office/word/2010/wordml" w14:paraId="7DEFE292" wp14:textId="5BA5B3A6">
      <w:r>
        <w:br/>
      </w:r>
    </w:p>
    <w:p xmlns:wp14="http://schemas.microsoft.com/office/word/2010/wordml" w:rsidP="4DA4BA50" w14:paraId="1BC2E2F6" wp14:textId="60D6C340">
      <w:pPr>
        <w:spacing w:line="360" w:lineRule="auto"/>
        <w:rPr>
          <w:rFonts w:ascii="Arial" w:hAnsi="Arial" w:eastAsia="Arial" w:cs="Arial"/>
          <w:noProof w:val="0"/>
          <w:color w:val="000000" w:themeColor="text1" w:themeTint="FF" w:themeShade="FF"/>
          <w:sz w:val="24"/>
          <w:szCs w:val="24"/>
          <w:lang w:val="en-GB"/>
        </w:rPr>
      </w:pPr>
    </w:p>
    <w:p xmlns:wp14="http://schemas.microsoft.com/office/word/2010/wordml" w:rsidP="4DA4BA50" w14:paraId="5C7075F9" wp14:textId="5B094DD1">
      <w:pPr>
        <w:spacing w:line="360" w:lineRule="auto"/>
        <w:rPr>
          <w:rFonts w:ascii="Arial" w:hAnsi="Arial" w:eastAsia="Arial" w:cs="Arial"/>
          <w:noProof w:val="0"/>
          <w:color w:val="000000" w:themeColor="text1" w:themeTint="FF" w:themeShade="FF"/>
          <w:sz w:val="24"/>
          <w:szCs w:val="24"/>
          <w:lang w:val="en-GB"/>
        </w:rPr>
      </w:pPr>
    </w:p>
    <w:p xmlns:wp14="http://schemas.microsoft.com/office/word/2010/wordml" w:rsidP="4DA4BA50" w14:paraId="1AA5EC6C" wp14:textId="457741FB">
      <w:pPr>
        <w:spacing w:line="360" w:lineRule="auto"/>
        <w:rPr>
          <w:rFonts w:ascii="Arial" w:hAnsi="Arial" w:eastAsia="Arial" w:cs="Arial"/>
          <w:noProof w:val="0"/>
          <w:color w:val="000000" w:themeColor="text1" w:themeTint="FF" w:themeShade="FF"/>
          <w:sz w:val="24"/>
          <w:szCs w:val="24"/>
          <w:lang w:val="en-GB"/>
        </w:rPr>
      </w:pPr>
    </w:p>
    <w:p xmlns:wp14="http://schemas.microsoft.com/office/word/2010/wordml" w:rsidP="4DA4BA50" w14:paraId="65BFFD40" wp14:textId="6BF871E5">
      <w:pPr>
        <w:spacing w:line="360" w:lineRule="auto"/>
        <w:rPr>
          <w:rFonts w:ascii="Arial" w:hAnsi="Arial" w:eastAsia="Arial" w:cs="Arial"/>
          <w:noProof w:val="0"/>
          <w:color w:val="000000" w:themeColor="text1" w:themeTint="FF" w:themeShade="FF"/>
          <w:sz w:val="24"/>
          <w:szCs w:val="24"/>
          <w:lang w:val="en-GB"/>
        </w:rPr>
      </w:pPr>
    </w:p>
    <w:p xmlns:wp14="http://schemas.microsoft.com/office/word/2010/wordml" w:rsidP="4DA4BA50" w14:paraId="20862D99" wp14:textId="0E09CB63">
      <w:pPr>
        <w:spacing w:line="360" w:lineRule="auto"/>
        <w:rPr>
          <w:rFonts w:ascii="Arial" w:hAnsi="Arial" w:eastAsia="Arial" w:cs="Arial"/>
          <w:noProof w:val="0"/>
          <w:color w:val="000000" w:themeColor="text1" w:themeTint="FF" w:themeShade="FF"/>
          <w:sz w:val="24"/>
          <w:szCs w:val="24"/>
          <w:lang w:val="en-GB"/>
        </w:rPr>
      </w:pPr>
    </w:p>
    <w:p xmlns:wp14="http://schemas.microsoft.com/office/word/2010/wordml" w:rsidP="4DA4BA50" w14:paraId="2AD2B6F6" wp14:textId="59DB6924">
      <w:pPr>
        <w:spacing w:line="360" w:lineRule="auto"/>
        <w:rPr>
          <w:rFonts w:ascii="Arial" w:hAnsi="Arial" w:eastAsia="Arial" w:cs="Arial"/>
          <w:noProof w:val="0"/>
          <w:color w:val="000000" w:themeColor="text1" w:themeTint="FF" w:themeShade="FF"/>
          <w:sz w:val="24"/>
          <w:szCs w:val="24"/>
          <w:lang w:val="en-GB"/>
        </w:rPr>
      </w:pPr>
    </w:p>
    <w:p xmlns:wp14="http://schemas.microsoft.com/office/word/2010/wordml" w:rsidP="4DA4BA50" w14:paraId="4343C6A4" wp14:textId="5CC8E459">
      <w:pPr>
        <w:spacing w:line="360" w:lineRule="auto"/>
        <w:rPr>
          <w:rFonts w:ascii="Arial" w:hAnsi="Arial" w:eastAsia="Arial" w:cs="Arial"/>
          <w:noProof w:val="0"/>
          <w:color w:val="000000" w:themeColor="text1" w:themeTint="FF" w:themeShade="FF"/>
          <w:sz w:val="24"/>
          <w:szCs w:val="24"/>
          <w:lang w:val="en-GB"/>
        </w:rPr>
      </w:pPr>
    </w:p>
    <w:p xmlns:wp14="http://schemas.microsoft.com/office/word/2010/wordml" w:rsidP="4DA4BA50" w14:paraId="63582409" wp14:textId="21C73625">
      <w:pPr>
        <w:spacing w:line="360" w:lineRule="auto"/>
        <w:rPr>
          <w:rFonts w:ascii="Arial" w:hAnsi="Arial" w:eastAsia="Arial" w:cs="Arial"/>
          <w:noProof w:val="0"/>
          <w:color w:val="000000" w:themeColor="text1" w:themeTint="FF" w:themeShade="FF"/>
          <w:sz w:val="24"/>
          <w:szCs w:val="24"/>
          <w:lang w:val="en-GB"/>
        </w:rPr>
      </w:pPr>
    </w:p>
    <w:p xmlns:wp14="http://schemas.microsoft.com/office/word/2010/wordml" w:rsidP="4DA4BA50" w14:paraId="1E8AC623" wp14:textId="45610D07">
      <w:pPr>
        <w:pStyle w:val="Normal"/>
        <w:spacing w:line="360" w:lineRule="auto"/>
        <w:rPr>
          <w:rFonts w:ascii="Arial" w:hAnsi="Arial" w:eastAsia="Arial" w:cs="Arial"/>
          <w:noProof w:val="0"/>
          <w:color w:val="000000" w:themeColor="text1" w:themeTint="FF" w:themeShade="FF"/>
          <w:sz w:val="24"/>
          <w:szCs w:val="24"/>
          <w:lang w:val="en-GB"/>
        </w:rPr>
      </w:pPr>
    </w:p>
    <w:p xmlns:wp14="http://schemas.microsoft.com/office/word/2010/wordml" w:rsidP="4DA4BA50" w14:paraId="78204FA0" wp14:textId="522623F5">
      <w:pPr>
        <w:spacing w:line="360" w:lineRule="auto"/>
        <w:rPr>
          <w:rFonts w:ascii="Arial" w:hAnsi="Arial" w:eastAsia="Arial" w:cs="Arial"/>
          <w:noProof w:val="0"/>
          <w:color w:val="000000" w:themeColor="text1" w:themeTint="FF" w:themeShade="FF"/>
          <w:sz w:val="24"/>
          <w:szCs w:val="24"/>
          <w:lang w:val="en-GB"/>
        </w:rPr>
      </w:pPr>
      <w:r w:rsidRPr="4DA4BA50" w:rsidR="740BFB6B">
        <w:rPr>
          <w:rFonts w:ascii="Arial" w:hAnsi="Arial" w:eastAsia="Arial" w:cs="Arial"/>
          <w:noProof w:val="0"/>
          <w:color w:val="000000" w:themeColor="text1" w:themeTint="FF" w:themeShade="FF"/>
          <w:sz w:val="24"/>
          <w:szCs w:val="24"/>
          <w:lang w:val="en-GB"/>
        </w:rPr>
        <w:t>As a third-year student studying Psychology and counselling at UWTSD, I have been completing a counselling skills module throughout the degree. However, this final year has been different due to the COVID-19 pandemic. This impacted on our practical counselling skills sessions as following government guidelines, they were no longer allowed. There have been changes to University and this semester has been taught online.  This has meant that our practical counselling skills module has had to be conducted via Microsoft Teams</w:t>
      </w:r>
      <w:r w:rsidRPr="4DA4BA50" w:rsidR="2744CA33">
        <w:rPr>
          <w:rFonts w:ascii="Arial" w:hAnsi="Arial" w:eastAsia="Arial" w:cs="Arial"/>
          <w:noProof w:val="0"/>
          <w:color w:val="000000" w:themeColor="text1" w:themeTint="FF" w:themeShade="FF"/>
          <w:sz w:val="24"/>
          <w:szCs w:val="24"/>
          <w:lang w:val="en-GB"/>
        </w:rPr>
        <w:t>.</w:t>
      </w:r>
      <w:r w:rsidRPr="4DA4BA50" w:rsidR="740BFB6B">
        <w:rPr>
          <w:rFonts w:ascii="Arial" w:hAnsi="Arial" w:eastAsia="Arial" w:cs="Arial"/>
          <w:noProof w:val="0"/>
          <w:color w:val="000000" w:themeColor="text1" w:themeTint="FF" w:themeShade="FF"/>
          <w:sz w:val="24"/>
          <w:szCs w:val="24"/>
          <w:lang w:val="en-GB"/>
        </w:rPr>
        <w:t xml:space="preserve"> </w:t>
      </w:r>
    </w:p>
    <w:p xmlns:wp14="http://schemas.microsoft.com/office/word/2010/wordml" w:rsidP="4DA4BA50" w14:paraId="0DA08957" wp14:textId="0C941ECE">
      <w:pPr>
        <w:spacing w:line="360" w:lineRule="auto"/>
        <w:rPr>
          <w:rFonts w:ascii="Arial" w:hAnsi="Arial" w:eastAsia="Arial" w:cs="Arial"/>
          <w:noProof w:val="0"/>
          <w:color w:val="000000" w:themeColor="text1" w:themeTint="FF" w:themeShade="FF"/>
          <w:sz w:val="24"/>
          <w:szCs w:val="24"/>
          <w:lang w:val="en-GB"/>
        </w:rPr>
      </w:pPr>
      <w:r w:rsidRPr="4DA4BA50" w:rsidR="740BFB6B">
        <w:rPr>
          <w:rFonts w:ascii="Arial" w:hAnsi="Arial" w:eastAsia="Arial" w:cs="Arial"/>
          <w:noProof w:val="0"/>
          <w:color w:val="000000" w:themeColor="text1" w:themeTint="FF" w:themeShade="FF"/>
          <w:sz w:val="24"/>
          <w:szCs w:val="24"/>
          <w:lang w:val="en-GB"/>
        </w:rPr>
        <w:t xml:space="preserve">During my time in UWTSD I have learnt a great deal from this module: we have been taught a range of skills, studied the theories that underpin them, and linked them to our practice.  Alongside taught lectures we have practiced our counselling skills in small groups, which have also included observers who provided invaluable feedback to help us improve and develop our skills. Our final module was Reflexive Counselling </w:t>
      </w:r>
      <w:proofErr w:type="gramStart"/>
      <w:r w:rsidRPr="4DA4BA50" w:rsidR="740BFB6B">
        <w:rPr>
          <w:rFonts w:ascii="Arial" w:hAnsi="Arial" w:eastAsia="Arial" w:cs="Arial"/>
          <w:noProof w:val="0"/>
          <w:color w:val="000000" w:themeColor="text1" w:themeTint="FF" w:themeShade="FF"/>
          <w:sz w:val="24"/>
          <w:szCs w:val="24"/>
          <w:lang w:val="en-GB"/>
        </w:rPr>
        <w:t>Skills</w:t>
      </w:r>
      <w:proofErr w:type="gramEnd"/>
      <w:r w:rsidRPr="4DA4BA50" w:rsidR="740BFB6B">
        <w:rPr>
          <w:rFonts w:ascii="Arial" w:hAnsi="Arial" w:eastAsia="Arial" w:cs="Arial"/>
          <w:noProof w:val="0"/>
          <w:color w:val="000000" w:themeColor="text1" w:themeTint="FF" w:themeShade="FF"/>
          <w:sz w:val="24"/>
          <w:szCs w:val="24"/>
          <w:lang w:val="en-GB"/>
        </w:rPr>
        <w:t xml:space="preserve"> and our assignment was to work in groups with each member being recorded for approximately twenty minutes on Microsoft Teams in a skills session which we would then use for reflection. I was in a triad group. We used real life scenarios in the session, but it was explained that we needed to be mindful about the subjects we raised, to ensure we kept in-line with ethical boundaries (British Association for Counselling and Psychotherapy (BACP), 2018).</w:t>
      </w:r>
    </w:p>
    <w:p xmlns:wp14="http://schemas.microsoft.com/office/word/2010/wordml" w:rsidP="4DA4BA50" w14:paraId="7E37A377" wp14:textId="085A7547">
      <w:pPr>
        <w:spacing w:line="360" w:lineRule="auto"/>
        <w:rPr>
          <w:rFonts w:ascii="Arial" w:hAnsi="Arial" w:eastAsia="Arial" w:cs="Arial"/>
          <w:noProof w:val="0"/>
          <w:color w:val="000000" w:themeColor="text1" w:themeTint="FF" w:themeShade="FF"/>
          <w:sz w:val="24"/>
          <w:szCs w:val="24"/>
          <w:lang w:val="en-GB"/>
        </w:rPr>
      </w:pPr>
      <w:r w:rsidRPr="4DA4BA50" w:rsidR="740BFB6B">
        <w:rPr>
          <w:rFonts w:ascii="Arial" w:hAnsi="Arial" w:eastAsia="Arial" w:cs="Arial"/>
          <w:noProof w:val="0"/>
          <w:color w:val="000000" w:themeColor="text1" w:themeTint="FF" w:themeShade="FF"/>
          <w:sz w:val="24"/>
          <w:szCs w:val="24"/>
          <w:lang w:val="en-GB"/>
        </w:rPr>
        <w:t xml:space="preserve">When we started the module in late January it was the first practical </w:t>
      </w:r>
      <w:proofErr w:type="gramStart"/>
      <w:r w:rsidRPr="4DA4BA50" w:rsidR="740BFB6B">
        <w:rPr>
          <w:rFonts w:ascii="Arial" w:hAnsi="Arial" w:eastAsia="Arial" w:cs="Arial"/>
          <w:noProof w:val="0"/>
          <w:color w:val="000000" w:themeColor="text1" w:themeTint="FF" w:themeShade="FF"/>
          <w:sz w:val="24"/>
          <w:szCs w:val="24"/>
          <w:lang w:val="en-GB"/>
        </w:rPr>
        <w:t>skills</w:t>
      </w:r>
      <w:proofErr w:type="gramEnd"/>
      <w:r w:rsidRPr="4DA4BA50" w:rsidR="740BFB6B">
        <w:rPr>
          <w:rFonts w:ascii="Arial" w:hAnsi="Arial" w:eastAsia="Arial" w:cs="Arial"/>
          <w:noProof w:val="0"/>
          <w:color w:val="000000" w:themeColor="text1" w:themeTint="FF" w:themeShade="FF"/>
          <w:sz w:val="24"/>
          <w:szCs w:val="24"/>
          <w:lang w:val="en-GB"/>
        </w:rPr>
        <w:t xml:space="preserve"> we had used in approximately a year, which caused me to feel anxious, and I had concerns that I may have forgotten skills I had learnt over the first two years. The facilitation of the counselling skills session was also completely new. I had no previous experience of online counselling and it felt challenging to be marked on a skill I had not previously practiced. </w:t>
      </w:r>
    </w:p>
    <w:p xmlns:wp14="http://schemas.microsoft.com/office/word/2010/wordml" w:rsidP="4DA4BA50" w14:paraId="1E7A8AA8" wp14:textId="57C2D44C">
      <w:pPr>
        <w:spacing w:line="360" w:lineRule="auto"/>
        <w:rPr>
          <w:rFonts w:ascii="Arial" w:hAnsi="Arial" w:eastAsia="Arial" w:cs="Arial"/>
          <w:noProof w:val="0"/>
          <w:color w:val="000000" w:themeColor="text1" w:themeTint="FF" w:themeShade="FF"/>
          <w:sz w:val="24"/>
          <w:szCs w:val="24"/>
          <w:lang w:val="en-GB"/>
        </w:rPr>
      </w:pPr>
      <w:r w:rsidRPr="4DA4BA50" w:rsidR="740BFB6B">
        <w:rPr>
          <w:rFonts w:ascii="Arial" w:hAnsi="Arial" w:eastAsia="Arial" w:cs="Arial"/>
          <w:noProof w:val="0"/>
          <w:color w:val="000000" w:themeColor="text1" w:themeTint="FF" w:themeShade="FF"/>
          <w:sz w:val="24"/>
          <w:szCs w:val="24"/>
          <w:lang w:val="en-GB"/>
        </w:rPr>
        <w:t xml:space="preserve">Three years-ago I was diagnosed with a social anxiety disorder (SAD), characterized by fear and avoidance of social situations which can be heightened by feeling judged, and includes fear of negative evaluation (Leichsenring &amp; </w:t>
      </w:r>
      <w:proofErr w:type="spellStart"/>
      <w:r w:rsidRPr="4DA4BA50" w:rsidR="740BFB6B">
        <w:rPr>
          <w:rFonts w:ascii="Arial" w:hAnsi="Arial" w:eastAsia="Arial" w:cs="Arial"/>
          <w:noProof w:val="0"/>
          <w:color w:val="000000" w:themeColor="text1" w:themeTint="FF" w:themeShade="FF"/>
          <w:sz w:val="24"/>
          <w:szCs w:val="24"/>
          <w:lang w:val="en-GB"/>
        </w:rPr>
        <w:t>Leweke</w:t>
      </w:r>
      <w:proofErr w:type="spellEnd"/>
      <w:r w:rsidRPr="4DA4BA50" w:rsidR="740BFB6B">
        <w:rPr>
          <w:rFonts w:ascii="Arial" w:hAnsi="Arial" w:eastAsia="Arial" w:cs="Arial"/>
          <w:noProof w:val="0"/>
          <w:color w:val="000000" w:themeColor="text1" w:themeTint="FF" w:themeShade="FF"/>
          <w:sz w:val="24"/>
          <w:szCs w:val="24"/>
          <w:lang w:val="en-GB"/>
        </w:rPr>
        <w:t>, 2017). The fact the session would be online and recorded did raise my anxiety levels and part of the process for me was to practice mindfulness in the weeks leading up to it. This was extremely beneficial to me; findings have shown that mindfulness skills can help lower anxiety levels as well as improving attention control and focus (MacDonald &amp; Olsen, 2020).</w:t>
      </w:r>
      <w:r w:rsidRPr="4DA4BA50" w:rsidR="740BFB6B">
        <w:rPr>
          <w:rFonts w:ascii="Arial" w:hAnsi="Arial" w:eastAsia="Arial" w:cs="Arial"/>
          <w:noProof w:val="0"/>
          <w:color w:val="1A1A1A"/>
          <w:sz w:val="24"/>
          <w:szCs w:val="24"/>
          <w:lang w:val="en-GB"/>
        </w:rPr>
        <w:t xml:space="preserve"> </w:t>
      </w:r>
      <w:r w:rsidRPr="4DA4BA50" w:rsidR="740BFB6B">
        <w:rPr>
          <w:rFonts w:ascii="Arial" w:hAnsi="Arial" w:eastAsia="Arial" w:cs="Arial"/>
          <w:noProof w:val="0"/>
          <w:color w:val="000000" w:themeColor="text1" w:themeTint="FF" w:themeShade="FF"/>
          <w:sz w:val="24"/>
          <w:szCs w:val="24"/>
          <w:lang w:val="en-GB"/>
        </w:rPr>
        <w:t xml:space="preserve"> During practice, I quickly remembered the skills I had previously learnt and began to feel more confident that I would be able to demonstrate them. </w:t>
      </w:r>
    </w:p>
    <w:p xmlns:wp14="http://schemas.microsoft.com/office/word/2010/wordml" w:rsidP="4DA4BA50" w14:paraId="5002E651" wp14:textId="2D9FD7D8">
      <w:pPr>
        <w:spacing w:line="360" w:lineRule="auto"/>
        <w:rPr>
          <w:rFonts w:ascii="Arial" w:hAnsi="Arial" w:eastAsia="Arial" w:cs="Arial"/>
          <w:noProof w:val="0"/>
          <w:color w:val="000000" w:themeColor="text1" w:themeTint="FF" w:themeShade="FF"/>
          <w:sz w:val="24"/>
          <w:szCs w:val="24"/>
          <w:lang w:val="en-GB"/>
        </w:rPr>
      </w:pPr>
      <w:r w:rsidRPr="4DA4BA50" w:rsidR="740BFB6B">
        <w:rPr>
          <w:rFonts w:ascii="Arial" w:hAnsi="Arial" w:eastAsia="Arial" w:cs="Arial"/>
          <w:noProof w:val="0"/>
          <w:color w:val="000000" w:themeColor="text1" w:themeTint="FF" w:themeShade="FF"/>
          <w:sz w:val="24"/>
          <w:szCs w:val="24"/>
          <w:lang w:val="en-GB"/>
        </w:rPr>
        <w:t xml:space="preserve">Throughout my learning I have found the person-centred approach resonated with me, especially Carl Rogers core conditions, congruence, unconditional positive regard and empathy (Rogers, 1951). These skills have overspilled from the classroom into my everyday </w:t>
      </w:r>
      <w:proofErr w:type="gramStart"/>
      <w:r w:rsidRPr="4DA4BA50" w:rsidR="740BFB6B">
        <w:rPr>
          <w:rFonts w:ascii="Arial" w:hAnsi="Arial" w:eastAsia="Arial" w:cs="Arial"/>
          <w:noProof w:val="0"/>
          <w:color w:val="000000" w:themeColor="text1" w:themeTint="FF" w:themeShade="FF"/>
          <w:sz w:val="24"/>
          <w:szCs w:val="24"/>
          <w:lang w:val="en-GB"/>
        </w:rPr>
        <w:t>life</w:t>
      </w:r>
      <w:proofErr w:type="gramEnd"/>
      <w:r w:rsidRPr="4DA4BA50" w:rsidR="740BFB6B">
        <w:rPr>
          <w:rFonts w:ascii="Arial" w:hAnsi="Arial" w:eastAsia="Arial" w:cs="Arial"/>
          <w:noProof w:val="0"/>
          <w:color w:val="000000" w:themeColor="text1" w:themeTint="FF" w:themeShade="FF"/>
          <w:sz w:val="24"/>
          <w:szCs w:val="24"/>
          <w:lang w:val="en-GB"/>
        </w:rPr>
        <w:t xml:space="preserve"> and I have noticed improvements in my personal relationships and ability to connect to others on a deeper level, which has been a reported finding in psychological research (Tangen &amp; Cashwell, 2016). Using and developing skills that communicate these core conditions gave me reassurance going into the session that I would be able to utilise them effectively, enabling a more meaningful, deeper engagement (Rogers,</w:t>
      </w:r>
      <w:r w:rsidRPr="4DA4BA50" w:rsidR="7C7C1514">
        <w:rPr>
          <w:rFonts w:ascii="Arial" w:hAnsi="Arial" w:eastAsia="Arial" w:cs="Arial"/>
          <w:noProof w:val="0"/>
          <w:color w:val="000000" w:themeColor="text1" w:themeTint="FF" w:themeShade="FF"/>
          <w:sz w:val="24"/>
          <w:szCs w:val="24"/>
          <w:lang w:val="en-GB"/>
        </w:rPr>
        <w:t xml:space="preserve"> </w:t>
      </w:r>
      <w:r w:rsidRPr="4DA4BA50" w:rsidR="740BFB6B">
        <w:rPr>
          <w:rFonts w:ascii="Arial" w:hAnsi="Arial" w:eastAsia="Arial" w:cs="Arial"/>
          <w:noProof w:val="0"/>
          <w:color w:val="000000" w:themeColor="text1" w:themeTint="FF" w:themeShade="FF"/>
          <w:sz w:val="24"/>
          <w:szCs w:val="24"/>
          <w:lang w:val="en-GB"/>
        </w:rPr>
        <w:t>1980). Solution focused therapy (SFT) was the most recent therapeutic approach we had learnt so this led to it being forefront in my mind. I enjoyed practicing SFT as it is solution-based and addresses a specific issue, focusing on the future and how to solve the presenting issue in a relatively short space of time (</w:t>
      </w:r>
      <w:proofErr w:type="spellStart"/>
      <w:r w:rsidRPr="4DA4BA50" w:rsidR="740BFB6B">
        <w:rPr>
          <w:rFonts w:ascii="Arial" w:hAnsi="Arial" w:eastAsia="Arial" w:cs="Arial"/>
          <w:noProof w:val="0"/>
          <w:color w:val="000000" w:themeColor="text1" w:themeTint="FF" w:themeShade="FF"/>
          <w:sz w:val="24"/>
          <w:szCs w:val="24"/>
          <w:lang w:val="en-GB"/>
        </w:rPr>
        <w:t>Corcoron</w:t>
      </w:r>
      <w:proofErr w:type="spellEnd"/>
      <w:r w:rsidRPr="4DA4BA50" w:rsidR="740BFB6B">
        <w:rPr>
          <w:rFonts w:ascii="Arial" w:hAnsi="Arial" w:eastAsia="Arial" w:cs="Arial"/>
          <w:noProof w:val="0"/>
          <w:color w:val="000000" w:themeColor="text1" w:themeTint="FF" w:themeShade="FF"/>
          <w:sz w:val="24"/>
          <w:szCs w:val="24"/>
          <w:lang w:val="en-GB"/>
        </w:rPr>
        <w:t xml:space="preserve"> &amp; </w:t>
      </w:r>
      <w:proofErr w:type="spellStart"/>
      <w:r w:rsidRPr="4DA4BA50" w:rsidR="740BFB6B">
        <w:rPr>
          <w:rFonts w:ascii="Arial" w:hAnsi="Arial" w:eastAsia="Arial" w:cs="Arial"/>
          <w:noProof w:val="0"/>
          <w:color w:val="000000" w:themeColor="text1" w:themeTint="FF" w:themeShade="FF"/>
          <w:sz w:val="24"/>
          <w:szCs w:val="24"/>
          <w:lang w:val="en-GB"/>
        </w:rPr>
        <w:t>Pillau</w:t>
      </w:r>
      <w:proofErr w:type="spellEnd"/>
      <w:r w:rsidRPr="4DA4BA50" w:rsidR="740BFB6B">
        <w:rPr>
          <w:rFonts w:ascii="Arial" w:hAnsi="Arial" w:eastAsia="Arial" w:cs="Arial"/>
          <w:noProof w:val="0"/>
          <w:color w:val="000000" w:themeColor="text1" w:themeTint="FF" w:themeShade="FF"/>
          <w:sz w:val="24"/>
          <w:szCs w:val="24"/>
          <w:lang w:val="en-GB"/>
        </w:rPr>
        <w:t xml:space="preserve">, 2009). As a person who is drawn to the rescuer role, which is described in transactional analysis (TA), SFT appeals to me, however previous reflection highlighted my tendency to be a rescuer which is something I would like to move away from (Stewart &amp; Joines, 2012). I prepared for the session by watching Carl Rogers videos and reading one of his books which reaffirmed the value of exploring deeper emotions and experiences to enable a person to make effective change in their life rather than a more superficial fix (Rogers, 1980). I was comfortable knowing we would be discussing real life scenarios rather than case scenarios we had previously used, because I did struggle with them and felt a lack of authenticity, which impacted the session. </w:t>
      </w:r>
    </w:p>
    <w:p xmlns:wp14="http://schemas.microsoft.com/office/word/2010/wordml" w:rsidP="4DA4BA50" w14:paraId="006C244D" wp14:textId="2F0E9874">
      <w:pPr>
        <w:spacing w:line="360" w:lineRule="auto"/>
        <w:rPr>
          <w:rFonts w:ascii="Arial" w:hAnsi="Arial" w:eastAsia="Arial" w:cs="Arial"/>
          <w:noProof w:val="0"/>
          <w:color w:val="000000" w:themeColor="text1" w:themeTint="FF" w:themeShade="FF"/>
          <w:sz w:val="24"/>
          <w:szCs w:val="24"/>
          <w:lang w:val="en-GB"/>
        </w:rPr>
      </w:pPr>
      <w:r w:rsidRPr="4DA4BA50" w:rsidR="740BFB6B">
        <w:rPr>
          <w:rFonts w:ascii="Arial" w:hAnsi="Arial" w:eastAsia="Arial" w:cs="Arial"/>
          <w:noProof w:val="0"/>
          <w:color w:val="000000" w:themeColor="text1" w:themeTint="FF" w:themeShade="FF"/>
          <w:sz w:val="24"/>
          <w:szCs w:val="24"/>
          <w:lang w:val="en-GB"/>
        </w:rPr>
        <w:t xml:space="preserve">Watching the video recording and evaluating myself I did feel pleased with the skills I demonstrated in the session, it allowed me to reflect on the amount I have learnt over my time in University. Reflective practice allows me to explore the strengths and weaknesses of my counselling skills; by reviewing my experiences I can develop and enhance my counselling skills. By using a reflexive approach and watching the video from an outside perspective I can focus on areas that need improvement and see where I need to develop my knowledge and skills further (Bolton, 2010). </w:t>
      </w:r>
    </w:p>
    <w:p xmlns:wp14="http://schemas.microsoft.com/office/word/2010/wordml" w:rsidP="4DA4BA50" w14:paraId="11D24F49" wp14:textId="67447DD2">
      <w:pPr>
        <w:spacing w:line="360" w:lineRule="auto"/>
        <w:rPr>
          <w:rFonts w:ascii="Arial" w:hAnsi="Arial" w:eastAsia="Arial" w:cs="Arial"/>
          <w:noProof w:val="0"/>
          <w:color w:val="000000" w:themeColor="text1" w:themeTint="FF" w:themeShade="FF"/>
          <w:sz w:val="24"/>
          <w:szCs w:val="24"/>
          <w:lang w:val="en-GB"/>
        </w:rPr>
      </w:pPr>
      <w:r w:rsidRPr="4DA4BA50" w:rsidR="740BFB6B">
        <w:rPr>
          <w:rFonts w:ascii="Arial" w:hAnsi="Arial" w:eastAsia="Arial" w:cs="Arial"/>
          <w:noProof w:val="0"/>
          <w:color w:val="000000" w:themeColor="text1" w:themeTint="FF" w:themeShade="FF"/>
          <w:sz w:val="24"/>
          <w:szCs w:val="24"/>
          <w:lang w:val="en-GB"/>
        </w:rPr>
        <w:t xml:space="preserve">I began the session by introducing myself and then going through the contract, I stated the session would run for twenty minutes. I then explained confidentiality and the boundaries of it, I mentioned observers and the recording, asking if she was happy to proceed. As we were online, I added in a point about internet interference and to let me know if she had any technical difficulties. I explained that she could take a break or end the session at any point (Midwinter &amp; Dickson, 2015). </w:t>
      </w:r>
    </w:p>
    <w:p xmlns:wp14="http://schemas.microsoft.com/office/word/2010/wordml" w:rsidP="4DA4BA50" w14:paraId="7FDA3122" wp14:textId="2236ACEA">
      <w:pPr>
        <w:spacing w:line="360" w:lineRule="auto"/>
        <w:rPr>
          <w:rFonts w:ascii="Arial" w:hAnsi="Arial" w:eastAsia="Arial" w:cs="Arial"/>
          <w:noProof w:val="0"/>
          <w:color w:val="000000" w:themeColor="text1" w:themeTint="FF" w:themeShade="FF"/>
          <w:sz w:val="24"/>
          <w:szCs w:val="24"/>
          <w:lang w:val="en-GB"/>
        </w:rPr>
      </w:pPr>
      <w:r w:rsidRPr="4DA4BA50" w:rsidR="740BFB6B">
        <w:rPr>
          <w:rFonts w:ascii="Arial" w:hAnsi="Arial" w:eastAsia="Arial" w:cs="Arial"/>
          <w:noProof w:val="0"/>
          <w:color w:val="000000" w:themeColor="text1" w:themeTint="FF" w:themeShade="FF"/>
          <w:sz w:val="24"/>
          <w:szCs w:val="24"/>
          <w:lang w:val="en-GB"/>
        </w:rPr>
        <w:t xml:space="preserve">Body language and sitting position had to be considered in a different way compared to an in-person session. I sat as far back as I could, ensuring that most of my top half was visible, whilst being close enough so she could see my facial expressions and body language. This is vital because body communication is a key element in active listening (Midwinter &amp; Dickson, 2015).  Eye contact and minimal encouragers were used throughout, which forms part of non-verbal communication. I used nods, smiles, tilted my head and maintained an open body posture. Summarising and paraphrasing were skills I demonstrated during the session, to check meaning had been understood but also to enable her to think deeply about some of the statements she made (Cooper et al., 2013). An example of this was after she listed all she was juggling in life and described feeling stressed and overwhelmed, I told her that I sensed a real heaviness of all that she was carrying and asked if that </w:t>
      </w:r>
      <w:r w:rsidRPr="4DA4BA50" w:rsidR="1F340E76">
        <w:rPr>
          <w:rFonts w:ascii="Arial" w:hAnsi="Arial" w:eastAsia="Arial" w:cs="Arial"/>
          <w:noProof w:val="0"/>
          <w:color w:val="000000" w:themeColor="text1" w:themeTint="FF" w:themeShade="FF"/>
          <w:sz w:val="24"/>
          <w:szCs w:val="24"/>
          <w:lang w:val="en-GB"/>
        </w:rPr>
        <w:t xml:space="preserve">was </w:t>
      </w:r>
      <w:r w:rsidRPr="4DA4BA50" w:rsidR="740BFB6B">
        <w:rPr>
          <w:rFonts w:ascii="Arial" w:hAnsi="Arial" w:eastAsia="Arial" w:cs="Arial"/>
          <w:noProof w:val="0"/>
          <w:color w:val="000000" w:themeColor="text1" w:themeTint="FF" w:themeShade="FF"/>
          <w:sz w:val="24"/>
          <w:szCs w:val="24"/>
          <w:lang w:val="en-GB"/>
        </w:rPr>
        <w:t xml:space="preserve">how it felt? This was using paraphrasing and summary to condense what she said into a single sentence, checking I had understood and combining it with a question to help her expand further. One of the main skills I used in the session was reflecting, by listening for key aspects of what is said and reflecting that back, the client can focus on a word, feeling or emotion that can then be explored further (Midwinter &amp; Dickson, 2015). In the session she talked about feeling exhausted and said she felt scared of this. I </w:t>
      </w:r>
      <w:proofErr w:type="gramStart"/>
      <w:r w:rsidRPr="4DA4BA50" w:rsidR="740BFB6B">
        <w:rPr>
          <w:rFonts w:ascii="Arial" w:hAnsi="Arial" w:eastAsia="Arial" w:cs="Arial"/>
          <w:noProof w:val="0"/>
          <w:color w:val="000000" w:themeColor="text1" w:themeTint="FF" w:themeShade="FF"/>
          <w:sz w:val="24"/>
          <w:szCs w:val="24"/>
          <w:lang w:val="en-GB"/>
        </w:rPr>
        <w:t>reflected back</w:t>
      </w:r>
      <w:proofErr w:type="gramEnd"/>
      <w:r w:rsidRPr="4DA4BA50" w:rsidR="740BFB6B">
        <w:rPr>
          <w:rFonts w:ascii="Arial" w:hAnsi="Arial" w:eastAsia="Arial" w:cs="Arial"/>
          <w:noProof w:val="0"/>
          <w:color w:val="000000" w:themeColor="text1" w:themeTint="FF" w:themeShade="FF"/>
          <w:sz w:val="24"/>
          <w:szCs w:val="24"/>
          <w:lang w:val="en-GB"/>
        </w:rPr>
        <w:t xml:space="preserve"> to her saying ‘scared to be exhausted, could you unpack that a little bit?’. This led to a significant moment in the session, when she explored her fear of exhaustion, she linked it to a fear of failure, saying if she stopped this would mean giving up. I reframed the question asking if fear of exhaustion was linked to rest and her eyes went wide, she described a lightbulb moment, that stopping could mean rest rather than giving up. My use of reflection and reframing demonstrated the power of these skills, I was struck by this during the session and as I have continued to reflect on that moment. It gave me a new appreciation of what counselling skills can achieve. </w:t>
      </w:r>
    </w:p>
    <w:p xmlns:wp14="http://schemas.microsoft.com/office/word/2010/wordml" w:rsidP="4DA4BA50" w14:paraId="68EC7421" wp14:textId="6581EDC5">
      <w:pPr>
        <w:spacing w:line="360" w:lineRule="auto"/>
        <w:rPr>
          <w:rFonts w:ascii="Arial" w:hAnsi="Arial" w:eastAsia="Arial" w:cs="Arial"/>
          <w:noProof w:val="0"/>
          <w:color w:val="000000" w:themeColor="text1" w:themeTint="FF" w:themeShade="FF"/>
          <w:sz w:val="24"/>
          <w:szCs w:val="24"/>
          <w:lang w:val="en-GB"/>
        </w:rPr>
      </w:pPr>
      <w:r w:rsidRPr="4DA4BA50" w:rsidR="740BFB6B">
        <w:rPr>
          <w:rFonts w:ascii="Arial" w:hAnsi="Arial" w:eastAsia="Arial" w:cs="Arial"/>
          <w:noProof w:val="0"/>
          <w:color w:val="000000" w:themeColor="text1" w:themeTint="FF" w:themeShade="FF"/>
          <w:sz w:val="24"/>
          <w:szCs w:val="24"/>
          <w:lang w:val="en-GB"/>
        </w:rPr>
        <w:t xml:space="preserve">I noticed an improvement in my use of silence, in previous practice I reflected that I talked too much, in this session I was quieter, and this allowed my partner to be more open and reach greater depths of self-reflection (Midwinter &amp; Dickson, 2015). I used a non-directive stance which builds on self-determination, emancipation and autonomy (Cooper et al., 2013). This is a skill I developed over time, previously I found I was trying to fix things for the other person, being too directive and giving suggestions. This time, I took a relaxed approach and focused on being present in the moment, this allowed the core conditions to be felt and expressed effectively, which aided a more meaningful session (Rogers, 1980). The conversation led to moments of deep engagement, humanistic theory attributes these moments to intensity, depth and genuineness (Cooper et al., 2013). It has been described as profound contact and engagement between two people, although the session didn’t go too deep due to ethical boundaries, such as protecting the safety of the client (British Association for Counselling and Psychotherapy (BACP), 2018). I do feel I had a glimpse of relational depth and the power of engagement in what she described as a lightbulb moment. </w:t>
      </w:r>
    </w:p>
    <w:p xmlns:wp14="http://schemas.microsoft.com/office/word/2010/wordml" w:rsidP="4DA4BA50" w14:paraId="5C36FE9B" wp14:textId="590F558E">
      <w:pPr>
        <w:spacing w:line="360" w:lineRule="auto"/>
        <w:rPr>
          <w:rFonts w:ascii="Arial" w:hAnsi="Arial" w:eastAsia="Arial" w:cs="Arial"/>
          <w:noProof w:val="0"/>
          <w:color w:val="000000" w:themeColor="text1" w:themeTint="FF" w:themeShade="FF"/>
          <w:sz w:val="24"/>
          <w:szCs w:val="24"/>
          <w:lang w:val="en-GB"/>
        </w:rPr>
      </w:pPr>
      <w:r w:rsidRPr="4DA4BA50" w:rsidR="740BFB6B">
        <w:rPr>
          <w:rFonts w:ascii="Arial" w:hAnsi="Arial" w:eastAsia="Arial" w:cs="Arial"/>
          <w:noProof w:val="0"/>
          <w:color w:val="000000" w:themeColor="text1" w:themeTint="FF" w:themeShade="FF"/>
          <w:sz w:val="24"/>
          <w:szCs w:val="24"/>
          <w:lang w:val="en-GB"/>
        </w:rPr>
        <w:t>Evaluation showed skills I need to improve on and some aspects I didn’t feel happy with. I have Attention Deficit Hyperactivity Disorder (ADHD), one of my main symptoms is trouble with my working memory (</w:t>
      </w:r>
      <w:proofErr w:type="spellStart"/>
      <w:r w:rsidRPr="4DA4BA50" w:rsidR="740BFB6B">
        <w:rPr>
          <w:rFonts w:ascii="Arial" w:hAnsi="Arial" w:eastAsia="Arial" w:cs="Arial"/>
          <w:noProof w:val="0"/>
          <w:color w:val="2C2C2C"/>
          <w:sz w:val="24"/>
          <w:szCs w:val="24"/>
          <w:lang w:val="en-GB"/>
        </w:rPr>
        <w:t>Xenitidis</w:t>
      </w:r>
      <w:proofErr w:type="spellEnd"/>
      <w:r w:rsidRPr="4DA4BA50" w:rsidR="740BFB6B">
        <w:rPr>
          <w:rFonts w:ascii="Arial" w:hAnsi="Arial" w:eastAsia="Arial" w:cs="Arial"/>
          <w:noProof w:val="0"/>
          <w:color w:val="2C2C2C"/>
          <w:sz w:val="24"/>
          <w:szCs w:val="24"/>
          <w:lang w:val="en-GB"/>
        </w:rPr>
        <w:t xml:space="preserve"> et al., 2010)</w:t>
      </w:r>
      <w:r w:rsidRPr="4DA4BA50" w:rsidR="740BFB6B">
        <w:rPr>
          <w:rFonts w:ascii="Arial" w:hAnsi="Arial" w:eastAsia="Arial" w:cs="Arial"/>
          <w:noProof w:val="0"/>
          <w:color w:val="000000" w:themeColor="text1" w:themeTint="FF" w:themeShade="FF"/>
          <w:sz w:val="24"/>
          <w:szCs w:val="24"/>
          <w:lang w:val="en-GB"/>
        </w:rPr>
        <w:t xml:space="preserve">. I decided in this session I would keep a pen and paper close to me to make notes that would help me remember points I wanted to go back to, I found this a beneficial tool and one I would use again. However, on reflection, when watching the video, I could see my eyes moving to the paper and was aware that my partner didn’t know I was making notes. She could have interpreted this as me being disinterested or distracted, in future I would include this in my introduction and explain I was making short notes. This would enable congruence and unconditional positive regard, as I would be transparent, and she would be less likely to misread the situation (Rogers, 1951). </w:t>
      </w:r>
    </w:p>
    <w:p xmlns:wp14="http://schemas.microsoft.com/office/word/2010/wordml" w:rsidP="4DA4BA50" w14:paraId="482E4086" wp14:textId="37C5BB2F">
      <w:pPr>
        <w:spacing w:line="360" w:lineRule="auto"/>
        <w:rPr>
          <w:rFonts w:ascii="Arial" w:hAnsi="Arial" w:eastAsia="Arial" w:cs="Arial"/>
          <w:noProof w:val="0"/>
          <w:color w:val="000000" w:themeColor="text1" w:themeTint="FF" w:themeShade="FF"/>
          <w:sz w:val="24"/>
          <w:szCs w:val="24"/>
          <w:lang w:val="en-GB"/>
        </w:rPr>
      </w:pPr>
      <w:r w:rsidRPr="4DA4BA50" w:rsidR="740BFB6B">
        <w:rPr>
          <w:rFonts w:ascii="Arial" w:hAnsi="Arial" w:eastAsia="Arial" w:cs="Arial"/>
          <w:noProof w:val="0"/>
          <w:color w:val="000000" w:themeColor="text1" w:themeTint="FF" w:themeShade="FF"/>
          <w:sz w:val="24"/>
          <w:szCs w:val="24"/>
          <w:lang w:val="en-GB"/>
        </w:rPr>
        <w:t xml:space="preserve">There were connection issues which were off-putting and did affect the flow of the session. We had to stop the first recording and start again due to interference, this did knock my confidence and raise my anxiety levels, it also meant the time on the recording was incorrect, so I didn’t know how long the session was running for.  Watching the video, I realised I was slightly under the twenty-minute requirement which was disappointing. Learning from this I would have a second timer as back-up, if counselling does move more on-line these considerations will become part of preparation and practice. During the session there were significant phrases I didn’t pick up on, one of these was when she compared herself to people who were thriving in </w:t>
      </w:r>
      <w:proofErr w:type="gramStart"/>
      <w:r w:rsidRPr="4DA4BA50" w:rsidR="740BFB6B">
        <w:rPr>
          <w:rFonts w:ascii="Arial" w:hAnsi="Arial" w:eastAsia="Arial" w:cs="Arial"/>
          <w:noProof w:val="0"/>
          <w:color w:val="000000" w:themeColor="text1" w:themeTint="FF" w:themeShade="FF"/>
          <w:sz w:val="24"/>
          <w:szCs w:val="24"/>
          <w:lang w:val="en-GB"/>
        </w:rPr>
        <w:t>lockdown</w:t>
      </w:r>
      <w:proofErr w:type="gramEnd"/>
      <w:r w:rsidRPr="4DA4BA50" w:rsidR="740BFB6B">
        <w:rPr>
          <w:rFonts w:ascii="Arial" w:hAnsi="Arial" w:eastAsia="Arial" w:cs="Arial"/>
          <w:noProof w:val="0"/>
          <w:color w:val="000000" w:themeColor="text1" w:themeTint="FF" w:themeShade="FF"/>
          <w:sz w:val="24"/>
          <w:szCs w:val="24"/>
          <w:lang w:val="en-GB"/>
        </w:rPr>
        <w:t xml:space="preserve"> but she felt she had become a worse person. If I could do the session again, I would have encouraged her to explore why she felt that way.  </w:t>
      </w:r>
    </w:p>
    <w:p xmlns:wp14="http://schemas.microsoft.com/office/word/2010/wordml" w:rsidP="4DA4BA50" w14:paraId="5D205A29" wp14:textId="7770ED74">
      <w:pPr>
        <w:spacing w:line="360" w:lineRule="auto"/>
        <w:rPr>
          <w:rFonts w:ascii="Arial" w:hAnsi="Arial" w:eastAsia="Arial" w:cs="Arial"/>
          <w:noProof w:val="0"/>
          <w:color w:val="000000" w:themeColor="text1" w:themeTint="FF" w:themeShade="FF"/>
          <w:sz w:val="24"/>
          <w:szCs w:val="24"/>
          <w:lang w:val="en-GB"/>
        </w:rPr>
      </w:pPr>
      <w:r w:rsidRPr="4DA4BA50" w:rsidR="740BFB6B">
        <w:rPr>
          <w:rFonts w:ascii="Arial" w:hAnsi="Arial" w:eastAsia="Arial" w:cs="Arial"/>
          <w:noProof w:val="0"/>
          <w:color w:val="000000" w:themeColor="text1" w:themeTint="FF" w:themeShade="FF"/>
          <w:sz w:val="24"/>
          <w:szCs w:val="24"/>
          <w:lang w:val="en-GB"/>
        </w:rPr>
        <w:t>Another point when she spoke about social media being fake, I told her I could identify with the same feelings, on reflection I feel this may have been sharing too much of my own opinion and thoughts which I need to avoid (Cooper et al., 2013). The end of the session was positive, I summarised the session effectively, but when talking about future sessions, I expressed what I felt we needed to work on. It would have been better to ask her what she would like to focus on, which would have empowered her and encouraged commitment.</w:t>
      </w:r>
    </w:p>
    <w:p xmlns:wp14="http://schemas.microsoft.com/office/word/2010/wordml" w:rsidP="4DA4BA50" w14:paraId="1CF9312C" wp14:textId="65FF084F">
      <w:pPr>
        <w:spacing w:line="360" w:lineRule="auto"/>
        <w:rPr>
          <w:rFonts w:ascii="Arial" w:hAnsi="Arial" w:eastAsia="Arial" w:cs="Arial"/>
          <w:noProof w:val="0"/>
          <w:color w:val="000000" w:themeColor="text1" w:themeTint="FF" w:themeShade="FF"/>
          <w:sz w:val="24"/>
          <w:szCs w:val="24"/>
          <w:lang w:val="en-GB"/>
        </w:rPr>
      </w:pPr>
      <w:r w:rsidRPr="4DA4BA50" w:rsidR="740BFB6B">
        <w:rPr>
          <w:rFonts w:ascii="Arial" w:hAnsi="Arial" w:eastAsia="Arial" w:cs="Arial"/>
          <w:noProof w:val="0"/>
          <w:color w:val="000000" w:themeColor="text1" w:themeTint="FF" w:themeShade="FF"/>
          <w:sz w:val="24"/>
          <w:szCs w:val="24"/>
          <w:lang w:val="en-GB"/>
        </w:rPr>
        <w:t>As I look back over my time at UWTSD I feel that my counselling and listening skills have greatly improved. The skills that I have been taught are becoming more natural, rather than forced. I have learnt to ask open questions, to be quiet and listen deeply to the responses by being fully present in the moment (Rogers, 1980).  Practicing mindfulness has helped me develop and has become an integral part of my self-care. My body language, open stance and minimal encouragers have been improved the more I practice. Although my use of silence has increased, I feel it needs to be developed further so I feel comfortable in the quiet. Reading more about online counselling would be helpful, with different therapeutic and ethical guidelines that need to be considered. I feel it would be personally beneficial to continue learning more about TA, in particular the drama triangle to continue my move away from the rescuer role, in counselling and my personal life.</w:t>
      </w:r>
    </w:p>
    <w:p xmlns:wp14="http://schemas.microsoft.com/office/word/2010/wordml" w:rsidP="4DA4BA50" w14:paraId="0BAB21B0" wp14:textId="3E071BA6">
      <w:pPr>
        <w:spacing w:line="360" w:lineRule="auto"/>
        <w:rPr>
          <w:rFonts w:ascii="Arial" w:hAnsi="Arial" w:eastAsia="Arial" w:cs="Arial"/>
          <w:noProof w:val="0"/>
          <w:color w:val="000000" w:themeColor="text1" w:themeTint="FF" w:themeShade="FF"/>
          <w:sz w:val="24"/>
          <w:szCs w:val="24"/>
          <w:lang w:val="en-GB"/>
        </w:rPr>
      </w:pPr>
      <w:r w:rsidRPr="4DA4BA50" w:rsidR="740BFB6B">
        <w:rPr>
          <w:rFonts w:ascii="Arial" w:hAnsi="Arial" w:eastAsia="Arial" w:cs="Arial"/>
          <w:noProof w:val="0"/>
          <w:color w:val="000000" w:themeColor="text1" w:themeTint="FF" w:themeShade="FF"/>
          <w:sz w:val="24"/>
          <w:szCs w:val="24"/>
          <w:lang w:val="en-GB"/>
        </w:rPr>
        <w:t>I have thoroughly enjoyed the counselling skills module and this reflexive module has reaffirmed my desire to peruse a career in counselling or therapy. I would like to continue to learn more about different therapeutic approaches. My area of interest is trauma, particular refugee trauma, so I would like to explore narrative therapy, body movement therapy and other non-verbal approaches which haven't been covered in my degree. I have developed a deep appreciation for reflective practice, I would like to enhance this skill as it benefits all areas of my life, helping me learn from my experiences, both good and bad. Gibbs model for reflection is a method that works well for me as the different sections help me focus and stay on track, my hope is that it will continue to add to my development and growth (Gibbs, 1998).</w:t>
      </w:r>
    </w:p>
    <w:p xmlns:wp14="http://schemas.microsoft.com/office/word/2010/wordml" w:rsidP="4DA4BA50" w14:paraId="5E5787A5" wp14:textId="7C98A0B4">
      <w:pPr>
        <w:pStyle w:val="Normal"/>
      </w:pPr>
    </w:p>
    <w:p w:rsidR="4DA4BA50" w:rsidP="4DA4BA50" w:rsidRDefault="4DA4BA50" w14:paraId="45A14DEC" w14:textId="0057918F">
      <w:pPr>
        <w:spacing w:after="160" w:line="259" w:lineRule="auto"/>
        <w:ind w:left="720" w:hanging="720"/>
        <w:rPr>
          <w:rFonts w:ascii="Calibri" w:hAnsi="Calibri" w:eastAsia="Calibri" w:cs="Calibri"/>
          <w:noProof w:val="0"/>
          <w:color w:val="222222"/>
          <w:sz w:val="24"/>
          <w:szCs w:val="24"/>
          <w:lang w:val="en-GB"/>
        </w:rPr>
      </w:pPr>
    </w:p>
    <w:p w:rsidR="4DA4BA50" w:rsidP="4DA4BA50" w:rsidRDefault="4DA4BA50" w14:paraId="22CA6E0E" w14:textId="389E8B92">
      <w:pPr>
        <w:spacing w:after="160" w:line="259" w:lineRule="auto"/>
        <w:ind w:left="720" w:hanging="720"/>
        <w:rPr>
          <w:rFonts w:ascii="Calibri" w:hAnsi="Calibri" w:eastAsia="Calibri" w:cs="Calibri"/>
          <w:noProof w:val="0"/>
          <w:color w:val="222222"/>
          <w:sz w:val="24"/>
          <w:szCs w:val="24"/>
          <w:lang w:val="en-GB"/>
        </w:rPr>
      </w:pPr>
    </w:p>
    <w:p w:rsidR="4DA4BA50" w:rsidP="4DA4BA50" w:rsidRDefault="4DA4BA50" w14:paraId="08F0576D" w14:textId="5553979E">
      <w:pPr>
        <w:spacing w:after="160" w:line="259" w:lineRule="auto"/>
        <w:ind w:left="720" w:hanging="720"/>
        <w:jc w:val="center"/>
        <w:rPr>
          <w:rFonts w:ascii="Calibri" w:hAnsi="Calibri" w:eastAsia="Calibri" w:cs="Calibri"/>
          <w:b w:val="1"/>
          <w:bCs w:val="1"/>
          <w:noProof w:val="0"/>
          <w:color w:val="222222"/>
          <w:sz w:val="28"/>
          <w:szCs w:val="28"/>
          <w:lang w:val="en-GB"/>
        </w:rPr>
      </w:pPr>
    </w:p>
    <w:p w:rsidR="0525AC43" w:rsidP="4DA4BA50" w:rsidRDefault="0525AC43" w14:paraId="794FA969" w14:textId="65292AC0">
      <w:pPr>
        <w:spacing w:after="160" w:line="259" w:lineRule="auto"/>
        <w:ind w:left="720" w:hanging="720"/>
        <w:jc w:val="center"/>
        <w:rPr>
          <w:rFonts w:ascii="Calibri" w:hAnsi="Calibri" w:eastAsia="Calibri" w:cs="Calibri"/>
          <w:b w:val="1"/>
          <w:bCs w:val="1"/>
          <w:noProof w:val="0"/>
          <w:color w:val="222222"/>
          <w:sz w:val="28"/>
          <w:szCs w:val="28"/>
          <w:lang w:val="en-GB"/>
        </w:rPr>
      </w:pPr>
      <w:r w:rsidRPr="4DA4BA50" w:rsidR="0525AC43">
        <w:rPr>
          <w:rFonts w:ascii="Calibri" w:hAnsi="Calibri" w:eastAsia="Calibri" w:cs="Calibri"/>
          <w:b w:val="1"/>
          <w:bCs w:val="1"/>
          <w:noProof w:val="0"/>
          <w:color w:val="222222"/>
          <w:sz w:val="28"/>
          <w:szCs w:val="28"/>
          <w:lang w:val="en-GB"/>
        </w:rPr>
        <w:t>Reference List</w:t>
      </w:r>
    </w:p>
    <w:p w:rsidR="4DA4BA50" w:rsidP="4DA4BA50" w:rsidRDefault="4DA4BA50" w14:paraId="718275D5" w14:textId="2510C2D1">
      <w:pPr>
        <w:spacing w:after="160" w:line="259" w:lineRule="auto"/>
        <w:ind w:left="720" w:hanging="720"/>
        <w:rPr>
          <w:rFonts w:ascii="Calibri" w:hAnsi="Calibri" w:eastAsia="Calibri" w:cs="Calibri"/>
          <w:noProof w:val="0"/>
          <w:color w:val="222222"/>
          <w:sz w:val="24"/>
          <w:szCs w:val="24"/>
          <w:lang w:val="en-GB"/>
        </w:rPr>
      </w:pPr>
    </w:p>
    <w:p w:rsidR="0525AC43" w:rsidP="4DA4BA50" w:rsidRDefault="0525AC43" w14:paraId="4461AF29" w14:textId="2D1C6AA0">
      <w:pPr>
        <w:spacing w:after="160" w:line="360" w:lineRule="auto"/>
        <w:ind w:left="720" w:hanging="720"/>
        <w:rPr>
          <w:rFonts w:ascii="Arial" w:hAnsi="Arial" w:eastAsia="Arial" w:cs="Arial"/>
          <w:noProof w:val="0"/>
          <w:color w:val="222222"/>
          <w:sz w:val="24"/>
          <w:szCs w:val="24"/>
          <w:lang w:val="en-GB"/>
        </w:rPr>
      </w:pPr>
      <w:r w:rsidRPr="4DA4BA50" w:rsidR="0525AC43">
        <w:rPr>
          <w:rFonts w:ascii="Arial" w:hAnsi="Arial" w:eastAsia="Arial" w:cs="Arial"/>
          <w:noProof w:val="0"/>
          <w:color w:val="222222"/>
          <w:sz w:val="24"/>
          <w:szCs w:val="24"/>
          <w:lang w:val="en-GB"/>
        </w:rPr>
        <w:t xml:space="preserve">Bolton, G. (2010). </w:t>
      </w:r>
      <w:r w:rsidRPr="4DA4BA50" w:rsidR="0525AC43">
        <w:rPr>
          <w:rFonts w:ascii="Arial" w:hAnsi="Arial" w:eastAsia="Arial" w:cs="Arial"/>
          <w:i w:val="1"/>
          <w:iCs w:val="1"/>
          <w:noProof w:val="0"/>
          <w:color w:val="222222"/>
          <w:sz w:val="24"/>
          <w:szCs w:val="24"/>
          <w:lang w:val="en-GB"/>
        </w:rPr>
        <w:t xml:space="preserve">Reflective practice: Writing and professional development </w:t>
      </w:r>
      <w:r w:rsidRPr="4DA4BA50" w:rsidR="0525AC43">
        <w:rPr>
          <w:rFonts w:ascii="Arial" w:hAnsi="Arial" w:eastAsia="Arial" w:cs="Arial"/>
          <w:noProof w:val="0"/>
          <w:color w:val="222222"/>
          <w:sz w:val="24"/>
          <w:szCs w:val="24"/>
          <w:lang w:val="en-GB"/>
        </w:rPr>
        <w:t>(3</w:t>
      </w:r>
      <w:r w:rsidRPr="4DA4BA50" w:rsidR="0525AC43">
        <w:rPr>
          <w:rFonts w:ascii="Arial" w:hAnsi="Arial" w:eastAsia="Arial" w:cs="Arial"/>
          <w:noProof w:val="0"/>
          <w:color w:val="222222"/>
          <w:sz w:val="24"/>
          <w:szCs w:val="24"/>
          <w:vertAlign w:val="superscript"/>
          <w:lang w:val="en-GB"/>
        </w:rPr>
        <w:t>rd</w:t>
      </w:r>
      <w:r w:rsidRPr="4DA4BA50" w:rsidR="0525AC43">
        <w:rPr>
          <w:rFonts w:ascii="Arial" w:hAnsi="Arial" w:eastAsia="Arial" w:cs="Arial"/>
          <w:noProof w:val="0"/>
          <w:color w:val="222222"/>
          <w:sz w:val="24"/>
          <w:szCs w:val="24"/>
          <w:lang w:val="en-GB"/>
        </w:rPr>
        <w:t xml:space="preserve"> ed). Sage publications.</w:t>
      </w:r>
    </w:p>
    <w:p w:rsidR="0525AC43" w:rsidP="4DA4BA50" w:rsidRDefault="0525AC43" w14:paraId="78851EA3" w14:textId="4D9EB8A9">
      <w:pPr>
        <w:spacing w:after="160" w:line="360" w:lineRule="auto"/>
        <w:ind w:left="720" w:hanging="720"/>
        <w:jc w:val="left"/>
        <w:rPr>
          <w:rFonts w:ascii="Arial" w:hAnsi="Arial" w:eastAsia="Arial" w:cs="Arial"/>
          <w:noProof w:val="0"/>
          <w:color w:val="3A3A3A"/>
          <w:sz w:val="24"/>
          <w:szCs w:val="24"/>
          <w:lang w:val="en-GB"/>
        </w:rPr>
      </w:pPr>
      <w:r w:rsidRPr="4DA4BA50" w:rsidR="0525AC43">
        <w:rPr>
          <w:rFonts w:ascii="Arial" w:hAnsi="Arial" w:eastAsia="Arial" w:cs="Arial"/>
          <w:noProof w:val="0"/>
          <w:color w:val="3A3A3A"/>
          <w:sz w:val="24"/>
          <w:szCs w:val="24"/>
          <w:lang w:val="en-GB"/>
        </w:rPr>
        <w:t xml:space="preserve">British Association for Counselling and Psychotherapy. (2018). </w:t>
      </w:r>
      <w:r w:rsidRPr="4DA4BA50" w:rsidR="0525AC43">
        <w:rPr>
          <w:rFonts w:ascii="Arial" w:hAnsi="Arial" w:eastAsia="Arial" w:cs="Arial"/>
          <w:i w:val="1"/>
          <w:iCs w:val="1"/>
          <w:noProof w:val="0"/>
          <w:color w:val="3A3A3A"/>
          <w:sz w:val="24"/>
          <w:szCs w:val="24"/>
          <w:lang w:val="en-GB"/>
        </w:rPr>
        <w:t xml:space="preserve">Ethical Framework for the counselling Professions. </w:t>
      </w:r>
      <w:hyperlink r:id="Re70ee5a2dd514f34">
        <w:r w:rsidRPr="4DA4BA50" w:rsidR="0525AC43">
          <w:rPr>
            <w:rStyle w:val="Hyperlink"/>
            <w:rFonts w:ascii="Arial" w:hAnsi="Arial" w:eastAsia="Arial" w:cs="Arial"/>
            <w:noProof w:val="0"/>
            <w:sz w:val="24"/>
            <w:szCs w:val="24"/>
            <w:lang w:val="en-GB"/>
          </w:rPr>
          <w:t>https://www.bacp.co.uk</w:t>
        </w:r>
      </w:hyperlink>
    </w:p>
    <w:p w:rsidR="0525AC43" w:rsidP="4DA4BA50" w:rsidRDefault="0525AC43" w14:paraId="0507F705" w14:textId="1FF488A4">
      <w:pPr>
        <w:spacing w:after="160" w:line="360" w:lineRule="auto"/>
        <w:ind w:left="720" w:hanging="720"/>
        <w:jc w:val="left"/>
        <w:rPr>
          <w:rFonts w:ascii="Arial" w:hAnsi="Arial" w:eastAsia="Arial" w:cs="Arial"/>
          <w:noProof w:val="0"/>
          <w:color w:val="000000" w:themeColor="text1" w:themeTint="FF" w:themeShade="FF"/>
          <w:sz w:val="24"/>
          <w:szCs w:val="24"/>
          <w:lang w:val="en-GB"/>
        </w:rPr>
      </w:pPr>
      <w:r w:rsidRPr="4DA4BA50" w:rsidR="0525AC43">
        <w:rPr>
          <w:rFonts w:ascii="Arial" w:hAnsi="Arial" w:eastAsia="Arial" w:cs="Arial"/>
          <w:noProof w:val="0"/>
          <w:color w:val="000000" w:themeColor="text1" w:themeTint="FF" w:themeShade="FF"/>
          <w:sz w:val="24"/>
          <w:szCs w:val="24"/>
          <w:lang w:val="en-GB"/>
        </w:rPr>
        <w:t xml:space="preserve">Cooper, M., O’Hara, M., Schmid, P., &amp; Bohart, A. (2013). </w:t>
      </w:r>
      <w:r w:rsidRPr="4DA4BA50" w:rsidR="0525AC43">
        <w:rPr>
          <w:rFonts w:ascii="Arial" w:hAnsi="Arial" w:eastAsia="Arial" w:cs="Arial"/>
          <w:i w:val="1"/>
          <w:iCs w:val="1"/>
          <w:noProof w:val="0"/>
          <w:color w:val="000000" w:themeColor="text1" w:themeTint="FF" w:themeShade="FF"/>
          <w:sz w:val="24"/>
          <w:szCs w:val="24"/>
          <w:lang w:val="en-GB"/>
        </w:rPr>
        <w:t>The handbook of person-centred psychology &amp; counselling</w:t>
      </w:r>
      <w:r w:rsidRPr="4DA4BA50" w:rsidR="0525AC43">
        <w:rPr>
          <w:rFonts w:ascii="Arial" w:hAnsi="Arial" w:eastAsia="Arial" w:cs="Arial"/>
          <w:noProof w:val="0"/>
          <w:color w:val="000000" w:themeColor="text1" w:themeTint="FF" w:themeShade="FF"/>
          <w:sz w:val="24"/>
          <w:szCs w:val="24"/>
          <w:lang w:val="en-GB"/>
        </w:rPr>
        <w:t xml:space="preserve"> (2</w:t>
      </w:r>
      <w:r w:rsidRPr="4DA4BA50" w:rsidR="0525AC43">
        <w:rPr>
          <w:rFonts w:ascii="Arial" w:hAnsi="Arial" w:eastAsia="Arial" w:cs="Arial"/>
          <w:noProof w:val="0"/>
          <w:color w:val="000000" w:themeColor="text1" w:themeTint="FF" w:themeShade="FF"/>
          <w:sz w:val="24"/>
          <w:szCs w:val="24"/>
          <w:vertAlign w:val="superscript"/>
          <w:lang w:val="en-GB"/>
        </w:rPr>
        <w:t xml:space="preserve">nd </w:t>
      </w:r>
      <w:r w:rsidRPr="4DA4BA50" w:rsidR="0525AC43">
        <w:rPr>
          <w:rFonts w:ascii="Arial" w:hAnsi="Arial" w:eastAsia="Arial" w:cs="Arial"/>
          <w:noProof w:val="0"/>
          <w:color w:val="000000" w:themeColor="text1" w:themeTint="FF" w:themeShade="FF"/>
          <w:sz w:val="24"/>
          <w:szCs w:val="24"/>
          <w:lang w:val="en-GB"/>
        </w:rPr>
        <w:t>ed). Palgrave.</w:t>
      </w:r>
    </w:p>
    <w:p w:rsidR="0525AC43" w:rsidP="4DA4BA50" w:rsidRDefault="0525AC43" w14:paraId="390DB66A" w14:textId="634C8053">
      <w:pPr>
        <w:spacing w:after="160" w:line="360" w:lineRule="auto"/>
        <w:ind w:left="720" w:hanging="720"/>
        <w:jc w:val="left"/>
        <w:rPr>
          <w:rFonts w:ascii="Arial" w:hAnsi="Arial" w:eastAsia="Arial" w:cs="Arial"/>
          <w:noProof w:val="0"/>
          <w:color w:val="000000" w:themeColor="text1" w:themeTint="FF" w:themeShade="FF"/>
          <w:sz w:val="24"/>
          <w:szCs w:val="24"/>
          <w:lang w:val="en-GB"/>
        </w:rPr>
      </w:pPr>
      <w:r w:rsidRPr="4DA4BA50" w:rsidR="0525AC43">
        <w:rPr>
          <w:rFonts w:ascii="Arial" w:hAnsi="Arial" w:eastAsia="Arial" w:cs="Arial"/>
          <w:noProof w:val="0"/>
          <w:color w:val="000000" w:themeColor="text1" w:themeTint="FF" w:themeShade="FF"/>
          <w:sz w:val="24"/>
          <w:szCs w:val="24"/>
          <w:lang w:val="en-GB"/>
        </w:rPr>
        <w:t xml:space="preserve">Feltham, C., &amp; Horton, I. (2012). </w:t>
      </w:r>
      <w:r w:rsidRPr="4DA4BA50" w:rsidR="0525AC43">
        <w:rPr>
          <w:rFonts w:ascii="Arial" w:hAnsi="Arial" w:eastAsia="Arial" w:cs="Arial"/>
          <w:i w:val="1"/>
          <w:iCs w:val="1"/>
          <w:noProof w:val="0"/>
          <w:color w:val="000000" w:themeColor="text1" w:themeTint="FF" w:themeShade="FF"/>
          <w:sz w:val="24"/>
          <w:szCs w:val="24"/>
          <w:lang w:val="en-GB"/>
        </w:rPr>
        <w:t xml:space="preserve">The Sage Handbook of Counselling and Psychotherapy </w:t>
      </w:r>
      <w:r w:rsidRPr="4DA4BA50" w:rsidR="0525AC43">
        <w:rPr>
          <w:rFonts w:ascii="Arial" w:hAnsi="Arial" w:eastAsia="Arial" w:cs="Arial"/>
          <w:noProof w:val="0"/>
          <w:color w:val="000000" w:themeColor="text1" w:themeTint="FF" w:themeShade="FF"/>
          <w:sz w:val="24"/>
          <w:szCs w:val="24"/>
          <w:lang w:val="en-GB"/>
        </w:rPr>
        <w:t>(3</w:t>
      </w:r>
      <w:r w:rsidRPr="4DA4BA50" w:rsidR="0525AC43">
        <w:rPr>
          <w:rFonts w:ascii="Arial" w:hAnsi="Arial" w:eastAsia="Arial" w:cs="Arial"/>
          <w:noProof w:val="0"/>
          <w:color w:val="000000" w:themeColor="text1" w:themeTint="FF" w:themeShade="FF"/>
          <w:sz w:val="24"/>
          <w:szCs w:val="24"/>
          <w:vertAlign w:val="superscript"/>
          <w:lang w:val="en-GB"/>
        </w:rPr>
        <w:t>rd</w:t>
      </w:r>
      <w:r w:rsidRPr="4DA4BA50" w:rsidR="0525AC43">
        <w:rPr>
          <w:rFonts w:ascii="Arial" w:hAnsi="Arial" w:eastAsia="Arial" w:cs="Arial"/>
          <w:noProof w:val="0"/>
          <w:color w:val="000000" w:themeColor="text1" w:themeTint="FF" w:themeShade="FF"/>
          <w:sz w:val="24"/>
          <w:szCs w:val="24"/>
          <w:lang w:val="en-GB"/>
        </w:rPr>
        <w:t xml:space="preserve"> ed). Sage.</w:t>
      </w:r>
    </w:p>
    <w:p w:rsidR="0525AC43" w:rsidP="4DA4BA50" w:rsidRDefault="0525AC43" w14:paraId="4DA49499" w14:textId="720D787C">
      <w:pPr>
        <w:spacing w:after="160" w:line="360" w:lineRule="auto"/>
        <w:ind w:left="720" w:hanging="720"/>
        <w:jc w:val="left"/>
        <w:rPr>
          <w:rFonts w:ascii="Arial" w:hAnsi="Arial" w:eastAsia="Arial" w:cs="Arial"/>
          <w:noProof w:val="0"/>
          <w:color w:val="3A3A3A"/>
          <w:sz w:val="24"/>
          <w:szCs w:val="24"/>
          <w:lang w:val="en-GB"/>
        </w:rPr>
      </w:pPr>
      <w:r w:rsidRPr="4DA4BA50" w:rsidR="0525AC43">
        <w:rPr>
          <w:rFonts w:ascii="Arial" w:hAnsi="Arial" w:eastAsia="Arial" w:cs="Arial"/>
          <w:noProof w:val="0"/>
          <w:color w:val="3A3A3A"/>
          <w:sz w:val="24"/>
          <w:szCs w:val="24"/>
          <w:lang w:val="en-GB"/>
        </w:rPr>
        <w:t xml:space="preserve">Gibbs, G. (1998). </w:t>
      </w:r>
      <w:r w:rsidRPr="4DA4BA50" w:rsidR="0525AC43">
        <w:rPr>
          <w:rFonts w:ascii="Arial" w:hAnsi="Arial" w:eastAsia="Arial" w:cs="Arial"/>
          <w:i w:val="1"/>
          <w:iCs w:val="1"/>
          <w:noProof w:val="0"/>
          <w:color w:val="3A3A3A"/>
          <w:sz w:val="24"/>
          <w:szCs w:val="24"/>
          <w:lang w:val="en-GB"/>
        </w:rPr>
        <w:t xml:space="preserve">Learning by doing: A guide to teaching and learning. </w:t>
      </w:r>
      <w:r w:rsidRPr="4DA4BA50" w:rsidR="0525AC43">
        <w:rPr>
          <w:rFonts w:ascii="Arial" w:hAnsi="Arial" w:eastAsia="Arial" w:cs="Arial"/>
          <w:noProof w:val="0"/>
          <w:color w:val="3A3A3A"/>
          <w:sz w:val="24"/>
          <w:szCs w:val="24"/>
          <w:lang w:val="en-GB"/>
        </w:rPr>
        <w:t>Further Education Unit.</w:t>
      </w:r>
    </w:p>
    <w:p w:rsidR="0525AC43" w:rsidP="4DA4BA50" w:rsidRDefault="0525AC43" w14:paraId="615E2F13" w14:textId="5F6F26E4">
      <w:pPr>
        <w:spacing w:after="160" w:line="360" w:lineRule="auto"/>
        <w:ind w:left="720" w:hanging="720"/>
        <w:jc w:val="left"/>
        <w:rPr>
          <w:rFonts w:ascii="Arial" w:hAnsi="Arial" w:eastAsia="Arial" w:cs="Arial"/>
          <w:noProof w:val="0"/>
          <w:color w:val="222222"/>
          <w:sz w:val="24"/>
          <w:szCs w:val="24"/>
          <w:lang w:val="en-GB"/>
        </w:rPr>
      </w:pPr>
      <w:r w:rsidRPr="4DA4BA50" w:rsidR="0525AC43">
        <w:rPr>
          <w:rFonts w:ascii="Arial" w:hAnsi="Arial" w:eastAsia="Arial" w:cs="Arial"/>
          <w:noProof w:val="0"/>
          <w:color w:val="222222"/>
          <w:sz w:val="24"/>
          <w:szCs w:val="24"/>
          <w:lang w:val="en-GB"/>
        </w:rPr>
        <w:t xml:space="preserve">Leichsenring, F., &amp; </w:t>
      </w:r>
      <w:proofErr w:type="spellStart"/>
      <w:r w:rsidRPr="4DA4BA50" w:rsidR="0525AC43">
        <w:rPr>
          <w:rFonts w:ascii="Arial" w:hAnsi="Arial" w:eastAsia="Arial" w:cs="Arial"/>
          <w:noProof w:val="0"/>
          <w:color w:val="222222"/>
          <w:sz w:val="24"/>
          <w:szCs w:val="24"/>
          <w:lang w:val="en-GB"/>
        </w:rPr>
        <w:t>Leweke</w:t>
      </w:r>
      <w:proofErr w:type="spellEnd"/>
      <w:r w:rsidRPr="4DA4BA50" w:rsidR="0525AC43">
        <w:rPr>
          <w:rFonts w:ascii="Arial" w:hAnsi="Arial" w:eastAsia="Arial" w:cs="Arial"/>
          <w:noProof w:val="0"/>
          <w:color w:val="222222"/>
          <w:sz w:val="24"/>
          <w:szCs w:val="24"/>
          <w:lang w:val="en-GB"/>
        </w:rPr>
        <w:t xml:space="preserve">, F. (2017). Social anxiety disorder. </w:t>
      </w:r>
      <w:r w:rsidRPr="4DA4BA50" w:rsidR="0525AC43">
        <w:rPr>
          <w:rFonts w:ascii="Arial" w:hAnsi="Arial" w:eastAsia="Arial" w:cs="Arial"/>
          <w:i w:val="1"/>
          <w:iCs w:val="1"/>
          <w:noProof w:val="0"/>
          <w:color w:val="222222"/>
          <w:sz w:val="24"/>
          <w:szCs w:val="24"/>
          <w:lang w:val="en-GB"/>
        </w:rPr>
        <w:t>New England Journal of Medicine</w:t>
      </w:r>
      <w:r w:rsidRPr="4DA4BA50" w:rsidR="0525AC43">
        <w:rPr>
          <w:rFonts w:ascii="Arial" w:hAnsi="Arial" w:eastAsia="Arial" w:cs="Arial"/>
          <w:noProof w:val="0"/>
          <w:color w:val="222222"/>
          <w:sz w:val="24"/>
          <w:szCs w:val="24"/>
          <w:lang w:val="en-GB"/>
        </w:rPr>
        <w:t xml:space="preserve">, </w:t>
      </w:r>
      <w:r w:rsidRPr="4DA4BA50" w:rsidR="0525AC43">
        <w:rPr>
          <w:rFonts w:ascii="Arial" w:hAnsi="Arial" w:eastAsia="Arial" w:cs="Arial"/>
          <w:i w:val="1"/>
          <w:iCs w:val="1"/>
          <w:noProof w:val="0"/>
          <w:color w:val="222222"/>
          <w:sz w:val="24"/>
          <w:szCs w:val="24"/>
          <w:lang w:val="en-GB"/>
        </w:rPr>
        <w:t>376</w:t>
      </w:r>
      <w:r w:rsidRPr="4DA4BA50" w:rsidR="0525AC43">
        <w:rPr>
          <w:rFonts w:ascii="Arial" w:hAnsi="Arial" w:eastAsia="Arial" w:cs="Arial"/>
          <w:noProof w:val="0"/>
          <w:color w:val="222222"/>
          <w:sz w:val="24"/>
          <w:szCs w:val="24"/>
          <w:lang w:val="en-GB"/>
        </w:rPr>
        <w:t>(23), 2255-2264.</w:t>
      </w:r>
    </w:p>
    <w:p w:rsidR="0525AC43" w:rsidP="4DA4BA50" w:rsidRDefault="0525AC43" w14:paraId="611B9EE5" w14:textId="412D3901">
      <w:pPr>
        <w:spacing w:after="160" w:line="360" w:lineRule="auto"/>
        <w:ind w:left="720" w:hanging="720"/>
        <w:jc w:val="left"/>
        <w:rPr>
          <w:rFonts w:ascii="Arial" w:hAnsi="Arial" w:eastAsia="Arial" w:cs="Arial"/>
          <w:noProof w:val="0"/>
          <w:color w:val="222222"/>
          <w:sz w:val="24"/>
          <w:szCs w:val="24"/>
          <w:lang w:val="en-GB"/>
        </w:rPr>
      </w:pPr>
      <w:r w:rsidRPr="4DA4BA50" w:rsidR="0525AC43">
        <w:rPr>
          <w:rFonts w:ascii="Arial" w:hAnsi="Arial" w:eastAsia="Arial" w:cs="Arial"/>
          <w:noProof w:val="0"/>
          <w:color w:val="222222"/>
          <w:sz w:val="24"/>
          <w:szCs w:val="24"/>
          <w:lang w:val="en-GB"/>
        </w:rPr>
        <w:t xml:space="preserve">MacDonald, H. Z., &amp; Olsen, A. (2020). The role of attentional control in the relationship between mindfulness and anxiety. </w:t>
      </w:r>
      <w:r w:rsidRPr="4DA4BA50" w:rsidR="0525AC43">
        <w:rPr>
          <w:rFonts w:ascii="Arial" w:hAnsi="Arial" w:eastAsia="Arial" w:cs="Arial"/>
          <w:i w:val="1"/>
          <w:iCs w:val="1"/>
          <w:noProof w:val="0"/>
          <w:color w:val="222222"/>
          <w:sz w:val="24"/>
          <w:szCs w:val="24"/>
          <w:lang w:val="en-GB"/>
        </w:rPr>
        <w:t>Psychological Reports</w:t>
      </w:r>
      <w:r w:rsidRPr="4DA4BA50" w:rsidR="0525AC43">
        <w:rPr>
          <w:rFonts w:ascii="Arial" w:hAnsi="Arial" w:eastAsia="Arial" w:cs="Arial"/>
          <w:noProof w:val="0"/>
          <w:color w:val="222222"/>
          <w:sz w:val="24"/>
          <w:szCs w:val="24"/>
          <w:lang w:val="en-GB"/>
        </w:rPr>
        <w:t xml:space="preserve">, </w:t>
      </w:r>
      <w:r w:rsidRPr="4DA4BA50" w:rsidR="0525AC43">
        <w:rPr>
          <w:rFonts w:ascii="Arial" w:hAnsi="Arial" w:eastAsia="Arial" w:cs="Arial"/>
          <w:i w:val="1"/>
          <w:iCs w:val="1"/>
          <w:noProof w:val="0"/>
          <w:color w:val="222222"/>
          <w:sz w:val="24"/>
          <w:szCs w:val="24"/>
          <w:lang w:val="en-GB"/>
        </w:rPr>
        <w:t>123</w:t>
      </w:r>
      <w:r w:rsidRPr="4DA4BA50" w:rsidR="0525AC43">
        <w:rPr>
          <w:rFonts w:ascii="Arial" w:hAnsi="Arial" w:eastAsia="Arial" w:cs="Arial"/>
          <w:noProof w:val="0"/>
          <w:color w:val="222222"/>
          <w:sz w:val="24"/>
          <w:szCs w:val="24"/>
          <w:lang w:val="en-GB"/>
        </w:rPr>
        <w:t>(3), 759-780.</w:t>
      </w:r>
    </w:p>
    <w:p w:rsidR="0525AC43" w:rsidP="4DA4BA50" w:rsidRDefault="0525AC43" w14:paraId="32643DDC" w14:textId="06E22079">
      <w:pPr>
        <w:spacing w:after="160" w:line="360" w:lineRule="auto"/>
        <w:ind w:left="720" w:hanging="720"/>
        <w:jc w:val="left"/>
        <w:rPr>
          <w:rFonts w:ascii="Arial" w:hAnsi="Arial" w:eastAsia="Arial" w:cs="Arial"/>
          <w:noProof w:val="0"/>
          <w:color w:val="000000" w:themeColor="text1" w:themeTint="FF" w:themeShade="FF"/>
          <w:sz w:val="24"/>
          <w:szCs w:val="24"/>
          <w:lang w:val="en-GB"/>
        </w:rPr>
      </w:pPr>
      <w:r w:rsidRPr="4DA4BA50" w:rsidR="0525AC43">
        <w:rPr>
          <w:rFonts w:ascii="Arial" w:hAnsi="Arial" w:eastAsia="Arial" w:cs="Arial"/>
          <w:noProof w:val="0"/>
          <w:color w:val="000000" w:themeColor="text1" w:themeTint="FF" w:themeShade="FF"/>
          <w:sz w:val="24"/>
          <w:szCs w:val="24"/>
          <w:lang w:val="en-GB"/>
        </w:rPr>
        <w:t xml:space="preserve">Midwinter, R., &amp; Dickson, J. (2015). </w:t>
      </w:r>
      <w:r w:rsidRPr="4DA4BA50" w:rsidR="0525AC43">
        <w:rPr>
          <w:rFonts w:ascii="Arial" w:hAnsi="Arial" w:eastAsia="Arial" w:cs="Arial"/>
          <w:i w:val="1"/>
          <w:iCs w:val="1"/>
          <w:noProof w:val="0"/>
          <w:color w:val="000000" w:themeColor="text1" w:themeTint="FF" w:themeShade="FF"/>
          <w:sz w:val="24"/>
          <w:szCs w:val="24"/>
          <w:lang w:val="en-GB"/>
        </w:rPr>
        <w:t>Embedding counselling and communication skills.</w:t>
      </w:r>
      <w:r w:rsidRPr="4DA4BA50" w:rsidR="0525AC43">
        <w:rPr>
          <w:rFonts w:ascii="Arial" w:hAnsi="Arial" w:eastAsia="Arial" w:cs="Arial"/>
          <w:noProof w:val="0"/>
          <w:color w:val="000000" w:themeColor="text1" w:themeTint="FF" w:themeShade="FF"/>
          <w:sz w:val="24"/>
          <w:szCs w:val="24"/>
          <w:lang w:val="en-GB"/>
        </w:rPr>
        <w:t xml:space="preserve"> Routledge.</w:t>
      </w:r>
    </w:p>
    <w:p w:rsidR="0525AC43" w:rsidP="4DA4BA50" w:rsidRDefault="0525AC43" w14:paraId="2C44E5FF" w14:textId="6728567F">
      <w:pPr>
        <w:spacing w:after="160" w:line="360" w:lineRule="auto"/>
        <w:ind w:left="720" w:hanging="720"/>
        <w:jc w:val="left"/>
        <w:rPr>
          <w:rFonts w:ascii="Arial" w:hAnsi="Arial" w:eastAsia="Arial" w:cs="Arial"/>
          <w:noProof w:val="0"/>
          <w:color w:val="000000" w:themeColor="text1" w:themeTint="FF" w:themeShade="FF"/>
          <w:sz w:val="24"/>
          <w:szCs w:val="24"/>
          <w:lang w:val="en-GB"/>
        </w:rPr>
      </w:pPr>
      <w:r w:rsidRPr="4DA4BA50" w:rsidR="0525AC43">
        <w:rPr>
          <w:rFonts w:ascii="Arial" w:hAnsi="Arial" w:eastAsia="Arial" w:cs="Arial"/>
          <w:noProof w:val="0"/>
          <w:color w:val="000000" w:themeColor="text1" w:themeTint="FF" w:themeShade="FF"/>
          <w:sz w:val="24"/>
          <w:szCs w:val="24"/>
          <w:lang w:val="en-GB"/>
        </w:rPr>
        <w:t>Rogers, C. (1951)</w:t>
      </w:r>
      <w:r w:rsidRPr="4DA4BA50" w:rsidR="0525AC43">
        <w:rPr>
          <w:rFonts w:ascii="Arial" w:hAnsi="Arial" w:eastAsia="Arial" w:cs="Arial"/>
          <w:i w:val="1"/>
          <w:iCs w:val="1"/>
          <w:noProof w:val="0"/>
          <w:color w:val="000000" w:themeColor="text1" w:themeTint="FF" w:themeShade="FF"/>
          <w:sz w:val="24"/>
          <w:szCs w:val="24"/>
          <w:lang w:val="en-GB"/>
        </w:rPr>
        <w:t>. Client-</w:t>
      </w:r>
      <w:proofErr w:type="spellStart"/>
      <w:r w:rsidRPr="4DA4BA50" w:rsidR="0525AC43">
        <w:rPr>
          <w:rFonts w:ascii="Arial" w:hAnsi="Arial" w:eastAsia="Arial" w:cs="Arial"/>
          <w:i w:val="1"/>
          <w:iCs w:val="1"/>
          <w:noProof w:val="0"/>
          <w:color w:val="000000" w:themeColor="text1" w:themeTint="FF" w:themeShade="FF"/>
          <w:sz w:val="24"/>
          <w:szCs w:val="24"/>
          <w:lang w:val="en-GB"/>
        </w:rPr>
        <w:t>centered</w:t>
      </w:r>
      <w:proofErr w:type="spellEnd"/>
      <w:r w:rsidRPr="4DA4BA50" w:rsidR="0525AC43">
        <w:rPr>
          <w:rFonts w:ascii="Arial" w:hAnsi="Arial" w:eastAsia="Arial" w:cs="Arial"/>
          <w:i w:val="1"/>
          <w:iCs w:val="1"/>
          <w:noProof w:val="0"/>
          <w:color w:val="000000" w:themeColor="text1" w:themeTint="FF" w:themeShade="FF"/>
          <w:sz w:val="24"/>
          <w:szCs w:val="24"/>
          <w:lang w:val="en-GB"/>
        </w:rPr>
        <w:t xml:space="preserve"> therapy.</w:t>
      </w:r>
      <w:r w:rsidRPr="4DA4BA50" w:rsidR="0525AC43">
        <w:rPr>
          <w:rFonts w:ascii="Arial" w:hAnsi="Arial" w:eastAsia="Arial" w:cs="Arial"/>
          <w:noProof w:val="0"/>
          <w:color w:val="000000" w:themeColor="text1" w:themeTint="FF" w:themeShade="FF"/>
          <w:sz w:val="24"/>
          <w:szCs w:val="24"/>
          <w:lang w:val="en-GB"/>
        </w:rPr>
        <w:t xml:space="preserve"> </w:t>
      </w:r>
      <w:proofErr w:type="spellStart"/>
      <w:r w:rsidRPr="4DA4BA50" w:rsidR="0525AC43">
        <w:rPr>
          <w:rFonts w:ascii="Arial" w:hAnsi="Arial" w:eastAsia="Arial" w:cs="Arial"/>
          <w:noProof w:val="0"/>
          <w:color w:val="000000" w:themeColor="text1" w:themeTint="FF" w:themeShade="FF"/>
          <w:sz w:val="24"/>
          <w:szCs w:val="24"/>
          <w:lang w:val="en-GB"/>
        </w:rPr>
        <w:t>Contstable</w:t>
      </w:r>
      <w:proofErr w:type="spellEnd"/>
      <w:r w:rsidRPr="4DA4BA50" w:rsidR="0525AC43">
        <w:rPr>
          <w:rFonts w:ascii="Arial" w:hAnsi="Arial" w:eastAsia="Arial" w:cs="Arial"/>
          <w:noProof w:val="0"/>
          <w:color w:val="000000" w:themeColor="text1" w:themeTint="FF" w:themeShade="FF"/>
          <w:sz w:val="24"/>
          <w:szCs w:val="24"/>
          <w:lang w:val="en-GB"/>
        </w:rPr>
        <w:t xml:space="preserve"> &amp; Company LTD.</w:t>
      </w:r>
    </w:p>
    <w:p w:rsidR="0525AC43" w:rsidP="4DA4BA50" w:rsidRDefault="0525AC43" w14:paraId="2FCAB6A0" w14:textId="4DB1390B">
      <w:pPr>
        <w:spacing w:after="160" w:line="360" w:lineRule="auto"/>
        <w:ind w:left="720" w:hanging="720"/>
        <w:jc w:val="left"/>
        <w:rPr>
          <w:rFonts w:ascii="Arial" w:hAnsi="Arial" w:eastAsia="Arial" w:cs="Arial"/>
          <w:noProof w:val="0"/>
          <w:color w:val="000000" w:themeColor="text1" w:themeTint="FF" w:themeShade="FF"/>
          <w:sz w:val="24"/>
          <w:szCs w:val="24"/>
          <w:lang w:val="en-GB"/>
        </w:rPr>
      </w:pPr>
      <w:r w:rsidRPr="4DA4BA50" w:rsidR="0525AC43">
        <w:rPr>
          <w:rFonts w:ascii="Arial" w:hAnsi="Arial" w:eastAsia="Arial" w:cs="Arial"/>
          <w:noProof w:val="0"/>
          <w:color w:val="000000" w:themeColor="text1" w:themeTint="FF" w:themeShade="FF"/>
          <w:sz w:val="24"/>
          <w:szCs w:val="24"/>
          <w:lang w:val="en-GB"/>
        </w:rPr>
        <w:t xml:space="preserve">Rogers, C. (1980). </w:t>
      </w:r>
      <w:r w:rsidRPr="4DA4BA50" w:rsidR="0525AC43">
        <w:rPr>
          <w:rFonts w:ascii="Arial" w:hAnsi="Arial" w:eastAsia="Arial" w:cs="Arial"/>
          <w:i w:val="1"/>
          <w:iCs w:val="1"/>
          <w:noProof w:val="0"/>
          <w:color w:val="000000" w:themeColor="text1" w:themeTint="FF" w:themeShade="FF"/>
          <w:sz w:val="24"/>
          <w:szCs w:val="24"/>
          <w:lang w:val="en-GB"/>
        </w:rPr>
        <w:t>A way of being</w:t>
      </w:r>
      <w:r w:rsidRPr="4DA4BA50" w:rsidR="0525AC43">
        <w:rPr>
          <w:rFonts w:ascii="Arial" w:hAnsi="Arial" w:eastAsia="Arial" w:cs="Arial"/>
          <w:noProof w:val="0"/>
          <w:color w:val="000000" w:themeColor="text1" w:themeTint="FF" w:themeShade="FF"/>
          <w:sz w:val="24"/>
          <w:szCs w:val="24"/>
          <w:lang w:val="en-GB"/>
        </w:rPr>
        <w:t>. Houghton Mifflin.</w:t>
      </w:r>
    </w:p>
    <w:p w:rsidR="0525AC43" w:rsidP="4DA4BA50" w:rsidRDefault="0525AC43" w14:paraId="01D80709" w14:textId="73127534">
      <w:pPr>
        <w:spacing w:after="160" w:line="360" w:lineRule="auto"/>
        <w:ind w:left="720" w:hanging="720"/>
        <w:jc w:val="left"/>
        <w:rPr>
          <w:rFonts w:ascii="Arial" w:hAnsi="Arial" w:eastAsia="Arial" w:cs="Arial"/>
          <w:noProof w:val="0"/>
          <w:sz w:val="24"/>
          <w:szCs w:val="24"/>
          <w:lang w:val="en-GB"/>
        </w:rPr>
      </w:pPr>
      <w:r w:rsidRPr="4DA4BA50" w:rsidR="0525AC43">
        <w:rPr>
          <w:rFonts w:ascii="Arial" w:hAnsi="Arial" w:eastAsia="Arial" w:cs="Arial"/>
          <w:noProof w:val="0"/>
          <w:sz w:val="24"/>
          <w:szCs w:val="24"/>
          <w:lang w:val="en-GB"/>
        </w:rPr>
        <w:t xml:space="preserve">Stewart, I., &amp; Joines, V. (2012) </w:t>
      </w:r>
      <w:r w:rsidRPr="4DA4BA50" w:rsidR="0525AC43">
        <w:rPr>
          <w:rFonts w:ascii="Arial" w:hAnsi="Arial" w:eastAsia="Arial" w:cs="Arial"/>
          <w:i w:val="1"/>
          <w:iCs w:val="1"/>
          <w:noProof w:val="0"/>
          <w:sz w:val="24"/>
          <w:szCs w:val="24"/>
          <w:lang w:val="en-GB"/>
        </w:rPr>
        <w:t xml:space="preserve">T A today: A new introduction to transactional analysis. </w:t>
      </w:r>
      <w:r w:rsidRPr="4DA4BA50" w:rsidR="0525AC43">
        <w:rPr>
          <w:rFonts w:ascii="Arial" w:hAnsi="Arial" w:eastAsia="Arial" w:cs="Arial"/>
          <w:noProof w:val="0"/>
          <w:sz w:val="24"/>
          <w:szCs w:val="24"/>
          <w:lang w:val="en-GB"/>
        </w:rPr>
        <w:t>(2</w:t>
      </w:r>
      <w:r w:rsidRPr="4DA4BA50" w:rsidR="0525AC43">
        <w:rPr>
          <w:rFonts w:ascii="Arial" w:hAnsi="Arial" w:eastAsia="Arial" w:cs="Arial"/>
          <w:noProof w:val="0"/>
          <w:sz w:val="24"/>
          <w:szCs w:val="24"/>
          <w:vertAlign w:val="superscript"/>
          <w:lang w:val="en-GB"/>
        </w:rPr>
        <w:t>nd</w:t>
      </w:r>
      <w:r w:rsidRPr="4DA4BA50" w:rsidR="0525AC43">
        <w:rPr>
          <w:rFonts w:ascii="Arial" w:hAnsi="Arial" w:eastAsia="Arial" w:cs="Arial"/>
          <w:noProof w:val="0"/>
          <w:sz w:val="24"/>
          <w:szCs w:val="24"/>
          <w:lang w:val="en-GB"/>
        </w:rPr>
        <w:t xml:space="preserve"> ed). </w:t>
      </w:r>
      <w:proofErr w:type="spellStart"/>
      <w:r w:rsidRPr="4DA4BA50" w:rsidR="0525AC43">
        <w:rPr>
          <w:rFonts w:ascii="Arial" w:hAnsi="Arial" w:eastAsia="Arial" w:cs="Arial"/>
          <w:noProof w:val="0"/>
          <w:sz w:val="24"/>
          <w:szCs w:val="24"/>
          <w:lang w:val="en-GB"/>
        </w:rPr>
        <w:t>Lifespace</w:t>
      </w:r>
      <w:proofErr w:type="spellEnd"/>
      <w:r w:rsidRPr="4DA4BA50" w:rsidR="0525AC43">
        <w:rPr>
          <w:rFonts w:ascii="Arial" w:hAnsi="Arial" w:eastAsia="Arial" w:cs="Arial"/>
          <w:noProof w:val="0"/>
          <w:sz w:val="24"/>
          <w:szCs w:val="24"/>
          <w:lang w:val="en-GB"/>
        </w:rPr>
        <w:t xml:space="preserve"> Publishing.</w:t>
      </w:r>
    </w:p>
    <w:p w:rsidR="0525AC43" w:rsidP="4DA4BA50" w:rsidRDefault="0525AC43" w14:paraId="4CE9E0B7" w14:textId="132204F1">
      <w:pPr>
        <w:spacing w:after="160" w:line="360" w:lineRule="auto"/>
        <w:ind w:left="720" w:hanging="720"/>
        <w:jc w:val="left"/>
        <w:rPr>
          <w:rFonts w:ascii="Arial" w:hAnsi="Arial" w:eastAsia="Arial" w:cs="Arial"/>
          <w:noProof w:val="0"/>
          <w:color w:val="222222"/>
          <w:sz w:val="24"/>
          <w:szCs w:val="24"/>
          <w:lang w:val="en-GB"/>
        </w:rPr>
      </w:pPr>
      <w:r w:rsidRPr="4DA4BA50" w:rsidR="0525AC43">
        <w:rPr>
          <w:rFonts w:ascii="Arial" w:hAnsi="Arial" w:eastAsia="Arial" w:cs="Arial"/>
          <w:noProof w:val="0"/>
          <w:color w:val="222222"/>
          <w:sz w:val="24"/>
          <w:szCs w:val="24"/>
          <w:lang w:val="en-GB"/>
        </w:rPr>
        <w:t xml:space="preserve">Tangen, J. L., &amp; Cashwell, C. S. (2016). Touchstones of connection: A concept mapping study of </w:t>
      </w:r>
      <w:proofErr w:type="spellStart"/>
      <w:r w:rsidRPr="4DA4BA50" w:rsidR="0525AC43">
        <w:rPr>
          <w:rFonts w:ascii="Arial" w:hAnsi="Arial" w:eastAsia="Arial" w:cs="Arial"/>
          <w:noProof w:val="0"/>
          <w:color w:val="222222"/>
          <w:sz w:val="24"/>
          <w:szCs w:val="24"/>
          <w:lang w:val="en-GB"/>
        </w:rPr>
        <w:t>counselor</w:t>
      </w:r>
      <w:proofErr w:type="spellEnd"/>
      <w:r w:rsidRPr="4DA4BA50" w:rsidR="0525AC43">
        <w:rPr>
          <w:rFonts w:ascii="Arial" w:hAnsi="Arial" w:eastAsia="Arial" w:cs="Arial"/>
          <w:noProof w:val="0"/>
          <w:color w:val="222222"/>
          <w:sz w:val="24"/>
          <w:szCs w:val="24"/>
          <w:lang w:val="en-GB"/>
        </w:rPr>
        <w:t xml:space="preserve"> factors that contribute to relational depth. </w:t>
      </w:r>
      <w:r w:rsidRPr="4DA4BA50" w:rsidR="0525AC43">
        <w:rPr>
          <w:rFonts w:ascii="Arial" w:hAnsi="Arial" w:eastAsia="Arial" w:cs="Arial"/>
          <w:i w:val="1"/>
          <w:iCs w:val="1"/>
          <w:noProof w:val="0"/>
          <w:color w:val="222222"/>
          <w:sz w:val="24"/>
          <w:szCs w:val="24"/>
          <w:lang w:val="en-GB"/>
        </w:rPr>
        <w:t xml:space="preserve">The Journal of Humanistic </w:t>
      </w:r>
      <w:proofErr w:type="spellStart"/>
      <w:r w:rsidRPr="4DA4BA50" w:rsidR="0525AC43">
        <w:rPr>
          <w:rFonts w:ascii="Arial" w:hAnsi="Arial" w:eastAsia="Arial" w:cs="Arial"/>
          <w:i w:val="1"/>
          <w:iCs w:val="1"/>
          <w:noProof w:val="0"/>
          <w:color w:val="222222"/>
          <w:sz w:val="24"/>
          <w:szCs w:val="24"/>
          <w:lang w:val="en-GB"/>
        </w:rPr>
        <w:t>Counseling</w:t>
      </w:r>
      <w:proofErr w:type="spellEnd"/>
      <w:r w:rsidRPr="4DA4BA50" w:rsidR="0525AC43">
        <w:rPr>
          <w:rFonts w:ascii="Arial" w:hAnsi="Arial" w:eastAsia="Arial" w:cs="Arial"/>
          <w:noProof w:val="0"/>
          <w:color w:val="222222"/>
          <w:sz w:val="24"/>
          <w:szCs w:val="24"/>
          <w:lang w:val="en-GB"/>
        </w:rPr>
        <w:t xml:space="preserve">, </w:t>
      </w:r>
      <w:r w:rsidRPr="4DA4BA50" w:rsidR="0525AC43">
        <w:rPr>
          <w:rFonts w:ascii="Arial" w:hAnsi="Arial" w:eastAsia="Arial" w:cs="Arial"/>
          <w:i w:val="1"/>
          <w:iCs w:val="1"/>
          <w:noProof w:val="0"/>
          <w:color w:val="222222"/>
          <w:sz w:val="24"/>
          <w:szCs w:val="24"/>
          <w:lang w:val="en-GB"/>
        </w:rPr>
        <w:t>55</w:t>
      </w:r>
      <w:r w:rsidRPr="4DA4BA50" w:rsidR="0525AC43">
        <w:rPr>
          <w:rFonts w:ascii="Arial" w:hAnsi="Arial" w:eastAsia="Arial" w:cs="Arial"/>
          <w:noProof w:val="0"/>
          <w:color w:val="222222"/>
          <w:sz w:val="24"/>
          <w:szCs w:val="24"/>
          <w:lang w:val="en-GB"/>
        </w:rPr>
        <w:t>(1), 20-36.</w:t>
      </w:r>
    </w:p>
    <w:p w:rsidR="0525AC43" w:rsidP="4DA4BA50" w:rsidRDefault="0525AC43" w14:paraId="1D2CE512" w14:textId="60595B0C">
      <w:pPr>
        <w:spacing w:after="160" w:line="360" w:lineRule="auto"/>
        <w:ind w:left="720" w:hanging="720"/>
        <w:jc w:val="left"/>
        <w:rPr>
          <w:rFonts w:ascii="Arial" w:hAnsi="Arial" w:eastAsia="Arial" w:cs="Arial"/>
          <w:noProof w:val="0"/>
          <w:color w:val="222222"/>
          <w:sz w:val="24"/>
          <w:szCs w:val="24"/>
          <w:lang w:val="en-GB"/>
        </w:rPr>
      </w:pPr>
      <w:proofErr w:type="spellStart"/>
      <w:r w:rsidRPr="4DA4BA50" w:rsidR="0525AC43">
        <w:rPr>
          <w:rFonts w:ascii="Arial" w:hAnsi="Arial" w:eastAsia="Arial" w:cs="Arial"/>
          <w:noProof w:val="0"/>
          <w:color w:val="222222"/>
          <w:sz w:val="24"/>
          <w:szCs w:val="24"/>
          <w:lang w:val="en-GB"/>
        </w:rPr>
        <w:t>Xenitidis</w:t>
      </w:r>
      <w:proofErr w:type="spellEnd"/>
      <w:r w:rsidRPr="4DA4BA50" w:rsidR="0525AC43">
        <w:rPr>
          <w:rFonts w:ascii="Arial" w:hAnsi="Arial" w:eastAsia="Arial" w:cs="Arial"/>
          <w:noProof w:val="0"/>
          <w:color w:val="222222"/>
          <w:sz w:val="24"/>
          <w:szCs w:val="24"/>
          <w:lang w:val="en-GB"/>
        </w:rPr>
        <w:t xml:space="preserve">, K., </w:t>
      </w:r>
      <w:proofErr w:type="spellStart"/>
      <w:r w:rsidRPr="4DA4BA50" w:rsidR="0525AC43">
        <w:rPr>
          <w:rFonts w:ascii="Arial" w:hAnsi="Arial" w:eastAsia="Arial" w:cs="Arial"/>
          <w:noProof w:val="0"/>
          <w:color w:val="222222"/>
          <w:sz w:val="24"/>
          <w:szCs w:val="24"/>
          <w:lang w:val="en-GB"/>
        </w:rPr>
        <w:t>Paliokosta</w:t>
      </w:r>
      <w:proofErr w:type="spellEnd"/>
      <w:r w:rsidRPr="4DA4BA50" w:rsidR="0525AC43">
        <w:rPr>
          <w:rFonts w:ascii="Arial" w:hAnsi="Arial" w:eastAsia="Arial" w:cs="Arial"/>
          <w:noProof w:val="0"/>
          <w:color w:val="222222"/>
          <w:sz w:val="24"/>
          <w:szCs w:val="24"/>
          <w:lang w:val="en-GB"/>
        </w:rPr>
        <w:t xml:space="preserve">, E., Rose, E., Maltezos, S., &amp; Bramham, J. (2010). ADHD symptom presentation and trajectory in adults with borderline and mild intellectual disability. </w:t>
      </w:r>
      <w:r w:rsidRPr="4DA4BA50" w:rsidR="0525AC43">
        <w:rPr>
          <w:rFonts w:ascii="Arial" w:hAnsi="Arial" w:eastAsia="Arial" w:cs="Arial"/>
          <w:i w:val="1"/>
          <w:iCs w:val="1"/>
          <w:noProof w:val="0"/>
          <w:color w:val="222222"/>
          <w:sz w:val="24"/>
          <w:szCs w:val="24"/>
          <w:lang w:val="en-GB"/>
        </w:rPr>
        <w:t>Journal of Intellectual Disability Research</w:t>
      </w:r>
      <w:r w:rsidRPr="4DA4BA50" w:rsidR="0525AC43">
        <w:rPr>
          <w:rFonts w:ascii="Arial" w:hAnsi="Arial" w:eastAsia="Arial" w:cs="Arial"/>
          <w:noProof w:val="0"/>
          <w:color w:val="222222"/>
          <w:sz w:val="24"/>
          <w:szCs w:val="24"/>
          <w:lang w:val="en-GB"/>
        </w:rPr>
        <w:t xml:space="preserve">, </w:t>
      </w:r>
      <w:r w:rsidRPr="4DA4BA50" w:rsidR="0525AC43">
        <w:rPr>
          <w:rFonts w:ascii="Arial" w:hAnsi="Arial" w:eastAsia="Arial" w:cs="Arial"/>
          <w:i w:val="1"/>
          <w:iCs w:val="1"/>
          <w:noProof w:val="0"/>
          <w:color w:val="222222"/>
          <w:sz w:val="24"/>
          <w:szCs w:val="24"/>
          <w:lang w:val="en-GB"/>
        </w:rPr>
        <w:t>54</w:t>
      </w:r>
      <w:r w:rsidRPr="4DA4BA50" w:rsidR="0525AC43">
        <w:rPr>
          <w:rFonts w:ascii="Arial" w:hAnsi="Arial" w:eastAsia="Arial" w:cs="Arial"/>
          <w:noProof w:val="0"/>
          <w:color w:val="222222"/>
          <w:sz w:val="24"/>
          <w:szCs w:val="24"/>
          <w:lang w:val="en-GB"/>
        </w:rPr>
        <w:t>(7), 668-677.</w:t>
      </w:r>
    </w:p>
    <w:p w:rsidR="4DA4BA50" w:rsidP="4DA4BA50" w:rsidRDefault="4DA4BA50" w14:paraId="003FA8F5" w14:textId="2E6286C3">
      <w:pPr>
        <w:spacing w:after="160" w:line="360" w:lineRule="auto"/>
        <w:ind w:left="720" w:hanging="720"/>
        <w:rPr>
          <w:rFonts w:ascii="Arial" w:hAnsi="Arial" w:eastAsia="Arial" w:cs="Arial"/>
          <w:noProof w:val="0"/>
          <w:sz w:val="24"/>
          <w:szCs w:val="24"/>
          <w:lang w:val="en-GB"/>
        </w:rPr>
      </w:pPr>
    </w:p>
    <w:p w:rsidR="4DA4BA50" w:rsidP="4DA4BA50" w:rsidRDefault="4DA4BA50" w14:paraId="71572041" w14:textId="7464FFEF">
      <w:pPr>
        <w:spacing w:after="160" w:line="360" w:lineRule="auto"/>
        <w:ind w:left="720" w:hanging="720"/>
        <w:rPr>
          <w:rFonts w:ascii="Arial" w:hAnsi="Arial" w:eastAsia="Arial" w:cs="Arial"/>
          <w:noProof w:val="0"/>
          <w:color w:val="3A3A3A"/>
          <w:sz w:val="24"/>
          <w:szCs w:val="24"/>
          <w:lang w:val="en-GB"/>
        </w:rPr>
      </w:pPr>
    </w:p>
    <w:p w:rsidR="4DA4BA50" w:rsidP="4DA4BA50" w:rsidRDefault="4DA4BA50" w14:paraId="489A50F8" w14:textId="553CD5E1">
      <w:pPr>
        <w:pStyle w:val="Normal"/>
        <w:spacing w:line="360" w:lineRule="auto"/>
        <w:ind w:left="720" w:hanging="720"/>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3DAD07"/>
    <w:rsid w:val="03C7BE90"/>
    <w:rsid w:val="0525AC43"/>
    <w:rsid w:val="09F10D06"/>
    <w:rsid w:val="106A671F"/>
    <w:rsid w:val="12F20CED"/>
    <w:rsid w:val="1D31014F"/>
    <w:rsid w:val="1F340E76"/>
    <w:rsid w:val="1FACB886"/>
    <w:rsid w:val="2744CA33"/>
    <w:rsid w:val="293B3CB8"/>
    <w:rsid w:val="38766145"/>
    <w:rsid w:val="3F438F44"/>
    <w:rsid w:val="44ADD2FE"/>
    <w:rsid w:val="47BA7914"/>
    <w:rsid w:val="4AF219D6"/>
    <w:rsid w:val="4DA4BA50"/>
    <w:rsid w:val="5F4573A4"/>
    <w:rsid w:val="683DAD07"/>
    <w:rsid w:val="6EA12039"/>
    <w:rsid w:val="6EB38A00"/>
    <w:rsid w:val="6EFC175C"/>
    <w:rsid w:val="6F596C5F"/>
    <w:rsid w:val="740BFB6B"/>
    <w:rsid w:val="7A7B3CEF"/>
    <w:rsid w:val="7C7C1514"/>
    <w:rsid w:val="7E5C3FD2"/>
    <w:rsid w:val="7E6A2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AFFC0"/>
  <w15:chartTrackingRefBased/>
  <w15:docId w15:val="{48e679fe-b4fa-4e6e-8254-7a3af3703f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acp.co.uk" TargetMode="External" Id="Re70ee5a2dd514f3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Joy Matthews (1806650)</dc:creator>
  <keywords/>
  <dc:description/>
  <lastModifiedBy>Rachel Joy Matthews (1806650)</lastModifiedBy>
  <revision>2</revision>
  <dcterms:created xsi:type="dcterms:W3CDTF">2021-02-11T17:09:43.2348519Z</dcterms:created>
  <dcterms:modified xsi:type="dcterms:W3CDTF">2021-02-11T17:35:41.9562030Z</dcterms:modified>
</coreProperties>
</file>