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4AE9C" w14:textId="0C54E783" w:rsidR="008929C5" w:rsidRPr="008929C5" w:rsidRDefault="008929C5" w:rsidP="000A0E9D">
      <w:pPr>
        <w:spacing w:line="360" w:lineRule="auto"/>
        <w:jc w:val="center"/>
        <w:rPr>
          <w:rFonts w:ascii="Times New Roman" w:hAnsi="Times New Roman" w:cs="Times New Roman"/>
          <w:b/>
          <w:bCs/>
          <w:sz w:val="32"/>
          <w:szCs w:val="32"/>
        </w:rPr>
      </w:pPr>
      <w:r w:rsidRPr="008929C5">
        <w:rPr>
          <w:rFonts w:ascii="Times New Roman" w:hAnsi="Times New Roman" w:cs="Times New Roman"/>
          <w:b/>
          <w:bCs/>
          <w:sz w:val="32"/>
          <w:szCs w:val="32"/>
        </w:rPr>
        <w:t xml:space="preserve">Management &amp; Organisational </w:t>
      </w:r>
      <w:proofErr w:type="gramStart"/>
      <w:r w:rsidRPr="008929C5">
        <w:rPr>
          <w:rFonts w:ascii="Times New Roman" w:hAnsi="Times New Roman" w:cs="Times New Roman"/>
          <w:b/>
          <w:bCs/>
          <w:sz w:val="32"/>
          <w:szCs w:val="32"/>
        </w:rPr>
        <w:t>Behaviour</w:t>
      </w:r>
      <w:r w:rsidR="00CE66D8">
        <w:rPr>
          <w:rFonts w:ascii="Times New Roman" w:hAnsi="Times New Roman" w:cs="Times New Roman"/>
          <w:b/>
          <w:bCs/>
          <w:sz w:val="32"/>
          <w:szCs w:val="32"/>
        </w:rPr>
        <w:t>(</w:t>
      </w:r>
      <w:proofErr w:type="gramEnd"/>
      <w:r w:rsidR="00CE66D8">
        <w:rPr>
          <w:rFonts w:ascii="Times New Roman" w:hAnsi="Times New Roman" w:cs="Times New Roman"/>
          <w:b/>
          <w:bCs/>
          <w:sz w:val="32"/>
          <w:szCs w:val="32"/>
        </w:rPr>
        <w:t>BMIH5004)</w:t>
      </w:r>
    </w:p>
    <w:p w14:paraId="0BFB428C" w14:textId="3540B0E4" w:rsidR="008929C5" w:rsidRPr="008929C5" w:rsidRDefault="008929C5" w:rsidP="000A0E9D">
      <w:pPr>
        <w:spacing w:line="360" w:lineRule="auto"/>
        <w:jc w:val="center"/>
        <w:rPr>
          <w:rFonts w:ascii="Times New Roman" w:hAnsi="Times New Roman" w:cs="Times New Roman"/>
          <w:b/>
          <w:bCs/>
          <w:sz w:val="32"/>
          <w:szCs w:val="32"/>
        </w:rPr>
      </w:pPr>
      <w:r w:rsidRPr="008929C5">
        <w:rPr>
          <w:rFonts w:ascii="Times New Roman" w:hAnsi="Times New Roman" w:cs="Times New Roman"/>
          <w:b/>
          <w:bCs/>
          <w:sz w:val="32"/>
          <w:szCs w:val="32"/>
        </w:rPr>
        <w:t>Student Name:</w:t>
      </w:r>
      <w:r w:rsidR="005D58D0">
        <w:rPr>
          <w:rFonts w:ascii="Times New Roman" w:hAnsi="Times New Roman" w:cs="Times New Roman"/>
          <w:b/>
          <w:bCs/>
          <w:sz w:val="32"/>
          <w:szCs w:val="32"/>
        </w:rPr>
        <w:t xml:space="preserve"> </w:t>
      </w:r>
      <w:r w:rsidR="005D58D0" w:rsidRPr="005D58D0">
        <w:rPr>
          <w:rFonts w:ascii="Times New Roman" w:hAnsi="Times New Roman" w:cs="Times New Roman"/>
          <w:b/>
          <w:bCs/>
          <w:sz w:val="32"/>
          <w:szCs w:val="32"/>
        </w:rPr>
        <w:t>Monica Filip</w:t>
      </w:r>
    </w:p>
    <w:p w14:paraId="16774257" w14:textId="65AC9FF4" w:rsidR="008929C5" w:rsidRDefault="008929C5" w:rsidP="000A0E9D">
      <w:pPr>
        <w:spacing w:line="360" w:lineRule="auto"/>
        <w:jc w:val="center"/>
        <w:rPr>
          <w:rFonts w:ascii="Times New Roman" w:hAnsi="Times New Roman" w:cs="Times New Roman"/>
          <w:b/>
          <w:bCs/>
          <w:sz w:val="32"/>
          <w:szCs w:val="32"/>
        </w:rPr>
      </w:pPr>
      <w:r w:rsidRPr="008929C5">
        <w:rPr>
          <w:rFonts w:ascii="Times New Roman" w:hAnsi="Times New Roman" w:cs="Times New Roman"/>
          <w:b/>
          <w:bCs/>
          <w:sz w:val="32"/>
          <w:szCs w:val="32"/>
        </w:rPr>
        <w:t>ID:</w:t>
      </w:r>
      <w:r w:rsidR="00CE66D8">
        <w:rPr>
          <w:rFonts w:ascii="Times New Roman" w:hAnsi="Times New Roman" w:cs="Times New Roman"/>
          <w:b/>
          <w:bCs/>
          <w:sz w:val="32"/>
          <w:szCs w:val="32"/>
        </w:rPr>
        <w:t>2233955</w:t>
      </w:r>
    </w:p>
    <w:p w14:paraId="105C631B" w14:textId="5BED4997" w:rsidR="00CE66D8" w:rsidRPr="008929C5" w:rsidRDefault="00CE66D8" w:rsidP="00CE66D8">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Lecturer name: Scott James</w:t>
      </w:r>
    </w:p>
    <w:p w14:paraId="27961716" w14:textId="44005C0B" w:rsidR="008929C5" w:rsidRDefault="008929C5" w:rsidP="000A0E9D">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26F273C9" w14:textId="77777777" w:rsidR="001C7B0D" w:rsidRPr="001C7B0D" w:rsidRDefault="001C7B0D" w:rsidP="00355695">
      <w:pPr>
        <w:pStyle w:val="Titlu1"/>
      </w:pPr>
      <w:r w:rsidRPr="001C7B0D">
        <w:lastRenderedPageBreak/>
        <w:t>Executive Summary</w:t>
      </w:r>
    </w:p>
    <w:p w14:paraId="5CD7DC8C" w14:textId="16B7B40A" w:rsidR="008929C5" w:rsidRDefault="001C7B0D" w:rsidP="000A0E9D">
      <w:pPr>
        <w:spacing w:line="360" w:lineRule="auto"/>
        <w:jc w:val="both"/>
        <w:rPr>
          <w:rFonts w:ascii="Times New Roman" w:hAnsi="Times New Roman" w:cs="Times New Roman"/>
          <w:sz w:val="24"/>
          <w:szCs w:val="24"/>
        </w:rPr>
      </w:pPr>
      <w:r w:rsidRPr="001C7B0D">
        <w:rPr>
          <w:rFonts w:ascii="Times New Roman" w:hAnsi="Times New Roman" w:cs="Times New Roman"/>
          <w:sz w:val="24"/>
          <w:szCs w:val="24"/>
        </w:rPr>
        <w:t xml:space="preserve">This report examines Hyatt Hotels Corporation, a prominent player in the global hospitality industry, focusing on its organizational structure, culture, strategic direction, and recent change initiatives. Established in 1957, Hyatt has expanded to over 1,150 properties worldwide, prioritizing exceptional service and sustainability. </w:t>
      </w:r>
      <w:r w:rsidR="0025720E" w:rsidRPr="0025720E">
        <w:rPr>
          <w:rFonts w:ascii="Times New Roman" w:hAnsi="Times New Roman" w:cs="Times New Roman"/>
          <w:sz w:val="24"/>
          <w:szCs w:val="24"/>
        </w:rPr>
        <w:t xml:space="preserve">It also notes that Hyatt has a clear focus on a distinct service delivery strategy and a policy of expanding brand portfolios while using technological advancements including mobile check-in and entry to rooms. That is why the most recent organizational developments such as the World of Hyatt loyalty program and the Hyatt Thrive environmental program can be viewed as the adaptation of the company’s proactive approaches to enriching customers’ experience and decreasing the negative impact on the environment. This work uses theories such as the Porter’s Generic Strategies as well as the Triple Bottom Line framework to evaluate the impact of these changes. Among suggestions, recommendations include performing better customer engagement through focusing on big data, establishing and supporting sustainability innovation programs, and increasing the utilization of technologies across the company. </w:t>
      </w:r>
      <w:r w:rsidRPr="001C7B0D">
        <w:rPr>
          <w:rFonts w:ascii="Times New Roman" w:hAnsi="Times New Roman" w:cs="Times New Roman"/>
          <w:sz w:val="24"/>
          <w:szCs w:val="24"/>
        </w:rPr>
        <w:t>By focusing on these areas, Hyatt can strengthen its competitive edge and continue to foster customer loyalty in an evolving hospitality landscape. The report underscores Hyatt's proactive approach to navigating industry challenges while delivering value to guests and stakeholders.</w:t>
      </w:r>
      <w:r w:rsidR="008929C5">
        <w:rPr>
          <w:rFonts w:ascii="Times New Roman" w:hAnsi="Times New Roman" w:cs="Times New Roman"/>
          <w:sz w:val="24"/>
          <w:szCs w:val="24"/>
        </w:rPr>
        <w:br w:type="page"/>
      </w:r>
    </w:p>
    <w:p w14:paraId="67075433" w14:textId="1F361D6B" w:rsidR="008929C5" w:rsidRDefault="008929C5" w:rsidP="000A0E9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br w:type="page"/>
      </w:r>
    </w:p>
    <w:p w14:paraId="7A135321" w14:textId="3FEE15CB" w:rsidR="008929C5" w:rsidRDefault="008929C5" w:rsidP="00355695">
      <w:pPr>
        <w:pStyle w:val="Titlu1"/>
      </w:pPr>
      <w:r>
        <w:lastRenderedPageBreak/>
        <w:t xml:space="preserve">Introduction </w:t>
      </w:r>
    </w:p>
    <w:p w14:paraId="082CDE4E" w14:textId="2F94E4CF" w:rsidR="008929C5" w:rsidRDefault="008929C5" w:rsidP="000A0E9D">
      <w:pPr>
        <w:spacing w:line="360" w:lineRule="auto"/>
        <w:jc w:val="both"/>
        <w:rPr>
          <w:rFonts w:ascii="Times New Roman" w:hAnsi="Times New Roman" w:cs="Times New Roman"/>
          <w:sz w:val="24"/>
          <w:szCs w:val="24"/>
        </w:rPr>
      </w:pPr>
      <w:r w:rsidRPr="008929C5">
        <w:rPr>
          <w:rFonts w:ascii="Times New Roman" w:hAnsi="Times New Roman" w:cs="Times New Roman"/>
          <w:sz w:val="24"/>
          <w:szCs w:val="24"/>
        </w:rPr>
        <w:t xml:space="preserve">Hyatt Hotels Corporation is a leading global hospitality company known for its premium hotels, resorts, and residential properties. Founded in 1957 and headquartered in Chicago, Illinois, Hyatt operates over 1,150 properties across more than 70 countries. </w:t>
      </w:r>
      <w:r w:rsidR="0025720E" w:rsidRPr="0025720E">
        <w:rPr>
          <w:rFonts w:ascii="Times New Roman" w:hAnsi="Times New Roman" w:cs="Times New Roman"/>
          <w:sz w:val="24"/>
          <w:szCs w:val="24"/>
        </w:rPr>
        <w:t>The company aims at offering quality products, luxurious rooms and special services and facilities for guests using brands like Park Hyatt, Andaz, Grand Hyatt and Hyatt Regency</w:t>
      </w:r>
      <w:r w:rsidR="000A0E9D">
        <w:rPr>
          <w:rFonts w:ascii="Times New Roman" w:hAnsi="Times New Roman" w:cs="Times New Roman"/>
          <w:sz w:val="24"/>
          <w:szCs w:val="24"/>
        </w:rPr>
        <w:t xml:space="preserve"> </w:t>
      </w:r>
      <w:r w:rsidR="000A0E9D" w:rsidRPr="000A0E9D">
        <w:rPr>
          <w:rFonts w:ascii="Times New Roman" w:hAnsi="Times New Roman" w:cs="Times New Roman"/>
          <w:sz w:val="24"/>
          <w:szCs w:val="24"/>
        </w:rPr>
        <w:t>(Wood et al., 2024)</w:t>
      </w:r>
      <w:r w:rsidR="0025720E" w:rsidRPr="0025720E">
        <w:rPr>
          <w:rFonts w:ascii="Times New Roman" w:hAnsi="Times New Roman" w:cs="Times New Roman"/>
          <w:sz w:val="24"/>
          <w:szCs w:val="24"/>
        </w:rPr>
        <w:t xml:space="preserve">. Hyatt commitment is directed towards the social responsibilities and environmental responsibilities to minimize the adverse environmental effects on the hotel business. </w:t>
      </w:r>
      <w:r w:rsidRPr="008929C5">
        <w:rPr>
          <w:rFonts w:ascii="Times New Roman" w:hAnsi="Times New Roman" w:cs="Times New Roman"/>
          <w:sz w:val="24"/>
          <w:szCs w:val="24"/>
        </w:rPr>
        <w:t>The corporation continually innovates to enhance guest experiences, leveraging technology and personalized services to maintain a strong competitive edge in the hospitality industry.</w:t>
      </w:r>
    </w:p>
    <w:p w14:paraId="2ACF109A" w14:textId="7B0737B1" w:rsidR="008929C5" w:rsidRDefault="001C7B0D" w:rsidP="000A0E9D">
      <w:pPr>
        <w:spacing w:line="360" w:lineRule="auto"/>
        <w:jc w:val="both"/>
        <w:rPr>
          <w:rFonts w:ascii="Times New Roman" w:hAnsi="Times New Roman" w:cs="Times New Roman"/>
          <w:sz w:val="24"/>
          <w:szCs w:val="24"/>
        </w:rPr>
      </w:pPr>
      <w:r w:rsidRPr="001C7B0D">
        <w:rPr>
          <w:rFonts w:ascii="Times New Roman" w:hAnsi="Times New Roman" w:cs="Times New Roman"/>
          <w:sz w:val="24"/>
          <w:szCs w:val="24"/>
        </w:rPr>
        <w:t xml:space="preserve">This report delves into the organization’s structure, culture, and strategic direction, examining recent change initiatives and their impact on operational effectiveness. </w:t>
      </w:r>
      <w:r w:rsidR="0025720E" w:rsidRPr="0025720E">
        <w:rPr>
          <w:rFonts w:ascii="Times New Roman" w:hAnsi="Times New Roman" w:cs="Times New Roman"/>
          <w:sz w:val="24"/>
          <w:szCs w:val="24"/>
        </w:rPr>
        <w:t xml:space="preserve">The purpose of this report is to identify linkages between corporate goals of Hyatt and strategies that have been employed towards realizing them with an overall goal of understanding how this company functions in the complex world of the hospitality industry. </w:t>
      </w:r>
      <w:r w:rsidRPr="001C7B0D">
        <w:rPr>
          <w:rFonts w:ascii="Times New Roman" w:hAnsi="Times New Roman" w:cs="Times New Roman"/>
          <w:sz w:val="24"/>
          <w:szCs w:val="24"/>
        </w:rPr>
        <w:t>Utilizing relevant theories, such as Porter’s Generic Strategies and the Technology Acceptance Model, the report highlights Hyatt's efforts to enhance guest experiences while prioritizing environmental stewardship and social responsibility.</w:t>
      </w:r>
      <w:r>
        <w:rPr>
          <w:rFonts w:ascii="Times New Roman" w:hAnsi="Times New Roman" w:cs="Times New Roman"/>
          <w:sz w:val="24"/>
          <w:szCs w:val="24"/>
        </w:rPr>
        <w:t xml:space="preserve"> </w:t>
      </w:r>
    </w:p>
    <w:p w14:paraId="11399F3C" w14:textId="78713A1B" w:rsidR="008929C5" w:rsidRDefault="008929C5" w:rsidP="00355695">
      <w:pPr>
        <w:pStyle w:val="Titlu1"/>
      </w:pPr>
      <w:r w:rsidRPr="008929C5">
        <w:t>Organisation Structure, Culture, and Goals</w:t>
      </w:r>
    </w:p>
    <w:p w14:paraId="040913A3" w14:textId="4D914BD2" w:rsidR="0066093E" w:rsidRPr="0066093E" w:rsidRDefault="0066093E" w:rsidP="00355695">
      <w:pPr>
        <w:pStyle w:val="Titlu2"/>
      </w:pPr>
      <w:r w:rsidRPr="0066093E">
        <w:t>Organizational Structure</w:t>
      </w:r>
    </w:p>
    <w:p w14:paraId="077F0C79" w14:textId="79025973" w:rsidR="0066093E" w:rsidRPr="0066093E" w:rsidRDefault="0066093E" w:rsidP="000A0E9D">
      <w:pPr>
        <w:spacing w:line="360" w:lineRule="auto"/>
        <w:jc w:val="both"/>
        <w:rPr>
          <w:rFonts w:ascii="Times New Roman" w:hAnsi="Times New Roman" w:cs="Times New Roman"/>
          <w:sz w:val="24"/>
          <w:szCs w:val="24"/>
        </w:rPr>
      </w:pPr>
      <w:r w:rsidRPr="0066093E">
        <w:rPr>
          <w:rFonts w:ascii="Times New Roman" w:hAnsi="Times New Roman" w:cs="Times New Roman"/>
          <w:sz w:val="24"/>
          <w:szCs w:val="24"/>
        </w:rPr>
        <w:t xml:space="preserve">Hyatt Hotels Corporation employs a multidivisional structure to manage its complex, global operations effectively. With numerous brands and properties across various regions, Hyatt organizes itself into distinct divisions based on brand and geographic regions, such as the Americas, Europe, Middle East, Africa, and Asia-Pacific. </w:t>
      </w:r>
      <w:r w:rsidR="0025720E" w:rsidRPr="0025720E">
        <w:rPr>
          <w:rFonts w:ascii="Times New Roman" w:hAnsi="Times New Roman" w:cs="Times New Roman"/>
          <w:sz w:val="24"/>
          <w:szCs w:val="24"/>
        </w:rPr>
        <w:t xml:space="preserve">Each division is </w:t>
      </w:r>
      <w:proofErr w:type="gramStart"/>
      <w:r w:rsidR="0025720E" w:rsidRPr="0025720E">
        <w:rPr>
          <w:rFonts w:ascii="Times New Roman" w:hAnsi="Times New Roman" w:cs="Times New Roman"/>
          <w:sz w:val="24"/>
          <w:szCs w:val="24"/>
        </w:rPr>
        <w:t>fairly independent</w:t>
      </w:r>
      <w:proofErr w:type="gramEnd"/>
      <w:r w:rsidR="0025720E" w:rsidRPr="0025720E">
        <w:rPr>
          <w:rFonts w:ascii="Times New Roman" w:hAnsi="Times New Roman" w:cs="Times New Roman"/>
          <w:sz w:val="24"/>
          <w:szCs w:val="24"/>
        </w:rPr>
        <w:t xml:space="preserve">, which is beneficial when it comes to decision making at a local </w:t>
      </w:r>
      <w:r w:rsidR="00CE66D8" w:rsidRPr="0025720E">
        <w:rPr>
          <w:rFonts w:ascii="Times New Roman" w:hAnsi="Times New Roman" w:cs="Times New Roman"/>
          <w:sz w:val="24"/>
          <w:szCs w:val="24"/>
        </w:rPr>
        <w:t>level and</w:t>
      </w:r>
      <w:r w:rsidR="0025720E" w:rsidRPr="0025720E">
        <w:rPr>
          <w:rFonts w:ascii="Times New Roman" w:hAnsi="Times New Roman" w:cs="Times New Roman"/>
          <w:sz w:val="24"/>
          <w:szCs w:val="24"/>
        </w:rPr>
        <w:t xml:space="preserve"> is crucial with regard to cultural differences in the sphere of hospitality and tourism</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(Gillam and Cosford, 2021)</w:t>
      </w:r>
      <w:r w:rsidR="0025720E" w:rsidRPr="0025720E">
        <w:rPr>
          <w:rFonts w:ascii="Times New Roman" w:hAnsi="Times New Roman" w:cs="Times New Roman"/>
          <w:sz w:val="24"/>
          <w:szCs w:val="24"/>
        </w:rPr>
        <w:t>. In addition, Hyatt structure makes it easier to standard give out a central corporate structure while at the same time having a flexible divisional operating structure. Chandler’s Structure-Strategy Theory states that this kind of multidivisional structure allows for improved efficiency and growth plan by marrying the structure to Hyatt’s differentiated brand offerings and expanding strategies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(Boddy, 2015)</w:t>
      </w:r>
      <w:r w:rsidR="0025720E" w:rsidRPr="0025720E">
        <w:rPr>
          <w:rFonts w:ascii="Times New Roman" w:hAnsi="Times New Roman" w:cs="Times New Roman"/>
          <w:sz w:val="24"/>
          <w:szCs w:val="24"/>
        </w:rPr>
        <w:t xml:space="preserve">. This allows Hyatt to enter new markets and penetrate fresh geographic locations in the world whilst preserving the brand image and operations services across different countries. </w:t>
      </w:r>
      <w:r w:rsidRPr="0066093E">
        <w:rPr>
          <w:rFonts w:ascii="Times New Roman" w:hAnsi="Times New Roman" w:cs="Times New Roman"/>
          <w:sz w:val="24"/>
          <w:szCs w:val="24"/>
        </w:rPr>
        <w:t xml:space="preserve">Additionally, Hyatt’s structure allows for specialization within </w:t>
      </w:r>
      <w:r w:rsidRPr="0066093E">
        <w:rPr>
          <w:rFonts w:ascii="Times New Roman" w:hAnsi="Times New Roman" w:cs="Times New Roman"/>
          <w:sz w:val="24"/>
          <w:szCs w:val="24"/>
        </w:rPr>
        <w:lastRenderedPageBreak/>
        <w:t>divisions, which enhances expertise in each brand or market. For instance, luxury brands like Park Hyatt have dedicated management teams distinct from those managing mid-range offerings like Hyatt Place, allowing each brand to effectively cater to its target clientele.</w:t>
      </w:r>
    </w:p>
    <w:p w14:paraId="300E3CD3" w14:textId="01093005" w:rsidR="0066093E" w:rsidRPr="0066093E" w:rsidRDefault="0066093E" w:rsidP="00355695">
      <w:pPr>
        <w:pStyle w:val="Titlu2"/>
      </w:pPr>
      <w:r w:rsidRPr="0066093E">
        <w:t>Corporate Culture and Its Influence on Operations</w:t>
      </w:r>
    </w:p>
    <w:p w14:paraId="5429A264" w14:textId="13AB6AE7" w:rsidR="0066093E" w:rsidRDefault="0066093E" w:rsidP="000A0E9D">
      <w:pPr>
        <w:spacing w:line="360" w:lineRule="auto"/>
        <w:jc w:val="both"/>
        <w:rPr>
          <w:rFonts w:ascii="Times New Roman" w:hAnsi="Times New Roman" w:cs="Times New Roman"/>
          <w:sz w:val="24"/>
          <w:szCs w:val="24"/>
        </w:rPr>
      </w:pPr>
      <w:r w:rsidRPr="0066093E">
        <w:rPr>
          <w:rFonts w:ascii="Times New Roman" w:hAnsi="Times New Roman" w:cs="Times New Roman"/>
          <w:sz w:val="24"/>
          <w:szCs w:val="24"/>
        </w:rPr>
        <w:t xml:space="preserve">Hyatt’s corporate culture </w:t>
      </w:r>
      <w:r w:rsidR="00CE66D8" w:rsidRPr="0066093E">
        <w:rPr>
          <w:rFonts w:ascii="Times New Roman" w:hAnsi="Times New Roman" w:cs="Times New Roman"/>
          <w:sz w:val="24"/>
          <w:szCs w:val="24"/>
        </w:rPr>
        <w:t>centres</w:t>
      </w:r>
      <w:r w:rsidRPr="0066093E">
        <w:rPr>
          <w:rFonts w:ascii="Times New Roman" w:hAnsi="Times New Roman" w:cs="Times New Roman"/>
          <w:sz w:val="24"/>
          <w:szCs w:val="24"/>
        </w:rPr>
        <w:t xml:space="preserve"> on the core values of empathy, inclusiveness, and respect, principles rooted in its “Purpose: Care for People So They Can Be Their Best.” </w:t>
      </w:r>
      <w:r w:rsidR="0025720E" w:rsidRPr="0025720E">
        <w:rPr>
          <w:rFonts w:ascii="Times New Roman" w:hAnsi="Times New Roman" w:cs="Times New Roman"/>
          <w:sz w:val="24"/>
          <w:szCs w:val="24"/>
        </w:rPr>
        <w:t>It captures both employee and guest relations and reflects Hyatt’s policy of providing a supportive and encouraging work culture and excellent customer service</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(Thomas, 2018)</w:t>
      </w:r>
      <w:r w:rsidR="0025720E" w:rsidRPr="0025720E">
        <w:rPr>
          <w:rFonts w:ascii="Times New Roman" w:hAnsi="Times New Roman" w:cs="Times New Roman"/>
          <w:sz w:val="24"/>
          <w:szCs w:val="24"/>
        </w:rPr>
        <w:t xml:space="preserve">. Hyatt’s culture reflects aspects of Edgar Schein’s Organizational Culture Model, which includes three levels: Human ‘ubiquitous’, as key mechanisms of a firm’s operation include its stated and actionable organisational strategies, cultural communicated values, and latent assumptions. </w:t>
      </w:r>
      <w:r w:rsidRPr="0066093E">
        <w:rPr>
          <w:rFonts w:ascii="Times New Roman" w:hAnsi="Times New Roman" w:cs="Times New Roman"/>
          <w:sz w:val="24"/>
          <w:szCs w:val="24"/>
        </w:rPr>
        <w:t>Hyatt’s “World of Care” platform, which prioritizes employee well-being, diversity, and sustainability, serves as an artifact representing its cultural values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(Samson et al., 2020)</w:t>
      </w:r>
      <w:r w:rsidRPr="0066093E">
        <w:rPr>
          <w:rFonts w:ascii="Times New Roman" w:hAnsi="Times New Roman" w:cs="Times New Roman"/>
          <w:sz w:val="24"/>
          <w:szCs w:val="24"/>
        </w:rPr>
        <w:t>. Espoused values, such as respect for diversity and the importance of environmental sustainability, are formally expressed in company initiatives and policies. Finally, underlying assumptions of empathy and guest-centricity influence daily interactions between staff and guests.</w:t>
      </w:r>
      <w:r>
        <w:rPr>
          <w:rFonts w:ascii="Times New Roman" w:hAnsi="Times New Roman" w:cs="Times New Roman"/>
          <w:sz w:val="24"/>
          <w:szCs w:val="24"/>
        </w:rPr>
        <w:t xml:space="preserve"> </w:t>
      </w:r>
      <w:r w:rsidRPr="0066093E">
        <w:rPr>
          <w:rFonts w:ascii="Times New Roman" w:hAnsi="Times New Roman" w:cs="Times New Roman"/>
          <w:sz w:val="24"/>
          <w:szCs w:val="24"/>
        </w:rPr>
        <w:t>T</w:t>
      </w:r>
    </w:p>
    <w:p w14:paraId="44DF8997" w14:textId="1A270D75" w:rsidR="0066093E" w:rsidRPr="0066093E" w:rsidRDefault="0066093E" w:rsidP="000A0E9D">
      <w:pPr>
        <w:spacing w:line="360" w:lineRule="auto"/>
        <w:jc w:val="both"/>
        <w:rPr>
          <w:rFonts w:ascii="Times New Roman" w:hAnsi="Times New Roman" w:cs="Times New Roman"/>
          <w:sz w:val="24"/>
          <w:szCs w:val="24"/>
        </w:rPr>
      </w:pPr>
      <w:r w:rsidRPr="0066093E">
        <w:rPr>
          <w:rFonts w:ascii="Times New Roman" w:hAnsi="Times New Roman" w:cs="Times New Roman"/>
          <w:sz w:val="24"/>
          <w:szCs w:val="24"/>
        </w:rPr>
        <w:t xml:space="preserve">his positive culture has a significant impact on operations. </w:t>
      </w:r>
      <w:r w:rsidR="0025720E" w:rsidRPr="0025720E">
        <w:rPr>
          <w:rFonts w:ascii="Times New Roman" w:hAnsi="Times New Roman" w:cs="Times New Roman"/>
          <w:sz w:val="24"/>
          <w:szCs w:val="24"/>
        </w:rPr>
        <w:t>Employees, who believed being valued and respected, triggers high levels of work commitment and offer excellent service to guests which improves their satisfaction and loyalty</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(Waddell et al., 2019)</w:t>
      </w:r>
      <w:r w:rsidR="0025720E" w:rsidRPr="0025720E">
        <w:rPr>
          <w:rFonts w:ascii="Times New Roman" w:hAnsi="Times New Roman" w:cs="Times New Roman"/>
          <w:sz w:val="24"/>
          <w:szCs w:val="24"/>
        </w:rPr>
        <w:t xml:space="preserve">. </w:t>
      </w:r>
      <w:r w:rsidR="00CE66D8" w:rsidRPr="0025720E">
        <w:rPr>
          <w:rFonts w:ascii="Times New Roman" w:hAnsi="Times New Roman" w:cs="Times New Roman"/>
          <w:sz w:val="24"/>
          <w:szCs w:val="24"/>
        </w:rPr>
        <w:t>This postulate</w:t>
      </w:r>
      <w:r w:rsidR="0025720E" w:rsidRPr="0025720E">
        <w:rPr>
          <w:rFonts w:ascii="Times New Roman" w:hAnsi="Times New Roman" w:cs="Times New Roman"/>
          <w:sz w:val="24"/>
          <w:szCs w:val="24"/>
        </w:rPr>
        <w:t xml:space="preserve"> is supported by the Service-Profit Chain model by Heskett et al whereby, satisfaction of employees results in customer loyalty and hence, profitability. </w:t>
      </w:r>
      <w:r w:rsidRPr="0066093E">
        <w:rPr>
          <w:rFonts w:ascii="Times New Roman" w:hAnsi="Times New Roman" w:cs="Times New Roman"/>
          <w:sz w:val="24"/>
          <w:szCs w:val="24"/>
        </w:rPr>
        <w:t>At Hyatt, this connection between internal culture and guest satisfaction is reinforced through continuous training programs and recognition systems, such as the "Hyatt Thrive" awards, which celebrate exceptional employee contributions.</w:t>
      </w:r>
    </w:p>
    <w:p w14:paraId="4EAE3368" w14:textId="1D2FE19F" w:rsidR="0066093E" w:rsidRPr="0066093E" w:rsidRDefault="0066093E" w:rsidP="00355695">
      <w:pPr>
        <w:pStyle w:val="Titlu2"/>
      </w:pPr>
      <w:r w:rsidRPr="0066093E">
        <w:t>Organizational Goals at Corporate and Unit Levels</w:t>
      </w:r>
    </w:p>
    <w:p w14:paraId="0BF6F68D" w14:textId="77777777" w:rsidR="0066093E" w:rsidRPr="0066093E" w:rsidRDefault="0066093E" w:rsidP="000A0E9D">
      <w:pPr>
        <w:spacing w:line="360" w:lineRule="auto"/>
        <w:jc w:val="both"/>
        <w:rPr>
          <w:rFonts w:ascii="Times New Roman" w:hAnsi="Times New Roman" w:cs="Times New Roman"/>
          <w:b/>
          <w:bCs/>
          <w:sz w:val="24"/>
          <w:szCs w:val="24"/>
        </w:rPr>
      </w:pPr>
      <w:r w:rsidRPr="0066093E">
        <w:rPr>
          <w:rFonts w:ascii="Times New Roman" w:hAnsi="Times New Roman" w:cs="Times New Roman"/>
          <w:b/>
          <w:bCs/>
          <w:sz w:val="24"/>
          <w:szCs w:val="24"/>
        </w:rPr>
        <w:t>Corporate Goals</w:t>
      </w:r>
    </w:p>
    <w:p w14:paraId="3C2A28D3" w14:textId="0F54E307" w:rsidR="0066093E" w:rsidRPr="0066093E" w:rsidRDefault="0066093E" w:rsidP="000A0E9D">
      <w:pPr>
        <w:spacing w:line="360" w:lineRule="auto"/>
        <w:jc w:val="both"/>
        <w:rPr>
          <w:rFonts w:ascii="Times New Roman" w:hAnsi="Times New Roman" w:cs="Times New Roman"/>
          <w:sz w:val="24"/>
          <w:szCs w:val="24"/>
        </w:rPr>
      </w:pPr>
      <w:r w:rsidRPr="0066093E">
        <w:rPr>
          <w:rFonts w:ascii="Times New Roman" w:hAnsi="Times New Roman" w:cs="Times New Roman"/>
          <w:sz w:val="24"/>
          <w:szCs w:val="24"/>
        </w:rPr>
        <w:t xml:space="preserve">Hyatt’s primary corporate goals revolve around growth, sustainability, and superior guest experience. </w:t>
      </w:r>
      <w:r w:rsidR="0025720E" w:rsidRPr="0025720E">
        <w:rPr>
          <w:rFonts w:ascii="Times New Roman" w:hAnsi="Times New Roman" w:cs="Times New Roman"/>
          <w:sz w:val="24"/>
          <w:szCs w:val="24"/>
        </w:rPr>
        <w:t>It intends to increase its outlet portfolio through greenfield ventures and earn points by the buying of brands with similar ideologies and strategies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(Talati and Griffin, 2018)</w:t>
      </w:r>
      <w:r w:rsidR="0025720E" w:rsidRPr="0025720E">
        <w:rPr>
          <w:rFonts w:ascii="Times New Roman" w:hAnsi="Times New Roman" w:cs="Times New Roman"/>
          <w:sz w:val="24"/>
          <w:szCs w:val="24"/>
        </w:rPr>
        <w:t xml:space="preserve">. Thus, the recent Hyatt’s acquisitions of, for example, the Two Roads Hospitality group prove its approach to brand expansion and the penetration of new segments. </w:t>
      </w:r>
      <w:r w:rsidRPr="0066093E">
        <w:rPr>
          <w:rFonts w:ascii="Times New Roman" w:hAnsi="Times New Roman" w:cs="Times New Roman"/>
          <w:sz w:val="24"/>
          <w:szCs w:val="24"/>
        </w:rPr>
        <w:t xml:space="preserve">Hyatt also prioritizes environmental sustainability, setting ambitious targets for carbon footprint reduction, water </w:t>
      </w:r>
      <w:r w:rsidRPr="0066093E">
        <w:rPr>
          <w:rFonts w:ascii="Times New Roman" w:hAnsi="Times New Roman" w:cs="Times New Roman"/>
          <w:sz w:val="24"/>
          <w:szCs w:val="24"/>
        </w:rPr>
        <w:lastRenderedPageBreak/>
        <w:t xml:space="preserve">conservation, and waste reduction. The corporation aims to be a leader in sustainable hospitality by committing to science-based targets, as seen in its collaboration with the World Wildlife Fund. </w:t>
      </w:r>
    </w:p>
    <w:p w14:paraId="386CF481" w14:textId="77777777" w:rsidR="0066093E" w:rsidRPr="0066093E" w:rsidRDefault="0066093E" w:rsidP="000A0E9D">
      <w:pPr>
        <w:spacing w:line="360" w:lineRule="auto"/>
        <w:jc w:val="both"/>
        <w:rPr>
          <w:rFonts w:ascii="Times New Roman" w:hAnsi="Times New Roman" w:cs="Times New Roman"/>
          <w:b/>
          <w:bCs/>
          <w:sz w:val="24"/>
          <w:szCs w:val="24"/>
        </w:rPr>
      </w:pPr>
      <w:r w:rsidRPr="0066093E">
        <w:rPr>
          <w:rFonts w:ascii="Times New Roman" w:hAnsi="Times New Roman" w:cs="Times New Roman"/>
          <w:b/>
          <w:bCs/>
          <w:sz w:val="24"/>
          <w:szCs w:val="24"/>
        </w:rPr>
        <w:t>Goals at the Individual Unit Level</w:t>
      </w:r>
    </w:p>
    <w:p w14:paraId="086E5F45" w14:textId="137AFF2C" w:rsidR="0066093E" w:rsidRDefault="0066093E" w:rsidP="000A0E9D">
      <w:pPr>
        <w:spacing w:line="360" w:lineRule="auto"/>
        <w:jc w:val="both"/>
        <w:rPr>
          <w:rFonts w:ascii="Times New Roman" w:hAnsi="Times New Roman" w:cs="Times New Roman"/>
          <w:sz w:val="24"/>
          <w:szCs w:val="24"/>
        </w:rPr>
      </w:pPr>
      <w:r w:rsidRPr="0066093E">
        <w:rPr>
          <w:rFonts w:ascii="Times New Roman" w:hAnsi="Times New Roman" w:cs="Times New Roman"/>
          <w:sz w:val="24"/>
          <w:szCs w:val="24"/>
        </w:rPr>
        <w:t xml:space="preserve">Each of Hyatt’s properties operates with specific goals aligned with the broader corporate objectives but adapted to local contexts and brand standards. </w:t>
      </w:r>
      <w:r w:rsidR="0025720E" w:rsidRPr="0025720E">
        <w:rPr>
          <w:rFonts w:ascii="Times New Roman" w:hAnsi="Times New Roman" w:cs="Times New Roman"/>
          <w:sz w:val="24"/>
          <w:szCs w:val="24"/>
        </w:rPr>
        <w:t>For instance, one hotel is a five-star Park Hyatt and could be selling luxury services delivery in addition to an extent exclusivity when compared to other property, another could be a mid-scale Hyatt Place selling operational efficiency in addition to affordable price</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(Vaughan, 2019)</w:t>
      </w:r>
      <w:r w:rsidR="0025720E" w:rsidRPr="0025720E">
        <w:rPr>
          <w:rFonts w:ascii="Times New Roman" w:hAnsi="Times New Roman" w:cs="Times New Roman"/>
          <w:sz w:val="24"/>
          <w:szCs w:val="24"/>
        </w:rPr>
        <w:t xml:space="preserve">. By thus segmenting the brand goals, this makes sure that the overall customer experience with Hyatt is consistent as it serves diverse markets. </w:t>
      </w:r>
      <w:r w:rsidRPr="0066093E">
        <w:rPr>
          <w:rFonts w:ascii="Times New Roman" w:hAnsi="Times New Roman" w:cs="Times New Roman"/>
          <w:sz w:val="24"/>
          <w:szCs w:val="24"/>
        </w:rPr>
        <w:t xml:space="preserve">Many properties support local charities or initiatives, reflecting the </w:t>
      </w:r>
      <w:r w:rsidRPr="0066093E">
        <w:rPr>
          <w:rFonts w:ascii="Times New Roman" w:hAnsi="Times New Roman" w:cs="Times New Roman"/>
          <w:i/>
          <w:iCs/>
          <w:sz w:val="24"/>
          <w:szCs w:val="24"/>
        </w:rPr>
        <w:t>Stakeholder Theory</w:t>
      </w:r>
      <w:r w:rsidRPr="0066093E">
        <w:rPr>
          <w:rFonts w:ascii="Times New Roman" w:hAnsi="Times New Roman" w:cs="Times New Roman"/>
          <w:sz w:val="24"/>
          <w:szCs w:val="24"/>
        </w:rPr>
        <w:t xml:space="preserve"> of corporate social responsibility, which holds that businesses should act in the best interests of all stakeholders, including communities. </w:t>
      </w:r>
    </w:p>
    <w:p w14:paraId="2838DC57" w14:textId="27C7A5AC" w:rsidR="0066093E" w:rsidRPr="0066093E" w:rsidRDefault="0066093E" w:rsidP="00F51E67">
      <w:pPr>
        <w:pStyle w:val="Titlu1"/>
      </w:pPr>
      <w:r w:rsidRPr="0066093E">
        <w:t>Recent Change Initiatives</w:t>
      </w:r>
    </w:p>
    <w:p w14:paraId="2869C242" w14:textId="7F32926B" w:rsidR="0066093E" w:rsidRPr="0066093E" w:rsidRDefault="0066093E" w:rsidP="00F51E67">
      <w:pPr>
        <w:pStyle w:val="Titlu2"/>
      </w:pPr>
      <w:r w:rsidRPr="0066093E">
        <w:t>Identification of Recent Change Initiatives</w:t>
      </w:r>
    </w:p>
    <w:p w14:paraId="5EB4CAA0" w14:textId="6BDDBC06" w:rsidR="0066093E" w:rsidRPr="0066093E" w:rsidRDefault="0066093E" w:rsidP="000A0E9D">
      <w:pPr>
        <w:spacing w:line="360" w:lineRule="auto"/>
        <w:jc w:val="both"/>
        <w:rPr>
          <w:rFonts w:ascii="Times New Roman" w:hAnsi="Times New Roman" w:cs="Times New Roman"/>
          <w:sz w:val="24"/>
          <w:szCs w:val="24"/>
        </w:rPr>
      </w:pPr>
      <w:r w:rsidRPr="0066093E">
        <w:rPr>
          <w:rFonts w:ascii="Times New Roman" w:hAnsi="Times New Roman" w:cs="Times New Roman"/>
          <w:sz w:val="24"/>
          <w:szCs w:val="24"/>
        </w:rPr>
        <w:t xml:space="preserve">Hyatt Hotels Corporation has undertaken several significant change initiatives in recent years, focusing on enhancing guest experiences, operational efficiency, and sustainability. </w:t>
      </w:r>
      <w:r w:rsidR="0025720E" w:rsidRPr="0025720E">
        <w:rPr>
          <w:rFonts w:ascii="Times New Roman" w:hAnsi="Times New Roman" w:cs="Times New Roman"/>
          <w:sz w:val="24"/>
          <w:szCs w:val="24"/>
        </w:rPr>
        <w:t xml:space="preserve">A significant move was the introduction of the World of Hyatt </w:t>
      </w:r>
      <w:proofErr w:type="gramStart"/>
      <w:r w:rsidR="0025720E" w:rsidRPr="0025720E">
        <w:rPr>
          <w:rFonts w:ascii="Times New Roman" w:hAnsi="Times New Roman" w:cs="Times New Roman"/>
          <w:sz w:val="24"/>
          <w:szCs w:val="24"/>
        </w:rPr>
        <w:t>on the basis of</w:t>
      </w:r>
      <w:proofErr w:type="gramEnd"/>
      <w:r w:rsidR="0025720E" w:rsidRPr="0025720E">
        <w:rPr>
          <w:rFonts w:ascii="Times New Roman" w:hAnsi="Times New Roman" w:cs="Times New Roman"/>
          <w:sz w:val="24"/>
          <w:szCs w:val="24"/>
        </w:rPr>
        <w:t xml:space="preserve"> which there are plans to use the system of rewards of the same name to align various brands and their products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w:t>
      </w:r>
      <w:proofErr w:type="spellStart"/>
      <w:r w:rsidR="00E04B52" w:rsidRPr="00E04B52">
        <w:rPr>
          <w:rFonts w:ascii="Times New Roman" w:hAnsi="Times New Roman" w:cs="Times New Roman"/>
          <w:sz w:val="24"/>
          <w:szCs w:val="24"/>
        </w:rPr>
        <w:t>Pasieczny</w:t>
      </w:r>
      <w:proofErr w:type="spellEnd"/>
      <w:r w:rsidR="00E04B52" w:rsidRPr="00E04B52">
        <w:rPr>
          <w:rFonts w:ascii="Times New Roman" w:hAnsi="Times New Roman" w:cs="Times New Roman"/>
          <w:sz w:val="24"/>
          <w:szCs w:val="24"/>
        </w:rPr>
        <w:t>, 2017)</w:t>
      </w:r>
      <w:r w:rsidR="0025720E" w:rsidRPr="0025720E">
        <w:rPr>
          <w:rFonts w:ascii="Times New Roman" w:hAnsi="Times New Roman" w:cs="Times New Roman"/>
          <w:sz w:val="24"/>
          <w:szCs w:val="24"/>
        </w:rPr>
        <w:t xml:space="preserve">. This effort has driven the retention of the customers since it is a plan to make the feeling of the guest uniform in all the variety of Hyatt hotels. Also, there are new concerns in the organisation where Hyatt has concentrated on sustainability in its business through its Hyatt Thrive strategy that focuses on cutting greenhouse emissions, effective use of water, and decreased waste. </w:t>
      </w:r>
      <w:r w:rsidRPr="0066093E">
        <w:rPr>
          <w:rFonts w:ascii="Times New Roman" w:hAnsi="Times New Roman" w:cs="Times New Roman"/>
          <w:sz w:val="24"/>
          <w:szCs w:val="24"/>
        </w:rPr>
        <w:t>Hyatt has set ambitious goals for sustainability, such as committing to achieve a 25% reduction in greenhouse gas emissions by 2025. Furthermore, the company has embraced technological advancements by implementing mobile check-in and keyless entry systems, enhancing the guest experience through convenience and efficiency.</w:t>
      </w:r>
    </w:p>
    <w:p w14:paraId="58CE3537" w14:textId="6A45B14A" w:rsidR="0066093E" w:rsidRPr="0066093E" w:rsidRDefault="0066093E" w:rsidP="00F51E67">
      <w:pPr>
        <w:pStyle w:val="Titlu2"/>
      </w:pPr>
      <w:r w:rsidRPr="0066093E">
        <w:t>Impact of Change Initiatives on the Organization</w:t>
      </w:r>
    </w:p>
    <w:p w14:paraId="19F71F79" w14:textId="2098D41F" w:rsidR="0066093E" w:rsidRPr="0066093E" w:rsidRDefault="0066093E" w:rsidP="000A0E9D">
      <w:pPr>
        <w:spacing w:line="360" w:lineRule="auto"/>
        <w:jc w:val="both"/>
        <w:rPr>
          <w:rFonts w:ascii="Times New Roman" w:hAnsi="Times New Roman" w:cs="Times New Roman"/>
          <w:sz w:val="24"/>
          <w:szCs w:val="24"/>
        </w:rPr>
      </w:pPr>
      <w:r w:rsidRPr="0066093E">
        <w:rPr>
          <w:rFonts w:ascii="Times New Roman" w:hAnsi="Times New Roman" w:cs="Times New Roman"/>
          <w:sz w:val="24"/>
          <w:szCs w:val="24"/>
        </w:rPr>
        <w:t xml:space="preserve">The </w:t>
      </w:r>
      <w:r w:rsidRPr="0066093E">
        <w:rPr>
          <w:rFonts w:ascii="Times New Roman" w:hAnsi="Times New Roman" w:cs="Times New Roman"/>
          <w:i/>
          <w:iCs/>
          <w:sz w:val="24"/>
          <w:szCs w:val="24"/>
        </w:rPr>
        <w:t>World of Hyatt</w:t>
      </w:r>
      <w:r w:rsidRPr="0066093E">
        <w:rPr>
          <w:rFonts w:ascii="Times New Roman" w:hAnsi="Times New Roman" w:cs="Times New Roman"/>
          <w:sz w:val="24"/>
          <w:szCs w:val="24"/>
        </w:rPr>
        <w:t xml:space="preserve"> loyalty program has significantly impacted customer engagement and retention. By offering members personalized rewards, exclusive benefits, and seamless integration across various brands, Hyatt has strengthened its competitive position in the hospitality industry</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(Mansaray, 2019)</w:t>
      </w:r>
      <w:r w:rsidRPr="0066093E">
        <w:rPr>
          <w:rFonts w:ascii="Times New Roman" w:hAnsi="Times New Roman" w:cs="Times New Roman"/>
          <w:sz w:val="24"/>
          <w:szCs w:val="24"/>
        </w:rPr>
        <w:t xml:space="preserve">. </w:t>
      </w:r>
      <w:r w:rsidR="0025720E" w:rsidRPr="0025720E">
        <w:rPr>
          <w:rFonts w:ascii="Times New Roman" w:hAnsi="Times New Roman" w:cs="Times New Roman"/>
          <w:sz w:val="24"/>
          <w:szCs w:val="24"/>
        </w:rPr>
        <w:t xml:space="preserve">In line with the Customer Relationship Management </w:t>
      </w:r>
      <w:r w:rsidR="0025720E" w:rsidRPr="0025720E">
        <w:rPr>
          <w:rFonts w:ascii="Times New Roman" w:hAnsi="Times New Roman" w:cs="Times New Roman"/>
          <w:sz w:val="24"/>
          <w:szCs w:val="24"/>
        </w:rPr>
        <w:lastRenderedPageBreak/>
        <w:t xml:space="preserve">(CRM) theory, the initiative is centred on the identification of customers’ need and desire to make consequent positive alterations to the loyal customer foundation. The Hyatt Thrive, Hyatt’s sustainability program, has also been productive based on the accomplishment above. Specifically, when providing attention to environmental care, this increases Hyatt’s brand image and attract clients that look forward to </w:t>
      </w:r>
      <w:proofErr w:type="gramStart"/>
      <w:r w:rsidR="0025720E" w:rsidRPr="0025720E">
        <w:rPr>
          <w:rFonts w:ascii="Times New Roman" w:hAnsi="Times New Roman" w:cs="Times New Roman"/>
          <w:sz w:val="24"/>
          <w:szCs w:val="24"/>
        </w:rPr>
        <w:t>green</w:t>
      </w:r>
      <w:proofErr w:type="gramEnd"/>
      <w:r w:rsidR="0025720E" w:rsidRPr="0025720E">
        <w:rPr>
          <w:rFonts w:ascii="Times New Roman" w:hAnsi="Times New Roman" w:cs="Times New Roman"/>
          <w:sz w:val="24"/>
          <w:szCs w:val="24"/>
        </w:rPr>
        <w:t xml:space="preserve"> policies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(Nagy et al., 2024)</w:t>
      </w:r>
      <w:r w:rsidR="0025720E" w:rsidRPr="0025720E">
        <w:rPr>
          <w:rFonts w:ascii="Times New Roman" w:hAnsi="Times New Roman" w:cs="Times New Roman"/>
          <w:sz w:val="24"/>
          <w:szCs w:val="24"/>
        </w:rPr>
        <w:t xml:space="preserve">. The TBL concept fits this strategy since Hyatt still focuses on the economic value while managing social and environmental capital. </w:t>
      </w:r>
      <w:r w:rsidRPr="0066093E">
        <w:rPr>
          <w:rFonts w:ascii="Times New Roman" w:hAnsi="Times New Roman" w:cs="Times New Roman"/>
          <w:sz w:val="24"/>
          <w:szCs w:val="24"/>
        </w:rPr>
        <w:t>The measurable outcomes of these sustainability efforts include reductions in energy consumption and waste, aligning with consumer expectations for responsible business practices.</w:t>
      </w:r>
      <w:r w:rsidRPr="0025720E">
        <w:rPr>
          <w:rFonts w:ascii="Times New Roman" w:hAnsi="Times New Roman" w:cs="Times New Roman"/>
          <w:sz w:val="24"/>
          <w:szCs w:val="24"/>
        </w:rPr>
        <w:t xml:space="preserve"> </w:t>
      </w:r>
      <w:r w:rsidRPr="0066093E">
        <w:rPr>
          <w:rFonts w:ascii="Times New Roman" w:hAnsi="Times New Roman" w:cs="Times New Roman"/>
          <w:sz w:val="24"/>
          <w:szCs w:val="24"/>
        </w:rPr>
        <w:t>The technological advancements introduced by Hyatt, including mobile check-in and keyless entry, have improved operational efficiency and enhanced guest experiences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(Wilkinson et al., 2018)</w:t>
      </w:r>
      <w:r w:rsidRPr="0066093E">
        <w:rPr>
          <w:rFonts w:ascii="Times New Roman" w:hAnsi="Times New Roman" w:cs="Times New Roman"/>
          <w:sz w:val="24"/>
          <w:szCs w:val="24"/>
        </w:rPr>
        <w:t xml:space="preserve">. The adoption of technology reflects the </w:t>
      </w:r>
      <w:r w:rsidRPr="0066093E">
        <w:rPr>
          <w:rFonts w:ascii="Times New Roman" w:hAnsi="Times New Roman" w:cs="Times New Roman"/>
          <w:i/>
          <w:iCs/>
          <w:sz w:val="24"/>
          <w:szCs w:val="24"/>
        </w:rPr>
        <w:t>Technology Acceptance Model</w:t>
      </w:r>
      <w:r w:rsidRPr="0066093E">
        <w:rPr>
          <w:rFonts w:ascii="Times New Roman" w:hAnsi="Times New Roman" w:cs="Times New Roman"/>
          <w:sz w:val="24"/>
          <w:szCs w:val="24"/>
        </w:rPr>
        <w:t>, which posits that perceived ease of use and usefulness influence user acceptance. By streamlining operations, Hyatt has improved the speed of service, reduced wait times, and ultimately contributed to higher guest satisfaction levels.</w:t>
      </w:r>
    </w:p>
    <w:p w14:paraId="387F3488" w14:textId="643DAB1B" w:rsidR="0066093E" w:rsidRPr="0066093E" w:rsidRDefault="0066093E" w:rsidP="00F51E67">
      <w:pPr>
        <w:pStyle w:val="Titlu2"/>
      </w:pPr>
      <w:r w:rsidRPr="0066093E">
        <w:t>Evaluation of Change Management</w:t>
      </w:r>
    </w:p>
    <w:p w14:paraId="759ECC06" w14:textId="4E67DF9C" w:rsidR="0066093E" w:rsidRPr="0066093E" w:rsidRDefault="0066093E" w:rsidP="000A0E9D">
      <w:pPr>
        <w:spacing w:line="360" w:lineRule="auto"/>
        <w:jc w:val="both"/>
        <w:rPr>
          <w:rFonts w:ascii="Times New Roman" w:hAnsi="Times New Roman" w:cs="Times New Roman"/>
          <w:sz w:val="24"/>
          <w:szCs w:val="24"/>
        </w:rPr>
      </w:pPr>
      <w:r w:rsidRPr="0066093E">
        <w:rPr>
          <w:rFonts w:ascii="Times New Roman" w:hAnsi="Times New Roman" w:cs="Times New Roman"/>
          <w:sz w:val="24"/>
          <w:szCs w:val="24"/>
        </w:rPr>
        <w:t xml:space="preserve">Hyatt’s change management processes have shown effectiveness, as evidenced by the positive outcomes associated with recent initiatives. The </w:t>
      </w:r>
      <w:r w:rsidRPr="0066093E">
        <w:rPr>
          <w:rFonts w:ascii="Times New Roman" w:hAnsi="Times New Roman" w:cs="Times New Roman"/>
          <w:i/>
          <w:iCs/>
          <w:sz w:val="24"/>
          <w:szCs w:val="24"/>
        </w:rPr>
        <w:t>Kotter’s 8-Step Change Model</w:t>
      </w:r>
      <w:r w:rsidRPr="0066093E">
        <w:rPr>
          <w:rFonts w:ascii="Times New Roman" w:hAnsi="Times New Roman" w:cs="Times New Roman"/>
          <w:sz w:val="24"/>
          <w:szCs w:val="24"/>
        </w:rPr>
        <w:t xml:space="preserve"> serves as a relevant framework to evaluate the management of these changes. </w:t>
      </w:r>
      <w:r w:rsidR="0025720E" w:rsidRPr="0025720E">
        <w:rPr>
          <w:rFonts w:ascii="Times New Roman" w:hAnsi="Times New Roman" w:cs="Times New Roman"/>
          <w:sz w:val="24"/>
          <w:szCs w:val="24"/>
        </w:rPr>
        <w:t>Elements in the model are, for instance, creating urgency, developing and mobilising powerful coalitions, and reinforcing new approaches in the culture</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(AL-</w:t>
      </w:r>
      <w:proofErr w:type="spellStart"/>
      <w:r w:rsidR="00E04B52" w:rsidRPr="00E04B52">
        <w:rPr>
          <w:rFonts w:ascii="Times New Roman" w:hAnsi="Times New Roman" w:cs="Times New Roman"/>
          <w:sz w:val="24"/>
          <w:szCs w:val="24"/>
        </w:rPr>
        <w:t>Abrrow</w:t>
      </w:r>
      <w:proofErr w:type="spellEnd"/>
      <w:r w:rsidR="00E04B52" w:rsidRPr="00E04B52">
        <w:rPr>
          <w:rFonts w:ascii="Times New Roman" w:hAnsi="Times New Roman" w:cs="Times New Roman"/>
          <w:sz w:val="24"/>
          <w:szCs w:val="24"/>
        </w:rPr>
        <w:t xml:space="preserve"> et al., 2019)</w:t>
      </w:r>
      <w:r w:rsidR="0025720E" w:rsidRPr="0025720E">
        <w:rPr>
          <w:rFonts w:ascii="Times New Roman" w:hAnsi="Times New Roman" w:cs="Times New Roman"/>
          <w:sz w:val="24"/>
          <w:szCs w:val="24"/>
        </w:rPr>
        <w:t xml:space="preserve">. When it extended the loyalty programme to World of Hyatt, </w:t>
      </w:r>
      <w:proofErr w:type="spellStart"/>
      <w:r w:rsidR="0025720E" w:rsidRPr="0025720E">
        <w:rPr>
          <w:rFonts w:ascii="Times New Roman" w:hAnsi="Times New Roman" w:cs="Times New Roman"/>
          <w:sz w:val="24"/>
          <w:szCs w:val="24"/>
        </w:rPr>
        <w:t>hyatt</w:t>
      </w:r>
      <w:proofErr w:type="spellEnd"/>
      <w:r w:rsidR="0025720E" w:rsidRPr="0025720E">
        <w:rPr>
          <w:rFonts w:ascii="Times New Roman" w:hAnsi="Times New Roman" w:cs="Times New Roman"/>
          <w:sz w:val="24"/>
          <w:szCs w:val="24"/>
        </w:rPr>
        <w:t xml:space="preserve"> clearly cascade the value proposition to the employees as well the customers making everybody to ask for the change. To facilitate this, the company had to put cross functional teams in place to manage the implementation process with the view of having various departments involved in the process. </w:t>
      </w:r>
      <w:r w:rsidRPr="0066093E">
        <w:rPr>
          <w:rFonts w:ascii="Times New Roman" w:hAnsi="Times New Roman" w:cs="Times New Roman"/>
          <w:sz w:val="24"/>
          <w:szCs w:val="24"/>
        </w:rPr>
        <w:t>Feedback from stakeholders was actively solicited, allowing for adjustments to be made based on user experiences.</w:t>
      </w:r>
    </w:p>
    <w:p w14:paraId="45E77CB2" w14:textId="639E033E" w:rsidR="0066093E" w:rsidRPr="0066093E" w:rsidRDefault="0066093E" w:rsidP="000A0E9D">
      <w:pPr>
        <w:spacing w:line="360" w:lineRule="auto"/>
        <w:jc w:val="both"/>
        <w:rPr>
          <w:rFonts w:ascii="Times New Roman" w:hAnsi="Times New Roman" w:cs="Times New Roman"/>
          <w:sz w:val="24"/>
          <w:szCs w:val="24"/>
        </w:rPr>
      </w:pPr>
      <w:r w:rsidRPr="0066093E">
        <w:rPr>
          <w:rFonts w:ascii="Times New Roman" w:hAnsi="Times New Roman" w:cs="Times New Roman"/>
          <w:sz w:val="24"/>
          <w:szCs w:val="24"/>
        </w:rPr>
        <w:t xml:space="preserve">For the </w:t>
      </w:r>
      <w:r w:rsidRPr="0066093E">
        <w:rPr>
          <w:rFonts w:ascii="Times New Roman" w:hAnsi="Times New Roman" w:cs="Times New Roman"/>
          <w:i/>
          <w:iCs/>
          <w:sz w:val="24"/>
          <w:szCs w:val="24"/>
        </w:rPr>
        <w:t>Hyatt Thrive</w:t>
      </w:r>
      <w:r w:rsidRPr="0066093E">
        <w:rPr>
          <w:rFonts w:ascii="Times New Roman" w:hAnsi="Times New Roman" w:cs="Times New Roman"/>
          <w:sz w:val="24"/>
          <w:szCs w:val="24"/>
        </w:rPr>
        <w:t xml:space="preserve"> initiative, Hyatt employed a strong communication strategy to engage employees and stakeholders in its sustainability goals. </w:t>
      </w:r>
      <w:r w:rsidR="0025720E" w:rsidRPr="0025720E">
        <w:rPr>
          <w:rFonts w:ascii="Times New Roman" w:hAnsi="Times New Roman" w:cs="Times New Roman"/>
          <w:sz w:val="24"/>
          <w:szCs w:val="24"/>
        </w:rPr>
        <w:t xml:space="preserve">Organizations developed training that would educate staff on sustainable measures and the part they </w:t>
      </w:r>
      <w:proofErr w:type="gramStart"/>
      <w:r w:rsidR="0025720E" w:rsidRPr="0025720E">
        <w:rPr>
          <w:rFonts w:ascii="Times New Roman" w:hAnsi="Times New Roman" w:cs="Times New Roman"/>
          <w:sz w:val="24"/>
          <w:szCs w:val="24"/>
        </w:rPr>
        <w:t>have to</w:t>
      </w:r>
      <w:proofErr w:type="gramEnd"/>
      <w:r w:rsidR="0025720E" w:rsidRPr="0025720E">
        <w:rPr>
          <w:rFonts w:ascii="Times New Roman" w:hAnsi="Times New Roman" w:cs="Times New Roman"/>
          <w:sz w:val="24"/>
          <w:szCs w:val="24"/>
        </w:rPr>
        <w:t xml:space="preserve"> play in driving those objectives. Successful corporate practices require the integration of organisational values with those of its employees, where Hyatt has succeeded in promoting the notion of sustainability as a measure critical for the sustainability of the </w:t>
      </w:r>
      <w:r w:rsidR="00E04B52">
        <w:rPr>
          <w:rFonts w:ascii="Times New Roman" w:hAnsi="Times New Roman" w:cs="Times New Roman"/>
          <w:sz w:val="24"/>
          <w:szCs w:val="24"/>
        </w:rPr>
        <w:t xml:space="preserve">company </w:t>
      </w:r>
      <w:r w:rsidR="00E04B52" w:rsidRPr="00E04B52">
        <w:rPr>
          <w:rFonts w:ascii="Times New Roman" w:hAnsi="Times New Roman" w:cs="Times New Roman"/>
          <w:sz w:val="24"/>
          <w:szCs w:val="24"/>
        </w:rPr>
        <w:t>(Pettinger, 2020)</w:t>
      </w:r>
      <w:r w:rsidR="0025720E" w:rsidRPr="0025720E">
        <w:rPr>
          <w:rFonts w:ascii="Times New Roman" w:hAnsi="Times New Roman" w:cs="Times New Roman"/>
          <w:sz w:val="24"/>
          <w:szCs w:val="24"/>
        </w:rPr>
        <w:t xml:space="preserve">. </w:t>
      </w:r>
      <w:r w:rsidRPr="0066093E">
        <w:rPr>
          <w:rFonts w:ascii="Times New Roman" w:hAnsi="Times New Roman" w:cs="Times New Roman"/>
          <w:sz w:val="24"/>
          <w:szCs w:val="24"/>
        </w:rPr>
        <w:t xml:space="preserve">However, there have been challenges in managing these changes. While the technological advancements have streamlined operations, they also required substantial investment in training and infrastructure. </w:t>
      </w:r>
      <w:r w:rsidRPr="0066093E">
        <w:rPr>
          <w:rFonts w:ascii="Times New Roman" w:hAnsi="Times New Roman" w:cs="Times New Roman"/>
          <w:sz w:val="24"/>
          <w:szCs w:val="24"/>
        </w:rPr>
        <w:lastRenderedPageBreak/>
        <w:t>Some employees initially resisted the new technology due to a lack of familiarity, demonstrating the importance of continuous support and training in change management.</w:t>
      </w:r>
    </w:p>
    <w:p w14:paraId="5C8DDF39" w14:textId="5246BF48" w:rsidR="0066093E" w:rsidRDefault="001C7B0D" w:rsidP="00F51E67">
      <w:pPr>
        <w:pStyle w:val="Titlu1"/>
      </w:pPr>
      <w:r w:rsidRPr="001C7B0D">
        <w:t>Strategic Direction</w:t>
      </w:r>
    </w:p>
    <w:p w14:paraId="33B35E49" w14:textId="77777777" w:rsidR="001C7B0D" w:rsidRPr="001C7B0D" w:rsidRDefault="001C7B0D" w:rsidP="00F51E67">
      <w:pPr>
        <w:pStyle w:val="Titlu2"/>
      </w:pPr>
      <w:r w:rsidRPr="001C7B0D">
        <w:t>Strategic Direction of Hyatt Hotels Corporation</w:t>
      </w:r>
    </w:p>
    <w:p w14:paraId="0334DE61" w14:textId="096C9A8C" w:rsidR="001C7B0D" w:rsidRPr="001C7B0D" w:rsidRDefault="001C7B0D" w:rsidP="000A0E9D">
      <w:pPr>
        <w:spacing w:line="360" w:lineRule="auto"/>
        <w:jc w:val="both"/>
        <w:rPr>
          <w:rFonts w:ascii="Times New Roman" w:hAnsi="Times New Roman" w:cs="Times New Roman"/>
          <w:b/>
          <w:bCs/>
          <w:sz w:val="24"/>
          <w:szCs w:val="24"/>
        </w:rPr>
      </w:pPr>
      <w:r w:rsidRPr="001C7B0D">
        <w:rPr>
          <w:rFonts w:ascii="Times New Roman" w:hAnsi="Times New Roman" w:cs="Times New Roman"/>
          <w:b/>
          <w:bCs/>
          <w:sz w:val="24"/>
          <w:szCs w:val="24"/>
        </w:rPr>
        <w:t>Examination of Strategic Direction</w:t>
      </w:r>
    </w:p>
    <w:p w14:paraId="1E43EA22" w14:textId="07692F27" w:rsidR="001C7B0D" w:rsidRPr="001C7B0D" w:rsidRDefault="001C7B0D" w:rsidP="000A0E9D">
      <w:pPr>
        <w:spacing w:line="360" w:lineRule="auto"/>
        <w:jc w:val="both"/>
        <w:rPr>
          <w:rFonts w:ascii="Times New Roman" w:hAnsi="Times New Roman" w:cs="Times New Roman"/>
          <w:sz w:val="24"/>
          <w:szCs w:val="24"/>
        </w:rPr>
      </w:pPr>
      <w:r w:rsidRPr="001C7B0D">
        <w:rPr>
          <w:rFonts w:ascii="Times New Roman" w:hAnsi="Times New Roman" w:cs="Times New Roman"/>
          <w:sz w:val="24"/>
          <w:szCs w:val="24"/>
        </w:rPr>
        <w:t xml:space="preserve">Hyatt Hotels Corporation’s strategic direction focuses on growth, innovation, and sustainability. </w:t>
      </w:r>
      <w:r w:rsidR="0025720E" w:rsidRPr="0025720E">
        <w:rPr>
          <w:rFonts w:ascii="Times New Roman" w:hAnsi="Times New Roman" w:cs="Times New Roman"/>
          <w:sz w:val="24"/>
          <w:szCs w:val="24"/>
        </w:rPr>
        <w:t>Being the worldwide hotel chain and catering company, Hyatt still intends to grow its presence and improve the quality of services delivered in the scope of different chains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(Shore and Wright, 2015)</w:t>
      </w:r>
      <w:r w:rsidR="0025720E" w:rsidRPr="0025720E">
        <w:rPr>
          <w:rFonts w:ascii="Times New Roman" w:hAnsi="Times New Roman" w:cs="Times New Roman"/>
          <w:sz w:val="24"/>
          <w:szCs w:val="24"/>
        </w:rPr>
        <w:t xml:space="preserve">. As </w:t>
      </w:r>
      <w:r w:rsidR="00CE66D8" w:rsidRPr="0025720E">
        <w:rPr>
          <w:rFonts w:ascii="Times New Roman" w:hAnsi="Times New Roman" w:cs="Times New Roman"/>
          <w:sz w:val="24"/>
          <w:szCs w:val="24"/>
        </w:rPr>
        <w:t>stated,</w:t>
      </w:r>
      <w:r w:rsidR="0025720E" w:rsidRPr="0025720E">
        <w:rPr>
          <w:rFonts w:ascii="Times New Roman" w:hAnsi="Times New Roman" w:cs="Times New Roman"/>
          <w:sz w:val="24"/>
          <w:szCs w:val="24"/>
        </w:rPr>
        <w:t xml:space="preserve"> its mission to care for people so they can be at their best imply that customers, employees and the community will be cared for </w:t>
      </w:r>
      <w:proofErr w:type="gramStart"/>
      <w:r w:rsidR="0025720E" w:rsidRPr="0025720E">
        <w:rPr>
          <w:rFonts w:ascii="Times New Roman" w:hAnsi="Times New Roman" w:cs="Times New Roman"/>
          <w:sz w:val="24"/>
          <w:szCs w:val="24"/>
        </w:rPr>
        <w:t>in order to</w:t>
      </w:r>
      <w:proofErr w:type="gramEnd"/>
      <w:r w:rsidR="0025720E" w:rsidRPr="0025720E">
        <w:rPr>
          <w:rFonts w:ascii="Times New Roman" w:hAnsi="Times New Roman" w:cs="Times New Roman"/>
          <w:sz w:val="24"/>
          <w:szCs w:val="24"/>
        </w:rPr>
        <w:t xml:space="preserve"> guarantee their optimum productivity. </w:t>
      </w:r>
      <w:r w:rsidRPr="001C7B0D">
        <w:rPr>
          <w:rFonts w:ascii="Times New Roman" w:hAnsi="Times New Roman" w:cs="Times New Roman"/>
          <w:sz w:val="24"/>
          <w:szCs w:val="24"/>
        </w:rPr>
        <w:t xml:space="preserve">This strategic direction aligns with the principles of </w:t>
      </w:r>
      <w:r w:rsidRPr="001C7B0D">
        <w:rPr>
          <w:rFonts w:ascii="Times New Roman" w:hAnsi="Times New Roman" w:cs="Times New Roman"/>
          <w:i/>
          <w:iCs/>
          <w:sz w:val="24"/>
          <w:szCs w:val="24"/>
        </w:rPr>
        <w:t>Porter’s Generic Strategies</w:t>
      </w:r>
      <w:r w:rsidRPr="001C7B0D">
        <w:rPr>
          <w:rFonts w:ascii="Times New Roman" w:hAnsi="Times New Roman" w:cs="Times New Roman"/>
          <w:sz w:val="24"/>
          <w:szCs w:val="24"/>
        </w:rPr>
        <w:t>, particularly differentiation and focus, as Hyatt strives to provide unique and high-quality offerings tailored to various market segments.</w:t>
      </w:r>
    </w:p>
    <w:p w14:paraId="2E79EB5A" w14:textId="77947273" w:rsidR="001C7B0D" w:rsidRPr="001C7B0D" w:rsidRDefault="001C7B0D" w:rsidP="00F51E67">
      <w:pPr>
        <w:pStyle w:val="Titlu2"/>
      </w:pPr>
      <w:r w:rsidRPr="001C7B0D">
        <w:t>Strategies Implemented to Achieve Long-Term Objectives</w:t>
      </w:r>
    </w:p>
    <w:p w14:paraId="1646B3BD" w14:textId="77777777" w:rsidR="001C7B0D" w:rsidRPr="001C7B0D" w:rsidRDefault="001C7B0D" w:rsidP="000A0E9D">
      <w:pPr>
        <w:spacing w:line="360" w:lineRule="auto"/>
        <w:jc w:val="both"/>
        <w:rPr>
          <w:rFonts w:ascii="Times New Roman" w:hAnsi="Times New Roman" w:cs="Times New Roman"/>
          <w:sz w:val="24"/>
          <w:szCs w:val="24"/>
        </w:rPr>
      </w:pPr>
      <w:r w:rsidRPr="001C7B0D">
        <w:rPr>
          <w:rFonts w:ascii="Times New Roman" w:hAnsi="Times New Roman" w:cs="Times New Roman"/>
          <w:sz w:val="24"/>
          <w:szCs w:val="24"/>
        </w:rPr>
        <w:t>To achieve its long-term objectives, Hyatt has implemented several key strategies:</w:t>
      </w:r>
    </w:p>
    <w:p w14:paraId="316A1D8C" w14:textId="0AED2036" w:rsidR="001C7B0D" w:rsidRPr="001C7B0D" w:rsidRDefault="001C7B0D" w:rsidP="000A0E9D">
      <w:pPr>
        <w:pStyle w:val="Listparagraf"/>
        <w:numPr>
          <w:ilvl w:val="0"/>
          <w:numId w:val="1"/>
        </w:numPr>
        <w:spacing w:line="360" w:lineRule="auto"/>
        <w:jc w:val="both"/>
        <w:rPr>
          <w:rFonts w:ascii="Times New Roman" w:hAnsi="Times New Roman" w:cs="Times New Roman"/>
          <w:sz w:val="24"/>
          <w:szCs w:val="24"/>
        </w:rPr>
      </w:pPr>
      <w:r w:rsidRPr="001C7B0D">
        <w:rPr>
          <w:rFonts w:ascii="Times New Roman" w:hAnsi="Times New Roman" w:cs="Times New Roman"/>
          <w:b/>
          <w:bCs/>
          <w:sz w:val="24"/>
          <w:szCs w:val="24"/>
        </w:rPr>
        <w:t>Brand Diversification and Expansion</w:t>
      </w:r>
      <w:r w:rsidRPr="001C7B0D">
        <w:rPr>
          <w:rFonts w:ascii="Times New Roman" w:hAnsi="Times New Roman" w:cs="Times New Roman"/>
          <w:sz w:val="24"/>
          <w:szCs w:val="24"/>
        </w:rPr>
        <w:t xml:space="preserve">: Hyatt has pursued a strategy of brand diversification by expanding its portfolio to include various hotel categories, from luxury to mid-scale offerings. </w:t>
      </w:r>
      <w:r w:rsidR="0025720E" w:rsidRPr="0025720E">
        <w:rPr>
          <w:rFonts w:ascii="Times New Roman" w:hAnsi="Times New Roman" w:cs="Times New Roman"/>
          <w:sz w:val="24"/>
          <w:szCs w:val="24"/>
        </w:rPr>
        <w:t xml:space="preserve">Such approach was witnessed when Hyatt company acquired Two Roads Hospitality in 2018; it enabled the company to offer Alila together with Joie de Vivre brands in the marketplace, which are appealing to a larger market of consumers. </w:t>
      </w:r>
      <w:r w:rsidRPr="001C7B0D">
        <w:rPr>
          <w:rFonts w:ascii="Times New Roman" w:hAnsi="Times New Roman" w:cs="Times New Roman"/>
          <w:sz w:val="24"/>
          <w:szCs w:val="24"/>
        </w:rPr>
        <w:t xml:space="preserve">This approach aligns with the </w:t>
      </w:r>
      <w:r w:rsidRPr="001C7B0D">
        <w:rPr>
          <w:rFonts w:ascii="Times New Roman" w:hAnsi="Times New Roman" w:cs="Times New Roman"/>
          <w:i/>
          <w:iCs/>
          <w:sz w:val="24"/>
          <w:szCs w:val="24"/>
        </w:rPr>
        <w:t>Ansoff Matrix</w:t>
      </w:r>
      <w:r w:rsidRPr="001C7B0D">
        <w:rPr>
          <w:rFonts w:ascii="Times New Roman" w:hAnsi="Times New Roman" w:cs="Times New Roman"/>
          <w:sz w:val="24"/>
          <w:szCs w:val="24"/>
        </w:rPr>
        <w:t>, particularly market development, as Hyatt seeks to penetrate new markets and increase its customer base.</w:t>
      </w:r>
    </w:p>
    <w:p w14:paraId="4EFC4D10" w14:textId="792D596C" w:rsidR="001C7B0D" w:rsidRPr="001C7B0D" w:rsidRDefault="001C7B0D" w:rsidP="000A0E9D">
      <w:pPr>
        <w:pStyle w:val="Listparagraf"/>
        <w:numPr>
          <w:ilvl w:val="0"/>
          <w:numId w:val="1"/>
        </w:numPr>
        <w:spacing w:line="360" w:lineRule="auto"/>
        <w:jc w:val="both"/>
        <w:rPr>
          <w:rFonts w:ascii="Times New Roman" w:hAnsi="Times New Roman" w:cs="Times New Roman"/>
          <w:sz w:val="24"/>
          <w:szCs w:val="24"/>
        </w:rPr>
      </w:pPr>
      <w:r w:rsidRPr="001C7B0D">
        <w:rPr>
          <w:rFonts w:ascii="Times New Roman" w:hAnsi="Times New Roman" w:cs="Times New Roman"/>
          <w:b/>
          <w:bCs/>
          <w:sz w:val="24"/>
          <w:szCs w:val="24"/>
        </w:rPr>
        <w:t>Technological Innovation</w:t>
      </w:r>
      <w:r w:rsidRPr="001C7B0D">
        <w:rPr>
          <w:rFonts w:ascii="Times New Roman" w:hAnsi="Times New Roman" w:cs="Times New Roman"/>
          <w:sz w:val="24"/>
          <w:szCs w:val="24"/>
        </w:rPr>
        <w:t>: Emphasizing technological advancement, Hyatt has invested in digital solutions to enhance guest experiences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(Bratton, 2020)</w:t>
      </w:r>
      <w:r w:rsidRPr="001C7B0D">
        <w:rPr>
          <w:rFonts w:ascii="Times New Roman" w:hAnsi="Times New Roman" w:cs="Times New Roman"/>
          <w:sz w:val="24"/>
          <w:szCs w:val="24"/>
        </w:rPr>
        <w:t xml:space="preserve">. </w:t>
      </w:r>
      <w:r w:rsidR="0025720E" w:rsidRPr="0025720E">
        <w:rPr>
          <w:rFonts w:ascii="Times New Roman" w:hAnsi="Times New Roman" w:cs="Times New Roman"/>
          <w:sz w:val="24"/>
          <w:szCs w:val="24"/>
        </w:rPr>
        <w:t>Mobile check-in, keyless entry and a simple to use mobile application is a good example of how Hyatt has integrated technology to remove barriers to its guests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w:t>
      </w:r>
      <w:proofErr w:type="spellStart"/>
      <w:r w:rsidR="00E04B52" w:rsidRPr="00E04B52">
        <w:rPr>
          <w:rFonts w:ascii="Times New Roman" w:hAnsi="Times New Roman" w:cs="Times New Roman"/>
          <w:sz w:val="24"/>
          <w:szCs w:val="24"/>
        </w:rPr>
        <w:t>Obaji</w:t>
      </w:r>
      <w:proofErr w:type="spellEnd"/>
      <w:r w:rsidR="00E04B52" w:rsidRPr="00E04B52">
        <w:rPr>
          <w:rFonts w:ascii="Times New Roman" w:hAnsi="Times New Roman" w:cs="Times New Roman"/>
          <w:sz w:val="24"/>
          <w:szCs w:val="24"/>
        </w:rPr>
        <w:t xml:space="preserve"> et al., 2017)</w:t>
      </w:r>
      <w:r w:rsidR="0025720E" w:rsidRPr="0025720E">
        <w:rPr>
          <w:rFonts w:ascii="Times New Roman" w:hAnsi="Times New Roman" w:cs="Times New Roman"/>
          <w:sz w:val="24"/>
          <w:szCs w:val="24"/>
        </w:rPr>
        <w:t xml:space="preserve">. </w:t>
      </w:r>
      <w:r w:rsidRPr="0025720E">
        <w:rPr>
          <w:rFonts w:ascii="Times New Roman" w:hAnsi="Times New Roman" w:cs="Times New Roman"/>
          <w:b/>
          <w:bCs/>
          <w:sz w:val="24"/>
          <w:szCs w:val="24"/>
        </w:rPr>
        <w:t xml:space="preserve"> </w:t>
      </w:r>
      <w:r w:rsidRPr="001C7B0D">
        <w:rPr>
          <w:rFonts w:ascii="Times New Roman" w:hAnsi="Times New Roman" w:cs="Times New Roman"/>
          <w:sz w:val="24"/>
          <w:szCs w:val="24"/>
        </w:rPr>
        <w:t xml:space="preserve">This strategy is informed by the </w:t>
      </w:r>
      <w:r w:rsidRPr="001C7B0D">
        <w:rPr>
          <w:rFonts w:ascii="Times New Roman" w:hAnsi="Times New Roman" w:cs="Times New Roman"/>
          <w:i/>
          <w:iCs/>
          <w:sz w:val="24"/>
          <w:szCs w:val="24"/>
        </w:rPr>
        <w:t>Technology Acceptance Model</w:t>
      </w:r>
      <w:r w:rsidRPr="001C7B0D">
        <w:rPr>
          <w:rFonts w:ascii="Times New Roman" w:hAnsi="Times New Roman" w:cs="Times New Roman"/>
          <w:sz w:val="24"/>
          <w:szCs w:val="24"/>
        </w:rPr>
        <w:t>, which highlights the importance of perceived ease of use and usefulness in encouraging guest engagement with new technologies.</w:t>
      </w:r>
    </w:p>
    <w:p w14:paraId="40254A69" w14:textId="6ED4CE39" w:rsidR="001C7B0D" w:rsidRPr="001C7B0D" w:rsidRDefault="001C7B0D" w:rsidP="000A0E9D">
      <w:pPr>
        <w:pStyle w:val="Listparagraf"/>
        <w:numPr>
          <w:ilvl w:val="0"/>
          <w:numId w:val="1"/>
        </w:numPr>
        <w:spacing w:line="360" w:lineRule="auto"/>
        <w:jc w:val="both"/>
        <w:rPr>
          <w:rFonts w:ascii="Times New Roman" w:hAnsi="Times New Roman" w:cs="Times New Roman"/>
          <w:sz w:val="24"/>
          <w:szCs w:val="24"/>
        </w:rPr>
      </w:pPr>
      <w:r w:rsidRPr="001C7B0D">
        <w:rPr>
          <w:rFonts w:ascii="Times New Roman" w:hAnsi="Times New Roman" w:cs="Times New Roman"/>
          <w:b/>
          <w:bCs/>
          <w:sz w:val="24"/>
          <w:szCs w:val="24"/>
        </w:rPr>
        <w:t>Sustainability Initiatives</w:t>
      </w:r>
      <w:r w:rsidRPr="001C7B0D">
        <w:rPr>
          <w:rFonts w:ascii="Times New Roman" w:hAnsi="Times New Roman" w:cs="Times New Roman"/>
          <w:sz w:val="24"/>
          <w:szCs w:val="24"/>
        </w:rPr>
        <w:t xml:space="preserve">: Hyatt’s strategic focus on sustainability is evident through its </w:t>
      </w:r>
      <w:r w:rsidRPr="001C7B0D">
        <w:rPr>
          <w:rFonts w:ascii="Times New Roman" w:hAnsi="Times New Roman" w:cs="Times New Roman"/>
          <w:i/>
          <w:iCs/>
          <w:sz w:val="24"/>
          <w:szCs w:val="24"/>
        </w:rPr>
        <w:t>Hyatt Thrive</w:t>
      </w:r>
      <w:r w:rsidRPr="001C7B0D">
        <w:rPr>
          <w:rFonts w:ascii="Times New Roman" w:hAnsi="Times New Roman" w:cs="Times New Roman"/>
          <w:sz w:val="24"/>
          <w:szCs w:val="24"/>
        </w:rPr>
        <w:t xml:space="preserve"> program, which aims to minimize environmental impact while promoting social responsibility. </w:t>
      </w:r>
      <w:r w:rsidR="0025720E" w:rsidRPr="0025720E">
        <w:rPr>
          <w:rFonts w:ascii="Times New Roman" w:hAnsi="Times New Roman" w:cs="Times New Roman"/>
          <w:sz w:val="24"/>
          <w:szCs w:val="24"/>
        </w:rPr>
        <w:t xml:space="preserve">Currently, the triple bottom line approach is used in the </w:t>
      </w:r>
      <w:r w:rsidR="0025720E" w:rsidRPr="0025720E">
        <w:rPr>
          <w:rFonts w:ascii="Times New Roman" w:hAnsi="Times New Roman" w:cs="Times New Roman"/>
          <w:sz w:val="24"/>
          <w:szCs w:val="24"/>
        </w:rPr>
        <w:lastRenderedPageBreak/>
        <w:t>company with targets of cutting greenhouse gas emissions and water consumption</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(Pereira et al., 2017)</w:t>
      </w:r>
      <w:r w:rsidR="0025720E" w:rsidRPr="0025720E">
        <w:rPr>
          <w:rFonts w:ascii="Times New Roman" w:hAnsi="Times New Roman" w:cs="Times New Roman"/>
          <w:sz w:val="24"/>
          <w:szCs w:val="24"/>
        </w:rPr>
        <w:t xml:space="preserve">. </w:t>
      </w:r>
      <w:r w:rsidRPr="001C7B0D">
        <w:rPr>
          <w:rFonts w:ascii="Times New Roman" w:hAnsi="Times New Roman" w:cs="Times New Roman"/>
          <w:sz w:val="24"/>
          <w:szCs w:val="24"/>
        </w:rPr>
        <w:t>By prioritizing sustainability, Hyatt not only enhances its brand reputation but also meets the growing consumer demand for eco-friendly practices in the hospitality sector.</w:t>
      </w:r>
    </w:p>
    <w:p w14:paraId="7D3F513D" w14:textId="77777777" w:rsidR="001C7B0D" w:rsidRPr="0066093E" w:rsidRDefault="001C7B0D" w:rsidP="000A0E9D">
      <w:pPr>
        <w:spacing w:line="360" w:lineRule="auto"/>
        <w:jc w:val="both"/>
        <w:rPr>
          <w:rFonts w:ascii="Times New Roman" w:hAnsi="Times New Roman" w:cs="Times New Roman"/>
          <w:sz w:val="24"/>
          <w:szCs w:val="24"/>
        </w:rPr>
      </w:pPr>
    </w:p>
    <w:p w14:paraId="1A035C75" w14:textId="77777777" w:rsidR="0066093E" w:rsidRDefault="0066093E" w:rsidP="000A0E9D">
      <w:pPr>
        <w:spacing w:line="360" w:lineRule="auto"/>
        <w:jc w:val="both"/>
        <w:rPr>
          <w:rFonts w:ascii="Times New Roman" w:hAnsi="Times New Roman" w:cs="Times New Roman"/>
          <w:sz w:val="24"/>
          <w:szCs w:val="24"/>
        </w:rPr>
      </w:pPr>
    </w:p>
    <w:p w14:paraId="37EB6F70" w14:textId="77777777" w:rsidR="001C7B0D" w:rsidRDefault="001C7B0D" w:rsidP="000A0E9D">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7D9E3FA" w14:textId="73CA6E03" w:rsidR="001C7B0D" w:rsidRPr="001C7B0D" w:rsidRDefault="001C7B0D" w:rsidP="00F51E67">
      <w:pPr>
        <w:pStyle w:val="Titlu1"/>
      </w:pPr>
      <w:r w:rsidRPr="001C7B0D">
        <w:lastRenderedPageBreak/>
        <w:t>Conclusion</w:t>
      </w:r>
    </w:p>
    <w:p w14:paraId="6D0BBB85" w14:textId="7D128C00" w:rsidR="001C7B0D" w:rsidRPr="001C7B0D" w:rsidRDefault="001C7B0D" w:rsidP="000A0E9D">
      <w:pPr>
        <w:spacing w:line="360" w:lineRule="auto"/>
        <w:jc w:val="both"/>
        <w:rPr>
          <w:rFonts w:ascii="Times New Roman" w:hAnsi="Times New Roman" w:cs="Times New Roman"/>
          <w:sz w:val="24"/>
          <w:szCs w:val="24"/>
        </w:rPr>
      </w:pPr>
      <w:r w:rsidRPr="001C7B0D">
        <w:rPr>
          <w:rFonts w:ascii="Times New Roman" w:hAnsi="Times New Roman" w:cs="Times New Roman"/>
          <w:sz w:val="24"/>
          <w:szCs w:val="24"/>
        </w:rPr>
        <w:t xml:space="preserve">In conclusion, Hyatt Hotels Corporation exemplifies a forward-thinking approach in the competitive hospitality sector through its effective organizational structure, people-centric culture, and strategic initiatives. </w:t>
      </w:r>
      <w:r w:rsidR="0025720E" w:rsidRPr="0025720E">
        <w:rPr>
          <w:rFonts w:ascii="Times New Roman" w:hAnsi="Times New Roman" w:cs="Times New Roman"/>
          <w:sz w:val="24"/>
          <w:szCs w:val="24"/>
        </w:rPr>
        <w:t xml:space="preserve">Therefore, through brand diversification, advances in technology, and environmentally sustainable solutions, growth in meeting customer expectations, Hyatt prepares for continued success in the future. Several change initiatives have been introduced in the recent past in the company with reference to the key management theories advocated in development of operations management. </w:t>
      </w:r>
      <w:r w:rsidRPr="001C7B0D">
        <w:rPr>
          <w:rFonts w:ascii="Times New Roman" w:hAnsi="Times New Roman" w:cs="Times New Roman"/>
          <w:sz w:val="24"/>
          <w:szCs w:val="24"/>
        </w:rPr>
        <w:t>Ultimately, Hyatt's strategic direction not only enhances its market presence but also reinforces its reputation as a leader in responsible hospitality, ensuring that it remains well-equipped to thrive in an ever-changing environment.</w:t>
      </w:r>
    </w:p>
    <w:p w14:paraId="3B32C0BD" w14:textId="7E038FE8" w:rsidR="008929C5" w:rsidRDefault="008929C5" w:rsidP="000A0E9D">
      <w:pPr>
        <w:spacing w:line="360" w:lineRule="auto"/>
        <w:jc w:val="both"/>
        <w:rPr>
          <w:rFonts w:ascii="Times New Roman" w:hAnsi="Times New Roman" w:cs="Times New Roman"/>
          <w:sz w:val="24"/>
          <w:szCs w:val="24"/>
        </w:rPr>
      </w:pPr>
    </w:p>
    <w:p w14:paraId="6F173864" w14:textId="77777777" w:rsidR="001C7B0D" w:rsidRPr="001C7B0D" w:rsidRDefault="001C7B0D" w:rsidP="00F51E67">
      <w:pPr>
        <w:pStyle w:val="Titlu1"/>
      </w:pPr>
      <w:r w:rsidRPr="001C7B0D">
        <w:t>Recommendations for Hyatt Hotels Corporation</w:t>
      </w:r>
    </w:p>
    <w:p w14:paraId="68DB4CBC" w14:textId="77777777" w:rsidR="001C7B0D" w:rsidRPr="001C7B0D" w:rsidRDefault="001C7B0D" w:rsidP="000A0E9D">
      <w:pPr>
        <w:spacing w:line="360" w:lineRule="auto"/>
        <w:jc w:val="both"/>
        <w:rPr>
          <w:rFonts w:ascii="Times New Roman" w:hAnsi="Times New Roman" w:cs="Times New Roman"/>
          <w:sz w:val="24"/>
          <w:szCs w:val="24"/>
        </w:rPr>
      </w:pPr>
      <w:r w:rsidRPr="001C7B0D">
        <w:rPr>
          <w:rFonts w:ascii="Times New Roman" w:hAnsi="Times New Roman" w:cs="Times New Roman"/>
          <w:sz w:val="24"/>
          <w:szCs w:val="24"/>
        </w:rPr>
        <w:t>To enhance its standing in the hospitality industry, Hyatt Hotels Corporation should consider implementing the following recommendations:</w:t>
      </w:r>
    </w:p>
    <w:p w14:paraId="401BC49A" w14:textId="4576C564" w:rsidR="001C7B0D" w:rsidRPr="001C7B0D" w:rsidRDefault="001C7B0D" w:rsidP="000A0E9D">
      <w:pPr>
        <w:numPr>
          <w:ilvl w:val="0"/>
          <w:numId w:val="2"/>
        </w:numPr>
        <w:spacing w:line="360" w:lineRule="auto"/>
        <w:jc w:val="both"/>
        <w:rPr>
          <w:rFonts w:ascii="Times New Roman" w:hAnsi="Times New Roman" w:cs="Times New Roman"/>
          <w:sz w:val="24"/>
          <w:szCs w:val="24"/>
        </w:rPr>
      </w:pPr>
      <w:r w:rsidRPr="001C7B0D">
        <w:rPr>
          <w:rFonts w:ascii="Times New Roman" w:hAnsi="Times New Roman" w:cs="Times New Roman"/>
          <w:b/>
          <w:bCs/>
          <w:sz w:val="24"/>
          <w:szCs w:val="24"/>
        </w:rPr>
        <w:t>Enhanced Customer Engagement Initiatives</w:t>
      </w:r>
      <w:r w:rsidRPr="001C7B0D">
        <w:rPr>
          <w:rFonts w:ascii="Times New Roman" w:hAnsi="Times New Roman" w:cs="Times New Roman"/>
          <w:sz w:val="24"/>
          <w:szCs w:val="24"/>
        </w:rPr>
        <w:t xml:space="preserve">: </w:t>
      </w:r>
      <w:r w:rsidR="0025720E" w:rsidRPr="0025720E">
        <w:rPr>
          <w:rFonts w:ascii="Times New Roman" w:hAnsi="Times New Roman" w:cs="Times New Roman"/>
          <w:sz w:val="24"/>
          <w:szCs w:val="24"/>
        </w:rPr>
        <w:t>Hyatt should consider investing in customer experience solutions based on the guests’ history, meaning that guests can be offered experiences that are close to what they want while at the hotel</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(Gunawan et al., 2023)</w:t>
      </w:r>
      <w:r w:rsidR="0025720E" w:rsidRPr="0025720E">
        <w:rPr>
          <w:rFonts w:ascii="Times New Roman" w:hAnsi="Times New Roman" w:cs="Times New Roman"/>
          <w:sz w:val="24"/>
          <w:szCs w:val="24"/>
        </w:rPr>
        <w:t xml:space="preserve">. This could be implemented by the marketing department, by tallying customer sentiments and achieving the latter’s perception on what could be offered to them in the future. </w:t>
      </w:r>
      <w:r w:rsidRPr="001C7B0D">
        <w:rPr>
          <w:rFonts w:ascii="Times New Roman" w:hAnsi="Times New Roman" w:cs="Times New Roman"/>
          <w:i/>
          <w:iCs/>
          <w:sz w:val="24"/>
          <w:szCs w:val="24"/>
        </w:rPr>
        <w:t>Best practice examples include Marriott’s use of CRM systems to deliver customized guest experiences.</w:t>
      </w:r>
    </w:p>
    <w:p w14:paraId="04522EE7" w14:textId="7CD0A63D" w:rsidR="001C7B0D" w:rsidRPr="001C7B0D" w:rsidRDefault="001C7B0D" w:rsidP="000A0E9D">
      <w:pPr>
        <w:numPr>
          <w:ilvl w:val="0"/>
          <w:numId w:val="2"/>
        </w:numPr>
        <w:spacing w:line="360" w:lineRule="auto"/>
        <w:jc w:val="both"/>
        <w:rPr>
          <w:rFonts w:ascii="Times New Roman" w:hAnsi="Times New Roman" w:cs="Times New Roman"/>
          <w:sz w:val="24"/>
          <w:szCs w:val="24"/>
        </w:rPr>
      </w:pPr>
      <w:r w:rsidRPr="001C7B0D">
        <w:rPr>
          <w:rFonts w:ascii="Times New Roman" w:hAnsi="Times New Roman" w:cs="Times New Roman"/>
          <w:b/>
          <w:bCs/>
          <w:sz w:val="24"/>
          <w:szCs w:val="24"/>
        </w:rPr>
        <w:t>Sustainability Innovation Programs</w:t>
      </w:r>
      <w:r w:rsidRPr="001C7B0D">
        <w:rPr>
          <w:rFonts w:ascii="Times New Roman" w:hAnsi="Times New Roman" w:cs="Times New Roman"/>
          <w:sz w:val="24"/>
          <w:szCs w:val="24"/>
        </w:rPr>
        <w:t>: Hyatt should develop programs that encourage sustainable practices among guests and staff, such as incentivizing eco-friendly choices during stays</w:t>
      </w:r>
      <w:r w:rsidR="00E04B52">
        <w:rPr>
          <w:rFonts w:ascii="Times New Roman" w:hAnsi="Times New Roman" w:cs="Times New Roman"/>
          <w:sz w:val="24"/>
          <w:szCs w:val="24"/>
        </w:rPr>
        <w:t xml:space="preserve"> </w:t>
      </w:r>
      <w:r w:rsidR="00E04B52" w:rsidRPr="00E04B52">
        <w:rPr>
          <w:rFonts w:ascii="Times New Roman" w:hAnsi="Times New Roman" w:cs="Times New Roman"/>
          <w:sz w:val="24"/>
          <w:szCs w:val="24"/>
        </w:rPr>
        <w:t>(Wesselink et al., 2017)</w:t>
      </w:r>
      <w:r w:rsidRPr="001C7B0D">
        <w:rPr>
          <w:rFonts w:ascii="Times New Roman" w:hAnsi="Times New Roman" w:cs="Times New Roman"/>
          <w:sz w:val="24"/>
          <w:szCs w:val="24"/>
        </w:rPr>
        <w:t>. The initiative could be spearheaded by the sustainability team, aiming for implementation in 2025. This would promote Hyatt's commitment to environmental stewardship and align with consumer expectations.</w:t>
      </w:r>
    </w:p>
    <w:p w14:paraId="5FDDF70F" w14:textId="77777777" w:rsidR="001C7B0D" w:rsidRPr="001C7B0D" w:rsidRDefault="001C7B0D" w:rsidP="000A0E9D">
      <w:pPr>
        <w:numPr>
          <w:ilvl w:val="0"/>
          <w:numId w:val="2"/>
        </w:numPr>
        <w:spacing w:line="360" w:lineRule="auto"/>
        <w:jc w:val="both"/>
        <w:rPr>
          <w:rFonts w:ascii="Times New Roman" w:hAnsi="Times New Roman" w:cs="Times New Roman"/>
          <w:sz w:val="24"/>
          <w:szCs w:val="24"/>
        </w:rPr>
      </w:pPr>
      <w:r w:rsidRPr="001C7B0D">
        <w:rPr>
          <w:rFonts w:ascii="Times New Roman" w:hAnsi="Times New Roman" w:cs="Times New Roman"/>
          <w:b/>
          <w:bCs/>
          <w:sz w:val="24"/>
          <w:szCs w:val="24"/>
        </w:rPr>
        <w:t>Expansion of Technology Use</w:t>
      </w:r>
      <w:r w:rsidRPr="001C7B0D">
        <w:rPr>
          <w:rFonts w:ascii="Times New Roman" w:hAnsi="Times New Roman" w:cs="Times New Roman"/>
          <w:sz w:val="24"/>
          <w:szCs w:val="24"/>
        </w:rPr>
        <w:t xml:space="preserve">: The hotel chain should expand its technological offerings, including AI-driven chatbots for customer service and enhanced mobile app functionalities. The IT department should lead this initiative, aiming for rollout within </w:t>
      </w:r>
      <w:r w:rsidRPr="001C7B0D">
        <w:rPr>
          <w:rFonts w:ascii="Times New Roman" w:hAnsi="Times New Roman" w:cs="Times New Roman"/>
          <w:sz w:val="24"/>
          <w:szCs w:val="24"/>
        </w:rPr>
        <w:lastRenderedPageBreak/>
        <w:t>the next year, ensuring that technology serves to improve guest interactions and operational efficiency.</w:t>
      </w:r>
    </w:p>
    <w:p w14:paraId="1C02C003" w14:textId="352F64D7" w:rsidR="001C7B0D" w:rsidRPr="001C7B0D" w:rsidRDefault="001C7B0D" w:rsidP="000A0E9D">
      <w:pPr>
        <w:spacing w:line="360" w:lineRule="auto"/>
        <w:jc w:val="both"/>
        <w:rPr>
          <w:rFonts w:ascii="Times New Roman" w:hAnsi="Times New Roman" w:cs="Times New Roman"/>
          <w:sz w:val="24"/>
          <w:szCs w:val="24"/>
        </w:rPr>
      </w:pPr>
      <w:r w:rsidRPr="001C7B0D">
        <w:rPr>
          <w:rFonts w:ascii="Times New Roman" w:hAnsi="Times New Roman" w:cs="Times New Roman"/>
          <w:sz w:val="24"/>
          <w:szCs w:val="24"/>
        </w:rPr>
        <w:t>By prioritizing these recommendations, Hyatt can strengthen its competitive advantage and foster greater customer loyalty, ultimately solidifying its position in the hospitality industry.</w:t>
      </w:r>
    </w:p>
    <w:p w14:paraId="6658D1B0" w14:textId="763C6D22" w:rsidR="00F51E67" w:rsidRDefault="00F51E67">
      <w:pPr>
        <w:rPr>
          <w:rFonts w:ascii="Times New Roman" w:hAnsi="Times New Roman" w:cs="Times New Roman"/>
          <w:sz w:val="24"/>
          <w:szCs w:val="24"/>
        </w:rPr>
      </w:pPr>
      <w:r>
        <w:rPr>
          <w:rFonts w:ascii="Times New Roman" w:hAnsi="Times New Roman" w:cs="Times New Roman"/>
          <w:sz w:val="24"/>
          <w:szCs w:val="24"/>
        </w:rPr>
        <w:br w:type="page"/>
      </w:r>
    </w:p>
    <w:p w14:paraId="0733BA2D" w14:textId="550D0521" w:rsidR="008929C5" w:rsidRDefault="00F51E67" w:rsidP="00F51E67">
      <w:pPr>
        <w:pStyle w:val="Titlu1"/>
      </w:pPr>
      <w:r>
        <w:lastRenderedPageBreak/>
        <w:t xml:space="preserve">References </w:t>
      </w:r>
    </w:p>
    <w:p w14:paraId="5A3BEDEE" w14:textId="77777777" w:rsidR="00F51E67" w:rsidRPr="00CB271C" w:rsidRDefault="00F51E67" w:rsidP="00F51E67">
      <w:pPr>
        <w:spacing w:line="360" w:lineRule="auto"/>
        <w:jc w:val="both"/>
        <w:rPr>
          <w:rFonts w:ascii="Times New Roman" w:hAnsi="Times New Roman" w:cs="Times New Roman"/>
          <w:i/>
          <w:iCs/>
          <w:sz w:val="24"/>
          <w:szCs w:val="24"/>
        </w:rPr>
      </w:pPr>
      <w:r w:rsidRPr="00CB271C">
        <w:rPr>
          <w:rFonts w:ascii="Times New Roman" w:hAnsi="Times New Roman" w:cs="Times New Roman"/>
          <w:sz w:val="24"/>
          <w:szCs w:val="24"/>
        </w:rPr>
        <w:t>AL-</w:t>
      </w:r>
      <w:proofErr w:type="spellStart"/>
      <w:r w:rsidRPr="00CB271C">
        <w:rPr>
          <w:rFonts w:ascii="Times New Roman" w:hAnsi="Times New Roman" w:cs="Times New Roman"/>
          <w:sz w:val="24"/>
          <w:szCs w:val="24"/>
        </w:rPr>
        <w:t>Abrrow</w:t>
      </w:r>
      <w:proofErr w:type="spellEnd"/>
      <w:r w:rsidRPr="00CB271C">
        <w:rPr>
          <w:rFonts w:ascii="Times New Roman" w:hAnsi="Times New Roman" w:cs="Times New Roman"/>
          <w:sz w:val="24"/>
          <w:szCs w:val="24"/>
        </w:rPr>
        <w:t>, H., Abdullah, H. and Atshan, N., 2019. Effect of organisational integrity and leadership behaviour on organisational excellence: Mediator role of work engagement. </w:t>
      </w:r>
      <w:r w:rsidRPr="00CB271C">
        <w:rPr>
          <w:rFonts w:ascii="Times New Roman" w:hAnsi="Times New Roman" w:cs="Times New Roman"/>
          <w:i/>
          <w:iCs/>
          <w:sz w:val="24"/>
          <w:szCs w:val="24"/>
        </w:rPr>
        <w:t>International Journal of Organizational Analysis</w:t>
      </w:r>
      <w:r w:rsidRPr="00CB271C">
        <w:rPr>
          <w:rFonts w:ascii="Times New Roman" w:hAnsi="Times New Roman" w:cs="Times New Roman"/>
          <w:sz w:val="24"/>
          <w:szCs w:val="24"/>
        </w:rPr>
        <w:t>, </w:t>
      </w:r>
      <w:r w:rsidRPr="00CB271C">
        <w:rPr>
          <w:rFonts w:ascii="Times New Roman" w:hAnsi="Times New Roman" w:cs="Times New Roman"/>
          <w:i/>
          <w:iCs/>
          <w:sz w:val="24"/>
          <w:szCs w:val="24"/>
        </w:rPr>
        <w:t>27</w:t>
      </w:r>
      <w:r w:rsidRPr="00CB271C">
        <w:rPr>
          <w:rFonts w:ascii="Times New Roman" w:hAnsi="Times New Roman" w:cs="Times New Roman"/>
          <w:sz w:val="24"/>
          <w:szCs w:val="24"/>
        </w:rPr>
        <w:t>(4), pp.972-985.</w:t>
      </w:r>
    </w:p>
    <w:p w14:paraId="4823B7D3"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 xml:space="preserve">Boddy, C.R., 2015. Organisational psychopaths: A </w:t>
      </w:r>
      <w:proofErr w:type="gramStart"/>
      <w:r w:rsidRPr="00CB271C">
        <w:rPr>
          <w:rFonts w:ascii="Times New Roman" w:hAnsi="Times New Roman" w:cs="Times New Roman"/>
          <w:sz w:val="24"/>
          <w:szCs w:val="24"/>
        </w:rPr>
        <w:t>ten year</w:t>
      </w:r>
      <w:proofErr w:type="gramEnd"/>
      <w:r w:rsidRPr="00CB271C">
        <w:rPr>
          <w:rFonts w:ascii="Times New Roman" w:hAnsi="Times New Roman" w:cs="Times New Roman"/>
          <w:sz w:val="24"/>
          <w:szCs w:val="24"/>
        </w:rPr>
        <w:t xml:space="preserve"> update. </w:t>
      </w:r>
      <w:r w:rsidRPr="00CB271C">
        <w:rPr>
          <w:rFonts w:ascii="Times New Roman" w:hAnsi="Times New Roman" w:cs="Times New Roman"/>
          <w:i/>
          <w:iCs/>
          <w:sz w:val="24"/>
          <w:szCs w:val="24"/>
        </w:rPr>
        <w:t>Management Decision</w:t>
      </w:r>
      <w:r w:rsidRPr="00CB271C">
        <w:rPr>
          <w:rFonts w:ascii="Times New Roman" w:hAnsi="Times New Roman" w:cs="Times New Roman"/>
          <w:sz w:val="24"/>
          <w:szCs w:val="24"/>
        </w:rPr>
        <w:t>, </w:t>
      </w:r>
      <w:r w:rsidRPr="00CB271C">
        <w:rPr>
          <w:rFonts w:ascii="Times New Roman" w:hAnsi="Times New Roman" w:cs="Times New Roman"/>
          <w:i/>
          <w:iCs/>
          <w:sz w:val="24"/>
          <w:szCs w:val="24"/>
        </w:rPr>
        <w:t>53</w:t>
      </w:r>
      <w:r w:rsidRPr="00CB271C">
        <w:rPr>
          <w:rFonts w:ascii="Times New Roman" w:hAnsi="Times New Roman" w:cs="Times New Roman"/>
          <w:sz w:val="24"/>
          <w:szCs w:val="24"/>
        </w:rPr>
        <w:t>(10), pp.2407-2432.</w:t>
      </w:r>
    </w:p>
    <w:p w14:paraId="1D4FF6DE"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Bratton, J., 2020. </w:t>
      </w:r>
      <w:r w:rsidRPr="00CB271C">
        <w:rPr>
          <w:rFonts w:ascii="Times New Roman" w:hAnsi="Times New Roman" w:cs="Times New Roman"/>
          <w:i/>
          <w:iCs/>
          <w:sz w:val="24"/>
          <w:szCs w:val="24"/>
        </w:rPr>
        <w:t>Work and organizational behaviour</w:t>
      </w:r>
      <w:r w:rsidRPr="00CB271C">
        <w:rPr>
          <w:rFonts w:ascii="Times New Roman" w:hAnsi="Times New Roman" w:cs="Times New Roman"/>
          <w:sz w:val="24"/>
          <w:szCs w:val="24"/>
        </w:rPr>
        <w:t>. Bloomsbury Publishing.</w:t>
      </w:r>
    </w:p>
    <w:p w14:paraId="63C15DE2" w14:textId="77777777" w:rsidR="00F51E67" w:rsidRPr="00CB271C" w:rsidRDefault="00F51E67" w:rsidP="00F51E67">
      <w:pPr>
        <w:spacing w:line="360" w:lineRule="auto"/>
        <w:jc w:val="both"/>
        <w:rPr>
          <w:rFonts w:ascii="Times New Roman" w:hAnsi="Times New Roman" w:cs="Times New Roman"/>
          <w:i/>
          <w:iCs/>
          <w:sz w:val="24"/>
          <w:szCs w:val="24"/>
        </w:rPr>
      </w:pPr>
      <w:r w:rsidRPr="00CB271C">
        <w:rPr>
          <w:rFonts w:ascii="Times New Roman" w:hAnsi="Times New Roman" w:cs="Times New Roman"/>
          <w:sz w:val="24"/>
          <w:szCs w:val="24"/>
        </w:rPr>
        <w:t>Gillam, S. and Cosford, P., 2021. Organisational behaviour. In </w:t>
      </w:r>
      <w:r w:rsidRPr="00CB271C">
        <w:rPr>
          <w:rFonts w:ascii="Times New Roman" w:hAnsi="Times New Roman" w:cs="Times New Roman"/>
          <w:i/>
          <w:iCs/>
          <w:sz w:val="24"/>
          <w:szCs w:val="24"/>
        </w:rPr>
        <w:t>Leadership and Management for Doctors in Training</w:t>
      </w:r>
      <w:r w:rsidRPr="00CB271C">
        <w:rPr>
          <w:rFonts w:ascii="Times New Roman" w:hAnsi="Times New Roman" w:cs="Times New Roman"/>
          <w:sz w:val="24"/>
          <w:szCs w:val="24"/>
        </w:rPr>
        <w:t> (pp. 32-39). CRC Press.</w:t>
      </w:r>
    </w:p>
    <w:p w14:paraId="0C3B8630"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Gunawan, A., MZ, M.D., Elmi, F. and Riyanto, S., 2023. The role of lecturer commitment in determining organisational behaviour. </w:t>
      </w:r>
      <w:r w:rsidRPr="00CB271C">
        <w:rPr>
          <w:rFonts w:ascii="Times New Roman" w:hAnsi="Times New Roman" w:cs="Times New Roman"/>
          <w:i/>
          <w:iCs/>
          <w:sz w:val="24"/>
          <w:szCs w:val="24"/>
        </w:rPr>
        <w:t>Asian Journal of Business and Accounting</w:t>
      </w:r>
      <w:r w:rsidRPr="00CB271C">
        <w:rPr>
          <w:rFonts w:ascii="Times New Roman" w:hAnsi="Times New Roman" w:cs="Times New Roman"/>
          <w:sz w:val="24"/>
          <w:szCs w:val="24"/>
        </w:rPr>
        <w:t>, pp.219-254.</w:t>
      </w:r>
    </w:p>
    <w:p w14:paraId="6ECEAB71"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Mansaray, H.E., 2019. The role of leadership style in organisational change management: a literature review. </w:t>
      </w:r>
      <w:r w:rsidRPr="00CB271C">
        <w:rPr>
          <w:rFonts w:ascii="Times New Roman" w:hAnsi="Times New Roman" w:cs="Times New Roman"/>
          <w:i/>
          <w:iCs/>
          <w:sz w:val="24"/>
          <w:szCs w:val="24"/>
        </w:rPr>
        <w:t>Journal of Human Resource Management</w:t>
      </w:r>
      <w:r w:rsidRPr="00CB271C">
        <w:rPr>
          <w:rFonts w:ascii="Times New Roman" w:hAnsi="Times New Roman" w:cs="Times New Roman"/>
          <w:sz w:val="24"/>
          <w:szCs w:val="24"/>
        </w:rPr>
        <w:t>, </w:t>
      </w:r>
      <w:r w:rsidRPr="00CB271C">
        <w:rPr>
          <w:rFonts w:ascii="Times New Roman" w:hAnsi="Times New Roman" w:cs="Times New Roman"/>
          <w:i/>
          <w:iCs/>
          <w:sz w:val="24"/>
          <w:szCs w:val="24"/>
        </w:rPr>
        <w:t>7</w:t>
      </w:r>
      <w:r w:rsidRPr="00CB271C">
        <w:rPr>
          <w:rFonts w:ascii="Times New Roman" w:hAnsi="Times New Roman" w:cs="Times New Roman"/>
          <w:sz w:val="24"/>
          <w:szCs w:val="24"/>
        </w:rPr>
        <w:t>(1), pp.18-31.</w:t>
      </w:r>
    </w:p>
    <w:p w14:paraId="0993F681"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Nagy, M.H., Lénárd, S., Horváth, L. and Rapos, N., 2024. The organisational context of middle management role behaviour in Hungarian schools.</w:t>
      </w:r>
    </w:p>
    <w:p w14:paraId="0C646E6F" w14:textId="77777777" w:rsidR="00F51E67" w:rsidRPr="00CB271C" w:rsidRDefault="00F51E67" w:rsidP="00F51E67">
      <w:pPr>
        <w:spacing w:line="360" w:lineRule="auto"/>
        <w:jc w:val="both"/>
        <w:rPr>
          <w:rFonts w:ascii="Times New Roman" w:hAnsi="Times New Roman" w:cs="Times New Roman"/>
          <w:sz w:val="24"/>
          <w:szCs w:val="24"/>
        </w:rPr>
      </w:pPr>
      <w:proofErr w:type="spellStart"/>
      <w:r w:rsidRPr="00CB271C">
        <w:rPr>
          <w:rFonts w:ascii="Times New Roman" w:hAnsi="Times New Roman" w:cs="Times New Roman"/>
          <w:sz w:val="24"/>
          <w:szCs w:val="24"/>
        </w:rPr>
        <w:t>Obaji</w:t>
      </w:r>
      <w:proofErr w:type="spellEnd"/>
      <w:r w:rsidRPr="00CB271C">
        <w:rPr>
          <w:rFonts w:ascii="Times New Roman" w:hAnsi="Times New Roman" w:cs="Times New Roman"/>
          <w:sz w:val="24"/>
          <w:szCs w:val="24"/>
        </w:rPr>
        <w:t xml:space="preserve">, N., Cross, D. and </w:t>
      </w:r>
      <w:proofErr w:type="spellStart"/>
      <w:r w:rsidRPr="00CB271C">
        <w:rPr>
          <w:rFonts w:ascii="Times New Roman" w:hAnsi="Times New Roman" w:cs="Times New Roman"/>
          <w:sz w:val="24"/>
          <w:szCs w:val="24"/>
        </w:rPr>
        <w:t>Olaolu</w:t>
      </w:r>
      <w:proofErr w:type="spellEnd"/>
      <w:r w:rsidRPr="00CB271C">
        <w:rPr>
          <w:rFonts w:ascii="Times New Roman" w:hAnsi="Times New Roman" w:cs="Times New Roman"/>
          <w:sz w:val="24"/>
          <w:szCs w:val="24"/>
        </w:rPr>
        <w:t>, D., 2017. Impact of Organisational Culture and Strategic Management on Organisational Performance. </w:t>
      </w:r>
      <w:r w:rsidRPr="00CB271C">
        <w:rPr>
          <w:rFonts w:ascii="Times New Roman" w:hAnsi="Times New Roman" w:cs="Times New Roman"/>
          <w:i/>
          <w:iCs/>
          <w:sz w:val="24"/>
          <w:szCs w:val="24"/>
        </w:rPr>
        <w:t>International Journal of Science Technology and Management</w:t>
      </w:r>
      <w:r w:rsidRPr="00CB271C">
        <w:rPr>
          <w:rFonts w:ascii="Times New Roman" w:hAnsi="Times New Roman" w:cs="Times New Roman"/>
          <w:sz w:val="24"/>
          <w:szCs w:val="24"/>
        </w:rPr>
        <w:t>, </w:t>
      </w:r>
      <w:r w:rsidRPr="00CB271C">
        <w:rPr>
          <w:rFonts w:ascii="Times New Roman" w:hAnsi="Times New Roman" w:cs="Times New Roman"/>
          <w:i/>
          <w:iCs/>
          <w:sz w:val="24"/>
          <w:szCs w:val="24"/>
        </w:rPr>
        <w:t>6</w:t>
      </w:r>
      <w:r w:rsidRPr="00CB271C">
        <w:rPr>
          <w:rFonts w:ascii="Times New Roman" w:hAnsi="Times New Roman" w:cs="Times New Roman"/>
          <w:sz w:val="24"/>
          <w:szCs w:val="24"/>
        </w:rPr>
        <w:t>(9), pp.3-27.</w:t>
      </w:r>
    </w:p>
    <w:p w14:paraId="03ED5B50" w14:textId="77777777" w:rsidR="00F51E67" w:rsidRPr="00CB271C" w:rsidRDefault="00F51E67" w:rsidP="00F51E67">
      <w:pPr>
        <w:spacing w:line="360" w:lineRule="auto"/>
        <w:jc w:val="both"/>
        <w:rPr>
          <w:rFonts w:ascii="Times New Roman" w:hAnsi="Times New Roman" w:cs="Times New Roman"/>
          <w:i/>
          <w:iCs/>
          <w:sz w:val="24"/>
          <w:szCs w:val="24"/>
        </w:rPr>
      </w:pPr>
      <w:proofErr w:type="spellStart"/>
      <w:r w:rsidRPr="00CB271C">
        <w:rPr>
          <w:rFonts w:ascii="Times New Roman" w:hAnsi="Times New Roman" w:cs="Times New Roman"/>
          <w:sz w:val="24"/>
          <w:szCs w:val="24"/>
        </w:rPr>
        <w:t>Pasieczny</w:t>
      </w:r>
      <w:proofErr w:type="spellEnd"/>
      <w:r w:rsidRPr="00CB271C">
        <w:rPr>
          <w:rFonts w:ascii="Times New Roman" w:hAnsi="Times New Roman" w:cs="Times New Roman"/>
          <w:sz w:val="24"/>
          <w:szCs w:val="24"/>
        </w:rPr>
        <w:t>, J., 2017. Organisational pathologies under conditions of economic downswing. </w:t>
      </w:r>
      <w:r w:rsidRPr="00CB271C">
        <w:rPr>
          <w:rFonts w:ascii="Times New Roman" w:hAnsi="Times New Roman" w:cs="Times New Roman"/>
          <w:i/>
          <w:iCs/>
          <w:sz w:val="24"/>
          <w:szCs w:val="24"/>
        </w:rPr>
        <w:t>Economics and Culture</w:t>
      </w:r>
      <w:r w:rsidRPr="00CB271C">
        <w:rPr>
          <w:rFonts w:ascii="Times New Roman" w:hAnsi="Times New Roman" w:cs="Times New Roman"/>
          <w:sz w:val="24"/>
          <w:szCs w:val="24"/>
        </w:rPr>
        <w:t>, </w:t>
      </w:r>
      <w:r w:rsidRPr="00CB271C">
        <w:rPr>
          <w:rFonts w:ascii="Times New Roman" w:hAnsi="Times New Roman" w:cs="Times New Roman"/>
          <w:i/>
          <w:iCs/>
          <w:sz w:val="24"/>
          <w:szCs w:val="24"/>
        </w:rPr>
        <w:t>14</w:t>
      </w:r>
      <w:r w:rsidRPr="00CB271C">
        <w:rPr>
          <w:rFonts w:ascii="Times New Roman" w:hAnsi="Times New Roman" w:cs="Times New Roman"/>
          <w:sz w:val="24"/>
          <w:szCs w:val="24"/>
        </w:rPr>
        <w:t>(1), pp.21-30.</w:t>
      </w:r>
    </w:p>
    <w:p w14:paraId="43D4CE60" w14:textId="77777777" w:rsidR="00F51E67" w:rsidRPr="00CB271C" w:rsidRDefault="00F51E67" w:rsidP="00F51E67">
      <w:pPr>
        <w:spacing w:line="360" w:lineRule="auto"/>
        <w:jc w:val="both"/>
        <w:rPr>
          <w:rFonts w:ascii="Times New Roman" w:hAnsi="Times New Roman" w:cs="Times New Roman"/>
          <w:i/>
          <w:iCs/>
          <w:sz w:val="24"/>
          <w:szCs w:val="24"/>
        </w:rPr>
      </w:pPr>
      <w:r w:rsidRPr="00CB271C">
        <w:rPr>
          <w:rFonts w:ascii="Times New Roman" w:hAnsi="Times New Roman" w:cs="Times New Roman"/>
          <w:sz w:val="24"/>
          <w:szCs w:val="24"/>
        </w:rPr>
        <w:t>Pereira, V., Malik, A. and Froese, F.J., 2017. Mapping the impact of Asian business systems on HRM and organisational behaviour: Multi-level comparative perspectives. </w:t>
      </w:r>
      <w:r w:rsidRPr="00CB271C">
        <w:rPr>
          <w:rFonts w:ascii="Times New Roman" w:hAnsi="Times New Roman" w:cs="Times New Roman"/>
          <w:i/>
          <w:iCs/>
          <w:sz w:val="24"/>
          <w:szCs w:val="24"/>
        </w:rPr>
        <w:t>Journal of Asia Business Studies</w:t>
      </w:r>
      <w:r w:rsidRPr="00CB271C">
        <w:rPr>
          <w:rFonts w:ascii="Times New Roman" w:hAnsi="Times New Roman" w:cs="Times New Roman"/>
          <w:sz w:val="24"/>
          <w:szCs w:val="24"/>
        </w:rPr>
        <w:t>, </w:t>
      </w:r>
      <w:r w:rsidRPr="00CB271C">
        <w:rPr>
          <w:rFonts w:ascii="Times New Roman" w:hAnsi="Times New Roman" w:cs="Times New Roman"/>
          <w:i/>
          <w:iCs/>
          <w:sz w:val="24"/>
          <w:szCs w:val="24"/>
        </w:rPr>
        <w:t>11</w:t>
      </w:r>
      <w:r w:rsidRPr="00CB271C">
        <w:rPr>
          <w:rFonts w:ascii="Times New Roman" w:hAnsi="Times New Roman" w:cs="Times New Roman"/>
          <w:sz w:val="24"/>
          <w:szCs w:val="24"/>
        </w:rPr>
        <w:t>(3), pp.253-261.</w:t>
      </w:r>
    </w:p>
    <w:p w14:paraId="55FE0932"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Pettinger, R., 2020. </w:t>
      </w:r>
      <w:r w:rsidRPr="00CB271C">
        <w:rPr>
          <w:rFonts w:ascii="Times New Roman" w:hAnsi="Times New Roman" w:cs="Times New Roman"/>
          <w:i/>
          <w:iCs/>
          <w:sz w:val="24"/>
          <w:szCs w:val="24"/>
        </w:rPr>
        <w:t>Introduction to management</w:t>
      </w:r>
      <w:r w:rsidRPr="00CB271C">
        <w:rPr>
          <w:rFonts w:ascii="Times New Roman" w:hAnsi="Times New Roman" w:cs="Times New Roman"/>
          <w:sz w:val="24"/>
          <w:szCs w:val="24"/>
        </w:rPr>
        <w:t>. Bloomsbury Publishing.</w:t>
      </w:r>
    </w:p>
    <w:p w14:paraId="0DB3B895"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 xml:space="preserve">Samson, D., </w:t>
      </w:r>
      <w:proofErr w:type="spellStart"/>
      <w:r w:rsidRPr="00CB271C">
        <w:rPr>
          <w:rFonts w:ascii="Times New Roman" w:hAnsi="Times New Roman" w:cs="Times New Roman"/>
          <w:sz w:val="24"/>
          <w:szCs w:val="24"/>
        </w:rPr>
        <w:t>Donnet</w:t>
      </w:r>
      <w:proofErr w:type="spellEnd"/>
      <w:r w:rsidRPr="00CB271C">
        <w:rPr>
          <w:rFonts w:ascii="Times New Roman" w:hAnsi="Times New Roman" w:cs="Times New Roman"/>
          <w:sz w:val="24"/>
          <w:szCs w:val="24"/>
        </w:rPr>
        <w:t>, T. and Daft, R.L., 2020. </w:t>
      </w:r>
      <w:r w:rsidRPr="00CB271C">
        <w:rPr>
          <w:rFonts w:ascii="Times New Roman" w:hAnsi="Times New Roman" w:cs="Times New Roman"/>
          <w:i/>
          <w:iCs/>
          <w:sz w:val="24"/>
          <w:szCs w:val="24"/>
        </w:rPr>
        <w:t>Management</w:t>
      </w:r>
      <w:r w:rsidRPr="00CB271C">
        <w:rPr>
          <w:rFonts w:ascii="Times New Roman" w:hAnsi="Times New Roman" w:cs="Times New Roman"/>
          <w:sz w:val="24"/>
          <w:szCs w:val="24"/>
        </w:rPr>
        <w:t>. Cengage AU.</w:t>
      </w:r>
    </w:p>
    <w:p w14:paraId="42BCD172"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Shore, C. and Wright, S., 2015. Governing by numbers: Audit culture, rankings and the new world order. </w:t>
      </w:r>
      <w:r w:rsidRPr="00CB271C">
        <w:rPr>
          <w:rFonts w:ascii="Times New Roman" w:hAnsi="Times New Roman" w:cs="Times New Roman"/>
          <w:i/>
          <w:iCs/>
          <w:sz w:val="24"/>
          <w:szCs w:val="24"/>
        </w:rPr>
        <w:t xml:space="preserve">Social Anthropology/Anthropologie </w:t>
      </w:r>
      <w:proofErr w:type="spellStart"/>
      <w:r w:rsidRPr="00CB271C">
        <w:rPr>
          <w:rFonts w:ascii="Times New Roman" w:hAnsi="Times New Roman" w:cs="Times New Roman"/>
          <w:i/>
          <w:iCs/>
          <w:sz w:val="24"/>
          <w:szCs w:val="24"/>
        </w:rPr>
        <w:t>Sociale</w:t>
      </w:r>
      <w:proofErr w:type="spellEnd"/>
      <w:r w:rsidRPr="00CB271C">
        <w:rPr>
          <w:rFonts w:ascii="Times New Roman" w:hAnsi="Times New Roman" w:cs="Times New Roman"/>
          <w:sz w:val="24"/>
          <w:szCs w:val="24"/>
        </w:rPr>
        <w:t>, </w:t>
      </w:r>
      <w:r w:rsidRPr="00CB271C">
        <w:rPr>
          <w:rFonts w:ascii="Times New Roman" w:hAnsi="Times New Roman" w:cs="Times New Roman"/>
          <w:i/>
          <w:iCs/>
          <w:sz w:val="24"/>
          <w:szCs w:val="24"/>
        </w:rPr>
        <w:t>23</w:t>
      </w:r>
      <w:r w:rsidRPr="00CB271C">
        <w:rPr>
          <w:rFonts w:ascii="Times New Roman" w:hAnsi="Times New Roman" w:cs="Times New Roman"/>
          <w:sz w:val="24"/>
          <w:szCs w:val="24"/>
        </w:rPr>
        <w:t>(1), pp.22-28.</w:t>
      </w:r>
    </w:p>
    <w:p w14:paraId="60BBC76C"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Talati, Z. and Griffin, M., 2018. Patient Safety Culture and Organisational Behaviour: Integrating Error, Leadership and the Work Environment. </w:t>
      </w:r>
      <w:r w:rsidRPr="00CB271C">
        <w:rPr>
          <w:rFonts w:ascii="Times New Roman" w:hAnsi="Times New Roman" w:cs="Times New Roman"/>
          <w:i/>
          <w:iCs/>
          <w:sz w:val="24"/>
          <w:szCs w:val="24"/>
        </w:rPr>
        <w:t>Patient Safety Culture</w:t>
      </w:r>
      <w:r w:rsidRPr="00CB271C">
        <w:rPr>
          <w:rFonts w:ascii="Times New Roman" w:hAnsi="Times New Roman" w:cs="Times New Roman"/>
          <w:sz w:val="24"/>
          <w:szCs w:val="24"/>
        </w:rPr>
        <w:t>, pp.43-66.</w:t>
      </w:r>
    </w:p>
    <w:p w14:paraId="1EDE5F3D"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lastRenderedPageBreak/>
        <w:t xml:space="preserve">Thomas, B., 2018. Principles of Management and Organisational </w:t>
      </w:r>
      <w:proofErr w:type="spellStart"/>
      <w:r w:rsidRPr="00CB271C">
        <w:rPr>
          <w:rFonts w:ascii="Times New Roman" w:hAnsi="Times New Roman" w:cs="Times New Roman"/>
          <w:sz w:val="24"/>
          <w:szCs w:val="24"/>
        </w:rPr>
        <w:t>Bahaviour</w:t>
      </w:r>
      <w:proofErr w:type="spellEnd"/>
      <w:r w:rsidRPr="00CB271C">
        <w:rPr>
          <w:rFonts w:ascii="Times New Roman" w:hAnsi="Times New Roman" w:cs="Times New Roman"/>
          <w:sz w:val="24"/>
          <w:szCs w:val="24"/>
        </w:rPr>
        <w:t>. </w:t>
      </w:r>
      <w:r w:rsidRPr="00CB271C">
        <w:rPr>
          <w:rFonts w:ascii="Times New Roman" w:hAnsi="Times New Roman" w:cs="Times New Roman"/>
          <w:i/>
          <w:iCs/>
          <w:sz w:val="24"/>
          <w:szCs w:val="24"/>
        </w:rPr>
        <w:t>Unpublished manuscript</w:t>
      </w:r>
      <w:r w:rsidRPr="00CB271C">
        <w:rPr>
          <w:rFonts w:ascii="Times New Roman" w:hAnsi="Times New Roman" w:cs="Times New Roman"/>
          <w:sz w:val="24"/>
          <w:szCs w:val="24"/>
        </w:rPr>
        <w:t>.</w:t>
      </w:r>
    </w:p>
    <w:p w14:paraId="53F87B4E"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Vaughan, J., 2019. Epimethean hope or Promethean expectation? The role of organisational behaviour. In </w:t>
      </w:r>
      <w:r w:rsidRPr="00CB271C">
        <w:rPr>
          <w:rFonts w:ascii="Times New Roman" w:hAnsi="Times New Roman" w:cs="Times New Roman"/>
          <w:i/>
          <w:iCs/>
          <w:sz w:val="24"/>
          <w:szCs w:val="24"/>
        </w:rPr>
        <w:t>Organizing Hope</w:t>
      </w:r>
      <w:r w:rsidRPr="00CB271C">
        <w:rPr>
          <w:rFonts w:ascii="Times New Roman" w:hAnsi="Times New Roman" w:cs="Times New Roman"/>
          <w:sz w:val="24"/>
          <w:szCs w:val="24"/>
        </w:rPr>
        <w:t> (pp. 37-48). Edward Elgar Publishing.</w:t>
      </w:r>
    </w:p>
    <w:p w14:paraId="7E9F387F" w14:textId="77777777" w:rsidR="00F51E67" w:rsidRPr="00CB271C" w:rsidRDefault="00F51E67" w:rsidP="00F51E67">
      <w:pPr>
        <w:spacing w:line="360" w:lineRule="auto"/>
        <w:jc w:val="both"/>
        <w:rPr>
          <w:rFonts w:ascii="Times New Roman" w:hAnsi="Times New Roman" w:cs="Times New Roman"/>
          <w:i/>
          <w:iCs/>
          <w:sz w:val="24"/>
          <w:szCs w:val="24"/>
        </w:rPr>
      </w:pPr>
      <w:r w:rsidRPr="00CB271C">
        <w:rPr>
          <w:rFonts w:ascii="Times New Roman" w:hAnsi="Times New Roman" w:cs="Times New Roman"/>
          <w:sz w:val="24"/>
          <w:szCs w:val="24"/>
        </w:rPr>
        <w:t>Waddell, D., Creed, A., Cummings, T.G. and Worley, C.G., 2019. </w:t>
      </w:r>
      <w:r w:rsidRPr="00CB271C">
        <w:rPr>
          <w:rFonts w:ascii="Times New Roman" w:hAnsi="Times New Roman" w:cs="Times New Roman"/>
          <w:i/>
          <w:iCs/>
          <w:sz w:val="24"/>
          <w:szCs w:val="24"/>
        </w:rPr>
        <w:t>Organisational change: Development and transformation</w:t>
      </w:r>
      <w:r w:rsidRPr="00CB271C">
        <w:rPr>
          <w:rFonts w:ascii="Times New Roman" w:hAnsi="Times New Roman" w:cs="Times New Roman"/>
          <w:sz w:val="24"/>
          <w:szCs w:val="24"/>
        </w:rPr>
        <w:t>. Cengage Au.</w:t>
      </w:r>
    </w:p>
    <w:p w14:paraId="3D47662F"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 xml:space="preserve">Wesselink, R., Blok, V. and </w:t>
      </w:r>
      <w:proofErr w:type="spellStart"/>
      <w:r w:rsidRPr="00CB271C">
        <w:rPr>
          <w:rFonts w:ascii="Times New Roman" w:hAnsi="Times New Roman" w:cs="Times New Roman"/>
          <w:sz w:val="24"/>
          <w:szCs w:val="24"/>
        </w:rPr>
        <w:t>Ringersma</w:t>
      </w:r>
      <w:proofErr w:type="spellEnd"/>
      <w:r w:rsidRPr="00CB271C">
        <w:rPr>
          <w:rFonts w:ascii="Times New Roman" w:hAnsi="Times New Roman" w:cs="Times New Roman"/>
          <w:sz w:val="24"/>
          <w:szCs w:val="24"/>
        </w:rPr>
        <w:t>, J., 2017. Pro-environmental behaviour in the workplace and the role of managers and organisation. </w:t>
      </w:r>
      <w:r w:rsidRPr="00CB271C">
        <w:rPr>
          <w:rFonts w:ascii="Times New Roman" w:hAnsi="Times New Roman" w:cs="Times New Roman"/>
          <w:i/>
          <w:iCs/>
          <w:sz w:val="24"/>
          <w:szCs w:val="24"/>
        </w:rPr>
        <w:t>Journal of cleaner production</w:t>
      </w:r>
      <w:r w:rsidRPr="00CB271C">
        <w:rPr>
          <w:rFonts w:ascii="Times New Roman" w:hAnsi="Times New Roman" w:cs="Times New Roman"/>
          <w:sz w:val="24"/>
          <w:szCs w:val="24"/>
        </w:rPr>
        <w:t>, </w:t>
      </w:r>
      <w:r w:rsidRPr="00CB271C">
        <w:rPr>
          <w:rFonts w:ascii="Times New Roman" w:hAnsi="Times New Roman" w:cs="Times New Roman"/>
          <w:i/>
          <w:iCs/>
          <w:sz w:val="24"/>
          <w:szCs w:val="24"/>
        </w:rPr>
        <w:t>168</w:t>
      </w:r>
      <w:r w:rsidRPr="00CB271C">
        <w:rPr>
          <w:rFonts w:ascii="Times New Roman" w:hAnsi="Times New Roman" w:cs="Times New Roman"/>
          <w:sz w:val="24"/>
          <w:szCs w:val="24"/>
        </w:rPr>
        <w:t>, pp.1679-1687.</w:t>
      </w:r>
    </w:p>
    <w:p w14:paraId="7727F143" w14:textId="77777777" w:rsidR="00F51E67" w:rsidRPr="00CB271C" w:rsidRDefault="00F51E67" w:rsidP="00F51E67">
      <w:pPr>
        <w:spacing w:line="360" w:lineRule="auto"/>
        <w:jc w:val="both"/>
        <w:rPr>
          <w:rFonts w:ascii="Times New Roman" w:hAnsi="Times New Roman" w:cs="Times New Roman"/>
          <w:sz w:val="24"/>
          <w:szCs w:val="24"/>
        </w:rPr>
      </w:pPr>
      <w:r w:rsidRPr="00CB271C">
        <w:rPr>
          <w:rFonts w:ascii="Times New Roman" w:hAnsi="Times New Roman" w:cs="Times New Roman"/>
          <w:sz w:val="24"/>
          <w:szCs w:val="24"/>
        </w:rPr>
        <w:t>Wilkinson, A., Gollan, P.J., Kalfa, S. and Xu, Y., 2018. Voices unheard: employee voice in the new century. </w:t>
      </w:r>
      <w:r w:rsidRPr="00CB271C">
        <w:rPr>
          <w:rFonts w:ascii="Times New Roman" w:hAnsi="Times New Roman" w:cs="Times New Roman"/>
          <w:i/>
          <w:iCs/>
          <w:sz w:val="24"/>
          <w:szCs w:val="24"/>
        </w:rPr>
        <w:t>The International Journal of Human Resource Management</w:t>
      </w:r>
      <w:r w:rsidRPr="00CB271C">
        <w:rPr>
          <w:rFonts w:ascii="Times New Roman" w:hAnsi="Times New Roman" w:cs="Times New Roman"/>
          <w:sz w:val="24"/>
          <w:szCs w:val="24"/>
        </w:rPr>
        <w:t>, </w:t>
      </w:r>
      <w:r w:rsidRPr="00CB271C">
        <w:rPr>
          <w:rFonts w:ascii="Times New Roman" w:hAnsi="Times New Roman" w:cs="Times New Roman"/>
          <w:i/>
          <w:iCs/>
          <w:sz w:val="24"/>
          <w:szCs w:val="24"/>
        </w:rPr>
        <w:t>29</w:t>
      </w:r>
      <w:r w:rsidRPr="00CB271C">
        <w:rPr>
          <w:rFonts w:ascii="Times New Roman" w:hAnsi="Times New Roman" w:cs="Times New Roman"/>
          <w:sz w:val="24"/>
          <w:szCs w:val="24"/>
        </w:rPr>
        <w:t>(5), pp.711-724.</w:t>
      </w:r>
    </w:p>
    <w:p w14:paraId="36360597" w14:textId="0D1913F9" w:rsidR="00F51E67" w:rsidRPr="00F51E67" w:rsidRDefault="00F51E67" w:rsidP="000A0E9D">
      <w:pPr>
        <w:spacing w:line="360" w:lineRule="auto"/>
        <w:jc w:val="both"/>
        <w:rPr>
          <w:rFonts w:ascii="Times New Roman" w:hAnsi="Times New Roman" w:cs="Times New Roman"/>
          <w:i/>
          <w:iCs/>
          <w:sz w:val="24"/>
          <w:szCs w:val="24"/>
        </w:rPr>
      </w:pPr>
      <w:r w:rsidRPr="00CB271C">
        <w:rPr>
          <w:rFonts w:ascii="Times New Roman" w:hAnsi="Times New Roman" w:cs="Times New Roman"/>
          <w:sz w:val="24"/>
          <w:szCs w:val="24"/>
        </w:rPr>
        <w:t>Wood, J.M., Wiesner, R., Morrison, R.R., Factor, A. and McKeown, T., 2024. </w:t>
      </w:r>
      <w:r w:rsidRPr="00CB271C">
        <w:rPr>
          <w:rFonts w:ascii="Times New Roman" w:hAnsi="Times New Roman" w:cs="Times New Roman"/>
          <w:i/>
          <w:iCs/>
          <w:sz w:val="24"/>
          <w:szCs w:val="24"/>
        </w:rPr>
        <w:t>Organisational behaviour: Core concepts and applications</w:t>
      </w:r>
      <w:r w:rsidRPr="00CB271C">
        <w:rPr>
          <w:rFonts w:ascii="Times New Roman" w:hAnsi="Times New Roman" w:cs="Times New Roman"/>
          <w:sz w:val="24"/>
          <w:szCs w:val="24"/>
        </w:rPr>
        <w:t>. John Wiley &amp; Sons.</w:t>
      </w:r>
    </w:p>
    <w:sectPr w:rsidR="00F51E67" w:rsidRPr="00F51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86591"/>
    <w:multiLevelType w:val="multilevel"/>
    <w:tmpl w:val="89B8E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3C2BED"/>
    <w:multiLevelType w:val="hybridMultilevel"/>
    <w:tmpl w:val="BE9E311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1283227107">
    <w:abstractNumId w:val="1"/>
  </w:num>
  <w:num w:numId="2" w16cid:durableId="155340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9C5"/>
    <w:rsid w:val="000A0E9D"/>
    <w:rsid w:val="001C7B0D"/>
    <w:rsid w:val="0025720E"/>
    <w:rsid w:val="00355695"/>
    <w:rsid w:val="00390766"/>
    <w:rsid w:val="005C00EE"/>
    <w:rsid w:val="005D58D0"/>
    <w:rsid w:val="0066093E"/>
    <w:rsid w:val="008929C5"/>
    <w:rsid w:val="00975DA0"/>
    <w:rsid w:val="00BC70CD"/>
    <w:rsid w:val="00CE66D8"/>
    <w:rsid w:val="00DB1C79"/>
    <w:rsid w:val="00E04B52"/>
    <w:rsid w:val="00F51E67"/>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BE678"/>
  <w15:chartTrackingRefBased/>
  <w15:docId w15:val="{03A7FA1F-EB1C-46AC-83E5-21C071837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556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355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1C7B0D"/>
    <w:pPr>
      <w:ind w:left="720"/>
      <w:contextualSpacing/>
    </w:pPr>
  </w:style>
  <w:style w:type="character" w:customStyle="1" w:styleId="Titlu1Caracter">
    <w:name w:val="Titlu 1 Caracter"/>
    <w:basedOn w:val="Fontdeparagrafimplicit"/>
    <w:link w:val="Titlu1"/>
    <w:uiPriority w:val="9"/>
    <w:rsid w:val="00355695"/>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35569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72236">
      <w:bodyDiv w:val="1"/>
      <w:marLeft w:val="0"/>
      <w:marRight w:val="0"/>
      <w:marTop w:val="0"/>
      <w:marBottom w:val="0"/>
      <w:divBdr>
        <w:top w:val="none" w:sz="0" w:space="0" w:color="auto"/>
        <w:left w:val="none" w:sz="0" w:space="0" w:color="auto"/>
        <w:bottom w:val="none" w:sz="0" w:space="0" w:color="auto"/>
        <w:right w:val="none" w:sz="0" w:space="0" w:color="auto"/>
      </w:divBdr>
    </w:div>
    <w:div w:id="92171437">
      <w:bodyDiv w:val="1"/>
      <w:marLeft w:val="0"/>
      <w:marRight w:val="0"/>
      <w:marTop w:val="0"/>
      <w:marBottom w:val="0"/>
      <w:divBdr>
        <w:top w:val="none" w:sz="0" w:space="0" w:color="auto"/>
        <w:left w:val="none" w:sz="0" w:space="0" w:color="auto"/>
        <w:bottom w:val="none" w:sz="0" w:space="0" w:color="auto"/>
        <w:right w:val="none" w:sz="0" w:space="0" w:color="auto"/>
      </w:divBdr>
      <w:divsChild>
        <w:div w:id="203299739">
          <w:marLeft w:val="0"/>
          <w:marRight w:val="0"/>
          <w:marTop w:val="0"/>
          <w:marBottom w:val="0"/>
          <w:divBdr>
            <w:top w:val="none" w:sz="0" w:space="0" w:color="auto"/>
            <w:left w:val="none" w:sz="0" w:space="0" w:color="auto"/>
            <w:bottom w:val="none" w:sz="0" w:space="0" w:color="auto"/>
            <w:right w:val="none" w:sz="0" w:space="0" w:color="auto"/>
          </w:divBdr>
          <w:divsChild>
            <w:div w:id="1146777882">
              <w:marLeft w:val="0"/>
              <w:marRight w:val="0"/>
              <w:marTop w:val="0"/>
              <w:marBottom w:val="0"/>
              <w:divBdr>
                <w:top w:val="none" w:sz="0" w:space="0" w:color="auto"/>
                <w:left w:val="none" w:sz="0" w:space="0" w:color="auto"/>
                <w:bottom w:val="none" w:sz="0" w:space="0" w:color="auto"/>
                <w:right w:val="none" w:sz="0" w:space="0" w:color="auto"/>
              </w:divBdr>
              <w:divsChild>
                <w:div w:id="1459295328">
                  <w:marLeft w:val="0"/>
                  <w:marRight w:val="0"/>
                  <w:marTop w:val="0"/>
                  <w:marBottom w:val="0"/>
                  <w:divBdr>
                    <w:top w:val="none" w:sz="0" w:space="0" w:color="auto"/>
                    <w:left w:val="none" w:sz="0" w:space="0" w:color="auto"/>
                    <w:bottom w:val="none" w:sz="0" w:space="0" w:color="auto"/>
                    <w:right w:val="none" w:sz="0" w:space="0" w:color="auto"/>
                  </w:divBdr>
                  <w:divsChild>
                    <w:div w:id="56318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972745">
          <w:marLeft w:val="0"/>
          <w:marRight w:val="0"/>
          <w:marTop w:val="0"/>
          <w:marBottom w:val="0"/>
          <w:divBdr>
            <w:top w:val="none" w:sz="0" w:space="0" w:color="auto"/>
            <w:left w:val="none" w:sz="0" w:space="0" w:color="auto"/>
            <w:bottom w:val="none" w:sz="0" w:space="0" w:color="auto"/>
            <w:right w:val="none" w:sz="0" w:space="0" w:color="auto"/>
          </w:divBdr>
          <w:divsChild>
            <w:div w:id="1646933731">
              <w:marLeft w:val="0"/>
              <w:marRight w:val="0"/>
              <w:marTop w:val="0"/>
              <w:marBottom w:val="0"/>
              <w:divBdr>
                <w:top w:val="none" w:sz="0" w:space="0" w:color="auto"/>
                <w:left w:val="none" w:sz="0" w:space="0" w:color="auto"/>
                <w:bottom w:val="none" w:sz="0" w:space="0" w:color="auto"/>
                <w:right w:val="none" w:sz="0" w:space="0" w:color="auto"/>
              </w:divBdr>
              <w:divsChild>
                <w:div w:id="161705077">
                  <w:marLeft w:val="0"/>
                  <w:marRight w:val="0"/>
                  <w:marTop w:val="0"/>
                  <w:marBottom w:val="0"/>
                  <w:divBdr>
                    <w:top w:val="none" w:sz="0" w:space="0" w:color="auto"/>
                    <w:left w:val="none" w:sz="0" w:space="0" w:color="auto"/>
                    <w:bottom w:val="none" w:sz="0" w:space="0" w:color="auto"/>
                    <w:right w:val="none" w:sz="0" w:space="0" w:color="auto"/>
                  </w:divBdr>
                  <w:divsChild>
                    <w:div w:id="49453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544092">
      <w:bodyDiv w:val="1"/>
      <w:marLeft w:val="0"/>
      <w:marRight w:val="0"/>
      <w:marTop w:val="0"/>
      <w:marBottom w:val="0"/>
      <w:divBdr>
        <w:top w:val="none" w:sz="0" w:space="0" w:color="auto"/>
        <w:left w:val="none" w:sz="0" w:space="0" w:color="auto"/>
        <w:bottom w:val="none" w:sz="0" w:space="0" w:color="auto"/>
        <w:right w:val="none" w:sz="0" w:space="0" w:color="auto"/>
      </w:divBdr>
    </w:div>
    <w:div w:id="313340038">
      <w:bodyDiv w:val="1"/>
      <w:marLeft w:val="0"/>
      <w:marRight w:val="0"/>
      <w:marTop w:val="0"/>
      <w:marBottom w:val="0"/>
      <w:divBdr>
        <w:top w:val="none" w:sz="0" w:space="0" w:color="auto"/>
        <w:left w:val="none" w:sz="0" w:space="0" w:color="auto"/>
        <w:bottom w:val="none" w:sz="0" w:space="0" w:color="auto"/>
        <w:right w:val="none" w:sz="0" w:space="0" w:color="auto"/>
      </w:divBdr>
      <w:divsChild>
        <w:div w:id="808017910">
          <w:marLeft w:val="0"/>
          <w:marRight w:val="0"/>
          <w:marTop w:val="0"/>
          <w:marBottom w:val="0"/>
          <w:divBdr>
            <w:top w:val="none" w:sz="0" w:space="0" w:color="auto"/>
            <w:left w:val="none" w:sz="0" w:space="0" w:color="auto"/>
            <w:bottom w:val="none" w:sz="0" w:space="0" w:color="auto"/>
            <w:right w:val="none" w:sz="0" w:space="0" w:color="auto"/>
          </w:divBdr>
          <w:divsChild>
            <w:div w:id="399210045">
              <w:marLeft w:val="0"/>
              <w:marRight w:val="0"/>
              <w:marTop w:val="0"/>
              <w:marBottom w:val="0"/>
              <w:divBdr>
                <w:top w:val="none" w:sz="0" w:space="0" w:color="auto"/>
                <w:left w:val="none" w:sz="0" w:space="0" w:color="auto"/>
                <w:bottom w:val="none" w:sz="0" w:space="0" w:color="auto"/>
                <w:right w:val="none" w:sz="0" w:space="0" w:color="auto"/>
              </w:divBdr>
              <w:divsChild>
                <w:div w:id="263999064">
                  <w:marLeft w:val="0"/>
                  <w:marRight w:val="0"/>
                  <w:marTop w:val="0"/>
                  <w:marBottom w:val="0"/>
                  <w:divBdr>
                    <w:top w:val="none" w:sz="0" w:space="0" w:color="auto"/>
                    <w:left w:val="none" w:sz="0" w:space="0" w:color="auto"/>
                    <w:bottom w:val="none" w:sz="0" w:space="0" w:color="auto"/>
                    <w:right w:val="none" w:sz="0" w:space="0" w:color="auto"/>
                  </w:divBdr>
                  <w:divsChild>
                    <w:div w:id="114034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294840">
          <w:marLeft w:val="0"/>
          <w:marRight w:val="0"/>
          <w:marTop w:val="0"/>
          <w:marBottom w:val="0"/>
          <w:divBdr>
            <w:top w:val="none" w:sz="0" w:space="0" w:color="auto"/>
            <w:left w:val="none" w:sz="0" w:space="0" w:color="auto"/>
            <w:bottom w:val="none" w:sz="0" w:space="0" w:color="auto"/>
            <w:right w:val="none" w:sz="0" w:space="0" w:color="auto"/>
          </w:divBdr>
          <w:divsChild>
            <w:div w:id="1538933435">
              <w:marLeft w:val="0"/>
              <w:marRight w:val="0"/>
              <w:marTop w:val="0"/>
              <w:marBottom w:val="0"/>
              <w:divBdr>
                <w:top w:val="none" w:sz="0" w:space="0" w:color="auto"/>
                <w:left w:val="none" w:sz="0" w:space="0" w:color="auto"/>
                <w:bottom w:val="none" w:sz="0" w:space="0" w:color="auto"/>
                <w:right w:val="none" w:sz="0" w:space="0" w:color="auto"/>
              </w:divBdr>
              <w:divsChild>
                <w:div w:id="1140726965">
                  <w:marLeft w:val="0"/>
                  <w:marRight w:val="0"/>
                  <w:marTop w:val="0"/>
                  <w:marBottom w:val="0"/>
                  <w:divBdr>
                    <w:top w:val="none" w:sz="0" w:space="0" w:color="auto"/>
                    <w:left w:val="none" w:sz="0" w:space="0" w:color="auto"/>
                    <w:bottom w:val="none" w:sz="0" w:space="0" w:color="auto"/>
                    <w:right w:val="none" w:sz="0" w:space="0" w:color="auto"/>
                  </w:divBdr>
                  <w:divsChild>
                    <w:div w:id="18031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167854">
      <w:bodyDiv w:val="1"/>
      <w:marLeft w:val="0"/>
      <w:marRight w:val="0"/>
      <w:marTop w:val="0"/>
      <w:marBottom w:val="0"/>
      <w:divBdr>
        <w:top w:val="none" w:sz="0" w:space="0" w:color="auto"/>
        <w:left w:val="none" w:sz="0" w:space="0" w:color="auto"/>
        <w:bottom w:val="none" w:sz="0" w:space="0" w:color="auto"/>
        <w:right w:val="none" w:sz="0" w:space="0" w:color="auto"/>
      </w:divBdr>
    </w:div>
    <w:div w:id="381950908">
      <w:bodyDiv w:val="1"/>
      <w:marLeft w:val="0"/>
      <w:marRight w:val="0"/>
      <w:marTop w:val="0"/>
      <w:marBottom w:val="0"/>
      <w:divBdr>
        <w:top w:val="none" w:sz="0" w:space="0" w:color="auto"/>
        <w:left w:val="none" w:sz="0" w:space="0" w:color="auto"/>
        <w:bottom w:val="none" w:sz="0" w:space="0" w:color="auto"/>
        <w:right w:val="none" w:sz="0" w:space="0" w:color="auto"/>
      </w:divBdr>
    </w:div>
    <w:div w:id="581138983">
      <w:bodyDiv w:val="1"/>
      <w:marLeft w:val="0"/>
      <w:marRight w:val="0"/>
      <w:marTop w:val="0"/>
      <w:marBottom w:val="0"/>
      <w:divBdr>
        <w:top w:val="none" w:sz="0" w:space="0" w:color="auto"/>
        <w:left w:val="none" w:sz="0" w:space="0" w:color="auto"/>
        <w:bottom w:val="none" w:sz="0" w:space="0" w:color="auto"/>
        <w:right w:val="none" w:sz="0" w:space="0" w:color="auto"/>
      </w:divBdr>
    </w:div>
    <w:div w:id="807670650">
      <w:bodyDiv w:val="1"/>
      <w:marLeft w:val="0"/>
      <w:marRight w:val="0"/>
      <w:marTop w:val="0"/>
      <w:marBottom w:val="0"/>
      <w:divBdr>
        <w:top w:val="none" w:sz="0" w:space="0" w:color="auto"/>
        <w:left w:val="none" w:sz="0" w:space="0" w:color="auto"/>
        <w:bottom w:val="none" w:sz="0" w:space="0" w:color="auto"/>
        <w:right w:val="none" w:sz="0" w:space="0" w:color="auto"/>
      </w:divBdr>
    </w:div>
    <w:div w:id="848056461">
      <w:bodyDiv w:val="1"/>
      <w:marLeft w:val="0"/>
      <w:marRight w:val="0"/>
      <w:marTop w:val="0"/>
      <w:marBottom w:val="0"/>
      <w:divBdr>
        <w:top w:val="none" w:sz="0" w:space="0" w:color="auto"/>
        <w:left w:val="none" w:sz="0" w:space="0" w:color="auto"/>
        <w:bottom w:val="none" w:sz="0" w:space="0" w:color="auto"/>
        <w:right w:val="none" w:sz="0" w:space="0" w:color="auto"/>
      </w:divBdr>
    </w:div>
    <w:div w:id="1060908086">
      <w:bodyDiv w:val="1"/>
      <w:marLeft w:val="0"/>
      <w:marRight w:val="0"/>
      <w:marTop w:val="0"/>
      <w:marBottom w:val="0"/>
      <w:divBdr>
        <w:top w:val="none" w:sz="0" w:space="0" w:color="auto"/>
        <w:left w:val="none" w:sz="0" w:space="0" w:color="auto"/>
        <w:bottom w:val="none" w:sz="0" w:space="0" w:color="auto"/>
        <w:right w:val="none" w:sz="0" w:space="0" w:color="auto"/>
      </w:divBdr>
      <w:divsChild>
        <w:div w:id="1723407874">
          <w:marLeft w:val="0"/>
          <w:marRight w:val="0"/>
          <w:marTop w:val="0"/>
          <w:marBottom w:val="0"/>
          <w:divBdr>
            <w:top w:val="none" w:sz="0" w:space="0" w:color="auto"/>
            <w:left w:val="none" w:sz="0" w:space="0" w:color="auto"/>
            <w:bottom w:val="none" w:sz="0" w:space="0" w:color="auto"/>
            <w:right w:val="none" w:sz="0" w:space="0" w:color="auto"/>
          </w:divBdr>
          <w:divsChild>
            <w:div w:id="1869490345">
              <w:marLeft w:val="0"/>
              <w:marRight w:val="0"/>
              <w:marTop w:val="0"/>
              <w:marBottom w:val="0"/>
              <w:divBdr>
                <w:top w:val="none" w:sz="0" w:space="0" w:color="auto"/>
                <w:left w:val="none" w:sz="0" w:space="0" w:color="auto"/>
                <w:bottom w:val="none" w:sz="0" w:space="0" w:color="auto"/>
                <w:right w:val="none" w:sz="0" w:space="0" w:color="auto"/>
              </w:divBdr>
              <w:divsChild>
                <w:div w:id="1468936178">
                  <w:marLeft w:val="0"/>
                  <w:marRight w:val="0"/>
                  <w:marTop w:val="0"/>
                  <w:marBottom w:val="0"/>
                  <w:divBdr>
                    <w:top w:val="none" w:sz="0" w:space="0" w:color="auto"/>
                    <w:left w:val="none" w:sz="0" w:space="0" w:color="auto"/>
                    <w:bottom w:val="none" w:sz="0" w:space="0" w:color="auto"/>
                    <w:right w:val="none" w:sz="0" w:space="0" w:color="auto"/>
                  </w:divBdr>
                  <w:divsChild>
                    <w:div w:id="9246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42358">
          <w:marLeft w:val="0"/>
          <w:marRight w:val="0"/>
          <w:marTop w:val="0"/>
          <w:marBottom w:val="0"/>
          <w:divBdr>
            <w:top w:val="none" w:sz="0" w:space="0" w:color="auto"/>
            <w:left w:val="none" w:sz="0" w:space="0" w:color="auto"/>
            <w:bottom w:val="none" w:sz="0" w:space="0" w:color="auto"/>
            <w:right w:val="none" w:sz="0" w:space="0" w:color="auto"/>
          </w:divBdr>
          <w:divsChild>
            <w:div w:id="665207626">
              <w:marLeft w:val="0"/>
              <w:marRight w:val="0"/>
              <w:marTop w:val="0"/>
              <w:marBottom w:val="0"/>
              <w:divBdr>
                <w:top w:val="none" w:sz="0" w:space="0" w:color="auto"/>
                <w:left w:val="none" w:sz="0" w:space="0" w:color="auto"/>
                <w:bottom w:val="none" w:sz="0" w:space="0" w:color="auto"/>
                <w:right w:val="none" w:sz="0" w:space="0" w:color="auto"/>
              </w:divBdr>
              <w:divsChild>
                <w:div w:id="1711682084">
                  <w:marLeft w:val="0"/>
                  <w:marRight w:val="0"/>
                  <w:marTop w:val="0"/>
                  <w:marBottom w:val="0"/>
                  <w:divBdr>
                    <w:top w:val="none" w:sz="0" w:space="0" w:color="auto"/>
                    <w:left w:val="none" w:sz="0" w:space="0" w:color="auto"/>
                    <w:bottom w:val="none" w:sz="0" w:space="0" w:color="auto"/>
                    <w:right w:val="none" w:sz="0" w:space="0" w:color="auto"/>
                  </w:divBdr>
                  <w:divsChild>
                    <w:div w:id="85815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71637">
      <w:bodyDiv w:val="1"/>
      <w:marLeft w:val="0"/>
      <w:marRight w:val="0"/>
      <w:marTop w:val="0"/>
      <w:marBottom w:val="0"/>
      <w:divBdr>
        <w:top w:val="none" w:sz="0" w:space="0" w:color="auto"/>
        <w:left w:val="none" w:sz="0" w:space="0" w:color="auto"/>
        <w:bottom w:val="none" w:sz="0" w:space="0" w:color="auto"/>
        <w:right w:val="none" w:sz="0" w:space="0" w:color="auto"/>
      </w:divBdr>
      <w:divsChild>
        <w:div w:id="1524055154">
          <w:marLeft w:val="0"/>
          <w:marRight w:val="0"/>
          <w:marTop w:val="0"/>
          <w:marBottom w:val="0"/>
          <w:divBdr>
            <w:top w:val="none" w:sz="0" w:space="0" w:color="auto"/>
            <w:left w:val="none" w:sz="0" w:space="0" w:color="auto"/>
            <w:bottom w:val="none" w:sz="0" w:space="0" w:color="auto"/>
            <w:right w:val="none" w:sz="0" w:space="0" w:color="auto"/>
          </w:divBdr>
          <w:divsChild>
            <w:div w:id="894968433">
              <w:marLeft w:val="0"/>
              <w:marRight w:val="0"/>
              <w:marTop w:val="0"/>
              <w:marBottom w:val="0"/>
              <w:divBdr>
                <w:top w:val="none" w:sz="0" w:space="0" w:color="auto"/>
                <w:left w:val="none" w:sz="0" w:space="0" w:color="auto"/>
                <w:bottom w:val="none" w:sz="0" w:space="0" w:color="auto"/>
                <w:right w:val="none" w:sz="0" w:space="0" w:color="auto"/>
              </w:divBdr>
              <w:divsChild>
                <w:div w:id="2141535538">
                  <w:marLeft w:val="0"/>
                  <w:marRight w:val="0"/>
                  <w:marTop w:val="0"/>
                  <w:marBottom w:val="0"/>
                  <w:divBdr>
                    <w:top w:val="none" w:sz="0" w:space="0" w:color="auto"/>
                    <w:left w:val="none" w:sz="0" w:space="0" w:color="auto"/>
                    <w:bottom w:val="none" w:sz="0" w:space="0" w:color="auto"/>
                    <w:right w:val="none" w:sz="0" w:space="0" w:color="auto"/>
                  </w:divBdr>
                  <w:divsChild>
                    <w:div w:id="208097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22217">
          <w:marLeft w:val="0"/>
          <w:marRight w:val="0"/>
          <w:marTop w:val="0"/>
          <w:marBottom w:val="0"/>
          <w:divBdr>
            <w:top w:val="none" w:sz="0" w:space="0" w:color="auto"/>
            <w:left w:val="none" w:sz="0" w:space="0" w:color="auto"/>
            <w:bottom w:val="none" w:sz="0" w:space="0" w:color="auto"/>
            <w:right w:val="none" w:sz="0" w:space="0" w:color="auto"/>
          </w:divBdr>
          <w:divsChild>
            <w:div w:id="316307777">
              <w:marLeft w:val="0"/>
              <w:marRight w:val="0"/>
              <w:marTop w:val="0"/>
              <w:marBottom w:val="0"/>
              <w:divBdr>
                <w:top w:val="none" w:sz="0" w:space="0" w:color="auto"/>
                <w:left w:val="none" w:sz="0" w:space="0" w:color="auto"/>
                <w:bottom w:val="none" w:sz="0" w:space="0" w:color="auto"/>
                <w:right w:val="none" w:sz="0" w:space="0" w:color="auto"/>
              </w:divBdr>
              <w:divsChild>
                <w:div w:id="1950771798">
                  <w:marLeft w:val="0"/>
                  <w:marRight w:val="0"/>
                  <w:marTop w:val="0"/>
                  <w:marBottom w:val="0"/>
                  <w:divBdr>
                    <w:top w:val="none" w:sz="0" w:space="0" w:color="auto"/>
                    <w:left w:val="none" w:sz="0" w:space="0" w:color="auto"/>
                    <w:bottom w:val="none" w:sz="0" w:space="0" w:color="auto"/>
                    <w:right w:val="none" w:sz="0" w:space="0" w:color="auto"/>
                  </w:divBdr>
                  <w:divsChild>
                    <w:div w:id="7598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843124">
      <w:bodyDiv w:val="1"/>
      <w:marLeft w:val="0"/>
      <w:marRight w:val="0"/>
      <w:marTop w:val="0"/>
      <w:marBottom w:val="0"/>
      <w:divBdr>
        <w:top w:val="none" w:sz="0" w:space="0" w:color="auto"/>
        <w:left w:val="none" w:sz="0" w:space="0" w:color="auto"/>
        <w:bottom w:val="none" w:sz="0" w:space="0" w:color="auto"/>
        <w:right w:val="none" w:sz="0" w:space="0" w:color="auto"/>
      </w:divBdr>
    </w:div>
    <w:div w:id="1416170071">
      <w:bodyDiv w:val="1"/>
      <w:marLeft w:val="0"/>
      <w:marRight w:val="0"/>
      <w:marTop w:val="0"/>
      <w:marBottom w:val="0"/>
      <w:divBdr>
        <w:top w:val="none" w:sz="0" w:space="0" w:color="auto"/>
        <w:left w:val="none" w:sz="0" w:space="0" w:color="auto"/>
        <w:bottom w:val="none" w:sz="0" w:space="0" w:color="auto"/>
        <w:right w:val="none" w:sz="0" w:space="0" w:color="auto"/>
      </w:divBdr>
    </w:div>
    <w:div w:id="1431314386">
      <w:bodyDiv w:val="1"/>
      <w:marLeft w:val="0"/>
      <w:marRight w:val="0"/>
      <w:marTop w:val="0"/>
      <w:marBottom w:val="0"/>
      <w:divBdr>
        <w:top w:val="none" w:sz="0" w:space="0" w:color="auto"/>
        <w:left w:val="none" w:sz="0" w:space="0" w:color="auto"/>
        <w:bottom w:val="none" w:sz="0" w:space="0" w:color="auto"/>
        <w:right w:val="none" w:sz="0" w:space="0" w:color="auto"/>
      </w:divBdr>
    </w:div>
    <w:div w:id="1612586276">
      <w:bodyDiv w:val="1"/>
      <w:marLeft w:val="0"/>
      <w:marRight w:val="0"/>
      <w:marTop w:val="0"/>
      <w:marBottom w:val="0"/>
      <w:divBdr>
        <w:top w:val="none" w:sz="0" w:space="0" w:color="auto"/>
        <w:left w:val="none" w:sz="0" w:space="0" w:color="auto"/>
        <w:bottom w:val="none" w:sz="0" w:space="0" w:color="auto"/>
        <w:right w:val="none" w:sz="0" w:space="0" w:color="auto"/>
      </w:divBdr>
      <w:divsChild>
        <w:div w:id="394596731">
          <w:marLeft w:val="0"/>
          <w:marRight w:val="0"/>
          <w:marTop w:val="0"/>
          <w:marBottom w:val="0"/>
          <w:divBdr>
            <w:top w:val="none" w:sz="0" w:space="0" w:color="auto"/>
            <w:left w:val="none" w:sz="0" w:space="0" w:color="auto"/>
            <w:bottom w:val="none" w:sz="0" w:space="0" w:color="auto"/>
            <w:right w:val="none" w:sz="0" w:space="0" w:color="auto"/>
          </w:divBdr>
          <w:divsChild>
            <w:div w:id="312101750">
              <w:marLeft w:val="0"/>
              <w:marRight w:val="0"/>
              <w:marTop w:val="0"/>
              <w:marBottom w:val="0"/>
              <w:divBdr>
                <w:top w:val="none" w:sz="0" w:space="0" w:color="auto"/>
                <w:left w:val="none" w:sz="0" w:space="0" w:color="auto"/>
                <w:bottom w:val="none" w:sz="0" w:space="0" w:color="auto"/>
                <w:right w:val="none" w:sz="0" w:space="0" w:color="auto"/>
              </w:divBdr>
              <w:divsChild>
                <w:div w:id="1436711955">
                  <w:marLeft w:val="0"/>
                  <w:marRight w:val="0"/>
                  <w:marTop w:val="0"/>
                  <w:marBottom w:val="0"/>
                  <w:divBdr>
                    <w:top w:val="none" w:sz="0" w:space="0" w:color="auto"/>
                    <w:left w:val="none" w:sz="0" w:space="0" w:color="auto"/>
                    <w:bottom w:val="none" w:sz="0" w:space="0" w:color="auto"/>
                    <w:right w:val="none" w:sz="0" w:space="0" w:color="auto"/>
                  </w:divBdr>
                  <w:divsChild>
                    <w:div w:id="170304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165021">
          <w:marLeft w:val="0"/>
          <w:marRight w:val="0"/>
          <w:marTop w:val="0"/>
          <w:marBottom w:val="0"/>
          <w:divBdr>
            <w:top w:val="none" w:sz="0" w:space="0" w:color="auto"/>
            <w:left w:val="none" w:sz="0" w:space="0" w:color="auto"/>
            <w:bottom w:val="none" w:sz="0" w:space="0" w:color="auto"/>
            <w:right w:val="none" w:sz="0" w:space="0" w:color="auto"/>
          </w:divBdr>
          <w:divsChild>
            <w:div w:id="475414607">
              <w:marLeft w:val="0"/>
              <w:marRight w:val="0"/>
              <w:marTop w:val="0"/>
              <w:marBottom w:val="0"/>
              <w:divBdr>
                <w:top w:val="none" w:sz="0" w:space="0" w:color="auto"/>
                <w:left w:val="none" w:sz="0" w:space="0" w:color="auto"/>
                <w:bottom w:val="none" w:sz="0" w:space="0" w:color="auto"/>
                <w:right w:val="none" w:sz="0" w:space="0" w:color="auto"/>
              </w:divBdr>
              <w:divsChild>
                <w:div w:id="1688024645">
                  <w:marLeft w:val="0"/>
                  <w:marRight w:val="0"/>
                  <w:marTop w:val="0"/>
                  <w:marBottom w:val="0"/>
                  <w:divBdr>
                    <w:top w:val="none" w:sz="0" w:space="0" w:color="auto"/>
                    <w:left w:val="none" w:sz="0" w:space="0" w:color="auto"/>
                    <w:bottom w:val="none" w:sz="0" w:space="0" w:color="auto"/>
                    <w:right w:val="none" w:sz="0" w:space="0" w:color="auto"/>
                  </w:divBdr>
                  <w:divsChild>
                    <w:div w:id="55640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72561">
      <w:bodyDiv w:val="1"/>
      <w:marLeft w:val="0"/>
      <w:marRight w:val="0"/>
      <w:marTop w:val="0"/>
      <w:marBottom w:val="0"/>
      <w:divBdr>
        <w:top w:val="none" w:sz="0" w:space="0" w:color="auto"/>
        <w:left w:val="none" w:sz="0" w:space="0" w:color="auto"/>
        <w:bottom w:val="none" w:sz="0" w:space="0" w:color="auto"/>
        <w:right w:val="none" w:sz="0" w:space="0" w:color="auto"/>
      </w:divBdr>
    </w:div>
    <w:div w:id="1670477738">
      <w:bodyDiv w:val="1"/>
      <w:marLeft w:val="0"/>
      <w:marRight w:val="0"/>
      <w:marTop w:val="0"/>
      <w:marBottom w:val="0"/>
      <w:divBdr>
        <w:top w:val="none" w:sz="0" w:space="0" w:color="auto"/>
        <w:left w:val="none" w:sz="0" w:space="0" w:color="auto"/>
        <w:bottom w:val="none" w:sz="0" w:space="0" w:color="auto"/>
        <w:right w:val="none" w:sz="0" w:space="0" w:color="auto"/>
      </w:divBdr>
      <w:divsChild>
        <w:div w:id="853417408">
          <w:marLeft w:val="0"/>
          <w:marRight w:val="0"/>
          <w:marTop w:val="0"/>
          <w:marBottom w:val="0"/>
          <w:divBdr>
            <w:top w:val="none" w:sz="0" w:space="0" w:color="auto"/>
            <w:left w:val="none" w:sz="0" w:space="0" w:color="auto"/>
            <w:bottom w:val="none" w:sz="0" w:space="0" w:color="auto"/>
            <w:right w:val="none" w:sz="0" w:space="0" w:color="auto"/>
          </w:divBdr>
          <w:divsChild>
            <w:div w:id="1650744948">
              <w:marLeft w:val="0"/>
              <w:marRight w:val="0"/>
              <w:marTop w:val="0"/>
              <w:marBottom w:val="0"/>
              <w:divBdr>
                <w:top w:val="none" w:sz="0" w:space="0" w:color="auto"/>
                <w:left w:val="none" w:sz="0" w:space="0" w:color="auto"/>
                <w:bottom w:val="none" w:sz="0" w:space="0" w:color="auto"/>
                <w:right w:val="none" w:sz="0" w:space="0" w:color="auto"/>
              </w:divBdr>
              <w:divsChild>
                <w:div w:id="1918637263">
                  <w:marLeft w:val="0"/>
                  <w:marRight w:val="0"/>
                  <w:marTop w:val="0"/>
                  <w:marBottom w:val="0"/>
                  <w:divBdr>
                    <w:top w:val="none" w:sz="0" w:space="0" w:color="auto"/>
                    <w:left w:val="none" w:sz="0" w:space="0" w:color="auto"/>
                    <w:bottom w:val="none" w:sz="0" w:space="0" w:color="auto"/>
                    <w:right w:val="none" w:sz="0" w:space="0" w:color="auto"/>
                  </w:divBdr>
                  <w:divsChild>
                    <w:div w:id="178245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761002">
          <w:marLeft w:val="0"/>
          <w:marRight w:val="0"/>
          <w:marTop w:val="0"/>
          <w:marBottom w:val="0"/>
          <w:divBdr>
            <w:top w:val="none" w:sz="0" w:space="0" w:color="auto"/>
            <w:left w:val="none" w:sz="0" w:space="0" w:color="auto"/>
            <w:bottom w:val="none" w:sz="0" w:space="0" w:color="auto"/>
            <w:right w:val="none" w:sz="0" w:space="0" w:color="auto"/>
          </w:divBdr>
          <w:divsChild>
            <w:div w:id="228423860">
              <w:marLeft w:val="0"/>
              <w:marRight w:val="0"/>
              <w:marTop w:val="0"/>
              <w:marBottom w:val="0"/>
              <w:divBdr>
                <w:top w:val="none" w:sz="0" w:space="0" w:color="auto"/>
                <w:left w:val="none" w:sz="0" w:space="0" w:color="auto"/>
                <w:bottom w:val="none" w:sz="0" w:space="0" w:color="auto"/>
                <w:right w:val="none" w:sz="0" w:space="0" w:color="auto"/>
              </w:divBdr>
              <w:divsChild>
                <w:div w:id="825782944">
                  <w:marLeft w:val="0"/>
                  <w:marRight w:val="0"/>
                  <w:marTop w:val="0"/>
                  <w:marBottom w:val="0"/>
                  <w:divBdr>
                    <w:top w:val="none" w:sz="0" w:space="0" w:color="auto"/>
                    <w:left w:val="none" w:sz="0" w:space="0" w:color="auto"/>
                    <w:bottom w:val="none" w:sz="0" w:space="0" w:color="auto"/>
                    <w:right w:val="none" w:sz="0" w:space="0" w:color="auto"/>
                  </w:divBdr>
                  <w:divsChild>
                    <w:div w:id="131911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39611">
      <w:bodyDiv w:val="1"/>
      <w:marLeft w:val="0"/>
      <w:marRight w:val="0"/>
      <w:marTop w:val="0"/>
      <w:marBottom w:val="0"/>
      <w:divBdr>
        <w:top w:val="none" w:sz="0" w:space="0" w:color="auto"/>
        <w:left w:val="none" w:sz="0" w:space="0" w:color="auto"/>
        <w:bottom w:val="none" w:sz="0" w:space="0" w:color="auto"/>
        <w:right w:val="none" w:sz="0" w:space="0" w:color="auto"/>
      </w:divBdr>
    </w:div>
    <w:div w:id="1784109634">
      <w:bodyDiv w:val="1"/>
      <w:marLeft w:val="0"/>
      <w:marRight w:val="0"/>
      <w:marTop w:val="0"/>
      <w:marBottom w:val="0"/>
      <w:divBdr>
        <w:top w:val="none" w:sz="0" w:space="0" w:color="auto"/>
        <w:left w:val="none" w:sz="0" w:space="0" w:color="auto"/>
        <w:bottom w:val="none" w:sz="0" w:space="0" w:color="auto"/>
        <w:right w:val="none" w:sz="0" w:space="0" w:color="auto"/>
      </w:divBdr>
    </w:div>
    <w:div w:id="196935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3130</Words>
  <Characters>17847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Windos X</dc:creator>
  <cp:keywords/>
  <dc:description/>
  <cp:lastModifiedBy>monica filip</cp:lastModifiedBy>
  <cp:revision>12</cp:revision>
  <dcterms:created xsi:type="dcterms:W3CDTF">2024-11-02T05:56:00Z</dcterms:created>
  <dcterms:modified xsi:type="dcterms:W3CDTF">2024-11-08T23:22:00Z</dcterms:modified>
</cp:coreProperties>
</file>