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00001">
      <w:pPr>
        <w:spacing w:after="0" w:line="360" w:lineRule="auto"/>
        <w:jc w:val="both"/>
        <w:rPr>
          <w:rFonts w:ascii="Arial" w:hAnsi="Arial" w:eastAsia="Arial" w:cs="Arial"/>
          <w:sz w:val="36"/>
          <w:szCs w:val="36"/>
        </w:rPr>
      </w:pPr>
      <w:r>
        <w:rPr>
          <w:rFonts w:ascii="Arial" w:hAnsi="Arial" w:eastAsia="Arial" w:cs="Arial"/>
        </w:rPr>
        <w:drawing>
          <wp:inline distT="0" distB="0" distL="0" distR="0">
            <wp:extent cx="1686560" cy="546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7"/>
                    <a:srcRect/>
                    <a:stretch>
                      <a:fillRect/>
                    </a:stretch>
                  </pic:blipFill>
                  <pic:spPr>
                    <a:xfrm>
                      <a:off x="0" y="0"/>
                      <a:ext cx="1686590" cy="546225"/>
                    </a:xfrm>
                    <a:prstGeom prst="rect">
                      <a:avLst/>
                    </a:prstGeom>
                  </pic:spPr>
                </pic:pic>
              </a:graphicData>
            </a:graphic>
          </wp:inline>
        </w:drawing>
      </w:r>
    </w:p>
    <w:p w14:paraId="00000002">
      <w:pPr>
        <w:shd w:val="clear" w:fill="FFFFFF"/>
        <w:rPr>
          <w:rFonts w:ascii="Arial" w:hAnsi="Arial" w:eastAsia="Arial" w:cs="Arial"/>
          <w:sz w:val="32"/>
          <w:szCs w:val="32"/>
        </w:rPr>
      </w:pPr>
    </w:p>
    <w:p w14:paraId="00000003">
      <w:pPr>
        <w:pStyle w:val="2"/>
        <w:spacing w:before="0"/>
        <w:rPr>
          <w:rFonts w:ascii="Arial" w:hAnsi="Arial" w:eastAsia="Arial" w:cs="Arial"/>
          <w:b/>
          <w:color w:val="000000"/>
        </w:rPr>
      </w:pPr>
    </w:p>
    <w:p w14:paraId="00000004"/>
    <w:p w14:paraId="00000005">
      <w:pPr>
        <w:pStyle w:val="2"/>
        <w:shd w:val="clear" w:fill="FFFFFF"/>
        <w:spacing w:before="0"/>
        <w:rPr>
          <w:rFonts w:ascii="Quattrocento Sans" w:hAnsi="Quattrocento Sans" w:eastAsia="Quattrocento Sans" w:cs="Quattrocento Sans"/>
          <w:b/>
          <w:color w:val="1D2125"/>
          <w:sz w:val="48"/>
          <w:szCs w:val="48"/>
        </w:rPr>
      </w:pPr>
      <w:r>
        <w:rPr>
          <w:rFonts w:ascii="Arial" w:hAnsi="Arial" w:eastAsia="Arial" w:cs="Arial"/>
          <w:b/>
          <w:color w:val="000000"/>
          <w:sz w:val="36"/>
          <w:szCs w:val="36"/>
          <w:rtl w:val="0"/>
        </w:rPr>
        <w:t>Subject:</w:t>
      </w:r>
      <w:r>
        <w:rPr>
          <w:rFonts w:ascii="Arial" w:hAnsi="Arial" w:eastAsia="Arial" w:cs="Arial"/>
          <w:b/>
          <w:color w:val="000000"/>
          <w:sz w:val="32"/>
          <w:szCs w:val="32"/>
          <w:rtl w:val="0"/>
        </w:rPr>
        <w:t xml:space="preserve"> </w:t>
      </w:r>
      <w:r>
        <w:rPr>
          <w:rFonts w:ascii="Arial" w:hAnsi="Arial" w:eastAsia="Arial" w:cs="Arial"/>
          <w:color w:val="000000"/>
          <w:sz w:val="32"/>
          <w:szCs w:val="32"/>
          <w:rtl w:val="0"/>
        </w:rPr>
        <w:t xml:space="preserve"> </w:t>
      </w:r>
      <w:r>
        <w:rPr>
          <w:rFonts w:ascii="Quattrocento Sans" w:hAnsi="Quattrocento Sans" w:eastAsia="Quattrocento Sans" w:cs="Quattrocento Sans"/>
          <w:b/>
          <w:color w:val="1D2125"/>
          <w:sz w:val="32"/>
          <w:szCs w:val="32"/>
          <w:rtl w:val="0"/>
        </w:rPr>
        <w:t xml:space="preserve">Health, </w:t>
      </w:r>
      <w:r>
        <w:rPr>
          <w:rFonts w:ascii="Quattrocento Sans" w:hAnsi="Quattrocento Sans" w:eastAsia="Quattrocento Sans" w:cs="Quattrocento Sans"/>
          <w:b/>
          <w:color w:val="1D2125"/>
          <w:sz w:val="32"/>
          <w:szCs w:val="32"/>
          <w:rtl w:val="0"/>
          <w:lang w:val="en-GB"/>
        </w:rPr>
        <w:t>Well being</w:t>
      </w:r>
      <w:r>
        <w:rPr>
          <w:rFonts w:ascii="Quattrocento Sans" w:hAnsi="Quattrocento Sans" w:eastAsia="Quattrocento Sans" w:cs="Quattrocento Sans"/>
          <w:b/>
          <w:color w:val="1D2125"/>
          <w:sz w:val="32"/>
          <w:szCs w:val="32"/>
          <w:rtl w:val="0"/>
        </w:rPr>
        <w:t xml:space="preserve"> and Sustainable Development</w:t>
      </w:r>
    </w:p>
    <w:p w14:paraId="00000006"/>
    <w:p w14:paraId="00000007">
      <w:pPr>
        <w:pStyle w:val="2"/>
        <w:spacing w:before="0"/>
        <w:rPr>
          <w:rFonts w:ascii="Quattrocento Sans" w:hAnsi="Quattrocento Sans" w:eastAsia="Quattrocento Sans" w:cs="Quattrocento Sans"/>
          <w:b/>
          <w:color w:val="000000"/>
          <w:sz w:val="32"/>
          <w:szCs w:val="32"/>
        </w:rPr>
      </w:pPr>
      <w:bookmarkStart w:id="0" w:name="_gjdgxs" w:colFirst="0" w:colLast="0"/>
      <w:bookmarkEnd w:id="0"/>
      <w:r>
        <w:rPr>
          <w:rFonts w:ascii="Play" w:hAnsi="Play" w:eastAsia="Play" w:cs="Play"/>
          <w:b/>
          <w:color w:val="000000"/>
          <w:sz w:val="36"/>
          <w:szCs w:val="36"/>
          <w:rtl w:val="0"/>
        </w:rPr>
        <w:t>MODULE CODE:</w:t>
      </w:r>
      <w:r>
        <w:rPr>
          <w:rFonts w:ascii="Play" w:hAnsi="Play" w:eastAsia="Play" w:cs="Play"/>
          <w:color w:val="000000"/>
          <w:sz w:val="36"/>
          <w:szCs w:val="36"/>
          <w:rtl w:val="0"/>
        </w:rPr>
        <w:t xml:space="preserve"> </w:t>
      </w:r>
      <w:r>
        <w:rPr>
          <w:rFonts w:ascii="Quattrocento Sans" w:hAnsi="Quattrocento Sans" w:eastAsia="Quattrocento Sans" w:cs="Quattrocento Sans"/>
          <w:b/>
          <w:color w:val="000000"/>
          <w:sz w:val="32"/>
          <w:szCs w:val="32"/>
          <w:rtl w:val="0"/>
        </w:rPr>
        <w:t>BMHP6030_BIRM</w:t>
      </w:r>
      <w:r>
        <w:rPr>
          <w:rFonts w:ascii="Quattrocento Sans" w:hAnsi="Quattrocento Sans" w:eastAsia="Quattrocento Sans" w:cs="Quattrocento Sans"/>
          <w:b/>
          <w:color w:val="1D2125"/>
          <w:sz w:val="48"/>
          <w:szCs w:val="48"/>
          <w:rtl w:val="0"/>
        </w:rPr>
        <w:t xml:space="preserve"> </w:t>
      </w:r>
    </w:p>
    <w:p w14:paraId="00000008"/>
    <w:p w14:paraId="00000009">
      <w:pPr>
        <w:rPr>
          <w:rFonts w:ascii="Play" w:hAnsi="Play" w:eastAsia="Play" w:cs="Play"/>
          <w:b/>
          <w:sz w:val="36"/>
          <w:szCs w:val="36"/>
        </w:rPr>
      </w:pPr>
      <w:r>
        <w:rPr>
          <w:rFonts w:ascii="Play" w:hAnsi="Play" w:eastAsia="Play" w:cs="Play"/>
          <w:b/>
          <w:sz w:val="36"/>
          <w:szCs w:val="36"/>
          <w:rtl w:val="0"/>
        </w:rPr>
        <w:t>TOPICS: Compon</w:t>
      </w:r>
      <w:r>
        <w:rPr>
          <w:rFonts w:hint="default" w:ascii="Play" w:hAnsi="Play" w:eastAsia="Play" w:cs="Play"/>
          <w:b/>
          <w:sz w:val="36"/>
          <w:szCs w:val="36"/>
          <w:rtl w:val="0"/>
          <w:lang w:val="en-GB"/>
        </w:rPr>
        <w:t>e</w:t>
      </w:r>
      <w:r>
        <w:rPr>
          <w:rFonts w:ascii="Play" w:hAnsi="Play" w:eastAsia="Play" w:cs="Play"/>
          <w:b/>
          <w:sz w:val="36"/>
          <w:szCs w:val="36"/>
          <w:rtl w:val="0"/>
        </w:rPr>
        <w:t>nt-2</w:t>
      </w:r>
    </w:p>
    <w:p w14:paraId="0000000A">
      <w:pPr>
        <w:spacing w:before="280" w:after="280" w:line="360" w:lineRule="auto"/>
        <w:jc w:val="both"/>
        <w:rPr>
          <w:rFonts w:ascii="Arial" w:hAnsi="Arial" w:eastAsia="Arial" w:cs="Arial"/>
          <w:b/>
          <w:sz w:val="36"/>
          <w:szCs w:val="36"/>
        </w:rPr>
      </w:pPr>
      <w:r>
        <w:rPr>
          <w:rFonts w:ascii="Arial" w:hAnsi="Arial" w:eastAsia="Arial" w:cs="Arial"/>
          <w:b/>
          <w:sz w:val="36"/>
          <w:szCs w:val="36"/>
          <w:rtl w:val="0"/>
        </w:rPr>
        <w:t xml:space="preserve">An Analysis of SDG 3 and SDG 10: Implications for Health and </w:t>
      </w:r>
      <w:r>
        <w:rPr>
          <w:rFonts w:ascii="Arial" w:hAnsi="Arial" w:eastAsia="Arial" w:cs="Arial"/>
          <w:b/>
          <w:sz w:val="36"/>
          <w:szCs w:val="36"/>
          <w:rtl w:val="0"/>
          <w:lang w:val="en-GB"/>
        </w:rPr>
        <w:t>Well being</w:t>
      </w:r>
    </w:p>
    <w:p w14:paraId="0000000B">
      <w:pPr>
        <w:spacing w:before="280" w:after="280" w:line="360" w:lineRule="auto"/>
        <w:jc w:val="both"/>
        <w:rPr>
          <w:rFonts w:ascii="Arial" w:hAnsi="Arial" w:eastAsia="Arial" w:cs="Arial"/>
          <w:b/>
          <w:sz w:val="36"/>
          <w:szCs w:val="36"/>
        </w:rPr>
      </w:pPr>
    </w:p>
    <w:p w14:paraId="7038F632">
      <w:pPr>
        <w:jc w:val="both"/>
        <w:rPr>
          <w:rFonts w:hint="default" w:ascii="Play" w:hAnsi="Play" w:eastAsia="Play" w:cs="Play"/>
          <w:b/>
          <w:sz w:val="36"/>
          <w:szCs w:val="36"/>
          <w:rtl w:val="0"/>
          <w:lang w:val="en-GB"/>
        </w:rPr>
      </w:pPr>
      <w:r>
        <w:rPr>
          <w:rFonts w:ascii="Play" w:hAnsi="Play" w:eastAsia="Play" w:cs="Play"/>
          <w:b/>
          <w:sz w:val="36"/>
          <w:szCs w:val="36"/>
          <w:rtl w:val="0"/>
        </w:rPr>
        <w:t>Submitted by</w:t>
      </w:r>
      <w:r>
        <w:rPr>
          <w:rFonts w:hint="default" w:ascii="Play" w:hAnsi="Play" w:eastAsia="Play" w:cs="Play"/>
          <w:b/>
          <w:sz w:val="36"/>
          <w:szCs w:val="36"/>
          <w:rtl w:val="0"/>
          <w:lang w:val="en-GB"/>
        </w:rPr>
        <w:t>:</w:t>
      </w:r>
    </w:p>
    <w:p w14:paraId="0000000C">
      <w:pPr>
        <w:jc w:val="left"/>
        <w:rPr>
          <w:rFonts w:ascii="Play" w:hAnsi="Play" w:eastAsia="Play" w:cs="Play"/>
          <w:b/>
          <w:sz w:val="36"/>
          <w:szCs w:val="36"/>
        </w:rPr>
      </w:pPr>
      <w:r>
        <w:rPr>
          <w:rFonts w:hint="default" w:ascii="Play" w:hAnsi="Play" w:eastAsia="Play" w:cs="Play"/>
          <w:b/>
          <w:sz w:val="36"/>
          <w:szCs w:val="36"/>
          <w:rtl w:val="0"/>
          <w:lang w:val="en-GB"/>
        </w:rPr>
        <w:t>Fahmida Rahman</w:t>
      </w:r>
      <w:r>
        <w:rPr>
          <w:rFonts w:ascii="Play" w:hAnsi="Play" w:eastAsia="Play" w:cs="Play"/>
          <w:b/>
          <w:sz w:val="36"/>
          <w:szCs w:val="36"/>
          <w:rtl w:val="0"/>
        </w:rPr>
        <w:t xml:space="preserve">                                                       Submitted to</w:t>
      </w:r>
    </w:p>
    <w:p w14:paraId="0000000D">
      <w:pPr>
        <w:jc w:val="left"/>
        <w:rPr>
          <w:rFonts w:ascii="Play" w:hAnsi="Play" w:eastAsia="Play" w:cs="Play"/>
          <w:b/>
          <w:sz w:val="28"/>
          <w:szCs w:val="28"/>
        </w:rPr>
      </w:pPr>
      <w:r>
        <w:rPr>
          <w:rFonts w:ascii="Play" w:hAnsi="Play" w:eastAsia="Play" w:cs="Play"/>
          <w:b/>
          <w:sz w:val="28"/>
          <w:szCs w:val="28"/>
          <w:rtl w:val="0"/>
        </w:rPr>
        <w:t xml:space="preserve">Dr. </w:t>
      </w:r>
      <w:r>
        <w:rPr>
          <w:rFonts w:ascii="Arial" w:hAnsi="Arial" w:eastAsia="Arial" w:cs="Arial"/>
          <w:b/>
          <w:sz w:val="24"/>
          <w:szCs w:val="24"/>
          <w:highlight w:val="white"/>
          <w:rtl w:val="0"/>
        </w:rPr>
        <w:t>Tomy Adattu Chacko</w:t>
      </w:r>
    </w:p>
    <w:p w14:paraId="0000000E">
      <w:pPr>
        <w:jc w:val="both"/>
        <w:rPr>
          <w:rFonts w:ascii="Play" w:hAnsi="Play" w:eastAsia="Play" w:cs="Play"/>
          <w:b/>
          <w:sz w:val="28"/>
          <w:szCs w:val="28"/>
        </w:rPr>
      </w:pPr>
      <w:r>
        <w:rPr>
          <w:rFonts w:ascii="Play" w:hAnsi="Play" w:eastAsia="Play" w:cs="Play"/>
          <w:b/>
          <w:sz w:val="28"/>
          <w:szCs w:val="28"/>
          <w:rtl w:val="0"/>
        </w:rPr>
        <w:t>Student ID: 2235619</w:t>
      </w:r>
    </w:p>
    <w:p w14:paraId="0000000F">
      <w:pPr>
        <w:spacing w:before="280" w:after="280" w:line="360" w:lineRule="auto"/>
        <w:jc w:val="both"/>
        <w:rPr>
          <w:rFonts w:ascii="Arial" w:hAnsi="Arial" w:eastAsia="Arial" w:cs="Arial"/>
          <w:b/>
          <w:sz w:val="36"/>
          <w:szCs w:val="36"/>
        </w:rPr>
      </w:pPr>
    </w:p>
    <w:p w14:paraId="00000010">
      <w:pPr>
        <w:spacing w:after="0" w:line="360" w:lineRule="auto"/>
        <w:jc w:val="both"/>
        <w:rPr>
          <w:rFonts w:ascii="Arial" w:hAnsi="Arial" w:eastAsia="Arial" w:cs="Arial"/>
          <w:sz w:val="24"/>
          <w:szCs w:val="24"/>
        </w:rPr>
      </w:pPr>
    </w:p>
    <w:p w14:paraId="00000011">
      <w:pPr>
        <w:spacing w:before="280" w:after="280" w:line="360" w:lineRule="auto"/>
        <w:jc w:val="both"/>
        <w:rPr>
          <w:rFonts w:ascii="Arial" w:hAnsi="Arial" w:eastAsia="Arial" w:cs="Arial"/>
          <w:b/>
          <w:sz w:val="32"/>
          <w:szCs w:val="32"/>
        </w:rPr>
      </w:pPr>
    </w:p>
    <w:p w14:paraId="00000012">
      <w:pPr>
        <w:spacing w:before="280" w:after="280" w:line="360" w:lineRule="auto"/>
        <w:jc w:val="both"/>
        <w:rPr>
          <w:rFonts w:ascii="Arial" w:hAnsi="Arial" w:eastAsia="Arial" w:cs="Arial"/>
          <w:b/>
          <w:sz w:val="32"/>
          <w:szCs w:val="32"/>
        </w:rPr>
      </w:pPr>
    </w:p>
    <w:p w14:paraId="00000013">
      <w:pPr>
        <w:pStyle w:val="2"/>
        <w:rPr>
          <w:rFonts w:ascii="Arial" w:hAnsi="Arial" w:eastAsia="Arial" w:cs="Arial"/>
          <w:b/>
          <w:color w:val="000000"/>
          <w:sz w:val="24"/>
          <w:szCs w:val="24"/>
        </w:rPr>
      </w:pPr>
    </w:p>
    <w:p w14:paraId="00000014">
      <w:pPr>
        <w:pStyle w:val="2"/>
        <w:rPr>
          <w:rFonts w:ascii="Arial" w:hAnsi="Arial" w:eastAsia="Arial" w:cs="Arial"/>
          <w:b/>
          <w:color w:val="000000"/>
          <w:sz w:val="28"/>
          <w:szCs w:val="28"/>
        </w:rPr>
      </w:pPr>
      <w:r>
        <w:rPr>
          <w:rFonts w:ascii="Arial" w:hAnsi="Arial" w:eastAsia="Arial" w:cs="Arial"/>
          <w:b/>
          <w:color w:val="000000"/>
          <w:sz w:val="28"/>
          <w:szCs w:val="28"/>
          <w:rtl w:val="0"/>
        </w:rPr>
        <w:t>Table of Contents:</w:t>
      </w:r>
    </w:p>
    <w:p w14:paraId="00000015"/>
    <w:p w14:paraId="00000016">
      <w:pPr>
        <w:rPr>
          <w:rFonts w:ascii="Arial" w:hAnsi="Arial" w:eastAsia="Arial" w:cs="Arial"/>
          <w:b/>
          <w:sz w:val="24"/>
          <w:szCs w:val="24"/>
        </w:rPr>
      </w:pPr>
      <w:r>
        <w:rPr>
          <w:rFonts w:ascii="Arial" w:hAnsi="Arial" w:eastAsia="Arial" w:cs="Arial"/>
          <w:b/>
          <w:sz w:val="24"/>
          <w:szCs w:val="24"/>
          <w:rtl w:val="0"/>
        </w:rPr>
        <w:t>Introduction........................................................................................................3</w:t>
      </w:r>
    </w:p>
    <w:p w14:paraId="00000017">
      <w:pPr>
        <w:rPr>
          <w:rFonts w:ascii="Arial" w:hAnsi="Arial" w:eastAsia="Arial" w:cs="Arial"/>
          <w:b/>
          <w:sz w:val="24"/>
          <w:szCs w:val="24"/>
        </w:rPr>
      </w:pPr>
      <w:r>
        <w:rPr>
          <w:rFonts w:ascii="Arial" w:hAnsi="Arial" w:eastAsia="Arial" w:cs="Arial"/>
          <w:b/>
          <w:sz w:val="24"/>
          <w:szCs w:val="24"/>
          <w:rtl w:val="0"/>
        </w:rPr>
        <w:t xml:space="preserve">Section 1: SDG 3 – Good Health and </w:t>
      </w:r>
      <w:r>
        <w:rPr>
          <w:rFonts w:ascii="Arial" w:hAnsi="Arial" w:eastAsia="Arial" w:cs="Arial"/>
          <w:b/>
          <w:sz w:val="24"/>
          <w:szCs w:val="24"/>
          <w:rtl w:val="0"/>
          <w:lang w:val="en-GB"/>
        </w:rPr>
        <w:t>Well being</w:t>
      </w:r>
    </w:p>
    <w:p w14:paraId="00000018">
      <w:pPr>
        <w:rPr>
          <w:rFonts w:ascii="Arial" w:hAnsi="Arial" w:eastAsia="Arial" w:cs="Arial"/>
          <w:b/>
          <w:sz w:val="24"/>
          <w:szCs w:val="24"/>
        </w:rPr>
      </w:pPr>
      <w:r>
        <w:rPr>
          <w:rFonts w:ascii="Arial" w:hAnsi="Arial" w:eastAsia="Arial" w:cs="Arial"/>
          <w:b/>
          <w:sz w:val="24"/>
          <w:szCs w:val="24"/>
          <w:rtl w:val="0"/>
        </w:rPr>
        <w:t>1.1 Overview of SDG 3........................................................................................4</w:t>
      </w:r>
    </w:p>
    <w:p w14:paraId="00000019">
      <w:pPr>
        <w:rPr>
          <w:rFonts w:ascii="Arial" w:hAnsi="Arial" w:eastAsia="Arial" w:cs="Arial"/>
          <w:b/>
          <w:sz w:val="24"/>
          <w:szCs w:val="24"/>
        </w:rPr>
      </w:pPr>
      <w:r>
        <w:rPr>
          <w:rFonts w:ascii="Arial" w:hAnsi="Arial" w:eastAsia="Arial" w:cs="Arial"/>
          <w:b/>
          <w:sz w:val="24"/>
          <w:szCs w:val="24"/>
          <w:rtl w:val="0"/>
        </w:rPr>
        <w:t>1.2 Critical Evaluation of Global Policies and Initiatives….............................4</w:t>
      </w:r>
    </w:p>
    <w:p w14:paraId="0000001A">
      <w:pPr>
        <w:rPr>
          <w:rFonts w:ascii="Arial" w:hAnsi="Arial" w:eastAsia="Arial" w:cs="Arial"/>
          <w:b/>
          <w:sz w:val="24"/>
          <w:szCs w:val="24"/>
        </w:rPr>
      </w:pPr>
      <w:r>
        <w:rPr>
          <w:rFonts w:ascii="Arial" w:hAnsi="Arial" w:eastAsia="Arial" w:cs="Arial"/>
          <w:b/>
          <w:sz w:val="24"/>
          <w:szCs w:val="24"/>
          <w:rtl w:val="0"/>
        </w:rPr>
        <w:t>1.3 Critical Evaluation of National and Local Examples .................................5</w:t>
      </w:r>
    </w:p>
    <w:p w14:paraId="0000001B">
      <w:pPr>
        <w:rPr>
          <w:rFonts w:ascii="Arial" w:hAnsi="Arial" w:eastAsia="Arial" w:cs="Arial"/>
          <w:b/>
          <w:sz w:val="24"/>
          <w:szCs w:val="24"/>
        </w:rPr>
      </w:pPr>
      <w:r>
        <w:rPr>
          <w:rFonts w:ascii="Arial" w:hAnsi="Arial" w:eastAsia="Arial" w:cs="Arial"/>
          <w:b/>
          <w:sz w:val="24"/>
          <w:szCs w:val="24"/>
          <w:rtl w:val="0"/>
        </w:rPr>
        <w:t>1.4 Theoretical Frameworks...............................................................................6</w:t>
      </w:r>
    </w:p>
    <w:p w14:paraId="0000001C">
      <w:pPr>
        <w:rPr>
          <w:rFonts w:ascii="Arial" w:hAnsi="Arial" w:eastAsia="Arial" w:cs="Arial"/>
          <w:b/>
          <w:sz w:val="24"/>
          <w:szCs w:val="24"/>
        </w:rPr>
      </w:pPr>
      <w:r>
        <w:rPr>
          <w:rFonts w:ascii="Arial" w:hAnsi="Arial" w:eastAsia="Arial" w:cs="Arial"/>
          <w:b/>
          <w:sz w:val="24"/>
          <w:szCs w:val="24"/>
          <w:rtl w:val="0"/>
        </w:rPr>
        <w:t>1.5 Recommendations........................................................................................7</w:t>
      </w:r>
    </w:p>
    <w:p w14:paraId="0000001D">
      <w:pPr>
        <w:rPr>
          <w:rFonts w:ascii="Arial" w:hAnsi="Arial" w:eastAsia="Arial" w:cs="Arial"/>
          <w:b/>
          <w:sz w:val="24"/>
          <w:szCs w:val="24"/>
        </w:rPr>
      </w:pPr>
      <w:r>
        <w:rPr>
          <w:rFonts w:ascii="Arial" w:hAnsi="Arial" w:eastAsia="Arial" w:cs="Arial"/>
          <w:b/>
          <w:sz w:val="24"/>
          <w:szCs w:val="24"/>
          <w:rtl w:val="0"/>
        </w:rPr>
        <w:t>Section 2: SDG 10 – Reduced Inequalities</w:t>
      </w:r>
    </w:p>
    <w:p w14:paraId="0000001E">
      <w:pPr>
        <w:rPr>
          <w:rFonts w:ascii="Arial" w:hAnsi="Arial" w:eastAsia="Arial" w:cs="Arial"/>
          <w:b/>
          <w:sz w:val="24"/>
          <w:szCs w:val="24"/>
        </w:rPr>
      </w:pPr>
      <w:r>
        <w:rPr>
          <w:rFonts w:ascii="Arial" w:hAnsi="Arial" w:eastAsia="Arial" w:cs="Arial"/>
          <w:b/>
          <w:sz w:val="24"/>
          <w:szCs w:val="24"/>
          <w:rtl w:val="0"/>
        </w:rPr>
        <w:t>2.1 Overview of SDG 10......................................................................................8</w:t>
      </w:r>
    </w:p>
    <w:p w14:paraId="0000001F">
      <w:pPr>
        <w:rPr>
          <w:rFonts w:ascii="Arial" w:hAnsi="Arial" w:eastAsia="Arial" w:cs="Arial"/>
          <w:b/>
          <w:sz w:val="24"/>
          <w:szCs w:val="24"/>
        </w:rPr>
      </w:pPr>
      <w:r>
        <w:rPr>
          <w:rFonts w:ascii="Arial" w:hAnsi="Arial" w:eastAsia="Arial" w:cs="Arial"/>
          <w:b/>
          <w:sz w:val="24"/>
          <w:szCs w:val="24"/>
          <w:rtl w:val="0"/>
        </w:rPr>
        <w:t>2.2 Critical Evaluation of Global Policies.........................................................8</w:t>
      </w:r>
    </w:p>
    <w:p w14:paraId="00000020">
      <w:pPr>
        <w:rPr>
          <w:rFonts w:ascii="Arial" w:hAnsi="Arial" w:eastAsia="Arial" w:cs="Arial"/>
          <w:b/>
          <w:sz w:val="24"/>
          <w:szCs w:val="24"/>
        </w:rPr>
      </w:pPr>
      <w:r>
        <w:rPr>
          <w:rFonts w:ascii="Arial" w:hAnsi="Arial" w:eastAsia="Arial" w:cs="Arial"/>
          <w:b/>
          <w:sz w:val="24"/>
          <w:szCs w:val="24"/>
          <w:rtl w:val="0"/>
        </w:rPr>
        <w:t>2.3 National and Local Examples......................................................................9</w:t>
      </w:r>
    </w:p>
    <w:p w14:paraId="00000021">
      <w:pPr>
        <w:rPr>
          <w:rFonts w:ascii="Arial" w:hAnsi="Arial" w:eastAsia="Arial" w:cs="Arial"/>
          <w:b/>
          <w:sz w:val="24"/>
          <w:szCs w:val="24"/>
        </w:rPr>
      </w:pPr>
      <w:r>
        <w:rPr>
          <w:rFonts w:ascii="Arial" w:hAnsi="Arial" w:eastAsia="Arial" w:cs="Arial"/>
          <w:b/>
          <w:sz w:val="24"/>
          <w:szCs w:val="24"/>
          <w:rtl w:val="0"/>
        </w:rPr>
        <w:t>2.4 Theoretical Frameworks.............................................................................10</w:t>
      </w:r>
    </w:p>
    <w:p w14:paraId="00000022">
      <w:pPr>
        <w:rPr>
          <w:rFonts w:ascii="Arial" w:hAnsi="Arial" w:eastAsia="Arial" w:cs="Arial"/>
          <w:b/>
          <w:sz w:val="24"/>
          <w:szCs w:val="24"/>
        </w:rPr>
      </w:pPr>
      <w:r>
        <w:rPr>
          <w:rFonts w:ascii="Arial" w:hAnsi="Arial" w:eastAsia="Arial" w:cs="Arial"/>
          <w:b/>
          <w:sz w:val="24"/>
          <w:szCs w:val="24"/>
          <w:rtl w:val="0"/>
        </w:rPr>
        <w:t>2.5 Recommendations......................................................................................10</w:t>
      </w:r>
    </w:p>
    <w:p w14:paraId="00000023">
      <w:pPr>
        <w:rPr>
          <w:rFonts w:ascii="Arial" w:hAnsi="Arial" w:eastAsia="Arial" w:cs="Arial"/>
          <w:b/>
          <w:sz w:val="24"/>
          <w:szCs w:val="24"/>
        </w:rPr>
      </w:pPr>
      <w:r>
        <w:rPr>
          <w:rFonts w:ascii="Arial" w:hAnsi="Arial" w:eastAsia="Arial" w:cs="Arial"/>
          <w:b/>
          <w:sz w:val="24"/>
          <w:szCs w:val="24"/>
          <w:rtl w:val="0"/>
        </w:rPr>
        <w:t>Conclusion.........................................................................................................11</w:t>
      </w:r>
    </w:p>
    <w:p w14:paraId="00000024">
      <w:pPr>
        <w:rPr>
          <w:rFonts w:ascii="Arial" w:hAnsi="Arial" w:eastAsia="Arial" w:cs="Arial"/>
          <w:b/>
          <w:sz w:val="24"/>
          <w:szCs w:val="24"/>
        </w:rPr>
      </w:pPr>
      <w:r>
        <w:rPr>
          <w:rFonts w:ascii="Arial" w:hAnsi="Arial" w:eastAsia="Arial" w:cs="Arial"/>
          <w:b/>
          <w:sz w:val="24"/>
          <w:szCs w:val="24"/>
          <w:rtl w:val="0"/>
        </w:rPr>
        <w:t>References.........................................................................................................12</w:t>
      </w:r>
    </w:p>
    <w:p w14:paraId="00000025">
      <w:pPr>
        <w:spacing w:before="280" w:after="280" w:line="360" w:lineRule="auto"/>
        <w:jc w:val="both"/>
        <w:rPr>
          <w:rFonts w:ascii="Arial" w:hAnsi="Arial" w:eastAsia="Arial" w:cs="Arial"/>
          <w:b/>
          <w:sz w:val="32"/>
          <w:szCs w:val="32"/>
        </w:rPr>
      </w:pPr>
    </w:p>
    <w:p w14:paraId="00000026">
      <w:pPr>
        <w:spacing w:before="280" w:after="280" w:line="360" w:lineRule="auto"/>
        <w:jc w:val="both"/>
        <w:rPr>
          <w:rFonts w:ascii="Arial" w:hAnsi="Arial" w:eastAsia="Arial" w:cs="Arial"/>
          <w:b/>
          <w:sz w:val="32"/>
          <w:szCs w:val="32"/>
        </w:rPr>
      </w:pPr>
    </w:p>
    <w:p w14:paraId="00000027">
      <w:pPr>
        <w:spacing w:before="280" w:after="280" w:line="360" w:lineRule="auto"/>
        <w:jc w:val="both"/>
        <w:rPr>
          <w:rFonts w:ascii="Arial" w:hAnsi="Arial" w:eastAsia="Arial" w:cs="Arial"/>
          <w:b/>
          <w:sz w:val="32"/>
          <w:szCs w:val="32"/>
        </w:rPr>
      </w:pPr>
    </w:p>
    <w:p w14:paraId="00000028">
      <w:pPr>
        <w:spacing w:before="280" w:after="280" w:line="360" w:lineRule="auto"/>
        <w:jc w:val="both"/>
        <w:rPr>
          <w:rFonts w:ascii="Arial" w:hAnsi="Arial" w:eastAsia="Arial" w:cs="Arial"/>
          <w:b/>
          <w:sz w:val="32"/>
          <w:szCs w:val="32"/>
        </w:rPr>
      </w:pPr>
    </w:p>
    <w:p w14:paraId="00000029">
      <w:pPr>
        <w:spacing w:before="280" w:after="280" w:line="360" w:lineRule="auto"/>
        <w:jc w:val="both"/>
        <w:rPr>
          <w:rFonts w:ascii="Arial" w:hAnsi="Arial" w:eastAsia="Arial" w:cs="Arial"/>
          <w:b/>
          <w:sz w:val="32"/>
          <w:szCs w:val="32"/>
        </w:rPr>
      </w:pPr>
    </w:p>
    <w:p w14:paraId="0000002A">
      <w:pPr>
        <w:spacing w:before="280" w:after="280" w:line="360" w:lineRule="auto"/>
        <w:jc w:val="both"/>
        <w:rPr>
          <w:rFonts w:ascii="Arial" w:hAnsi="Arial" w:eastAsia="Arial" w:cs="Arial"/>
          <w:b/>
          <w:sz w:val="32"/>
          <w:szCs w:val="32"/>
        </w:rPr>
      </w:pPr>
    </w:p>
    <w:p w14:paraId="0000002B">
      <w:pPr>
        <w:spacing w:before="280" w:after="280" w:line="360" w:lineRule="auto"/>
        <w:jc w:val="both"/>
        <w:rPr>
          <w:rFonts w:ascii="Arial" w:hAnsi="Arial" w:eastAsia="Arial" w:cs="Arial"/>
          <w:b/>
          <w:sz w:val="32"/>
          <w:szCs w:val="32"/>
        </w:rPr>
      </w:pPr>
    </w:p>
    <w:p w14:paraId="0000002C">
      <w:pPr>
        <w:spacing w:before="280" w:after="280" w:line="360" w:lineRule="auto"/>
        <w:jc w:val="both"/>
        <w:rPr>
          <w:rFonts w:ascii="Arial" w:hAnsi="Arial" w:eastAsia="Arial" w:cs="Arial"/>
          <w:b/>
          <w:sz w:val="32"/>
          <w:szCs w:val="32"/>
        </w:rPr>
      </w:pPr>
      <w:r>
        <w:rPr>
          <w:rFonts w:ascii="Arial" w:hAnsi="Arial" w:eastAsia="Arial" w:cs="Arial"/>
          <w:b/>
          <w:sz w:val="32"/>
          <w:szCs w:val="32"/>
          <w:rtl w:val="0"/>
        </w:rPr>
        <w:t>Introduction:</w:t>
      </w:r>
    </w:p>
    <w:p w14:paraId="0000002D">
      <w:pPr>
        <w:spacing w:before="280" w:after="280" w:line="360" w:lineRule="auto"/>
        <w:jc w:val="both"/>
        <w:rPr>
          <w:rFonts w:ascii="Arial" w:hAnsi="Arial" w:eastAsia="Arial" w:cs="Arial"/>
        </w:rPr>
      </w:pPr>
      <w:r>
        <w:rPr>
          <w:rFonts w:ascii="Arial" w:hAnsi="Arial" w:eastAsia="Arial" w:cs="Arial"/>
          <w:rtl w:val="0"/>
        </w:rPr>
        <w:t xml:space="preserve">The United Nations 2030 Agenda for Sustainable Development positions health and equality at the centre of global development through Sustainable Development Goal (SDG) 3: </w:t>
      </w:r>
      <w:r>
        <w:rPr>
          <w:rFonts w:ascii="Arial" w:hAnsi="Arial" w:eastAsia="Arial" w:cs="Arial"/>
          <w:i/>
          <w:rtl w:val="0"/>
        </w:rPr>
        <w:t xml:space="preserve">Good Health and </w:t>
      </w:r>
      <w:r>
        <w:rPr>
          <w:rFonts w:ascii="Arial" w:hAnsi="Arial" w:eastAsia="Arial" w:cs="Arial"/>
          <w:i/>
          <w:rtl w:val="0"/>
          <w:lang w:val="en-GB"/>
        </w:rPr>
        <w:t>Well being</w:t>
      </w:r>
      <w:r>
        <w:rPr>
          <w:rFonts w:ascii="Arial" w:hAnsi="Arial" w:eastAsia="Arial" w:cs="Arial"/>
          <w:rtl w:val="0"/>
        </w:rPr>
        <w:t xml:space="preserve"> and SDG 10: </w:t>
      </w:r>
      <w:r>
        <w:rPr>
          <w:rFonts w:ascii="Arial" w:hAnsi="Arial" w:eastAsia="Arial" w:cs="Arial"/>
          <w:i/>
          <w:rtl w:val="0"/>
        </w:rPr>
        <w:t>Reduced Inequalities</w:t>
      </w:r>
      <w:r>
        <w:rPr>
          <w:rFonts w:ascii="Arial" w:hAnsi="Arial" w:eastAsia="Arial" w:cs="Arial"/>
          <w:rtl w:val="0"/>
        </w:rPr>
        <w:t xml:space="preserve"> (United Nations, 2015). Health is both an outcome and determinant of sustainable development, influenced by social, economic, and environmental conditions (WHO, 2023a). Persistent inequalities in income, access to </w:t>
      </w:r>
      <w:r>
        <w:rPr>
          <w:rFonts w:ascii="Arial" w:hAnsi="Arial" w:eastAsia="Arial" w:cs="Arial"/>
          <w:rtl w:val="0"/>
          <w:lang w:val="en-GB"/>
        </w:rPr>
        <w:t>health care</w:t>
      </w:r>
      <w:r>
        <w:rPr>
          <w:rFonts w:ascii="Arial" w:hAnsi="Arial" w:eastAsia="Arial" w:cs="Arial"/>
          <w:rtl w:val="0"/>
        </w:rPr>
        <w:t>, education, housing, and employment continue to shape disparities in health outcomes globally and within the United Kingdom (Marmot et al., 2020).</w:t>
      </w:r>
    </w:p>
    <w:p w14:paraId="0000002E">
      <w:pPr>
        <w:spacing w:before="280" w:after="280" w:line="360" w:lineRule="auto"/>
        <w:jc w:val="both"/>
        <w:rPr>
          <w:rFonts w:ascii="Arial" w:hAnsi="Arial" w:eastAsia="Arial" w:cs="Arial"/>
        </w:rPr>
      </w:pPr>
      <w:r>
        <w:rPr>
          <w:rFonts w:ascii="Arial" w:hAnsi="Arial" w:eastAsia="Arial" w:cs="Arial"/>
          <w:rtl w:val="0"/>
        </w:rPr>
        <w:t xml:space="preserve">This report critically analyses how SDG 3 and SDG 10 impact the health and </w:t>
      </w:r>
      <w:r>
        <w:rPr>
          <w:rFonts w:ascii="Arial" w:hAnsi="Arial" w:eastAsia="Arial" w:cs="Arial"/>
          <w:rtl w:val="0"/>
          <w:lang w:val="en-GB"/>
        </w:rPr>
        <w:t>well being</w:t>
      </w:r>
      <w:r>
        <w:rPr>
          <w:rFonts w:ascii="Arial" w:hAnsi="Arial" w:eastAsia="Arial" w:cs="Arial"/>
          <w:rtl w:val="0"/>
        </w:rPr>
        <w:t xml:space="preserve"> of citizens. It evaluates global frameworks such as Universal Health Coverage (UHC) and national policies including the NHS Long Term Plan, Health and Care Act 2022, and UK </w:t>
      </w:r>
      <w:r>
        <w:rPr>
          <w:rFonts w:ascii="Arial" w:hAnsi="Arial" w:eastAsia="Arial" w:cs="Arial"/>
          <w:rtl w:val="0"/>
          <w:lang w:val="en-GB"/>
        </w:rPr>
        <w:t>leveling-up</w:t>
      </w:r>
      <w:r>
        <w:rPr>
          <w:rFonts w:ascii="Arial" w:hAnsi="Arial" w:eastAsia="Arial" w:cs="Arial"/>
          <w:rtl w:val="0"/>
        </w:rPr>
        <w:t xml:space="preserve"> strategies. Using public health theories including the Social Determinants of Health framework and Dahlgren and Whitehead’s (1991) model, the report critically assesses the effectiveness of national and local health, </w:t>
      </w:r>
      <w:r>
        <w:rPr>
          <w:rFonts w:ascii="Arial" w:hAnsi="Arial" w:eastAsia="Arial" w:cs="Arial"/>
          <w:rtl w:val="0"/>
          <w:lang w:val="en-GB"/>
        </w:rPr>
        <w:t>well being</w:t>
      </w:r>
      <w:r>
        <w:rPr>
          <w:rFonts w:ascii="Arial" w:hAnsi="Arial" w:eastAsia="Arial" w:cs="Arial"/>
          <w:rtl w:val="0"/>
        </w:rPr>
        <w:t xml:space="preserve"> and sustainable development initiatives.</w:t>
      </w:r>
    </w:p>
    <w:p w14:paraId="0000002F">
      <w:pPr>
        <w:spacing w:before="280" w:after="280" w:line="360" w:lineRule="auto"/>
        <w:jc w:val="both"/>
        <w:rPr>
          <w:rFonts w:ascii="Arial" w:hAnsi="Arial" w:eastAsia="Arial" w:cs="Arial"/>
        </w:rPr>
      </w:pPr>
      <w:r>
        <w:rPr>
          <w:rFonts w:ascii="Arial" w:hAnsi="Arial" w:eastAsia="Arial" w:cs="Arial"/>
          <w:rtl w:val="0"/>
        </w:rPr>
        <w:t xml:space="preserve">The report is structured in two main sections. Section 1 examines SDG 3, including global and national initiatives, theoretical application, and evidence-informed recommendations. Section 2 evaluates SDG 10, exploring how inequality reduction strategies influence health outcomes and sustainable </w:t>
      </w:r>
      <w:r>
        <w:rPr>
          <w:rFonts w:ascii="Arial" w:hAnsi="Arial" w:eastAsia="Arial" w:cs="Arial"/>
          <w:rtl w:val="0"/>
          <w:lang w:val="en-GB"/>
        </w:rPr>
        <w:t>well being</w:t>
      </w:r>
      <w:r>
        <w:rPr>
          <w:rFonts w:ascii="Arial" w:hAnsi="Arial" w:eastAsia="Arial" w:cs="Arial"/>
          <w:rtl w:val="0"/>
        </w:rPr>
        <w:t xml:space="preserve">. The conclusion </w:t>
      </w:r>
      <w:r>
        <w:rPr>
          <w:rFonts w:ascii="Arial" w:hAnsi="Arial" w:eastAsia="Arial" w:cs="Arial"/>
          <w:rtl w:val="0"/>
          <w:lang w:val="en-GB"/>
        </w:rPr>
        <w:t>synthesis's</w:t>
      </w:r>
      <w:r>
        <w:rPr>
          <w:rFonts w:ascii="Arial" w:hAnsi="Arial" w:eastAsia="Arial" w:cs="Arial"/>
          <w:rtl w:val="0"/>
        </w:rPr>
        <w:t xml:space="preserve"> key findings, reflects on the </w:t>
      </w:r>
      <w:r>
        <w:rPr>
          <w:rFonts w:ascii="Arial" w:hAnsi="Arial" w:eastAsia="Arial" w:cs="Arial"/>
          <w:rtl w:val="0"/>
          <w:lang w:val="en-GB"/>
        </w:rPr>
        <w:t>interconnections</w:t>
      </w:r>
      <w:r>
        <w:rPr>
          <w:rFonts w:ascii="Arial" w:hAnsi="Arial" w:eastAsia="Arial" w:cs="Arial"/>
          <w:rtl w:val="0"/>
        </w:rPr>
        <w:t xml:space="preserve"> of the SDGs, and discusses broader implications for policy and practice.</w:t>
      </w:r>
    </w:p>
    <w:p w14:paraId="00000030">
      <w:pPr>
        <w:spacing w:after="0" w:line="240" w:lineRule="auto"/>
        <w:rPr>
          <w:rFonts w:ascii="Times New Roman" w:hAnsi="Times New Roman" w:eastAsia="Times New Roman" w:cs="Times New Roman"/>
          <w:sz w:val="24"/>
          <w:szCs w:val="24"/>
        </w:rPr>
      </w:pPr>
    </w:p>
    <w:p w14:paraId="00000031">
      <w:pPr>
        <w:spacing w:after="0" w:line="240" w:lineRule="auto"/>
        <w:rPr>
          <w:rFonts w:ascii="Times New Roman" w:hAnsi="Times New Roman" w:eastAsia="Times New Roman" w:cs="Times New Roman"/>
          <w:sz w:val="24"/>
          <w:szCs w:val="24"/>
        </w:rPr>
      </w:pPr>
    </w:p>
    <w:p w14:paraId="00000032">
      <w:pPr>
        <w:spacing w:before="280" w:after="280" w:line="240" w:lineRule="auto"/>
        <w:rPr>
          <w:rFonts w:ascii="Times New Roman" w:hAnsi="Times New Roman" w:eastAsia="Times New Roman" w:cs="Times New Roman"/>
          <w:b/>
          <w:sz w:val="48"/>
          <w:szCs w:val="48"/>
        </w:rPr>
      </w:pPr>
    </w:p>
    <w:p w14:paraId="00000033">
      <w:pPr>
        <w:spacing w:before="280" w:after="280" w:line="240" w:lineRule="auto"/>
        <w:rPr>
          <w:rFonts w:ascii="Times New Roman" w:hAnsi="Times New Roman" w:eastAsia="Times New Roman" w:cs="Times New Roman"/>
          <w:b/>
          <w:sz w:val="48"/>
          <w:szCs w:val="48"/>
        </w:rPr>
      </w:pPr>
    </w:p>
    <w:p w14:paraId="00000034">
      <w:pPr>
        <w:spacing w:before="280" w:after="280" w:line="240" w:lineRule="auto"/>
        <w:rPr>
          <w:rFonts w:ascii="Times New Roman" w:hAnsi="Times New Roman" w:eastAsia="Times New Roman" w:cs="Times New Roman"/>
          <w:b/>
          <w:sz w:val="48"/>
          <w:szCs w:val="48"/>
        </w:rPr>
      </w:pPr>
    </w:p>
    <w:p w14:paraId="00000035">
      <w:pPr>
        <w:spacing w:before="280" w:after="280" w:line="240" w:lineRule="auto"/>
        <w:rPr>
          <w:rFonts w:ascii="Times New Roman" w:hAnsi="Times New Roman" w:eastAsia="Times New Roman" w:cs="Times New Roman"/>
          <w:b/>
          <w:sz w:val="48"/>
          <w:szCs w:val="48"/>
        </w:rPr>
      </w:pPr>
    </w:p>
    <w:p w14:paraId="00000036">
      <w:pPr>
        <w:spacing w:before="280" w:after="280" w:line="240" w:lineRule="auto"/>
        <w:rPr>
          <w:rFonts w:ascii="Times New Roman" w:hAnsi="Times New Roman" w:eastAsia="Times New Roman" w:cs="Times New Roman"/>
          <w:b/>
          <w:sz w:val="48"/>
          <w:szCs w:val="48"/>
        </w:rPr>
      </w:pPr>
    </w:p>
    <w:p w14:paraId="00000037">
      <w:pPr>
        <w:spacing w:before="280" w:after="280" w:line="240" w:lineRule="auto"/>
        <w:rPr>
          <w:rFonts w:ascii="Arial" w:hAnsi="Arial" w:eastAsia="Arial" w:cs="Arial"/>
          <w:b/>
          <w:sz w:val="32"/>
          <w:szCs w:val="32"/>
        </w:rPr>
      </w:pPr>
      <w:r>
        <w:rPr>
          <w:rFonts w:ascii="Arial" w:hAnsi="Arial" w:eastAsia="Arial" w:cs="Arial"/>
          <w:b/>
          <w:sz w:val="32"/>
          <w:szCs w:val="32"/>
          <w:rtl w:val="0"/>
        </w:rPr>
        <w:t xml:space="preserve">Section 1: SDG 3 – Good Health and </w:t>
      </w:r>
      <w:r>
        <w:rPr>
          <w:rFonts w:ascii="Arial" w:hAnsi="Arial" w:eastAsia="Arial" w:cs="Arial"/>
          <w:b/>
          <w:sz w:val="32"/>
          <w:szCs w:val="32"/>
          <w:rtl w:val="0"/>
          <w:lang w:val="en-GB"/>
        </w:rPr>
        <w:t>Well being</w:t>
      </w:r>
      <w:r>
        <w:rPr>
          <w:rFonts w:ascii="Arial" w:hAnsi="Arial" w:eastAsia="Arial" w:cs="Arial"/>
          <w:b/>
          <w:sz w:val="32"/>
          <w:szCs w:val="32"/>
          <w:rtl w:val="0"/>
        </w:rPr>
        <w:t xml:space="preserve"> </w:t>
      </w:r>
    </w:p>
    <w:p w14:paraId="00000038">
      <w:pPr>
        <w:spacing w:before="280" w:after="280" w:line="240" w:lineRule="auto"/>
        <w:rPr>
          <w:rFonts w:ascii="Arial" w:hAnsi="Arial" w:eastAsia="Arial" w:cs="Arial"/>
          <w:b/>
          <w:sz w:val="28"/>
          <w:szCs w:val="28"/>
        </w:rPr>
      </w:pPr>
      <w:r>
        <w:rPr>
          <w:rFonts w:ascii="Arial" w:hAnsi="Arial" w:eastAsia="Arial" w:cs="Arial"/>
          <w:b/>
          <w:sz w:val="28"/>
          <w:szCs w:val="28"/>
          <w:rtl w:val="0"/>
        </w:rPr>
        <w:t>1.1 Overview of SDG 3</w:t>
      </w:r>
    </w:p>
    <w:p w14:paraId="0000003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SDG 3 aims to “ensure healthy lives and promote </w:t>
      </w:r>
      <w:r>
        <w:rPr>
          <w:rFonts w:ascii="Arial" w:hAnsi="Arial" w:eastAsia="Arial" w:cs="Arial"/>
          <w:b w:val="0"/>
          <w:i w:val="0"/>
          <w:smallCaps w:val="0"/>
          <w:strike w:val="0"/>
          <w:color w:val="000000"/>
          <w:sz w:val="22"/>
          <w:szCs w:val="22"/>
          <w:u w:val="none"/>
          <w:shd w:val="clear" w:fill="auto"/>
          <w:vertAlign w:val="baseline"/>
          <w:rtl w:val="0"/>
          <w:lang w:val="en-GB"/>
        </w:rPr>
        <w:t>well being</w:t>
      </w:r>
      <w:r>
        <w:rPr>
          <w:rFonts w:ascii="Arial" w:hAnsi="Arial" w:eastAsia="Arial" w:cs="Arial"/>
          <w:b w:val="0"/>
          <w:i w:val="0"/>
          <w:smallCaps w:val="0"/>
          <w:strike w:val="0"/>
          <w:color w:val="000000"/>
          <w:sz w:val="22"/>
          <w:szCs w:val="22"/>
          <w:u w:val="none"/>
          <w:shd w:val="clear" w:fill="auto"/>
          <w:vertAlign w:val="baseline"/>
          <w:rtl w:val="0"/>
        </w:rPr>
        <w:t xml:space="preserve"> for all at all ages” (United Nations, 2015). Its targets include reducing maternal and child mortality, combating communicable and non-communicable diseases (NCDs), achieving Universal Health Coverage (UHC), strengthening mental health services, and reducing premature mortality from preventable causes. Globally, progress has been uneven and fragile. While under-five mortality has declined significantly since 2000 due to improved vaccination, sanitation, and maternal care, non-communicable diseases now account for approximately 74% of global deaths, with cardiovascular disease, cancer, chronic respiratory conditions, and diabetes being the leading contributors (WHO, 2023a). Mental health conditions are among the leading causes of disability worldwide, placing growing pressure on already stretched health systems (WHO, 2022a). The COVID-19 pandemic further disrupted essential health services in around 90% of countries, delaying treatment, widening health inequalities, and reversing progress toward UHC (WHO, 2022b). Health directly influences productivity, educational attainment, and economic participation. Poor health increases public expenditure, reduces workforce capacity, and deepens social exclusion (OECD, 2022). Consequently, SDG 3 underpins sustainable development and long-term societal resilience.</w:t>
      </w:r>
    </w:p>
    <w:p w14:paraId="0000003A">
      <w:pPr>
        <w:spacing w:after="0" w:line="240" w:lineRule="auto"/>
        <w:rPr>
          <w:rFonts w:ascii="Times New Roman" w:hAnsi="Times New Roman" w:eastAsia="Times New Roman" w:cs="Times New Roman"/>
          <w:sz w:val="24"/>
          <w:szCs w:val="24"/>
        </w:rPr>
      </w:pPr>
    </w:p>
    <w:p w14:paraId="0000003B">
      <w:pPr>
        <w:spacing w:before="280" w:after="280" w:line="360" w:lineRule="auto"/>
        <w:jc w:val="both"/>
        <w:rPr>
          <w:rFonts w:ascii="Arial" w:hAnsi="Arial" w:eastAsia="Arial" w:cs="Arial"/>
          <w:b/>
          <w:sz w:val="28"/>
          <w:szCs w:val="28"/>
        </w:rPr>
      </w:pPr>
      <w:r>
        <w:rPr>
          <w:rFonts w:ascii="Arial" w:hAnsi="Arial" w:eastAsia="Arial" w:cs="Arial"/>
          <w:b/>
          <w:sz w:val="28"/>
          <w:szCs w:val="28"/>
          <w:rtl w:val="0"/>
        </w:rPr>
        <w:t>1.2 Critical Evaluation of Global Policies and Initiatives:</w:t>
      </w:r>
    </w:p>
    <w:p w14:paraId="0000003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A central global initiative under SDG 3 is Universal Health Coverage (UHC), championed by the World Health Organization (WHO, 2019). UHC seeks to ensure that all individuals can access essential health services without suffering financial hardship. Practical examples illustrate both its potential and its limitations. For instance, Thailand’s UHC reform, introduced in 2002, significantly reduced catastrophic health expenditure and improved access to primary care, particularly among rural and low-income populations (OECD, 2022). Similarly, the UK’s tax-funded National Health Service demonstrates how pooled financing can promote equitable access to comprehensive care. However, in many low-income countries such as Nigeria, high out-of-pocket payments persist, limiting access and undermining financial protection (WHO, 2023a).</w:t>
      </w:r>
    </w:p>
    <w:p w14:paraId="0000003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Critics argue that UHC frameworks often emphasise service coverage statistics while overlooking systemic weaknesses. During the COVID-19 pandemic, even countries with advanced health systems experienced workforce shortages and limited surge capacity, exposing gaps in health system resilience (Gostin et al., 2020). In relation to non-communicable diseases (NCDs), the WHO Global Action Plan (2013) has supported tobacco taxation policies, contributing to reduced smoking rates in countries such as Australia. However, efforts to address obesity have been less successful; Mexico’s sugary drink tax reduced consumption modestly, yet rising obesity rates highlight the influence of commercial determinants of health (Kickbusch et al., 2016). These examples demonstrate that political commitment and sustained investment are crucial for effective implementation.</w:t>
      </w:r>
    </w:p>
    <w:p w14:paraId="0000003E">
      <w:pPr>
        <w:spacing w:after="0" w:line="240" w:lineRule="auto"/>
        <w:rPr>
          <w:rFonts w:ascii="Times New Roman" w:hAnsi="Times New Roman" w:eastAsia="Times New Roman" w:cs="Times New Roman"/>
          <w:sz w:val="24"/>
          <w:szCs w:val="24"/>
        </w:rPr>
      </w:pPr>
    </w:p>
    <w:p w14:paraId="0000003F">
      <w:pPr>
        <w:spacing w:before="280" w:after="280" w:line="360" w:lineRule="auto"/>
        <w:jc w:val="both"/>
        <w:rPr>
          <w:rFonts w:ascii="Arial" w:hAnsi="Arial" w:eastAsia="Arial" w:cs="Arial"/>
          <w:b/>
          <w:sz w:val="28"/>
          <w:szCs w:val="28"/>
        </w:rPr>
      </w:pPr>
      <w:r>
        <w:rPr>
          <w:rFonts w:ascii="Arial" w:hAnsi="Arial" w:eastAsia="Arial" w:cs="Arial"/>
          <w:b/>
          <w:sz w:val="28"/>
          <w:szCs w:val="28"/>
          <w:rtl w:val="0"/>
        </w:rPr>
        <w:t>1.3 Critical Evaluation of National and Local Examples</w:t>
      </w:r>
    </w:p>
    <w:p w14:paraId="0000004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In the UK, the NHS Long Term Plan (NHS England, 2019) aligns closely with SDG 3 by prioritising prevention, earlier diagnosis, mental health expansion, and the development of Integrated Care Systems (ICSs). The Plan commits to increased investment in primary and community care, cancer services, and perinatal mental health support. Early evaluations indicate progress in areas such as improved cancer survival rates and the expansion of community-based services designed to reduce hospital admissions (The King’s Fund, 2022). However, persistent workforce shortages, rising demand, and financial pressures have constrained implementation, limiting the pace and consistency of reform (BMA, 2023).</w:t>
      </w:r>
    </w:p>
    <w:p w14:paraId="0000004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The Health and Care Act 2022 further sought to formalise integration between health and social care through statutory ICSs, aiming to improve population health management and reduce fragmentation (Department of Health and Social Care, 2022). While the structural shift promotes collaboration, critics argue that organisational reform alone cannot resolve entrenched issues such as underfunding, staff burnout, and social care instability (The King’s Fund, 2023).</w:t>
      </w:r>
    </w:p>
    <w:p w14:paraId="0000004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At a local level, initiatives including social prescribing and community wellbeing hubs have shown positive impacts on mental health, loneliness, and self-management of long-term conditions (Drinkwater et al., 2019). Nevertheless, their long-term sustainability depends on secure funding and effective cross-sector partnerships. The Marmot Review 10 Years On found widening health inequalities and stalled life expectancy in deprived areas (Marmot et al., 2020), indicating that SDG 3 progress is constrained by broader socio-economic determinants beyond healthcare provision alone.</w:t>
      </w:r>
    </w:p>
    <w:p w14:paraId="00000043">
      <w:pPr>
        <w:spacing w:after="0" w:line="240" w:lineRule="auto"/>
        <w:rPr>
          <w:rFonts w:ascii="Times New Roman" w:hAnsi="Times New Roman" w:eastAsia="Times New Roman" w:cs="Times New Roman"/>
          <w:sz w:val="24"/>
          <w:szCs w:val="24"/>
        </w:rPr>
      </w:pPr>
    </w:p>
    <w:p w14:paraId="00000044">
      <w:pPr>
        <w:spacing w:before="280" w:after="280" w:line="360" w:lineRule="auto"/>
        <w:jc w:val="both"/>
        <w:rPr>
          <w:rFonts w:ascii="Arial" w:hAnsi="Arial" w:eastAsia="Arial" w:cs="Arial"/>
          <w:b/>
          <w:sz w:val="28"/>
          <w:szCs w:val="28"/>
        </w:rPr>
      </w:pPr>
      <w:r>
        <w:rPr>
          <w:rFonts w:ascii="Arial" w:hAnsi="Arial" w:eastAsia="Arial" w:cs="Arial"/>
          <w:b/>
          <w:sz w:val="28"/>
          <w:szCs w:val="28"/>
          <w:rtl w:val="0"/>
        </w:rPr>
        <w:t>1.4 Theoretical Frameworks</w:t>
      </w:r>
    </w:p>
    <w:p w14:paraId="0000004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Several theoretical frameworks underpin the interpretation and implementation of SDG 3. The Social Determinants of Health (SDOH) framework argues that health outcomes are shaped by structural conditions such as income, education, employment, housing, and social policies rather than healthcare access alone (WHO, 2008). Dahlgren and Whitehead’s (1991) “rainbow model” further illustrates this concept by demonstrating how individual lifestyle factors are embedded within wider social, community, and socio-economic environments. These perspectives align with the United Nations’ recognition that sustainable health improvement requires addressing poverty and inequality (UN, 2015).</w:t>
      </w:r>
    </w:p>
    <w:p w14:paraId="0000004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The biomedical model, traditionally dominant in Western health systems, focuses primarily on diagnosis and treatment of disease (Engel, 1977). However, Engel’s (1977) biopsychosocial model challenges this narrow approach, emphasising the interaction between biological, psychological, and social influences on health. This broader framework better reflects SDG 3’s emphasis on </w:t>
      </w:r>
      <w:r>
        <w:rPr>
          <w:rFonts w:ascii="Arial" w:hAnsi="Arial" w:eastAsia="Arial" w:cs="Arial"/>
          <w:b w:val="0"/>
          <w:i w:val="0"/>
          <w:smallCaps w:val="0"/>
          <w:strike w:val="0"/>
          <w:color w:val="000000"/>
          <w:sz w:val="22"/>
          <w:szCs w:val="22"/>
          <w:u w:val="none"/>
          <w:shd w:val="clear" w:fill="auto"/>
          <w:vertAlign w:val="baseline"/>
          <w:rtl w:val="0"/>
          <w:lang w:val="en-GB"/>
        </w:rPr>
        <w:t>well being</w:t>
      </w:r>
      <w:r>
        <w:rPr>
          <w:rFonts w:ascii="Arial" w:hAnsi="Arial" w:eastAsia="Arial" w:cs="Arial"/>
          <w:b w:val="0"/>
          <w:i w:val="0"/>
          <w:smallCaps w:val="0"/>
          <w:strike w:val="0"/>
          <w:color w:val="000000"/>
          <w:sz w:val="22"/>
          <w:szCs w:val="22"/>
          <w:u w:val="none"/>
          <w:shd w:val="clear" w:fill="auto"/>
          <w:vertAlign w:val="baseline"/>
          <w:rtl w:val="0"/>
        </w:rPr>
        <w:t xml:space="preserve"> across the life course.</w:t>
      </w:r>
    </w:p>
    <w:p w14:paraId="0000004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Systems theory further strengthens this analysis. Meadows (2008) argues that complex systems, such as </w:t>
      </w:r>
      <w:r>
        <w:rPr>
          <w:rFonts w:ascii="Arial" w:hAnsi="Arial" w:eastAsia="Arial" w:cs="Arial"/>
          <w:b w:val="0"/>
          <w:i w:val="0"/>
          <w:smallCaps w:val="0"/>
          <w:strike w:val="0"/>
          <w:color w:val="000000"/>
          <w:sz w:val="22"/>
          <w:szCs w:val="22"/>
          <w:u w:val="none"/>
          <w:shd w:val="clear" w:fill="auto"/>
          <w:vertAlign w:val="baseline"/>
          <w:rtl w:val="0"/>
          <w:lang w:val="en-GB"/>
        </w:rPr>
        <w:t>health care</w:t>
      </w:r>
      <w:r>
        <w:rPr>
          <w:rFonts w:ascii="Arial" w:hAnsi="Arial" w:eastAsia="Arial" w:cs="Arial"/>
          <w:b w:val="0"/>
          <w:i w:val="0"/>
          <w:smallCaps w:val="0"/>
          <w:strike w:val="0"/>
          <w:color w:val="000000"/>
          <w:sz w:val="22"/>
          <w:szCs w:val="22"/>
          <w:u w:val="none"/>
          <w:shd w:val="clear" w:fill="auto"/>
          <w:vertAlign w:val="baseline"/>
          <w:rtl w:val="0"/>
        </w:rPr>
        <w:t>, operate through interdependent structures where policy changes in one sector can influence outcomes elsewhere. Accordingly, achieving SDG 3 requires coordinated cross-sector action. Without addressing upstream determinants and systemic interconnections, progress towards equitable and sustainable health outcomes will remain constrained (WHO, 2008; UN, 2015).</w:t>
      </w:r>
    </w:p>
    <w:p w14:paraId="00000048">
      <w:pPr>
        <w:spacing w:before="280" w:after="280" w:line="360" w:lineRule="auto"/>
        <w:jc w:val="both"/>
        <w:rPr>
          <w:rFonts w:ascii="Arial" w:hAnsi="Arial" w:eastAsia="Arial" w:cs="Arial"/>
        </w:rPr>
      </w:pPr>
      <w:r>
        <w:rPr>
          <w:rFonts w:ascii="Arial" w:hAnsi="Arial" w:eastAsia="Arial" w:cs="Arial"/>
          <w:rtl w:val="0"/>
        </w:rPr>
        <w:t xml:space="preserve">Furthermore, systems theory suggests </w:t>
      </w:r>
      <w:r>
        <w:rPr>
          <w:rFonts w:ascii="Arial" w:hAnsi="Arial" w:eastAsia="Arial" w:cs="Arial"/>
          <w:rtl w:val="0"/>
          <w:lang w:val="en-GB"/>
        </w:rPr>
        <w:t>health care</w:t>
      </w:r>
      <w:r>
        <w:rPr>
          <w:rFonts w:ascii="Arial" w:hAnsi="Arial" w:eastAsia="Arial" w:cs="Arial"/>
          <w:rtl w:val="0"/>
        </w:rPr>
        <w:t xml:space="preserve"> must operate as part of interconnected policy systems (Meadows, 2008).</w:t>
      </w:r>
    </w:p>
    <w:p w14:paraId="00000049">
      <w:pPr>
        <w:spacing w:before="280" w:after="280" w:line="360" w:lineRule="auto"/>
        <w:jc w:val="both"/>
        <w:rPr>
          <w:rFonts w:ascii="Arial" w:hAnsi="Arial" w:eastAsia="Arial" w:cs="Arial"/>
        </w:rPr>
      </w:pPr>
    </w:p>
    <w:p w14:paraId="0000004A">
      <w:pPr>
        <w:spacing w:before="280" w:after="280" w:line="360" w:lineRule="auto"/>
        <w:jc w:val="both"/>
        <w:rPr>
          <w:rFonts w:ascii="Arial" w:hAnsi="Arial" w:eastAsia="Arial" w:cs="Arial"/>
        </w:rPr>
      </w:pPr>
    </w:p>
    <w:p w14:paraId="0000004B">
      <w:pPr>
        <w:spacing w:before="280" w:after="280" w:line="360" w:lineRule="auto"/>
        <w:jc w:val="both"/>
        <w:rPr>
          <w:rFonts w:ascii="Arial" w:hAnsi="Arial" w:eastAsia="Arial" w:cs="Arial"/>
        </w:rPr>
      </w:pPr>
    </w:p>
    <w:p w14:paraId="0000004C">
      <w:pPr>
        <w:spacing w:before="280" w:after="280" w:line="360" w:lineRule="auto"/>
        <w:jc w:val="both"/>
        <w:rPr>
          <w:rFonts w:ascii="Arial" w:hAnsi="Arial" w:eastAsia="Arial" w:cs="Arial"/>
        </w:rPr>
      </w:pPr>
    </w:p>
    <w:p w14:paraId="0000004D">
      <w:pPr>
        <w:spacing w:before="280" w:after="280" w:line="360" w:lineRule="auto"/>
        <w:jc w:val="both"/>
        <w:rPr>
          <w:rFonts w:ascii="Arial" w:hAnsi="Arial" w:eastAsia="Arial" w:cs="Arial"/>
        </w:rPr>
      </w:pPr>
    </w:p>
    <w:p w14:paraId="0000004E">
      <w:pPr>
        <w:spacing w:after="0" w:line="240" w:lineRule="auto"/>
        <w:rPr>
          <w:rFonts w:ascii="Times New Roman" w:hAnsi="Times New Roman" w:eastAsia="Times New Roman" w:cs="Times New Roman"/>
          <w:sz w:val="24"/>
          <w:szCs w:val="24"/>
        </w:rPr>
      </w:pPr>
    </w:p>
    <w:p w14:paraId="0000004F">
      <w:pPr>
        <w:spacing w:before="280" w:after="280" w:line="360" w:lineRule="auto"/>
        <w:jc w:val="both"/>
        <w:rPr>
          <w:rFonts w:ascii="Arial" w:hAnsi="Arial" w:eastAsia="Arial" w:cs="Arial"/>
          <w:b/>
          <w:sz w:val="28"/>
          <w:szCs w:val="28"/>
        </w:rPr>
      </w:pPr>
      <w:r>
        <w:rPr>
          <w:rFonts w:ascii="Arial" w:hAnsi="Arial" w:eastAsia="Arial" w:cs="Arial"/>
          <w:b/>
          <w:sz w:val="28"/>
          <w:szCs w:val="28"/>
          <w:rtl w:val="0"/>
        </w:rPr>
        <w:t>1.5 Recommendations:</w:t>
      </w:r>
    </w:p>
    <w:p w14:paraId="00000050">
      <w:pPr>
        <w:numPr>
          <w:ilvl w:val="0"/>
          <w:numId w:val="1"/>
        </w:numPr>
        <w:spacing w:before="280" w:after="0" w:line="360" w:lineRule="auto"/>
        <w:ind w:left="720" w:hanging="360"/>
        <w:jc w:val="both"/>
        <w:rPr>
          <w:rFonts w:ascii="Arial" w:hAnsi="Arial" w:eastAsia="Arial" w:cs="Arial"/>
        </w:rPr>
      </w:pPr>
      <w:r>
        <w:rPr>
          <w:rFonts w:ascii="Arial" w:hAnsi="Arial" w:eastAsia="Arial" w:cs="Arial"/>
          <w:b/>
          <w:rtl w:val="0"/>
        </w:rPr>
        <w:t>Strengthen Prevention Funding</w:t>
      </w:r>
      <w:r>
        <w:rPr>
          <w:rFonts w:ascii="Arial" w:hAnsi="Arial" w:eastAsia="Arial" w:cs="Arial"/>
          <w:rtl w:val="0"/>
        </w:rPr>
        <w:t>: Increase investment in public health prevention to at least 5% of total NHS spending, as recommended by The King’s Fund (2022).</w:t>
      </w:r>
    </w:p>
    <w:p w14:paraId="00000051">
      <w:pPr>
        <w:numPr>
          <w:ilvl w:val="0"/>
          <w:numId w:val="1"/>
        </w:numPr>
        <w:spacing w:before="0" w:after="0" w:line="360" w:lineRule="auto"/>
        <w:ind w:left="720" w:hanging="360"/>
        <w:jc w:val="both"/>
        <w:rPr>
          <w:rFonts w:ascii="Arial" w:hAnsi="Arial" w:eastAsia="Arial" w:cs="Arial"/>
        </w:rPr>
      </w:pPr>
      <w:r>
        <w:rPr>
          <w:rFonts w:ascii="Arial" w:hAnsi="Arial" w:eastAsia="Arial" w:cs="Arial"/>
          <w:b/>
          <w:rtl w:val="0"/>
        </w:rPr>
        <w:t>Address Workforce Sustainability</w:t>
      </w:r>
      <w:r>
        <w:rPr>
          <w:rFonts w:ascii="Arial" w:hAnsi="Arial" w:eastAsia="Arial" w:cs="Arial"/>
          <w:rtl w:val="0"/>
        </w:rPr>
        <w:t>: Implement long-term workforce planning and retention strategies aligned with WHO Global Health Workforce Strategy (WHO, 2016).</w:t>
      </w:r>
    </w:p>
    <w:p w14:paraId="00000052">
      <w:pPr>
        <w:numPr>
          <w:ilvl w:val="0"/>
          <w:numId w:val="1"/>
        </w:numPr>
        <w:spacing w:before="0" w:after="0" w:line="360" w:lineRule="auto"/>
        <w:ind w:left="720" w:hanging="360"/>
        <w:jc w:val="both"/>
        <w:rPr>
          <w:rFonts w:ascii="Arial" w:hAnsi="Arial" w:eastAsia="Arial" w:cs="Arial"/>
        </w:rPr>
      </w:pPr>
      <w:r>
        <w:rPr>
          <w:rFonts w:ascii="Arial" w:hAnsi="Arial" w:eastAsia="Arial" w:cs="Arial"/>
          <w:b/>
          <w:rtl w:val="0"/>
        </w:rPr>
        <w:t>Embed Health in All Policies (HiAP)</w:t>
      </w:r>
      <w:r>
        <w:rPr>
          <w:rFonts w:ascii="Arial" w:hAnsi="Arial" w:eastAsia="Arial" w:cs="Arial"/>
          <w:rtl w:val="0"/>
        </w:rPr>
        <w:t>: Integrate SDG 3 targets into housing, education, and employment policy to tackle upstream determinants (Kickbusch and Gleicher, 2012).</w:t>
      </w:r>
    </w:p>
    <w:p w14:paraId="00000053">
      <w:pPr>
        <w:numPr>
          <w:ilvl w:val="0"/>
          <w:numId w:val="1"/>
        </w:numPr>
        <w:spacing w:before="0" w:after="280" w:line="360" w:lineRule="auto"/>
        <w:ind w:left="720" w:hanging="360"/>
        <w:jc w:val="both"/>
        <w:rPr>
          <w:rFonts w:ascii="Arial" w:hAnsi="Arial" w:eastAsia="Arial" w:cs="Arial"/>
        </w:rPr>
      </w:pPr>
      <w:r>
        <w:rPr>
          <w:rFonts w:ascii="Arial" w:hAnsi="Arial" w:eastAsia="Arial" w:cs="Arial"/>
          <w:b/>
          <w:rtl w:val="0"/>
        </w:rPr>
        <w:t>Strengthen Data Equity Monitoring</w:t>
      </w:r>
      <w:r>
        <w:rPr>
          <w:rFonts w:ascii="Arial" w:hAnsi="Arial" w:eastAsia="Arial" w:cs="Arial"/>
          <w:rtl w:val="0"/>
        </w:rPr>
        <w:t>: Improve disaggregated data collection to monitor inequalities and ensure accountability.</w:t>
      </w:r>
    </w:p>
    <w:p w14:paraId="00000054">
      <w:pPr>
        <w:spacing w:before="280" w:after="280" w:line="360" w:lineRule="auto"/>
        <w:jc w:val="both"/>
        <w:rPr>
          <w:rFonts w:ascii="Arial" w:hAnsi="Arial" w:eastAsia="Arial" w:cs="Arial"/>
        </w:rPr>
      </w:pPr>
      <w:r>
        <w:rPr>
          <w:rFonts w:ascii="Arial" w:hAnsi="Arial" w:eastAsia="Arial" w:cs="Arial"/>
          <w:rtl w:val="0"/>
        </w:rPr>
        <w:t>These recommendations align with evidence that integrated, prevention-focused systems produce sustainable health improvements (OECD, 2022).</w:t>
      </w:r>
    </w:p>
    <w:p w14:paraId="00000055">
      <w:pPr>
        <w:spacing w:before="280" w:after="280" w:line="360" w:lineRule="auto"/>
        <w:jc w:val="both"/>
        <w:rPr>
          <w:rFonts w:ascii="Arial" w:hAnsi="Arial" w:eastAsia="Arial" w:cs="Arial"/>
        </w:rPr>
      </w:pPr>
    </w:p>
    <w:p w14:paraId="00000056">
      <w:pPr>
        <w:spacing w:before="280" w:after="280" w:line="360" w:lineRule="auto"/>
        <w:jc w:val="both"/>
        <w:rPr>
          <w:rFonts w:ascii="Arial" w:hAnsi="Arial" w:eastAsia="Arial" w:cs="Arial"/>
        </w:rPr>
      </w:pPr>
    </w:p>
    <w:p w14:paraId="00000057">
      <w:pPr>
        <w:spacing w:before="280" w:after="280" w:line="360" w:lineRule="auto"/>
        <w:jc w:val="both"/>
        <w:rPr>
          <w:rFonts w:ascii="Arial" w:hAnsi="Arial" w:eastAsia="Arial" w:cs="Arial"/>
        </w:rPr>
      </w:pPr>
    </w:p>
    <w:p w14:paraId="00000058">
      <w:pPr>
        <w:spacing w:before="280" w:after="280" w:line="360" w:lineRule="auto"/>
        <w:jc w:val="both"/>
        <w:rPr>
          <w:rFonts w:ascii="Arial" w:hAnsi="Arial" w:eastAsia="Arial" w:cs="Arial"/>
        </w:rPr>
      </w:pPr>
    </w:p>
    <w:p w14:paraId="00000059">
      <w:pPr>
        <w:spacing w:before="280" w:after="280" w:line="360" w:lineRule="auto"/>
        <w:jc w:val="both"/>
        <w:rPr>
          <w:rFonts w:ascii="Arial" w:hAnsi="Arial" w:eastAsia="Arial" w:cs="Arial"/>
        </w:rPr>
      </w:pPr>
    </w:p>
    <w:p w14:paraId="0000005A">
      <w:pPr>
        <w:spacing w:before="280" w:after="280" w:line="360" w:lineRule="auto"/>
        <w:jc w:val="both"/>
        <w:rPr>
          <w:rFonts w:ascii="Arial" w:hAnsi="Arial" w:eastAsia="Arial" w:cs="Arial"/>
        </w:rPr>
      </w:pPr>
    </w:p>
    <w:p w14:paraId="0000005B">
      <w:pPr>
        <w:spacing w:before="280" w:after="280" w:line="360" w:lineRule="auto"/>
        <w:jc w:val="both"/>
        <w:rPr>
          <w:rFonts w:ascii="Arial" w:hAnsi="Arial" w:eastAsia="Arial" w:cs="Arial"/>
        </w:rPr>
      </w:pPr>
    </w:p>
    <w:p w14:paraId="0000005C">
      <w:pPr>
        <w:spacing w:before="280" w:after="280" w:line="360" w:lineRule="auto"/>
        <w:jc w:val="both"/>
        <w:rPr>
          <w:rFonts w:ascii="Arial" w:hAnsi="Arial" w:eastAsia="Arial" w:cs="Arial"/>
        </w:rPr>
      </w:pPr>
    </w:p>
    <w:p w14:paraId="0000005D">
      <w:pPr>
        <w:spacing w:before="280" w:after="280" w:line="360" w:lineRule="auto"/>
        <w:jc w:val="both"/>
        <w:rPr>
          <w:rFonts w:ascii="Arial" w:hAnsi="Arial" w:eastAsia="Arial" w:cs="Arial"/>
        </w:rPr>
      </w:pPr>
    </w:p>
    <w:p w14:paraId="0000005E">
      <w:pPr>
        <w:spacing w:before="280" w:after="280" w:line="360" w:lineRule="auto"/>
        <w:jc w:val="both"/>
        <w:rPr>
          <w:rFonts w:ascii="Arial" w:hAnsi="Arial" w:eastAsia="Arial" w:cs="Arial"/>
        </w:rPr>
      </w:pPr>
    </w:p>
    <w:p w14:paraId="0000005F">
      <w:pPr>
        <w:spacing w:before="280" w:after="280" w:line="360" w:lineRule="auto"/>
        <w:jc w:val="both"/>
        <w:rPr>
          <w:rFonts w:ascii="Arial" w:hAnsi="Arial" w:eastAsia="Arial" w:cs="Arial"/>
        </w:rPr>
      </w:pPr>
    </w:p>
    <w:p w14:paraId="00000062">
      <w:pPr>
        <w:spacing w:before="280" w:after="280" w:line="240" w:lineRule="auto"/>
        <w:rPr>
          <w:rFonts w:ascii="Arial" w:hAnsi="Arial" w:eastAsia="Arial" w:cs="Arial"/>
          <w:b/>
          <w:sz w:val="32"/>
          <w:szCs w:val="32"/>
        </w:rPr>
      </w:pPr>
      <w:r>
        <w:rPr>
          <w:rFonts w:ascii="Arial" w:hAnsi="Arial" w:eastAsia="Arial" w:cs="Arial"/>
          <w:b/>
          <w:sz w:val="32"/>
          <w:szCs w:val="32"/>
          <w:rtl w:val="0"/>
        </w:rPr>
        <w:t>Section 2: SDG 10 – Reduced Inequalities:</w:t>
      </w:r>
    </w:p>
    <w:p w14:paraId="00000063">
      <w:pPr>
        <w:spacing w:before="280" w:after="280" w:line="240" w:lineRule="auto"/>
        <w:rPr>
          <w:rFonts w:ascii="Arial" w:hAnsi="Arial" w:eastAsia="Arial" w:cs="Arial"/>
          <w:b/>
          <w:sz w:val="28"/>
          <w:szCs w:val="28"/>
        </w:rPr>
      </w:pPr>
      <w:r>
        <w:rPr>
          <w:rFonts w:ascii="Arial" w:hAnsi="Arial" w:eastAsia="Arial" w:cs="Arial"/>
          <w:b/>
          <w:sz w:val="28"/>
          <w:szCs w:val="28"/>
          <w:rtl w:val="0"/>
        </w:rPr>
        <w:t>2.1 Overview of SDG 10</w:t>
      </w:r>
    </w:p>
    <w:p w14:paraId="0000006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SDG 10 aims to “reduce inequality within and among countries” as part of the United Nations 2030 Agenda for Sustainable Development (United Nations, 2015). The goal encompasses targets focused on reducing income inequality, promoting social, economic and political inclusion, ensuring equal opportunity, and improving equitable access to services and resources. It also addresses global inequalities through fairer trade, financial systems, and migration policies. Central to SDG 10 is the principle that sustainable development cannot be achieved while significant disparities persist between and within populations.</w:t>
      </w:r>
    </w:p>
    <w:p w14:paraId="0000006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A substantial body of evidence demonstrates the relationship between inequality and health outcomes. Wilkinson and Pickett (2010) argue that societies with higher income inequality experience worse physical and mental health outcomes, lower levels of trust, and reduced social cohesion. In the UK context, stark regional disparities illustrate this pattern. The Marmot Review 10 Years On reported that life expectancy in England has stalled overall and differs by more than a decade between the most and least deprived areas (Marmot et al., 2020).</w:t>
      </w:r>
    </w:p>
    <w:p w14:paraId="0000006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Reducing inequality is therefore not solely an economic objective but a public health priority. Addressing income distribution, access to education, employment opportunities, and public services contributes directly to improved population health, enhanced social mobility, and stronger societal cohesion.</w:t>
      </w:r>
    </w:p>
    <w:p w14:paraId="00000067">
      <w:pPr>
        <w:spacing w:after="0" w:line="240" w:lineRule="auto"/>
        <w:rPr>
          <w:rFonts w:ascii="Times New Roman" w:hAnsi="Times New Roman" w:eastAsia="Times New Roman" w:cs="Times New Roman"/>
          <w:sz w:val="24"/>
          <w:szCs w:val="24"/>
        </w:rPr>
      </w:pPr>
    </w:p>
    <w:p w14:paraId="00000068">
      <w:pPr>
        <w:spacing w:before="280" w:after="280" w:line="240" w:lineRule="auto"/>
        <w:rPr>
          <w:rFonts w:ascii="Arial" w:hAnsi="Arial" w:eastAsia="Arial" w:cs="Arial"/>
          <w:b/>
          <w:sz w:val="28"/>
          <w:szCs w:val="28"/>
        </w:rPr>
      </w:pPr>
      <w:r>
        <w:rPr>
          <w:rFonts w:ascii="Arial" w:hAnsi="Arial" w:eastAsia="Arial" w:cs="Arial"/>
          <w:b/>
          <w:sz w:val="28"/>
          <w:szCs w:val="28"/>
          <w:rtl w:val="0"/>
        </w:rPr>
        <w:t>2.2 SDG 10, Critical Evaluation of Global Policies:</w:t>
      </w:r>
    </w:p>
    <w:p w14:paraId="00000069">
      <w:pPr>
        <w:spacing w:before="280" w:after="280" w:line="360" w:lineRule="auto"/>
        <w:jc w:val="both"/>
        <w:rPr>
          <w:rFonts w:ascii="Arial" w:hAnsi="Arial" w:eastAsia="Arial" w:cs="Arial"/>
        </w:rPr>
      </w:pPr>
      <w:r>
        <w:rPr>
          <w:rFonts w:ascii="Arial" w:hAnsi="Arial" w:eastAsia="Arial" w:cs="Arial"/>
          <w:rtl w:val="0"/>
        </w:rPr>
        <w:t>SDG 10 seeks to reduce inequality within and among countries, recognising that inclusive development is essential for sustainable progress (United Nations, 2015). Despite global economic growth, income inequality remains pronounced, with wealth increasingly concentrated in many high-income nations (World Bank, 2023). Research consistently demonstrates that societies with higher levels of income inequality experience poorer physical and mental health outcomes, higher mortality rates, and lower levels of social cohesion (Pickett and Wilkinson, 2015; WHO, 2023). In this respect, SDG 10 is intrinsically linked to SDG 3, as reducing inequality functions not only as a moral and social objective but also as a public health strategy.</w:t>
      </w:r>
    </w:p>
    <w:p w14:paraId="0000006A">
      <w:pPr>
        <w:spacing w:before="280" w:after="280" w:line="360" w:lineRule="auto"/>
        <w:jc w:val="both"/>
        <w:rPr>
          <w:rFonts w:ascii="Arial" w:hAnsi="Arial" w:eastAsia="Arial" w:cs="Arial"/>
        </w:rPr>
      </w:pPr>
      <w:r>
        <w:rPr>
          <w:rFonts w:ascii="Arial" w:hAnsi="Arial" w:eastAsia="Arial" w:cs="Arial"/>
          <w:rtl w:val="0"/>
        </w:rPr>
        <w:t>However, global reporting indicates that progress towards SDG 10 has been slow and uneven. The COVID-19 pandemic widened income and health disparities both within and between countries, disproportionately affecting marginalised and low-income populations (UN, 2023). This trend highlights that economic growth alone is insufficient to reduce inequality; instead, redistributive and inclusive policies are required (Stiglitz, 2019).</w:t>
      </w:r>
    </w:p>
    <w:p w14:paraId="0000006B">
      <w:pPr>
        <w:spacing w:before="280" w:after="280" w:line="360" w:lineRule="auto"/>
        <w:jc w:val="both"/>
        <w:rPr>
          <w:rFonts w:ascii="Arial" w:hAnsi="Arial" w:eastAsia="Arial" w:cs="Arial"/>
        </w:rPr>
      </w:pPr>
      <w:r>
        <w:rPr>
          <w:rFonts w:ascii="Arial" w:hAnsi="Arial" w:eastAsia="Arial" w:cs="Arial"/>
          <w:rtl w:val="0"/>
        </w:rPr>
        <w:t>Globally, progressive taxation and comprehensive social protection systems are key mechanisms for reducing inequality (World Bank, 2022). Evidence shows that countries with strong welfare systems tend to experience narrower health inequalities (OECD, 2022). Conversely, austerity measures in several high-income countries reduced social protection spending, exacerbating inequality (Stuckler et al., 2017). International financial and trade structures may further entrench disparities (Labonté and Schrecker, 2011), demonstrating that SDG 10 progress depends on sustained political commitment to structural reform.</w:t>
      </w:r>
    </w:p>
    <w:p w14:paraId="0000006C">
      <w:pPr>
        <w:spacing w:after="0" w:line="240" w:lineRule="auto"/>
        <w:rPr>
          <w:rFonts w:ascii="Times New Roman" w:hAnsi="Times New Roman" w:eastAsia="Times New Roman" w:cs="Times New Roman"/>
          <w:sz w:val="24"/>
          <w:szCs w:val="24"/>
        </w:rPr>
      </w:pPr>
    </w:p>
    <w:p w14:paraId="0000006D">
      <w:pPr>
        <w:spacing w:before="280" w:after="280" w:line="240" w:lineRule="auto"/>
        <w:rPr>
          <w:rFonts w:ascii="Arial" w:hAnsi="Arial" w:eastAsia="Arial" w:cs="Arial"/>
          <w:b/>
          <w:sz w:val="28"/>
          <w:szCs w:val="28"/>
        </w:rPr>
      </w:pPr>
      <w:r>
        <w:rPr>
          <w:rFonts w:ascii="Arial" w:hAnsi="Arial" w:eastAsia="Arial" w:cs="Arial"/>
          <w:b/>
          <w:sz w:val="28"/>
          <w:szCs w:val="28"/>
          <w:rtl w:val="0"/>
        </w:rPr>
        <w:t>2.3 SDG 10, National and Local Examples</w:t>
      </w:r>
    </w:p>
    <w:p w14:paraId="0000006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Despite being a high-income country with a universal </w:t>
      </w:r>
      <w:r>
        <w:rPr>
          <w:rFonts w:ascii="Arial" w:hAnsi="Arial" w:eastAsia="Arial" w:cs="Arial"/>
          <w:b w:val="0"/>
          <w:i w:val="0"/>
          <w:smallCaps w:val="0"/>
          <w:strike w:val="0"/>
          <w:color w:val="000000"/>
          <w:sz w:val="22"/>
          <w:szCs w:val="22"/>
          <w:u w:val="none"/>
          <w:shd w:val="clear" w:fill="auto"/>
          <w:vertAlign w:val="baseline"/>
          <w:rtl w:val="0"/>
          <w:lang w:val="en-GB"/>
        </w:rPr>
        <w:t>health care</w:t>
      </w:r>
      <w:r>
        <w:rPr>
          <w:rFonts w:ascii="Arial" w:hAnsi="Arial" w:eastAsia="Arial" w:cs="Arial"/>
          <w:b w:val="0"/>
          <w:i w:val="0"/>
          <w:smallCaps w:val="0"/>
          <w:strike w:val="0"/>
          <w:color w:val="000000"/>
          <w:sz w:val="22"/>
          <w:szCs w:val="22"/>
          <w:u w:val="none"/>
          <w:shd w:val="clear" w:fill="auto"/>
          <w:vertAlign w:val="baseline"/>
          <w:rtl w:val="0"/>
        </w:rPr>
        <w:t xml:space="preserve"> system, England experiences persistent health and social inequalities. The </w:t>
      </w:r>
      <w:r>
        <w:rPr>
          <w:rFonts w:ascii="Arial" w:hAnsi="Arial" w:eastAsia="Arial" w:cs="Arial"/>
          <w:b w:val="0"/>
          <w:i/>
          <w:smallCaps w:val="0"/>
          <w:strike w:val="0"/>
          <w:color w:val="000000"/>
          <w:sz w:val="22"/>
          <w:szCs w:val="22"/>
          <w:u w:val="none"/>
          <w:shd w:val="clear" w:fill="auto"/>
          <w:vertAlign w:val="baseline"/>
          <w:rtl w:val="0"/>
        </w:rPr>
        <w:t>Marmot Review 10 Years On</w:t>
      </w:r>
      <w:r>
        <w:rPr>
          <w:rFonts w:ascii="Arial" w:hAnsi="Arial" w:eastAsia="Arial" w:cs="Arial"/>
          <w:b w:val="0"/>
          <w:i w:val="0"/>
          <w:smallCaps w:val="0"/>
          <w:strike w:val="0"/>
          <w:color w:val="000000"/>
          <w:sz w:val="22"/>
          <w:szCs w:val="22"/>
          <w:u w:val="none"/>
          <w:shd w:val="clear" w:fill="auto"/>
          <w:vertAlign w:val="baseline"/>
          <w:rtl w:val="0"/>
        </w:rPr>
        <w:t xml:space="preserve"> found that life expectancy improvements stalled for the first time in a century, with declines among the most deprived women and widening gaps in healthy life expectancy (Marmot et al., 2020; Institute of Health Equity, 2023). Individuals in the most deprived areas can expect to live almost a decade fewer year in good health compared to those in the least deprived areas (OHID, 2023). These disparities reflect the Social Determinants of Health framework, which emphasises how income, housing, education, and employment shape outcomes (Dahlgren and Whitehead, 1991).</w:t>
      </w:r>
    </w:p>
    <w:p w14:paraId="0000006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Policy responses include the Levelling Up White Paper, aimed at reducing regional disparities in opportunity and infrastructure (HM Government, 2022). However, critics argue funding levels and focus on economic growth indicators may insufficiently address structural health determinants (IFS, 2023; NAO, 2023). Similarly, the NHS Core20PLUS5 initiative targets the most deprived 20% to reduce </w:t>
      </w:r>
      <w:r>
        <w:rPr>
          <w:rFonts w:ascii="Arial" w:hAnsi="Arial" w:eastAsia="Arial" w:cs="Arial"/>
          <w:b w:val="0"/>
          <w:i w:val="0"/>
          <w:smallCaps w:val="0"/>
          <w:strike w:val="0"/>
          <w:color w:val="000000"/>
          <w:sz w:val="22"/>
          <w:szCs w:val="22"/>
          <w:u w:val="none"/>
          <w:shd w:val="clear" w:fill="auto"/>
          <w:vertAlign w:val="baseline"/>
          <w:rtl w:val="0"/>
          <w:lang w:val="en-GB"/>
        </w:rPr>
        <w:t>health care</w:t>
      </w:r>
      <w:r>
        <w:rPr>
          <w:rFonts w:ascii="Arial" w:hAnsi="Arial" w:eastAsia="Arial" w:cs="Arial"/>
          <w:b w:val="0"/>
          <w:i w:val="0"/>
          <w:smallCaps w:val="0"/>
          <w:strike w:val="0"/>
          <w:color w:val="000000"/>
          <w:sz w:val="22"/>
          <w:szCs w:val="22"/>
          <w:u w:val="none"/>
          <w:shd w:val="clear" w:fill="auto"/>
          <w:vertAlign w:val="baseline"/>
          <w:rtl w:val="0"/>
        </w:rPr>
        <w:t xml:space="preserve"> inequalities, with early improvements in screening uptake (NHS England, 2021). Yet workforce shortages and reduced public health funding disproportionately affect deprived regions (Health Foundation, 2023). Overall, progress towards SDG 10 in England remains constrained by structural </w:t>
      </w:r>
      <w:r>
        <w:rPr>
          <w:rFonts w:ascii="Arial" w:hAnsi="Arial" w:eastAsia="Arial" w:cs="Arial"/>
          <w:b w:val="0"/>
          <w:i w:val="0"/>
          <w:smallCaps w:val="0"/>
          <w:strike w:val="0"/>
          <w:color w:val="000000"/>
          <w:sz w:val="22"/>
          <w:szCs w:val="22"/>
          <w:u w:val="none"/>
          <w:shd w:val="clear" w:fill="auto"/>
          <w:vertAlign w:val="baseline"/>
          <w:rtl w:val="0"/>
          <w:lang w:val="en-GB"/>
        </w:rPr>
        <w:t>under-investment</w:t>
      </w:r>
      <w:r>
        <w:rPr>
          <w:rFonts w:ascii="Arial" w:hAnsi="Arial" w:eastAsia="Arial" w:cs="Arial"/>
          <w:b w:val="0"/>
          <w:i w:val="0"/>
          <w:smallCaps w:val="0"/>
          <w:strike w:val="0"/>
          <w:color w:val="000000"/>
          <w:sz w:val="22"/>
          <w:szCs w:val="22"/>
          <w:u w:val="none"/>
          <w:shd w:val="clear" w:fill="auto"/>
          <w:vertAlign w:val="baseline"/>
          <w:rtl w:val="0"/>
        </w:rPr>
        <w:t xml:space="preserve"> and persistent socio-economic inequities.</w:t>
      </w:r>
    </w:p>
    <w:p w14:paraId="00000070">
      <w:pPr>
        <w:spacing w:after="0" w:line="240" w:lineRule="auto"/>
        <w:rPr>
          <w:rFonts w:ascii="Times New Roman" w:hAnsi="Times New Roman" w:eastAsia="Times New Roman" w:cs="Times New Roman"/>
          <w:sz w:val="24"/>
          <w:szCs w:val="24"/>
        </w:rPr>
      </w:pPr>
    </w:p>
    <w:p w14:paraId="00000071">
      <w:pPr>
        <w:spacing w:before="280" w:after="280" w:line="240" w:lineRule="auto"/>
        <w:rPr>
          <w:rFonts w:ascii="Arial" w:hAnsi="Arial" w:eastAsia="Arial" w:cs="Arial"/>
          <w:b/>
          <w:sz w:val="28"/>
          <w:szCs w:val="28"/>
        </w:rPr>
      </w:pPr>
      <w:r>
        <w:rPr>
          <w:rFonts w:ascii="Arial" w:hAnsi="Arial" w:eastAsia="Arial" w:cs="Arial"/>
          <w:b/>
          <w:sz w:val="28"/>
          <w:szCs w:val="28"/>
          <w:rtl w:val="0"/>
        </w:rPr>
        <w:t>2.4 SDG 10, Theoretical Frameworks</w:t>
      </w:r>
    </w:p>
    <w:p w14:paraId="0000007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Theoretical frameworks explain why SDG 10, which aims to reduce inequality within and among countries (United Nations, 2015), is central to improving health and social outcomes. Wilkinson and Pickett’s (2010) income inequality hypothesis argues that societies with wider income gaps experience poorer physical and mental health, higher violence, and weaker social cohesion. They contend that inequality produces psychosocial stress through status competition and reduced trust, undermining population </w:t>
      </w:r>
      <w:r>
        <w:rPr>
          <w:rFonts w:ascii="Arial" w:hAnsi="Arial" w:eastAsia="Arial" w:cs="Arial"/>
          <w:b w:val="0"/>
          <w:i w:val="0"/>
          <w:smallCaps w:val="0"/>
          <w:strike w:val="0"/>
          <w:color w:val="000000"/>
          <w:sz w:val="22"/>
          <w:szCs w:val="22"/>
          <w:u w:val="none"/>
          <w:shd w:val="clear" w:fill="auto"/>
          <w:vertAlign w:val="baseline"/>
          <w:rtl w:val="0"/>
          <w:lang w:val="en-GB"/>
        </w:rPr>
        <w:t>well being</w:t>
      </w:r>
      <w:r>
        <w:rPr>
          <w:rFonts w:ascii="Arial" w:hAnsi="Arial" w:eastAsia="Arial" w:cs="Arial"/>
          <w:b w:val="0"/>
          <w:i w:val="0"/>
          <w:smallCaps w:val="0"/>
          <w:strike w:val="0"/>
          <w:color w:val="000000"/>
          <w:sz w:val="22"/>
          <w:szCs w:val="22"/>
          <w:u w:val="none"/>
          <w:shd w:val="clear" w:fill="auto"/>
          <w:vertAlign w:val="baseline"/>
          <w:rtl w:val="0"/>
        </w:rPr>
        <w:t>. This highlights the link between SDG 10 and SDG 3, positioning inequality as a structural driver of health disparities rather than merely an economic issue.</w:t>
      </w:r>
    </w:p>
    <w:p w14:paraId="0000007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Similarly, Marmot’s (2015) Social Gradient in Health shows that health improves at each step up the socio-economic hierarchy, not only between the richest and poorest. The Marmot Review (Marmot et al., 2020) demonstrates how austerity and reduced social investment have widened this gradient.</w:t>
      </w:r>
    </w:p>
    <w:p w14:paraId="0000007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Together, these theories support structural interventions—such as progressive taxation, social protection, and investment in education and housing—to address power and resource distribution and promote equitable, sustainable development.</w:t>
      </w:r>
    </w:p>
    <w:p w14:paraId="00000075">
      <w:pPr>
        <w:spacing w:after="0" w:line="240" w:lineRule="auto"/>
        <w:rPr>
          <w:rFonts w:ascii="Times New Roman" w:hAnsi="Times New Roman" w:eastAsia="Times New Roman" w:cs="Times New Roman"/>
          <w:sz w:val="24"/>
          <w:szCs w:val="24"/>
        </w:rPr>
      </w:pPr>
    </w:p>
    <w:p w14:paraId="00000076">
      <w:pPr>
        <w:spacing w:before="280" w:after="280" w:line="240" w:lineRule="auto"/>
        <w:rPr>
          <w:rFonts w:ascii="Arial" w:hAnsi="Arial" w:eastAsia="Arial" w:cs="Arial"/>
          <w:b/>
          <w:sz w:val="28"/>
          <w:szCs w:val="28"/>
        </w:rPr>
      </w:pPr>
      <w:r>
        <w:rPr>
          <w:rFonts w:ascii="Arial" w:hAnsi="Arial" w:eastAsia="Arial" w:cs="Arial"/>
          <w:b/>
          <w:sz w:val="28"/>
          <w:szCs w:val="28"/>
          <w:rtl w:val="0"/>
        </w:rPr>
        <w:t>2.5 Recommendations:</w:t>
      </w:r>
    </w:p>
    <w:p w14:paraId="00000077">
      <w:pPr>
        <w:numPr>
          <w:ilvl w:val="0"/>
          <w:numId w:val="2"/>
        </w:numPr>
        <w:spacing w:before="280" w:after="0" w:line="360" w:lineRule="auto"/>
        <w:ind w:left="720" w:hanging="360"/>
        <w:rPr>
          <w:rFonts w:ascii="Arial" w:hAnsi="Arial" w:eastAsia="Arial" w:cs="Arial"/>
        </w:rPr>
      </w:pPr>
      <w:r>
        <w:rPr>
          <w:rFonts w:ascii="Arial" w:hAnsi="Arial" w:eastAsia="Arial" w:cs="Arial"/>
          <w:b/>
          <w:rtl w:val="0"/>
        </w:rPr>
        <w:t>Increase Social Protection Investment</w:t>
      </w:r>
      <w:r>
        <w:rPr>
          <w:rFonts w:ascii="Arial" w:hAnsi="Arial" w:eastAsia="Arial" w:cs="Arial"/>
          <w:rtl w:val="0"/>
        </w:rPr>
        <w:t>: Expand welfare and housing support to reduce poverty-related health risks (OECD, 2022).</w:t>
      </w:r>
    </w:p>
    <w:p w14:paraId="00000078">
      <w:pPr>
        <w:numPr>
          <w:ilvl w:val="0"/>
          <w:numId w:val="2"/>
        </w:numPr>
        <w:spacing w:before="0" w:after="0" w:line="360" w:lineRule="auto"/>
        <w:ind w:left="720" w:hanging="360"/>
        <w:rPr>
          <w:rFonts w:ascii="Arial" w:hAnsi="Arial" w:eastAsia="Arial" w:cs="Arial"/>
        </w:rPr>
      </w:pPr>
      <w:r>
        <w:rPr>
          <w:rFonts w:ascii="Arial" w:hAnsi="Arial" w:eastAsia="Arial" w:cs="Arial"/>
          <w:b/>
          <w:rtl w:val="0"/>
        </w:rPr>
        <w:t>Strengthen Local Government Funding</w:t>
      </w:r>
      <w:r>
        <w:rPr>
          <w:rFonts w:ascii="Arial" w:hAnsi="Arial" w:eastAsia="Arial" w:cs="Arial"/>
          <w:rtl w:val="0"/>
        </w:rPr>
        <w:t>: Restore public health grants to pre-2010 levels adjusted for inflation.</w:t>
      </w:r>
    </w:p>
    <w:p w14:paraId="00000079">
      <w:pPr>
        <w:numPr>
          <w:ilvl w:val="0"/>
          <w:numId w:val="2"/>
        </w:numPr>
        <w:spacing w:before="0" w:after="0" w:line="360" w:lineRule="auto"/>
        <w:ind w:left="720" w:hanging="360"/>
        <w:rPr>
          <w:rFonts w:ascii="Arial" w:hAnsi="Arial" w:eastAsia="Arial" w:cs="Arial"/>
        </w:rPr>
      </w:pPr>
      <w:r>
        <w:rPr>
          <w:rFonts w:ascii="Arial" w:hAnsi="Arial" w:eastAsia="Arial" w:cs="Arial"/>
          <w:b/>
          <w:rtl w:val="0"/>
        </w:rPr>
        <w:t>Expand Core20PLUS5 Evaluation</w:t>
      </w:r>
      <w:r>
        <w:rPr>
          <w:rFonts w:ascii="Arial" w:hAnsi="Arial" w:eastAsia="Arial" w:cs="Arial"/>
          <w:rtl w:val="0"/>
        </w:rPr>
        <w:t>: Conduct robust impact evaluations and scale successful interventions nationally.</w:t>
      </w:r>
    </w:p>
    <w:p w14:paraId="0000007A">
      <w:pPr>
        <w:numPr>
          <w:ilvl w:val="0"/>
          <w:numId w:val="2"/>
        </w:numPr>
        <w:spacing w:before="0" w:after="280" w:line="360" w:lineRule="auto"/>
        <w:ind w:left="720" w:hanging="360"/>
        <w:rPr>
          <w:rFonts w:ascii="Arial" w:hAnsi="Arial" w:eastAsia="Arial" w:cs="Arial"/>
        </w:rPr>
      </w:pPr>
      <w:r>
        <w:rPr>
          <w:rFonts w:ascii="Arial" w:hAnsi="Arial" w:eastAsia="Arial" w:cs="Arial"/>
          <w:b/>
          <w:rtl w:val="0"/>
        </w:rPr>
        <w:t>Cross-Sector Policy Alignment</w:t>
      </w:r>
      <w:r>
        <w:rPr>
          <w:rFonts w:ascii="Arial" w:hAnsi="Arial" w:eastAsia="Arial" w:cs="Arial"/>
          <w:rtl w:val="0"/>
        </w:rPr>
        <w:t>: Embed SDG 10 within NHS ICS strategies to address social gradient effects.</w:t>
      </w:r>
    </w:p>
    <w:p w14:paraId="0000007B">
      <w:pPr>
        <w:spacing w:before="280" w:after="280" w:line="360" w:lineRule="auto"/>
        <w:rPr>
          <w:rFonts w:ascii="Arial" w:hAnsi="Arial" w:eastAsia="Arial" w:cs="Arial"/>
        </w:rPr>
      </w:pPr>
      <w:r>
        <w:rPr>
          <w:rFonts w:ascii="Arial" w:hAnsi="Arial" w:eastAsia="Arial" w:cs="Arial"/>
          <w:rtl w:val="0"/>
        </w:rPr>
        <w:t>Reducing inequality is essential for achieving SDG 3, demonstrating strong interdependence between the goals.</w:t>
      </w:r>
    </w:p>
    <w:p w14:paraId="0000007C">
      <w:pPr>
        <w:spacing w:after="0" w:line="240" w:lineRule="auto"/>
        <w:rPr>
          <w:rFonts w:ascii="Times New Roman" w:hAnsi="Times New Roman" w:eastAsia="Times New Roman" w:cs="Times New Roman"/>
          <w:sz w:val="24"/>
          <w:szCs w:val="24"/>
        </w:rPr>
      </w:pPr>
    </w:p>
    <w:p w14:paraId="0000007D">
      <w:pPr>
        <w:spacing w:before="280" w:after="280" w:line="240" w:lineRule="auto"/>
        <w:rPr>
          <w:rFonts w:ascii="Times New Roman" w:hAnsi="Times New Roman" w:eastAsia="Times New Roman" w:cs="Times New Roman"/>
          <w:b/>
          <w:sz w:val="28"/>
          <w:szCs w:val="28"/>
        </w:rPr>
      </w:pPr>
    </w:p>
    <w:p w14:paraId="0000007E">
      <w:pPr>
        <w:spacing w:before="280" w:after="280" w:line="360" w:lineRule="auto"/>
        <w:jc w:val="both"/>
        <w:rPr>
          <w:rFonts w:ascii="Arial" w:hAnsi="Arial" w:eastAsia="Arial" w:cs="Arial"/>
          <w:b/>
          <w:sz w:val="32"/>
          <w:szCs w:val="32"/>
        </w:rPr>
      </w:pPr>
      <w:r>
        <w:rPr>
          <w:rFonts w:ascii="Arial" w:hAnsi="Arial" w:eastAsia="Arial" w:cs="Arial"/>
          <w:b/>
          <w:sz w:val="32"/>
          <w:szCs w:val="32"/>
          <w:rtl w:val="0"/>
        </w:rPr>
        <w:t>Conclusion:</w:t>
      </w:r>
    </w:p>
    <w:p w14:paraId="0000007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This report critically examined SDG 3 (Good Health and </w:t>
      </w:r>
      <w:r>
        <w:rPr>
          <w:rFonts w:ascii="Arial" w:hAnsi="Arial" w:eastAsia="Arial" w:cs="Arial"/>
          <w:b w:val="0"/>
          <w:i w:val="0"/>
          <w:smallCaps w:val="0"/>
          <w:strike w:val="0"/>
          <w:color w:val="000000"/>
          <w:sz w:val="22"/>
          <w:szCs w:val="22"/>
          <w:u w:val="none"/>
          <w:shd w:val="clear" w:fill="auto"/>
          <w:vertAlign w:val="baseline"/>
          <w:rtl w:val="0"/>
          <w:lang w:val="en-GB"/>
        </w:rPr>
        <w:t>Well being</w:t>
      </w:r>
      <w:r>
        <w:rPr>
          <w:rFonts w:ascii="Arial" w:hAnsi="Arial" w:eastAsia="Arial" w:cs="Arial"/>
          <w:b w:val="0"/>
          <w:i w:val="0"/>
          <w:smallCaps w:val="0"/>
          <w:strike w:val="0"/>
          <w:color w:val="000000"/>
          <w:sz w:val="22"/>
          <w:szCs w:val="22"/>
          <w:u w:val="none"/>
          <w:shd w:val="clear" w:fill="auto"/>
          <w:vertAlign w:val="baseline"/>
          <w:rtl w:val="0"/>
        </w:rPr>
        <w:t xml:space="preserve">) and SDG 10 (Reduced Inequalities), highlighting their interconnected influence on population health. SDG 3 promotes universal health coverage, disease prevention, and mental health support (United Nations, 2015; WHO, 2019). However, progress remains uneven. Non-communicable diseases and mental health conditions continue to drive premature mortality globally (WHO, 2023), while workforce shortages and financial pressures constrain services in England (BMA, 2023; Health Foundation, 2023). Although initiatives such as the NHS Long Term Plan and Core20PLUS5 align with SDG 3 (NHS England, 2019; 2021), implementation challenges limit their </w:t>
      </w:r>
      <w:r>
        <w:rPr>
          <w:rFonts w:ascii="Arial" w:hAnsi="Arial" w:eastAsia="Arial" w:cs="Arial"/>
          <w:b w:val="0"/>
          <w:i w:val="0"/>
          <w:smallCaps w:val="0"/>
          <w:strike w:val="0"/>
          <w:color w:val="000000"/>
          <w:sz w:val="22"/>
          <w:szCs w:val="22"/>
          <w:u w:val="none"/>
          <w:shd w:val="clear" w:fill="auto"/>
          <w:vertAlign w:val="baseline"/>
          <w:rtl w:val="0"/>
          <w:lang w:val="en-GB"/>
        </w:rPr>
        <w:t>re-distributive</w:t>
      </w:r>
      <w:r>
        <w:rPr>
          <w:rFonts w:ascii="Arial" w:hAnsi="Arial" w:eastAsia="Arial" w:cs="Arial"/>
          <w:b w:val="0"/>
          <w:i w:val="0"/>
          <w:smallCaps w:val="0"/>
          <w:strike w:val="0"/>
          <w:color w:val="000000"/>
          <w:sz w:val="22"/>
          <w:szCs w:val="22"/>
          <w:u w:val="none"/>
          <w:shd w:val="clear" w:fill="auto"/>
          <w:vertAlign w:val="baseline"/>
          <w:rtl w:val="0"/>
        </w:rPr>
        <w:t xml:space="preserve"> impact.</w:t>
      </w:r>
    </w:p>
    <w:p w14:paraId="0000008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SDG 10 addresses structural determinants underlying health disparities. Income inequality is associated with poorer health outcomes and weaker social cohesion (Wilkinson and Pickett, 2010). The social gradient in health shows that outcomes improve with socio-economic position (Marmot, 2015), yet life expectancy gaps in England continue to widen (Marmot et al., 2020). This reflects the Social Determinants of Health framework, emphasising housing, employment, and education (WHO, 2008).</w:t>
      </w:r>
    </w:p>
    <w:p w14:paraId="0000008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Overall, </w:t>
      </w:r>
      <w:r>
        <w:rPr>
          <w:rFonts w:ascii="Arial" w:hAnsi="Arial" w:eastAsia="Arial" w:cs="Arial"/>
          <w:b w:val="0"/>
          <w:i w:val="0"/>
          <w:smallCaps w:val="0"/>
          <w:strike w:val="0"/>
          <w:color w:val="000000"/>
          <w:sz w:val="22"/>
          <w:szCs w:val="22"/>
          <w:u w:val="none"/>
          <w:shd w:val="clear" w:fill="auto"/>
          <w:vertAlign w:val="baseline"/>
          <w:rtl w:val="0"/>
          <w:lang w:val="en-GB"/>
        </w:rPr>
        <w:t>health care</w:t>
      </w:r>
      <w:bookmarkStart w:id="1" w:name="_GoBack"/>
      <w:bookmarkEnd w:id="1"/>
      <w:r>
        <w:rPr>
          <w:rFonts w:ascii="Arial" w:hAnsi="Arial" w:eastAsia="Arial" w:cs="Arial"/>
          <w:b w:val="0"/>
          <w:i w:val="0"/>
          <w:smallCaps w:val="0"/>
          <w:strike w:val="0"/>
          <w:color w:val="000000"/>
          <w:sz w:val="22"/>
          <w:szCs w:val="22"/>
          <w:u w:val="none"/>
          <w:shd w:val="clear" w:fill="auto"/>
          <w:vertAlign w:val="baseline"/>
          <w:rtl w:val="0"/>
        </w:rPr>
        <w:t xml:space="preserve"> reform alone is insufficient; reducing inequality is fundamental to sustainable health improvement (United Nations, 2015).</w:t>
      </w:r>
    </w:p>
    <w:p w14:paraId="00000082">
      <w:pPr>
        <w:spacing w:line="360" w:lineRule="auto"/>
        <w:jc w:val="both"/>
        <w:rPr>
          <w:rFonts w:ascii="Arial" w:hAnsi="Arial" w:eastAsia="Arial" w:cs="Arial"/>
        </w:rPr>
      </w:pPr>
    </w:p>
    <w:p w14:paraId="00000083">
      <w:pPr>
        <w:spacing w:line="360" w:lineRule="auto"/>
        <w:jc w:val="both"/>
        <w:rPr>
          <w:rFonts w:ascii="Arial" w:hAnsi="Arial" w:eastAsia="Arial" w:cs="Arial"/>
        </w:rPr>
      </w:pPr>
    </w:p>
    <w:p w14:paraId="00000084">
      <w:pPr>
        <w:spacing w:line="360" w:lineRule="auto"/>
        <w:jc w:val="both"/>
        <w:rPr>
          <w:rFonts w:ascii="Arial" w:hAnsi="Arial" w:eastAsia="Arial" w:cs="Arial"/>
        </w:rPr>
      </w:pPr>
    </w:p>
    <w:p w14:paraId="00000085">
      <w:pPr>
        <w:spacing w:line="360" w:lineRule="auto"/>
        <w:jc w:val="both"/>
        <w:rPr>
          <w:rFonts w:ascii="Arial" w:hAnsi="Arial" w:eastAsia="Arial" w:cs="Arial"/>
        </w:rPr>
      </w:pPr>
    </w:p>
    <w:p w14:paraId="00000086">
      <w:pPr>
        <w:spacing w:line="360" w:lineRule="auto"/>
        <w:jc w:val="both"/>
        <w:rPr>
          <w:rFonts w:ascii="Arial" w:hAnsi="Arial" w:eastAsia="Arial" w:cs="Arial"/>
        </w:rPr>
      </w:pPr>
    </w:p>
    <w:p w14:paraId="00000087">
      <w:pPr>
        <w:spacing w:line="360" w:lineRule="auto"/>
        <w:jc w:val="both"/>
        <w:rPr>
          <w:rFonts w:ascii="Arial" w:hAnsi="Arial" w:eastAsia="Arial" w:cs="Arial"/>
        </w:rPr>
      </w:pPr>
    </w:p>
    <w:p w14:paraId="00000088">
      <w:pPr>
        <w:spacing w:line="360" w:lineRule="auto"/>
        <w:jc w:val="both"/>
        <w:rPr>
          <w:rFonts w:ascii="Arial" w:hAnsi="Arial" w:eastAsia="Arial" w:cs="Arial"/>
        </w:rPr>
      </w:pPr>
    </w:p>
    <w:p w14:paraId="00000089">
      <w:pPr>
        <w:spacing w:line="360" w:lineRule="auto"/>
        <w:jc w:val="both"/>
        <w:rPr>
          <w:rFonts w:ascii="Arial" w:hAnsi="Arial" w:eastAsia="Arial" w:cs="Arial"/>
        </w:rPr>
      </w:pPr>
    </w:p>
    <w:p w14:paraId="0000008A">
      <w:pPr>
        <w:spacing w:line="360" w:lineRule="auto"/>
        <w:jc w:val="both"/>
        <w:rPr>
          <w:rFonts w:ascii="Arial" w:hAnsi="Arial" w:eastAsia="Arial" w:cs="Arial"/>
        </w:rPr>
      </w:pPr>
    </w:p>
    <w:p w14:paraId="0000008B">
      <w:pPr>
        <w:spacing w:line="360" w:lineRule="auto"/>
        <w:jc w:val="both"/>
        <w:rPr>
          <w:rFonts w:ascii="Arial" w:hAnsi="Arial" w:eastAsia="Arial" w:cs="Arial"/>
        </w:rPr>
      </w:pPr>
    </w:p>
    <w:p w14:paraId="0000008C">
      <w:pPr>
        <w:spacing w:line="360" w:lineRule="auto"/>
        <w:jc w:val="both"/>
        <w:rPr>
          <w:rFonts w:ascii="Arial" w:hAnsi="Arial" w:eastAsia="Arial" w:cs="Arial"/>
          <w:b/>
          <w:sz w:val="28"/>
          <w:szCs w:val="28"/>
        </w:rPr>
      </w:pPr>
    </w:p>
    <w:p w14:paraId="0000008D">
      <w:pPr>
        <w:spacing w:line="360" w:lineRule="auto"/>
        <w:jc w:val="both"/>
        <w:rPr>
          <w:rFonts w:ascii="Arial" w:hAnsi="Arial" w:eastAsia="Arial" w:cs="Arial"/>
          <w:b/>
          <w:sz w:val="28"/>
          <w:szCs w:val="28"/>
        </w:rPr>
      </w:pPr>
      <w:r>
        <w:rPr>
          <w:rFonts w:ascii="Arial" w:hAnsi="Arial" w:eastAsia="Arial" w:cs="Arial"/>
          <w:b/>
          <w:sz w:val="28"/>
          <w:szCs w:val="28"/>
          <w:rtl w:val="0"/>
        </w:rPr>
        <w:t>References:</w:t>
      </w:r>
    </w:p>
    <w:p w14:paraId="0000008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BMA (2023) </w:t>
      </w:r>
      <w:r>
        <w:rPr>
          <w:rFonts w:ascii="Arial" w:hAnsi="Arial" w:eastAsia="Arial" w:cs="Arial"/>
          <w:b w:val="0"/>
          <w:i/>
          <w:smallCaps w:val="0"/>
          <w:strike w:val="0"/>
          <w:color w:val="000000"/>
          <w:sz w:val="22"/>
          <w:szCs w:val="22"/>
          <w:u w:val="none"/>
          <w:shd w:val="clear" w:fill="auto"/>
          <w:vertAlign w:val="baseline"/>
          <w:rtl w:val="0"/>
        </w:rPr>
        <w:t>NHS workforce data analysis</w:t>
      </w:r>
      <w:r>
        <w:rPr>
          <w:rFonts w:ascii="Arial" w:hAnsi="Arial" w:eastAsia="Arial" w:cs="Arial"/>
          <w:b w:val="0"/>
          <w:i w:val="0"/>
          <w:smallCaps w:val="0"/>
          <w:strike w:val="0"/>
          <w:color w:val="000000"/>
          <w:sz w:val="22"/>
          <w:szCs w:val="22"/>
          <w:u w:val="none"/>
          <w:shd w:val="clear" w:fill="auto"/>
          <w:vertAlign w:val="baseline"/>
          <w:rtl w:val="0"/>
        </w:rPr>
        <w:t xml:space="preserve">. London: British Medical Association. Available at: </w:t>
      </w:r>
      <w:r>
        <w:fldChar w:fldCharType="begin"/>
      </w:r>
      <w:r>
        <w:instrText xml:space="preserve"> HYPERLINK "https://www.bma.org.uk"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https://www.bma.org.uk</w:t>
      </w:r>
      <w:r>
        <w:rPr>
          <w:rFonts w:ascii="Arial" w:hAnsi="Arial" w:eastAsia="Arial" w:cs="Arial"/>
          <w:b w:val="0"/>
          <w:i w:val="0"/>
          <w:smallCaps w:val="0"/>
          <w:strike w:val="0"/>
          <w:color w:val="000000"/>
          <w:sz w:val="22"/>
          <w:szCs w:val="22"/>
          <w:u w:val="non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20 February 2026).</w:t>
      </w:r>
    </w:p>
    <w:p w14:paraId="0000008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Dahlgren, G. and Whitehead, M. (1991) </w:t>
      </w:r>
      <w:r>
        <w:rPr>
          <w:rFonts w:ascii="Arial" w:hAnsi="Arial" w:eastAsia="Arial" w:cs="Arial"/>
          <w:b w:val="0"/>
          <w:i/>
          <w:smallCaps w:val="0"/>
          <w:strike w:val="0"/>
          <w:color w:val="000000"/>
          <w:sz w:val="22"/>
          <w:szCs w:val="22"/>
          <w:u w:val="none"/>
          <w:shd w:val="clear" w:fill="auto"/>
          <w:vertAlign w:val="baseline"/>
          <w:rtl w:val="0"/>
        </w:rPr>
        <w:t>Policies and strategies to promote social equity in health</w:t>
      </w:r>
      <w:r>
        <w:rPr>
          <w:rFonts w:ascii="Arial" w:hAnsi="Arial" w:eastAsia="Arial" w:cs="Arial"/>
          <w:b w:val="0"/>
          <w:i w:val="0"/>
          <w:smallCaps w:val="0"/>
          <w:strike w:val="0"/>
          <w:color w:val="000000"/>
          <w:sz w:val="22"/>
          <w:szCs w:val="22"/>
          <w:u w:val="none"/>
          <w:shd w:val="clear" w:fill="auto"/>
          <w:vertAlign w:val="baseline"/>
          <w:rtl w:val="0"/>
        </w:rPr>
        <w:t>. Stockholm: Institute for Futures Studies.</w:t>
      </w:r>
    </w:p>
    <w:p w14:paraId="0000009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Department of Health and Social Care (2022) </w:t>
      </w:r>
      <w:r>
        <w:rPr>
          <w:rFonts w:ascii="Arial" w:hAnsi="Arial" w:eastAsia="Arial" w:cs="Arial"/>
          <w:b w:val="0"/>
          <w:i/>
          <w:smallCaps w:val="0"/>
          <w:strike w:val="0"/>
          <w:color w:val="000000"/>
          <w:sz w:val="22"/>
          <w:szCs w:val="22"/>
          <w:u w:val="none"/>
          <w:shd w:val="clear" w:fill="auto"/>
          <w:vertAlign w:val="baseline"/>
          <w:rtl w:val="0"/>
        </w:rPr>
        <w:t>Health and Care Act 2022</w:t>
      </w:r>
      <w:r>
        <w:rPr>
          <w:rFonts w:ascii="Arial" w:hAnsi="Arial" w:eastAsia="Arial" w:cs="Arial"/>
          <w:b w:val="0"/>
          <w:i w:val="0"/>
          <w:smallCaps w:val="0"/>
          <w:strike w:val="0"/>
          <w:color w:val="000000"/>
          <w:sz w:val="22"/>
          <w:szCs w:val="22"/>
          <w:u w:val="none"/>
          <w:shd w:val="clear" w:fill="auto"/>
          <w:vertAlign w:val="baseline"/>
          <w:rtl w:val="0"/>
        </w:rPr>
        <w:t xml:space="preserve">. London: DHSC. Available at: </w:t>
      </w:r>
      <w:r>
        <w:fldChar w:fldCharType="begin"/>
      </w:r>
      <w:r>
        <w:instrText xml:space="preserve"> HYPERLINK "https://www.legislation.gov.uk"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https://www.legislation.gov.uk</w:t>
      </w:r>
      <w:r>
        <w:rPr>
          <w:rFonts w:ascii="Arial" w:hAnsi="Arial" w:eastAsia="Arial" w:cs="Arial"/>
          <w:b w:val="0"/>
          <w:i w:val="0"/>
          <w:smallCaps w:val="0"/>
          <w:strike w:val="0"/>
          <w:color w:val="000000"/>
          <w:sz w:val="22"/>
          <w:szCs w:val="22"/>
          <w:u w:val="non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18 February 2026).</w:t>
      </w:r>
    </w:p>
    <w:p w14:paraId="0000009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Drinkwater, C., Wildman, J. and Moffatt, S. (2019) ‘Social prescribing’, </w:t>
      </w:r>
      <w:r>
        <w:rPr>
          <w:rFonts w:ascii="Arial" w:hAnsi="Arial" w:eastAsia="Arial" w:cs="Arial"/>
          <w:b w:val="0"/>
          <w:i/>
          <w:smallCaps w:val="0"/>
          <w:strike w:val="0"/>
          <w:color w:val="000000"/>
          <w:sz w:val="22"/>
          <w:szCs w:val="22"/>
          <w:u w:val="none"/>
          <w:shd w:val="clear" w:fill="auto"/>
          <w:vertAlign w:val="baseline"/>
          <w:rtl w:val="0"/>
        </w:rPr>
        <w:t>British Journal of General Practice</w:t>
      </w:r>
      <w:r>
        <w:rPr>
          <w:rFonts w:ascii="Arial" w:hAnsi="Arial" w:eastAsia="Arial" w:cs="Arial"/>
          <w:b w:val="0"/>
          <w:i w:val="0"/>
          <w:smallCaps w:val="0"/>
          <w:strike w:val="0"/>
          <w:color w:val="000000"/>
          <w:sz w:val="22"/>
          <w:szCs w:val="22"/>
          <w:u w:val="none"/>
          <w:shd w:val="clear" w:fill="auto"/>
          <w:vertAlign w:val="baseline"/>
          <w:rtl w:val="0"/>
        </w:rPr>
        <w:t>, 69(682), pp. 6–7.</w:t>
      </w:r>
    </w:p>
    <w:p w14:paraId="0000009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Engel, G.L. (1977) ‘The need for a new medical model: A challenge for biomedicine’, </w:t>
      </w:r>
      <w:r>
        <w:rPr>
          <w:rFonts w:ascii="Arial" w:hAnsi="Arial" w:eastAsia="Arial" w:cs="Arial"/>
          <w:b w:val="0"/>
          <w:i/>
          <w:smallCaps w:val="0"/>
          <w:strike w:val="0"/>
          <w:color w:val="000000"/>
          <w:sz w:val="22"/>
          <w:szCs w:val="22"/>
          <w:u w:val="none"/>
          <w:shd w:val="clear" w:fill="auto"/>
          <w:vertAlign w:val="baseline"/>
          <w:rtl w:val="0"/>
        </w:rPr>
        <w:t>Science</w:t>
      </w:r>
      <w:r>
        <w:rPr>
          <w:rFonts w:ascii="Arial" w:hAnsi="Arial" w:eastAsia="Arial" w:cs="Arial"/>
          <w:b w:val="0"/>
          <w:i w:val="0"/>
          <w:smallCaps w:val="0"/>
          <w:strike w:val="0"/>
          <w:color w:val="000000"/>
          <w:sz w:val="22"/>
          <w:szCs w:val="22"/>
          <w:u w:val="none"/>
          <w:shd w:val="clear" w:fill="auto"/>
          <w:vertAlign w:val="baseline"/>
          <w:rtl w:val="0"/>
        </w:rPr>
        <w:t>, 196(4286), pp. 129–136.</w:t>
      </w:r>
    </w:p>
    <w:p w14:paraId="0000009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Gostin, L.O., Friedman, E.A. and Wetter, S.A. (2020) ‘Global health and the law’, </w:t>
      </w:r>
      <w:r>
        <w:rPr>
          <w:rFonts w:ascii="Arial" w:hAnsi="Arial" w:eastAsia="Arial" w:cs="Arial"/>
          <w:b w:val="0"/>
          <w:i/>
          <w:smallCaps w:val="0"/>
          <w:strike w:val="0"/>
          <w:color w:val="000000"/>
          <w:sz w:val="22"/>
          <w:szCs w:val="22"/>
          <w:u w:val="none"/>
          <w:shd w:val="clear" w:fill="auto"/>
          <w:vertAlign w:val="baseline"/>
          <w:rtl w:val="0"/>
        </w:rPr>
        <w:t>The Lancet</w:t>
      </w:r>
      <w:r>
        <w:rPr>
          <w:rFonts w:ascii="Arial" w:hAnsi="Arial" w:eastAsia="Arial" w:cs="Arial"/>
          <w:b w:val="0"/>
          <w:i w:val="0"/>
          <w:smallCaps w:val="0"/>
          <w:strike w:val="0"/>
          <w:color w:val="000000"/>
          <w:sz w:val="22"/>
          <w:szCs w:val="22"/>
          <w:u w:val="none"/>
          <w:shd w:val="clear" w:fill="auto"/>
          <w:vertAlign w:val="baseline"/>
          <w:rtl w:val="0"/>
        </w:rPr>
        <w:t>, 395(10233), pp. 1607–1609.</w:t>
      </w:r>
    </w:p>
    <w:p w14:paraId="0000009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HM Government (2022) </w:t>
      </w:r>
      <w:r>
        <w:rPr>
          <w:rFonts w:ascii="Arial" w:hAnsi="Arial" w:eastAsia="Arial" w:cs="Arial"/>
          <w:b w:val="0"/>
          <w:i/>
          <w:smallCaps w:val="0"/>
          <w:strike w:val="0"/>
          <w:color w:val="000000"/>
          <w:sz w:val="22"/>
          <w:szCs w:val="22"/>
          <w:u w:val="none"/>
          <w:shd w:val="clear" w:fill="auto"/>
          <w:vertAlign w:val="baseline"/>
          <w:rtl w:val="0"/>
        </w:rPr>
        <w:t>Levelling Up the United Kingdom</w:t>
      </w:r>
      <w:r>
        <w:rPr>
          <w:rFonts w:ascii="Arial" w:hAnsi="Arial" w:eastAsia="Arial" w:cs="Arial"/>
          <w:b w:val="0"/>
          <w:i w:val="0"/>
          <w:smallCaps w:val="0"/>
          <w:strike w:val="0"/>
          <w:color w:val="000000"/>
          <w:sz w:val="22"/>
          <w:szCs w:val="22"/>
          <w:u w:val="none"/>
          <w:shd w:val="clear" w:fill="auto"/>
          <w:vertAlign w:val="baseline"/>
          <w:rtl w:val="0"/>
        </w:rPr>
        <w:t xml:space="preserve">. London: HMSO. Available at: </w:t>
      </w:r>
      <w:r>
        <w:fldChar w:fldCharType="begin"/>
      </w:r>
      <w:r>
        <w:instrText xml:space="preserve"> HYPERLINK "https://www.gov.uk"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https://www.gov.uk</w:t>
      </w:r>
      <w:r>
        <w:rPr>
          <w:rFonts w:ascii="Arial" w:hAnsi="Arial" w:eastAsia="Arial" w:cs="Arial"/>
          <w:b w:val="0"/>
          <w:i w:val="0"/>
          <w:smallCaps w:val="0"/>
          <w:strike w:val="0"/>
          <w:color w:val="000000"/>
          <w:sz w:val="22"/>
          <w:szCs w:val="22"/>
          <w:u w:val="non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16 February 2026).</w:t>
      </w:r>
    </w:p>
    <w:p w14:paraId="0000009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Institute for Fiscal Studies (IFS) (2023) </w:t>
      </w:r>
      <w:r>
        <w:rPr>
          <w:rFonts w:ascii="Arial" w:hAnsi="Arial" w:eastAsia="Arial" w:cs="Arial"/>
          <w:b w:val="0"/>
          <w:i/>
          <w:smallCaps w:val="0"/>
          <w:strike w:val="0"/>
          <w:color w:val="000000"/>
          <w:sz w:val="22"/>
          <w:szCs w:val="22"/>
          <w:u w:val="none"/>
          <w:shd w:val="clear" w:fill="auto"/>
          <w:vertAlign w:val="baseline"/>
          <w:rtl w:val="0"/>
        </w:rPr>
        <w:t>Levelling up: Funding and regional inequalities analysis</w:t>
      </w:r>
      <w:r>
        <w:rPr>
          <w:rFonts w:ascii="Arial" w:hAnsi="Arial" w:eastAsia="Arial" w:cs="Arial"/>
          <w:b w:val="0"/>
          <w:i w:val="0"/>
          <w:smallCaps w:val="0"/>
          <w:strike w:val="0"/>
          <w:color w:val="000000"/>
          <w:sz w:val="22"/>
          <w:szCs w:val="22"/>
          <w:u w:val="none"/>
          <w:shd w:val="clear" w:fill="auto"/>
          <w:vertAlign w:val="baseline"/>
          <w:rtl w:val="0"/>
        </w:rPr>
        <w:t xml:space="preserve">. London: IFS. Available at: </w:t>
      </w:r>
      <w:r>
        <w:fldChar w:fldCharType="begin"/>
      </w:r>
      <w:r>
        <w:instrText xml:space="preserve"> HYPERLINK "https://www.ifs.org.uk"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https://www.ifs.org.uk</w:t>
      </w:r>
      <w:r>
        <w:rPr>
          <w:rFonts w:ascii="Arial" w:hAnsi="Arial" w:eastAsia="Arial" w:cs="Arial"/>
          <w:b w:val="0"/>
          <w:i w:val="0"/>
          <w:smallCaps w:val="0"/>
          <w:strike w:val="0"/>
          <w:color w:val="000000"/>
          <w:sz w:val="22"/>
          <w:szCs w:val="22"/>
          <w:u w:val="non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23 February 2026).</w:t>
      </w:r>
    </w:p>
    <w:p w14:paraId="0000009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Institute of Health Equity (2023) </w:t>
      </w:r>
      <w:r>
        <w:rPr>
          <w:rFonts w:ascii="Arial" w:hAnsi="Arial" w:eastAsia="Arial" w:cs="Arial"/>
          <w:b w:val="0"/>
          <w:i/>
          <w:smallCaps w:val="0"/>
          <w:strike w:val="0"/>
          <w:color w:val="000000"/>
          <w:sz w:val="22"/>
          <w:szCs w:val="22"/>
          <w:u w:val="none"/>
          <w:shd w:val="clear" w:fill="auto"/>
          <w:vertAlign w:val="baseline"/>
          <w:rtl w:val="0"/>
        </w:rPr>
        <w:t>Health inequalities update report 2023</w:t>
      </w:r>
      <w:r>
        <w:rPr>
          <w:rFonts w:ascii="Arial" w:hAnsi="Arial" w:eastAsia="Arial" w:cs="Arial"/>
          <w:b w:val="0"/>
          <w:i w:val="0"/>
          <w:smallCaps w:val="0"/>
          <w:strike w:val="0"/>
          <w:color w:val="000000"/>
          <w:sz w:val="22"/>
          <w:szCs w:val="22"/>
          <w:u w:val="none"/>
          <w:shd w:val="clear" w:fill="auto"/>
          <w:vertAlign w:val="baseline"/>
          <w:rtl w:val="0"/>
        </w:rPr>
        <w:t xml:space="preserve">. London: IHE. Available at: </w:t>
      </w:r>
      <w:r>
        <w:fldChar w:fldCharType="begin"/>
      </w:r>
      <w:r>
        <w:instrText xml:space="preserve"> HYPERLINK "https://www.instituteofhealthequity.org"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https://www.instituteofhealthequity.org</w:t>
      </w:r>
      <w:r>
        <w:rPr>
          <w:rFonts w:ascii="Arial" w:hAnsi="Arial" w:eastAsia="Arial" w:cs="Arial"/>
          <w:b w:val="0"/>
          <w:i w:val="0"/>
          <w:smallCaps w:val="0"/>
          <w:strike w:val="0"/>
          <w:color w:val="000000"/>
          <w:sz w:val="22"/>
          <w:szCs w:val="22"/>
          <w:u w:val="non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21 February 2026).</w:t>
      </w:r>
    </w:p>
    <w:p w14:paraId="0000009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Kickbusch, I. and Gleicher, D. (2012) </w:t>
      </w:r>
      <w:r>
        <w:rPr>
          <w:rFonts w:ascii="Arial" w:hAnsi="Arial" w:eastAsia="Arial" w:cs="Arial"/>
          <w:b w:val="0"/>
          <w:i/>
          <w:smallCaps w:val="0"/>
          <w:strike w:val="0"/>
          <w:color w:val="000000"/>
          <w:sz w:val="22"/>
          <w:szCs w:val="22"/>
          <w:u w:val="none"/>
          <w:shd w:val="clear" w:fill="auto"/>
          <w:vertAlign w:val="baseline"/>
          <w:rtl w:val="0"/>
        </w:rPr>
        <w:t>Governance for health in the 21st century</w:t>
      </w:r>
      <w:r>
        <w:rPr>
          <w:rFonts w:ascii="Arial" w:hAnsi="Arial" w:eastAsia="Arial" w:cs="Arial"/>
          <w:b w:val="0"/>
          <w:i w:val="0"/>
          <w:smallCaps w:val="0"/>
          <w:strike w:val="0"/>
          <w:color w:val="000000"/>
          <w:sz w:val="22"/>
          <w:szCs w:val="22"/>
          <w:u w:val="none"/>
          <w:shd w:val="clear" w:fill="auto"/>
          <w:vertAlign w:val="baseline"/>
          <w:rtl w:val="0"/>
        </w:rPr>
        <w:t>. Copenhagen: WHO Regional Office for Europe.</w:t>
      </w:r>
    </w:p>
    <w:p w14:paraId="0000009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Kickbusch, I., Allen, L. and Franz, C. (2016) ‘The commercial determinants of health’, </w:t>
      </w:r>
      <w:r>
        <w:rPr>
          <w:rFonts w:ascii="Arial" w:hAnsi="Arial" w:eastAsia="Arial" w:cs="Arial"/>
          <w:b w:val="0"/>
          <w:i/>
          <w:smallCaps w:val="0"/>
          <w:strike w:val="0"/>
          <w:color w:val="000000"/>
          <w:sz w:val="22"/>
          <w:szCs w:val="22"/>
          <w:u w:val="none"/>
          <w:shd w:val="clear" w:fill="auto"/>
          <w:vertAlign w:val="baseline"/>
          <w:rtl w:val="0"/>
        </w:rPr>
        <w:t>The Lancet Global Health</w:t>
      </w:r>
      <w:r>
        <w:rPr>
          <w:rFonts w:ascii="Arial" w:hAnsi="Arial" w:eastAsia="Arial" w:cs="Arial"/>
          <w:b w:val="0"/>
          <w:i w:val="0"/>
          <w:smallCaps w:val="0"/>
          <w:strike w:val="0"/>
          <w:color w:val="000000"/>
          <w:sz w:val="22"/>
          <w:szCs w:val="22"/>
          <w:u w:val="none"/>
          <w:shd w:val="clear" w:fill="auto"/>
          <w:vertAlign w:val="baseline"/>
          <w:rtl w:val="0"/>
        </w:rPr>
        <w:t>, 4(12), pp. e895–e896.</w:t>
      </w:r>
    </w:p>
    <w:p w14:paraId="0000009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Labonté, R. and Schrecker, T. (2011) ‘Globalization and social determinants of health: Promoting health equity in global governance’, </w:t>
      </w:r>
      <w:r>
        <w:rPr>
          <w:rFonts w:ascii="Arial" w:hAnsi="Arial" w:eastAsia="Arial" w:cs="Arial"/>
          <w:b w:val="0"/>
          <w:i/>
          <w:smallCaps w:val="0"/>
          <w:strike w:val="0"/>
          <w:color w:val="000000"/>
          <w:sz w:val="22"/>
          <w:szCs w:val="22"/>
          <w:u w:val="none"/>
          <w:shd w:val="clear" w:fill="auto"/>
          <w:vertAlign w:val="baseline"/>
          <w:rtl w:val="0"/>
        </w:rPr>
        <w:t>Global Health</w:t>
      </w:r>
      <w:r>
        <w:rPr>
          <w:rFonts w:ascii="Arial" w:hAnsi="Arial" w:eastAsia="Arial" w:cs="Arial"/>
          <w:b w:val="0"/>
          <w:i w:val="0"/>
          <w:smallCaps w:val="0"/>
          <w:strike w:val="0"/>
          <w:color w:val="000000"/>
          <w:sz w:val="22"/>
          <w:szCs w:val="22"/>
          <w:u w:val="none"/>
          <w:shd w:val="clear" w:fill="auto"/>
          <w:vertAlign w:val="baseline"/>
          <w:rtl w:val="0"/>
        </w:rPr>
        <w:t>, 7(1), pp. 1–15.</w:t>
      </w:r>
    </w:p>
    <w:p w14:paraId="0000009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Marmot, M. (2015) </w:t>
      </w:r>
      <w:r>
        <w:rPr>
          <w:rFonts w:ascii="Arial" w:hAnsi="Arial" w:eastAsia="Arial" w:cs="Arial"/>
          <w:b w:val="0"/>
          <w:i/>
          <w:smallCaps w:val="0"/>
          <w:strike w:val="0"/>
          <w:color w:val="000000"/>
          <w:sz w:val="22"/>
          <w:szCs w:val="22"/>
          <w:u w:val="none"/>
          <w:shd w:val="clear" w:fill="auto"/>
          <w:vertAlign w:val="baseline"/>
          <w:rtl w:val="0"/>
        </w:rPr>
        <w:t>The Health Gap: The challenge of an unequal world</w:t>
      </w:r>
      <w:r>
        <w:rPr>
          <w:rFonts w:ascii="Arial" w:hAnsi="Arial" w:eastAsia="Arial" w:cs="Arial"/>
          <w:b w:val="0"/>
          <w:i w:val="0"/>
          <w:smallCaps w:val="0"/>
          <w:strike w:val="0"/>
          <w:color w:val="000000"/>
          <w:sz w:val="22"/>
          <w:szCs w:val="22"/>
          <w:u w:val="none"/>
          <w:shd w:val="clear" w:fill="auto"/>
          <w:vertAlign w:val="baseline"/>
          <w:rtl w:val="0"/>
        </w:rPr>
        <w:t>. London: Bloomsbury.</w:t>
      </w:r>
    </w:p>
    <w:p w14:paraId="0000009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Marmot, M., Allen, J., Boyce, T., Goldblatt, P. and Morrison, J. (2020) </w:t>
      </w:r>
      <w:r>
        <w:rPr>
          <w:rFonts w:ascii="Arial" w:hAnsi="Arial" w:eastAsia="Arial" w:cs="Arial"/>
          <w:b w:val="0"/>
          <w:i/>
          <w:smallCaps w:val="0"/>
          <w:strike w:val="0"/>
          <w:color w:val="000000"/>
          <w:sz w:val="22"/>
          <w:szCs w:val="22"/>
          <w:u w:val="none"/>
          <w:shd w:val="clear" w:fill="auto"/>
          <w:vertAlign w:val="baseline"/>
          <w:rtl w:val="0"/>
        </w:rPr>
        <w:t>Health equity in England: The Marmot Review 10 years on</w:t>
      </w:r>
      <w:r>
        <w:rPr>
          <w:rFonts w:ascii="Arial" w:hAnsi="Arial" w:eastAsia="Arial" w:cs="Arial"/>
          <w:b w:val="0"/>
          <w:i w:val="0"/>
          <w:smallCaps w:val="0"/>
          <w:strike w:val="0"/>
          <w:color w:val="000000"/>
          <w:sz w:val="22"/>
          <w:szCs w:val="22"/>
          <w:u w:val="none"/>
          <w:shd w:val="clear" w:fill="auto"/>
          <w:vertAlign w:val="baseline"/>
          <w:rtl w:val="0"/>
        </w:rPr>
        <w:t xml:space="preserve">. London: Institute of Health Equity. Available at: </w:t>
      </w:r>
      <w:r>
        <w:fldChar w:fldCharType="begin"/>
      </w:r>
      <w:r>
        <w:instrText xml:space="preserve"> HYPERLINK "https://www.health.org.uk"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https://www.health.org.uk</w:t>
      </w:r>
      <w:r>
        <w:rPr>
          <w:rFonts w:ascii="Arial" w:hAnsi="Arial" w:eastAsia="Arial" w:cs="Arial"/>
          <w:b w:val="0"/>
          <w:i w:val="0"/>
          <w:smallCaps w:val="0"/>
          <w:strike w:val="0"/>
          <w:color w:val="000000"/>
          <w:sz w:val="22"/>
          <w:szCs w:val="22"/>
          <w:u w:val="non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21 February 2026).</w:t>
      </w:r>
    </w:p>
    <w:p w14:paraId="0000009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Meadows, D. (2008) </w:t>
      </w:r>
      <w:r>
        <w:rPr>
          <w:rFonts w:ascii="Arial" w:hAnsi="Arial" w:eastAsia="Arial" w:cs="Arial"/>
          <w:b w:val="0"/>
          <w:i/>
          <w:smallCaps w:val="0"/>
          <w:strike w:val="0"/>
          <w:color w:val="000000"/>
          <w:sz w:val="22"/>
          <w:szCs w:val="22"/>
          <w:u w:val="none"/>
          <w:shd w:val="clear" w:fill="auto"/>
          <w:vertAlign w:val="baseline"/>
          <w:rtl w:val="0"/>
        </w:rPr>
        <w:t>Thinking in systems: A primer</w:t>
      </w:r>
      <w:r>
        <w:rPr>
          <w:rFonts w:ascii="Arial" w:hAnsi="Arial" w:eastAsia="Arial" w:cs="Arial"/>
          <w:b w:val="0"/>
          <w:i w:val="0"/>
          <w:smallCaps w:val="0"/>
          <w:strike w:val="0"/>
          <w:color w:val="000000"/>
          <w:sz w:val="22"/>
          <w:szCs w:val="22"/>
          <w:u w:val="none"/>
          <w:shd w:val="clear" w:fill="auto"/>
          <w:vertAlign w:val="baseline"/>
          <w:rtl w:val="0"/>
        </w:rPr>
        <w:t>. White River Junction, VT: Chelsea Green Publishing.</w:t>
      </w:r>
    </w:p>
    <w:p w14:paraId="0000009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National Audit Office (NAO) (2023) </w:t>
      </w:r>
      <w:r>
        <w:rPr>
          <w:rFonts w:ascii="Arial" w:hAnsi="Arial" w:eastAsia="Arial" w:cs="Arial"/>
          <w:b w:val="0"/>
          <w:i/>
          <w:smallCaps w:val="0"/>
          <w:strike w:val="0"/>
          <w:color w:val="000000"/>
          <w:sz w:val="22"/>
          <w:szCs w:val="22"/>
          <w:u w:val="none"/>
          <w:shd w:val="clear" w:fill="auto"/>
          <w:vertAlign w:val="baseline"/>
          <w:rtl w:val="0"/>
        </w:rPr>
        <w:t>Levelling up funding and delivery review</w:t>
      </w:r>
      <w:r>
        <w:rPr>
          <w:rFonts w:ascii="Arial" w:hAnsi="Arial" w:eastAsia="Arial" w:cs="Arial"/>
          <w:b w:val="0"/>
          <w:i w:val="0"/>
          <w:smallCaps w:val="0"/>
          <w:strike w:val="0"/>
          <w:color w:val="000000"/>
          <w:sz w:val="22"/>
          <w:szCs w:val="22"/>
          <w:u w:val="none"/>
          <w:shd w:val="clear" w:fill="auto"/>
          <w:vertAlign w:val="baseline"/>
          <w:rtl w:val="0"/>
        </w:rPr>
        <w:t xml:space="preserve">. London: NAO. Available at: </w:t>
      </w:r>
      <w:r>
        <w:fldChar w:fldCharType="begin"/>
      </w:r>
      <w:r>
        <w:instrText xml:space="preserve"> HYPERLINK "https://www.nao.org.uk"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https://www.nao.org.uk</w:t>
      </w:r>
      <w:r>
        <w:rPr>
          <w:rFonts w:ascii="Arial" w:hAnsi="Arial" w:eastAsia="Arial" w:cs="Arial"/>
          <w:b w:val="0"/>
          <w:i w:val="0"/>
          <w:smallCaps w:val="0"/>
          <w:strike w:val="0"/>
          <w:color w:val="000000"/>
          <w:sz w:val="22"/>
          <w:szCs w:val="22"/>
          <w:u w:val="non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09 February 2026).</w:t>
      </w:r>
    </w:p>
    <w:p w14:paraId="0000009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NHS England (2019) </w:t>
      </w:r>
      <w:r>
        <w:rPr>
          <w:rFonts w:ascii="Arial" w:hAnsi="Arial" w:eastAsia="Arial" w:cs="Arial"/>
          <w:b w:val="0"/>
          <w:i/>
          <w:smallCaps w:val="0"/>
          <w:strike w:val="0"/>
          <w:color w:val="000000"/>
          <w:sz w:val="22"/>
          <w:szCs w:val="22"/>
          <w:u w:val="none"/>
          <w:shd w:val="clear" w:fill="auto"/>
          <w:vertAlign w:val="baseline"/>
          <w:rtl w:val="0"/>
        </w:rPr>
        <w:t>The NHS Long Term Plan</w:t>
      </w:r>
      <w:r>
        <w:rPr>
          <w:rFonts w:ascii="Arial" w:hAnsi="Arial" w:eastAsia="Arial" w:cs="Arial"/>
          <w:b w:val="0"/>
          <w:i w:val="0"/>
          <w:smallCaps w:val="0"/>
          <w:strike w:val="0"/>
          <w:color w:val="000000"/>
          <w:sz w:val="22"/>
          <w:szCs w:val="22"/>
          <w:u w:val="none"/>
          <w:shd w:val="clear" w:fill="auto"/>
          <w:vertAlign w:val="baseline"/>
          <w:rtl w:val="0"/>
        </w:rPr>
        <w:t xml:space="preserve">. London: NHS England. Available at: </w:t>
      </w:r>
      <w:r>
        <w:fldChar w:fldCharType="begin"/>
      </w:r>
      <w:r>
        <w:instrText xml:space="preserve"> HYPERLINK "https://www.longtermplan.nhs.uk"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https://www.longtermplan.nhs.uk</w:t>
      </w:r>
      <w:r>
        <w:rPr>
          <w:rFonts w:ascii="Arial" w:hAnsi="Arial" w:eastAsia="Arial" w:cs="Arial"/>
          <w:b w:val="0"/>
          <w:i w:val="0"/>
          <w:smallCaps w:val="0"/>
          <w:strike w:val="0"/>
          <w:color w:val="000000"/>
          <w:sz w:val="22"/>
          <w:szCs w:val="22"/>
          <w:u w:val="non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13 February 2026).</w:t>
      </w:r>
    </w:p>
    <w:p w14:paraId="0000009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NHS England (2021) </w:t>
      </w:r>
      <w:r>
        <w:rPr>
          <w:rFonts w:ascii="Arial" w:hAnsi="Arial" w:eastAsia="Arial" w:cs="Arial"/>
          <w:b w:val="0"/>
          <w:i/>
          <w:smallCaps w:val="0"/>
          <w:strike w:val="0"/>
          <w:color w:val="000000"/>
          <w:sz w:val="22"/>
          <w:szCs w:val="22"/>
          <w:u w:val="none"/>
          <w:shd w:val="clear" w:fill="auto"/>
          <w:vertAlign w:val="baseline"/>
          <w:rtl w:val="0"/>
        </w:rPr>
        <w:t>Core20PLUS5 – An approach to reducing healthcare inequalities</w:t>
      </w:r>
      <w:r>
        <w:rPr>
          <w:rFonts w:ascii="Arial" w:hAnsi="Arial" w:eastAsia="Arial" w:cs="Arial"/>
          <w:b w:val="0"/>
          <w:i w:val="0"/>
          <w:smallCaps w:val="0"/>
          <w:strike w:val="0"/>
          <w:color w:val="000000"/>
          <w:sz w:val="22"/>
          <w:szCs w:val="22"/>
          <w:u w:val="none"/>
          <w:shd w:val="clear" w:fill="auto"/>
          <w:vertAlign w:val="baseline"/>
          <w:rtl w:val="0"/>
        </w:rPr>
        <w:t xml:space="preserve">. London: NHS England. Available at: </w:t>
      </w:r>
      <w:r>
        <w:fldChar w:fldCharType="begin"/>
      </w:r>
      <w:r>
        <w:instrText xml:space="preserve"> HYPERLINK "https://www.england.nhs.uk"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https://www.england.nhs.uk</w:t>
      </w:r>
      <w:r>
        <w:rPr>
          <w:rFonts w:ascii="Arial" w:hAnsi="Arial" w:eastAsia="Arial" w:cs="Arial"/>
          <w:b w:val="0"/>
          <w:i w:val="0"/>
          <w:smallCaps w:val="0"/>
          <w:strike w:val="0"/>
          <w:color w:val="000000"/>
          <w:sz w:val="22"/>
          <w:szCs w:val="22"/>
          <w:u w:val="non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17 February 2026).</w:t>
      </w:r>
    </w:p>
    <w:p w14:paraId="000000A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OECD (2022) </w:t>
      </w:r>
      <w:r>
        <w:rPr>
          <w:rFonts w:ascii="Arial" w:hAnsi="Arial" w:eastAsia="Arial" w:cs="Arial"/>
          <w:b w:val="0"/>
          <w:i/>
          <w:smallCaps w:val="0"/>
          <w:strike w:val="0"/>
          <w:color w:val="000000"/>
          <w:sz w:val="22"/>
          <w:szCs w:val="22"/>
          <w:u w:val="none"/>
          <w:shd w:val="clear" w:fill="auto"/>
          <w:vertAlign w:val="baseline"/>
          <w:rtl w:val="0"/>
        </w:rPr>
        <w:t>Health at a glance 2022: OECD indicators</w:t>
      </w:r>
      <w:r>
        <w:rPr>
          <w:rFonts w:ascii="Arial" w:hAnsi="Arial" w:eastAsia="Arial" w:cs="Arial"/>
          <w:b w:val="0"/>
          <w:i w:val="0"/>
          <w:smallCaps w:val="0"/>
          <w:strike w:val="0"/>
          <w:color w:val="000000"/>
          <w:sz w:val="22"/>
          <w:szCs w:val="22"/>
          <w:u w:val="none"/>
          <w:shd w:val="clear" w:fill="auto"/>
          <w:vertAlign w:val="baseline"/>
          <w:rtl w:val="0"/>
        </w:rPr>
        <w:t xml:space="preserve">. Paris: OECD Publishing. Available at: </w:t>
      </w:r>
      <w:r>
        <w:fldChar w:fldCharType="begin"/>
      </w:r>
      <w:r>
        <w:instrText xml:space="preserve"> HYPERLINK "https://www.oecd.org"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https://www.oecd.org</w:t>
      </w:r>
      <w:r>
        <w:rPr>
          <w:rFonts w:ascii="Arial" w:hAnsi="Arial" w:eastAsia="Arial" w:cs="Arial"/>
          <w:b w:val="0"/>
          <w:i w:val="0"/>
          <w:smallCaps w:val="0"/>
          <w:strike w:val="0"/>
          <w:color w:val="000000"/>
          <w:sz w:val="22"/>
          <w:szCs w:val="22"/>
          <w:u w:val="non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14 February 2026).</w:t>
      </w:r>
    </w:p>
    <w:p w14:paraId="000000A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Office for Health Improvement and Disparities (OHID) (2023) </w:t>
      </w:r>
      <w:r>
        <w:rPr>
          <w:rFonts w:ascii="Arial" w:hAnsi="Arial" w:eastAsia="Arial" w:cs="Arial"/>
          <w:b w:val="0"/>
          <w:i/>
          <w:smallCaps w:val="0"/>
          <w:strike w:val="0"/>
          <w:color w:val="000000"/>
          <w:sz w:val="22"/>
          <w:szCs w:val="22"/>
          <w:u w:val="none"/>
          <w:shd w:val="clear" w:fill="auto"/>
          <w:vertAlign w:val="baseline"/>
          <w:rtl w:val="0"/>
        </w:rPr>
        <w:t>Public health profiles: Health inequalities data in England</w:t>
      </w:r>
      <w:r>
        <w:rPr>
          <w:rFonts w:ascii="Arial" w:hAnsi="Arial" w:eastAsia="Arial" w:cs="Arial"/>
          <w:b w:val="0"/>
          <w:i w:val="0"/>
          <w:smallCaps w:val="0"/>
          <w:strike w:val="0"/>
          <w:color w:val="000000"/>
          <w:sz w:val="22"/>
          <w:szCs w:val="22"/>
          <w:u w:val="none"/>
          <w:shd w:val="clear" w:fill="auto"/>
          <w:vertAlign w:val="baseline"/>
          <w:rtl w:val="0"/>
        </w:rPr>
        <w:t xml:space="preserve">. London: OHID. Available at: </w:t>
      </w:r>
      <w:r>
        <w:fldChar w:fldCharType="begin"/>
      </w:r>
      <w:r>
        <w:instrText xml:space="preserve"> HYPERLINK "https://www.gov.uk"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https://www.gov.uk</w:t>
      </w:r>
      <w:r>
        <w:rPr>
          <w:rFonts w:ascii="Arial" w:hAnsi="Arial" w:eastAsia="Arial" w:cs="Arial"/>
          <w:b w:val="0"/>
          <w:i w:val="0"/>
          <w:smallCaps w:val="0"/>
          <w:strike w:val="0"/>
          <w:color w:val="000000"/>
          <w:sz w:val="22"/>
          <w:szCs w:val="22"/>
          <w:u w:val="non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15 February 2026).</w:t>
      </w:r>
    </w:p>
    <w:p w14:paraId="000000A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Pickett, K. and Wilkinson, R. (2015) ‘Income inequality and health: A causal review’, </w:t>
      </w:r>
      <w:r>
        <w:rPr>
          <w:rFonts w:ascii="Arial" w:hAnsi="Arial" w:eastAsia="Arial" w:cs="Arial"/>
          <w:b w:val="0"/>
          <w:i/>
          <w:smallCaps w:val="0"/>
          <w:strike w:val="0"/>
          <w:color w:val="000000"/>
          <w:sz w:val="22"/>
          <w:szCs w:val="22"/>
          <w:u w:val="none"/>
          <w:shd w:val="clear" w:fill="auto"/>
          <w:vertAlign w:val="baseline"/>
          <w:rtl w:val="0"/>
        </w:rPr>
        <w:t>Social Science &amp; Medicine</w:t>
      </w:r>
      <w:r>
        <w:rPr>
          <w:rFonts w:ascii="Arial" w:hAnsi="Arial" w:eastAsia="Arial" w:cs="Arial"/>
          <w:b w:val="0"/>
          <w:i w:val="0"/>
          <w:smallCaps w:val="0"/>
          <w:strike w:val="0"/>
          <w:color w:val="000000"/>
          <w:sz w:val="22"/>
          <w:szCs w:val="22"/>
          <w:u w:val="none"/>
          <w:shd w:val="clear" w:fill="auto"/>
          <w:vertAlign w:val="baseline"/>
          <w:rtl w:val="0"/>
        </w:rPr>
        <w:t>, 128, pp. 316–326.</w:t>
      </w:r>
    </w:p>
    <w:p w14:paraId="000000A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Stiglitz, J.E. (2019) </w:t>
      </w:r>
      <w:r>
        <w:rPr>
          <w:rFonts w:ascii="Arial" w:hAnsi="Arial" w:eastAsia="Arial" w:cs="Arial"/>
          <w:b w:val="0"/>
          <w:i/>
          <w:smallCaps w:val="0"/>
          <w:strike w:val="0"/>
          <w:color w:val="000000"/>
          <w:sz w:val="22"/>
          <w:szCs w:val="22"/>
          <w:u w:val="none"/>
          <w:shd w:val="clear" w:fill="auto"/>
          <w:vertAlign w:val="baseline"/>
          <w:rtl w:val="0"/>
        </w:rPr>
        <w:t>People, power, and profits: Progressive capitalism for an age of discontent</w:t>
      </w:r>
      <w:r>
        <w:rPr>
          <w:rFonts w:ascii="Arial" w:hAnsi="Arial" w:eastAsia="Arial" w:cs="Arial"/>
          <w:b w:val="0"/>
          <w:i w:val="0"/>
          <w:smallCaps w:val="0"/>
          <w:strike w:val="0"/>
          <w:color w:val="000000"/>
          <w:sz w:val="22"/>
          <w:szCs w:val="22"/>
          <w:u w:val="none"/>
          <w:shd w:val="clear" w:fill="auto"/>
          <w:vertAlign w:val="baseline"/>
          <w:rtl w:val="0"/>
        </w:rPr>
        <w:t>. London: Allen Lane.</w:t>
      </w:r>
    </w:p>
    <w:p w14:paraId="000000A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Stuckler, D., Reeves, A., Loopstra, R., Karanikolos, M. and McKee, M. (2017) ‘Austerity and health: The impact in the UK and Europe’, </w:t>
      </w:r>
      <w:r>
        <w:rPr>
          <w:rFonts w:ascii="Arial" w:hAnsi="Arial" w:eastAsia="Arial" w:cs="Arial"/>
          <w:b w:val="0"/>
          <w:i/>
          <w:smallCaps w:val="0"/>
          <w:strike w:val="0"/>
          <w:color w:val="000000"/>
          <w:sz w:val="22"/>
          <w:szCs w:val="22"/>
          <w:u w:val="none"/>
          <w:shd w:val="clear" w:fill="auto"/>
          <w:vertAlign w:val="baseline"/>
          <w:rtl w:val="0"/>
        </w:rPr>
        <w:t>BMJ</w:t>
      </w:r>
      <w:r>
        <w:rPr>
          <w:rFonts w:ascii="Arial" w:hAnsi="Arial" w:eastAsia="Arial" w:cs="Arial"/>
          <w:b w:val="0"/>
          <w:i w:val="0"/>
          <w:smallCaps w:val="0"/>
          <w:strike w:val="0"/>
          <w:color w:val="000000"/>
          <w:sz w:val="22"/>
          <w:szCs w:val="22"/>
          <w:u w:val="none"/>
          <w:shd w:val="clear" w:fill="auto"/>
          <w:vertAlign w:val="baseline"/>
          <w:rtl w:val="0"/>
        </w:rPr>
        <w:t>, 356, j331.</w:t>
      </w:r>
    </w:p>
    <w:p w14:paraId="000000A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The Health Foundation (2022) </w:t>
      </w:r>
      <w:r>
        <w:rPr>
          <w:rFonts w:ascii="Arial" w:hAnsi="Arial" w:eastAsia="Arial" w:cs="Arial"/>
          <w:b w:val="0"/>
          <w:i/>
          <w:smallCaps w:val="0"/>
          <w:strike w:val="0"/>
          <w:color w:val="000000"/>
          <w:sz w:val="22"/>
          <w:szCs w:val="22"/>
          <w:u w:val="none"/>
          <w:shd w:val="clear" w:fill="auto"/>
          <w:vertAlign w:val="baseline"/>
          <w:rtl w:val="0"/>
        </w:rPr>
        <w:t>Levelling up health: A practical, evidence-based framework</w:t>
      </w:r>
      <w:r>
        <w:rPr>
          <w:rFonts w:ascii="Arial" w:hAnsi="Arial" w:eastAsia="Arial" w:cs="Arial"/>
          <w:b w:val="0"/>
          <w:i w:val="0"/>
          <w:smallCaps w:val="0"/>
          <w:strike w:val="0"/>
          <w:color w:val="000000"/>
          <w:sz w:val="22"/>
          <w:szCs w:val="22"/>
          <w:u w:val="none"/>
          <w:shd w:val="clear" w:fill="auto"/>
          <w:vertAlign w:val="baseline"/>
          <w:rtl w:val="0"/>
        </w:rPr>
        <w:t xml:space="preserve">. London: The Health Foundation. Available at: </w:t>
      </w:r>
      <w:r>
        <w:fldChar w:fldCharType="begin"/>
      </w:r>
      <w:r>
        <w:instrText xml:space="preserve"> HYPERLINK "https://www.health.org.uk"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https://www.health.org.uk</w:t>
      </w:r>
      <w:r>
        <w:rPr>
          <w:rFonts w:ascii="Arial" w:hAnsi="Arial" w:eastAsia="Arial" w:cs="Arial"/>
          <w:b w:val="0"/>
          <w:i w:val="0"/>
          <w:smallCaps w:val="0"/>
          <w:strike w:val="0"/>
          <w:color w:val="000000"/>
          <w:sz w:val="22"/>
          <w:szCs w:val="22"/>
          <w:u w:val="non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24 February 2026).</w:t>
      </w:r>
    </w:p>
    <w:p w14:paraId="000000A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The Health Foundation (2023) </w:t>
      </w:r>
      <w:r>
        <w:rPr>
          <w:rFonts w:ascii="Arial" w:hAnsi="Arial" w:eastAsia="Arial" w:cs="Arial"/>
          <w:b w:val="0"/>
          <w:i/>
          <w:smallCaps w:val="0"/>
          <w:strike w:val="0"/>
          <w:color w:val="000000"/>
          <w:sz w:val="22"/>
          <w:szCs w:val="22"/>
          <w:u w:val="none"/>
          <w:shd w:val="clear" w:fill="auto"/>
          <w:vertAlign w:val="baseline"/>
          <w:rtl w:val="0"/>
        </w:rPr>
        <w:t>Health inequalities in 2023: Latest data and analysis</w:t>
      </w:r>
      <w:r>
        <w:rPr>
          <w:rFonts w:ascii="Arial" w:hAnsi="Arial" w:eastAsia="Arial" w:cs="Arial"/>
          <w:b w:val="0"/>
          <w:i w:val="0"/>
          <w:smallCaps w:val="0"/>
          <w:strike w:val="0"/>
          <w:color w:val="000000"/>
          <w:sz w:val="22"/>
          <w:szCs w:val="22"/>
          <w:u w:val="none"/>
          <w:shd w:val="clear" w:fill="auto"/>
          <w:vertAlign w:val="baseline"/>
          <w:rtl w:val="0"/>
        </w:rPr>
        <w:t xml:space="preserve">. London: The Health Foundation. Available at: </w:t>
      </w:r>
      <w:r>
        <w:fldChar w:fldCharType="begin"/>
      </w:r>
      <w:r>
        <w:instrText xml:space="preserve"> HYPERLINK "https://www.health.org.uk"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https://www.health.org.uk</w:t>
      </w:r>
      <w:r>
        <w:rPr>
          <w:rFonts w:ascii="Arial" w:hAnsi="Arial" w:eastAsia="Arial" w:cs="Arial"/>
          <w:b w:val="0"/>
          <w:i w:val="0"/>
          <w:smallCaps w:val="0"/>
          <w:strike w:val="0"/>
          <w:color w:val="000000"/>
          <w:sz w:val="22"/>
          <w:szCs w:val="22"/>
          <w:u w:val="non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17 February 2026).</w:t>
      </w:r>
    </w:p>
    <w:p w14:paraId="000000A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The King’s Fund (2022) </w:t>
      </w:r>
      <w:r>
        <w:rPr>
          <w:rFonts w:ascii="Arial" w:hAnsi="Arial" w:eastAsia="Arial" w:cs="Arial"/>
          <w:b w:val="0"/>
          <w:i/>
          <w:smallCaps w:val="0"/>
          <w:strike w:val="0"/>
          <w:color w:val="000000"/>
          <w:sz w:val="22"/>
          <w:szCs w:val="22"/>
          <w:u w:val="none"/>
          <w:shd w:val="clear" w:fill="auto"/>
          <w:vertAlign w:val="baseline"/>
          <w:rtl w:val="0"/>
        </w:rPr>
        <w:t>The NHS Long Term Plan: Progress and challenges</w:t>
      </w:r>
      <w:r>
        <w:rPr>
          <w:rFonts w:ascii="Arial" w:hAnsi="Arial" w:eastAsia="Arial" w:cs="Arial"/>
          <w:b w:val="0"/>
          <w:i w:val="0"/>
          <w:smallCaps w:val="0"/>
          <w:strike w:val="0"/>
          <w:color w:val="000000"/>
          <w:sz w:val="22"/>
          <w:szCs w:val="22"/>
          <w:u w:val="none"/>
          <w:shd w:val="clear" w:fill="auto"/>
          <w:vertAlign w:val="baseline"/>
          <w:rtl w:val="0"/>
        </w:rPr>
        <w:t xml:space="preserve">. London: The King’s Fund. Available at: </w:t>
      </w:r>
      <w:r>
        <w:fldChar w:fldCharType="begin"/>
      </w:r>
      <w:r>
        <w:instrText xml:space="preserve"> HYPERLINK "https://www.kingsfund.org.uk"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https://www.kingsfund.org.uk</w:t>
      </w:r>
      <w:r>
        <w:rPr>
          <w:rFonts w:ascii="Arial" w:hAnsi="Arial" w:eastAsia="Arial" w:cs="Arial"/>
          <w:b w:val="0"/>
          <w:i w:val="0"/>
          <w:smallCaps w:val="0"/>
          <w:strike w:val="0"/>
          <w:color w:val="000000"/>
          <w:sz w:val="22"/>
          <w:szCs w:val="22"/>
          <w:u w:val="non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13 February 2026).</w:t>
      </w:r>
    </w:p>
    <w:p w14:paraId="000000A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The King’s Fund (2023) </w:t>
      </w:r>
      <w:r>
        <w:rPr>
          <w:rFonts w:ascii="Arial" w:hAnsi="Arial" w:eastAsia="Arial" w:cs="Arial"/>
          <w:b w:val="0"/>
          <w:i/>
          <w:smallCaps w:val="0"/>
          <w:strike w:val="0"/>
          <w:color w:val="000000"/>
          <w:sz w:val="22"/>
          <w:szCs w:val="22"/>
          <w:u w:val="none"/>
          <w:shd w:val="clear" w:fill="auto"/>
          <w:vertAlign w:val="baseline"/>
          <w:rtl w:val="0"/>
        </w:rPr>
        <w:t>The Health and Care Act 2022: What does it mean for the NHS?</w:t>
      </w:r>
      <w:r>
        <w:rPr>
          <w:rFonts w:ascii="Arial" w:hAnsi="Arial" w:eastAsia="Arial" w:cs="Arial"/>
          <w:b w:val="0"/>
          <w:i w:val="0"/>
          <w:smallCaps w:val="0"/>
          <w:strike w:val="0"/>
          <w:color w:val="000000"/>
          <w:sz w:val="22"/>
          <w:szCs w:val="22"/>
          <w:u w:val="none"/>
          <w:shd w:val="clear" w:fill="auto"/>
          <w:vertAlign w:val="baseline"/>
          <w:rtl w:val="0"/>
        </w:rPr>
        <w:t xml:space="preserve"> London: The King’s Fund. Available at: </w:t>
      </w:r>
      <w:r>
        <w:fldChar w:fldCharType="begin"/>
      </w:r>
      <w:r>
        <w:instrText xml:space="preserve"> HYPERLINK "https://www.kingsfund.org.uk"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https://www.kingsfund.org.uk</w:t>
      </w:r>
      <w:r>
        <w:rPr>
          <w:rFonts w:ascii="Arial" w:hAnsi="Arial" w:eastAsia="Arial" w:cs="Arial"/>
          <w:b w:val="0"/>
          <w:i w:val="0"/>
          <w:smallCaps w:val="0"/>
          <w:strike w:val="0"/>
          <w:color w:val="000000"/>
          <w:sz w:val="22"/>
          <w:szCs w:val="22"/>
          <w:u w:val="non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14 February 2026).</w:t>
      </w:r>
    </w:p>
    <w:p w14:paraId="000000A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United Nations (2015) </w:t>
      </w:r>
      <w:r>
        <w:rPr>
          <w:rFonts w:ascii="Arial" w:hAnsi="Arial" w:eastAsia="Arial" w:cs="Arial"/>
          <w:b w:val="0"/>
          <w:i/>
          <w:smallCaps w:val="0"/>
          <w:strike w:val="0"/>
          <w:color w:val="000000"/>
          <w:sz w:val="22"/>
          <w:szCs w:val="22"/>
          <w:u w:val="none"/>
          <w:shd w:val="clear" w:fill="auto"/>
          <w:vertAlign w:val="baseline"/>
          <w:rtl w:val="0"/>
        </w:rPr>
        <w:t>Transforming our world: The 2030 Agenda for Sustainable Development</w:t>
      </w:r>
      <w:r>
        <w:rPr>
          <w:rFonts w:ascii="Arial" w:hAnsi="Arial" w:eastAsia="Arial" w:cs="Arial"/>
          <w:b w:val="0"/>
          <w:i w:val="0"/>
          <w:smallCaps w:val="0"/>
          <w:strike w:val="0"/>
          <w:color w:val="000000"/>
          <w:sz w:val="22"/>
          <w:szCs w:val="22"/>
          <w:u w:val="none"/>
          <w:shd w:val="clear" w:fill="auto"/>
          <w:vertAlign w:val="baseline"/>
          <w:rtl w:val="0"/>
        </w:rPr>
        <w:t xml:space="preserve">. New York: United Nations. Available at: </w:t>
      </w:r>
      <w:r>
        <w:fldChar w:fldCharType="begin"/>
      </w:r>
      <w:r>
        <w:instrText xml:space="preserve"> HYPERLINK "https://sdgs.un.org"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https://sdgs.un.org</w:t>
      </w:r>
      <w:r>
        <w:rPr>
          <w:rFonts w:ascii="Arial" w:hAnsi="Arial" w:eastAsia="Arial" w:cs="Arial"/>
          <w:b w:val="0"/>
          <w:i w:val="0"/>
          <w:smallCaps w:val="0"/>
          <w:strike w:val="0"/>
          <w:color w:val="000000"/>
          <w:sz w:val="22"/>
          <w:szCs w:val="22"/>
          <w:u w:val="non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09 February 2026).</w:t>
      </w:r>
    </w:p>
    <w:p w14:paraId="000000A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United Nations (2023) </w:t>
      </w:r>
      <w:r>
        <w:rPr>
          <w:rFonts w:ascii="Arial" w:hAnsi="Arial" w:eastAsia="Arial" w:cs="Arial"/>
          <w:b w:val="0"/>
          <w:i/>
          <w:smallCaps w:val="0"/>
          <w:strike w:val="0"/>
          <w:color w:val="000000"/>
          <w:sz w:val="22"/>
          <w:szCs w:val="22"/>
          <w:u w:val="none"/>
          <w:shd w:val="clear" w:fill="auto"/>
          <w:vertAlign w:val="baseline"/>
          <w:rtl w:val="0"/>
        </w:rPr>
        <w:t>The Sustainable Development Goals Report 2023</w:t>
      </w:r>
      <w:r>
        <w:rPr>
          <w:rFonts w:ascii="Arial" w:hAnsi="Arial" w:eastAsia="Arial" w:cs="Arial"/>
          <w:b w:val="0"/>
          <w:i w:val="0"/>
          <w:smallCaps w:val="0"/>
          <w:strike w:val="0"/>
          <w:color w:val="000000"/>
          <w:sz w:val="22"/>
          <w:szCs w:val="22"/>
          <w:u w:val="none"/>
          <w:shd w:val="clear" w:fill="auto"/>
          <w:vertAlign w:val="baseline"/>
          <w:rtl w:val="0"/>
        </w:rPr>
        <w:t xml:space="preserve">. New York: United Nations. Available at: </w:t>
      </w:r>
      <w:r>
        <w:fldChar w:fldCharType="begin"/>
      </w:r>
      <w:r>
        <w:instrText xml:space="preserve"> HYPERLINK "https://unstats.un.org"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https://unstats.un.org</w:t>
      </w:r>
      <w:r>
        <w:rPr>
          <w:rFonts w:ascii="Arial" w:hAnsi="Arial" w:eastAsia="Arial" w:cs="Arial"/>
          <w:b w:val="0"/>
          <w:i w:val="0"/>
          <w:smallCaps w:val="0"/>
          <w:strike w:val="0"/>
          <w:color w:val="000000"/>
          <w:sz w:val="22"/>
          <w:szCs w:val="22"/>
          <w:u w:val="non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07 February 2026).</w:t>
      </w:r>
    </w:p>
    <w:p w14:paraId="000000A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WHO (2008) </w:t>
      </w:r>
      <w:r>
        <w:rPr>
          <w:rFonts w:ascii="Arial" w:hAnsi="Arial" w:eastAsia="Arial" w:cs="Arial"/>
          <w:b w:val="0"/>
          <w:i/>
          <w:smallCaps w:val="0"/>
          <w:strike w:val="0"/>
          <w:color w:val="000000"/>
          <w:sz w:val="22"/>
          <w:szCs w:val="22"/>
          <w:u w:val="none"/>
          <w:shd w:val="clear" w:fill="auto"/>
          <w:vertAlign w:val="baseline"/>
          <w:rtl w:val="0"/>
        </w:rPr>
        <w:t>Closing the gap in a generation: Health equity through action on the social determinants of health</w:t>
      </w:r>
      <w:r>
        <w:rPr>
          <w:rFonts w:ascii="Arial" w:hAnsi="Arial" w:eastAsia="Arial" w:cs="Arial"/>
          <w:b w:val="0"/>
          <w:i w:val="0"/>
          <w:smallCaps w:val="0"/>
          <w:strike w:val="0"/>
          <w:color w:val="000000"/>
          <w:sz w:val="22"/>
          <w:szCs w:val="22"/>
          <w:u w:val="none"/>
          <w:shd w:val="clear" w:fill="auto"/>
          <w:vertAlign w:val="baseline"/>
          <w:rtl w:val="0"/>
        </w:rPr>
        <w:t>. Geneva: World Health Organization.</w:t>
      </w:r>
    </w:p>
    <w:p w14:paraId="000000A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WHO (2013) </w:t>
      </w:r>
      <w:r>
        <w:rPr>
          <w:rFonts w:ascii="Arial" w:hAnsi="Arial" w:eastAsia="Arial" w:cs="Arial"/>
          <w:b w:val="0"/>
          <w:i/>
          <w:smallCaps w:val="0"/>
          <w:strike w:val="0"/>
          <w:color w:val="000000"/>
          <w:sz w:val="22"/>
          <w:szCs w:val="22"/>
          <w:u w:val="none"/>
          <w:shd w:val="clear" w:fill="auto"/>
          <w:vertAlign w:val="baseline"/>
          <w:rtl w:val="0"/>
        </w:rPr>
        <w:t>Global action plan for the prevention and control of noncommunicable diseases 2013–2020</w:t>
      </w:r>
      <w:r>
        <w:rPr>
          <w:rFonts w:ascii="Arial" w:hAnsi="Arial" w:eastAsia="Arial" w:cs="Arial"/>
          <w:b w:val="0"/>
          <w:i w:val="0"/>
          <w:smallCaps w:val="0"/>
          <w:strike w:val="0"/>
          <w:color w:val="000000"/>
          <w:sz w:val="22"/>
          <w:szCs w:val="22"/>
          <w:u w:val="none"/>
          <w:shd w:val="clear" w:fill="auto"/>
          <w:vertAlign w:val="baseline"/>
          <w:rtl w:val="0"/>
        </w:rPr>
        <w:t>. Geneva: World Health Organization.</w:t>
      </w:r>
    </w:p>
    <w:p w14:paraId="000000A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WHO (2016) </w:t>
      </w:r>
      <w:r>
        <w:rPr>
          <w:rFonts w:ascii="Arial" w:hAnsi="Arial" w:eastAsia="Arial" w:cs="Arial"/>
          <w:b w:val="0"/>
          <w:i/>
          <w:smallCaps w:val="0"/>
          <w:strike w:val="0"/>
          <w:color w:val="000000"/>
          <w:sz w:val="22"/>
          <w:szCs w:val="22"/>
          <w:u w:val="none"/>
          <w:shd w:val="clear" w:fill="auto"/>
          <w:vertAlign w:val="baseline"/>
          <w:rtl w:val="0"/>
        </w:rPr>
        <w:t>Global strategy on human resources for health: Workforce 2030</w:t>
      </w:r>
      <w:r>
        <w:rPr>
          <w:rFonts w:ascii="Arial" w:hAnsi="Arial" w:eastAsia="Arial" w:cs="Arial"/>
          <w:b w:val="0"/>
          <w:i w:val="0"/>
          <w:smallCaps w:val="0"/>
          <w:strike w:val="0"/>
          <w:color w:val="000000"/>
          <w:sz w:val="22"/>
          <w:szCs w:val="22"/>
          <w:u w:val="none"/>
          <w:shd w:val="clear" w:fill="auto"/>
          <w:vertAlign w:val="baseline"/>
          <w:rtl w:val="0"/>
        </w:rPr>
        <w:t>. Geneva: World Health Organization.</w:t>
      </w:r>
    </w:p>
    <w:p w14:paraId="000000A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WHO (2019) </w:t>
      </w:r>
      <w:r>
        <w:rPr>
          <w:rFonts w:ascii="Arial" w:hAnsi="Arial" w:eastAsia="Arial" w:cs="Arial"/>
          <w:b w:val="0"/>
          <w:i/>
          <w:smallCaps w:val="0"/>
          <w:strike w:val="0"/>
          <w:color w:val="000000"/>
          <w:sz w:val="22"/>
          <w:szCs w:val="22"/>
          <w:u w:val="none"/>
          <w:shd w:val="clear" w:fill="auto"/>
          <w:vertAlign w:val="baseline"/>
          <w:rtl w:val="0"/>
        </w:rPr>
        <w:t>Universal health coverage (UHC)</w:t>
      </w:r>
      <w:r>
        <w:rPr>
          <w:rFonts w:ascii="Arial" w:hAnsi="Arial" w:eastAsia="Arial" w:cs="Arial"/>
          <w:b w:val="0"/>
          <w:i w:val="0"/>
          <w:smallCaps w:val="0"/>
          <w:strike w:val="0"/>
          <w:color w:val="000000"/>
          <w:sz w:val="22"/>
          <w:szCs w:val="22"/>
          <w:u w:val="none"/>
          <w:shd w:val="clear" w:fill="auto"/>
          <w:vertAlign w:val="baseline"/>
          <w:rtl w:val="0"/>
        </w:rPr>
        <w:t xml:space="preserve">. Geneva: World Health Organization. Available at: </w:t>
      </w:r>
      <w:r>
        <w:fldChar w:fldCharType="begin"/>
      </w:r>
      <w:r>
        <w:instrText xml:space="preserve"> HYPERLINK "https://www.who.int"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https://www.who.int</w:t>
      </w:r>
      <w:r>
        <w:rPr>
          <w:rFonts w:ascii="Arial" w:hAnsi="Arial" w:eastAsia="Arial" w:cs="Arial"/>
          <w:b w:val="0"/>
          <w:i w:val="0"/>
          <w:smallCaps w:val="0"/>
          <w:strike w:val="0"/>
          <w:color w:val="000000"/>
          <w:sz w:val="22"/>
          <w:szCs w:val="22"/>
          <w:u w:val="non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24 February 2026).</w:t>
      </w:r>
    </w:p>
    <w:p w14:paraId="000000A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WHO (2022a) </w:t>
      </w:r>
      <w:r>
        <w:rPr>
          <w:rFonts w:ascii="Arial" w:hAnsi="Arial" w:eastAsia="Arial" w:cs="Arial"/>
          <w:b w:val="0"/>
          <w:i/>
          <w:smallCaps w:val="0"/>
          <w:strike w:val="0"/>
          <w:color w:val="000000"/>
          <w:sz w:val="22"/>
          <w:szCs w:val="22"/>
          <w:u w:val="none"/>
          <w:shd w:val="clear" w:fill="auto"/>
          <w:vertAlign w:val="baseline"/>
          <w:rtl w:val="0"/>
        </w:rPr>
        <w:t>World mental health report: Transforming mental health for all</w:t>
      </w:r>
      <w:r>
        <w:rPr>
          <w:rFonts w:ascii="Arial" w:hAnsi="Arial" w:eastAsia="Arial" w:cs="Arial"/>
          <w:b w:val="0"/>
          <w:i w:val="0"/>
          <w:smallCaps w:val="0"/>
          <w:strike w:val="0"/>
          <w:color w:val="000000"/>
          <w:sz w:val="22"/>
          <w:szCs w:val="22"/>
          <w:u w:val="none"/>
          <w:shd w:val="clear" w:fill="auto"/>
          <w:vertAlign w:val="baseline"/>
          <w:rtl w:val="0"/>
        </w:rPr>
        <w:t>. Geneva: World Health Organization.</w:t>
      </w:r>
    </w:p>
    <w:p w14:paraId="000000B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WHO (2022b) </w:t>
      </w:r>
      <w:r>
        <w:rPr>
          <w:rFonts w:ascii="Arial" w:hAnsi="Arial" w:eastAsia="Arial" w:cs="Arial"/>
          <w:b w:val="0"/>
          <w:i/>
          <w:smallCaps w:val="0"/>
          <w:strike w:val="0"/>
          <w:color w:val="000000"/>
          <w:sz w:val="22"/>
          <w:szCs w:val="22"/>
          <w:u w:val="none"/>
          <w:shd w:val="clear" w:fill="auto"/>
          <w:vertAlign w:val="baseline"/>
          <w:rtl w:val="0"/>
        </w:rPr>
        <w:t>Pulse survey on continuity of essential health services during the COVID-19 pandemic</w:t>
      </w:r>
      <w:r>
        <w:rPr>
          <w:rFonts w:ascii="Arial" w:hAnsi="Arial" w:eastAsia="Arial" w:cs="Arial"/>
          <w:b w:val="0"/>
          <w:i w:val="0"/>
          <w:smallCaps w:val="0"/>
          <w:strike w:val="0"/>
          <w:color w:val="000000"/>
          <w:sz w:val="22"/>
          <w:szCs w:val="22"/>
          <w:u w:val="none"/>
          <w:shd w:val="clear" w:fill="auto"/>
          <w:vertAlign w:val="baseline"/>
          <w:rtl w:val="0"/>
        </w:rPr>
        <w:t>. Geneva: World Health Organization.</w:t>
      </w:r>
    </w:p>
    <w:p w14:paraId="000000B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WHO (2023a) </w:t>
      </w:r>
      <w:r>
        <w:rPr>
          <w:rFonts w:ascii="Arial" w:hAnsi="Arial" w:eastAsia="Arial" w:cs="Arial"/>
          <w:b w:val="0"/>
          <w:i/>
          <w:smallCaps w:val="0"/>
          <w:strike w:val="0"/>
          <w:color w:val="000000"/>
          <w:sz w:val="22"/>
          <w:szCs w:val="22"/>
          <w:u w:val="none"/>
          <w:shd w:val="clear" w:fill="auto"/>
          <w:vertAlign w:val="baseline"/>
          <w:rtl w:val="0"/>
        </w:rPr>
        <w:t>World health statistics 2023: Monitoring health for the SDGs</w:t>
      </w:r>
      <w:r>
        <w:rPr>
          <w:rFonts w:ascii="Arial" w:hAnsi="Arial" w:eastAsia="Arial" w:cs="Arial"/>
          <w:b w:val="0"/>
          <w:i w:val="0"/>
          <w:smallCaps w:val="0"/>
          <w:strike w:val="0"/>
          <w:color w:val="000000"/>
          <w:sz w:val="22"/>
          <w:szCs w:val="22"/>
          <w:u w:val="none"/>
          <w:shd w:val="clear" w:fill="auto"/>
          <w:vertAlign w:val="baseline"/>
          <w:rtl w:val="0"/>
        </w:rPr>
        <w:t>. Geneva: World Health Organization.</w:t>
      </w:r>
    </w:p>
    <w:p w14:paraId="000000B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Wilkinson, R. and Pickett, K. (2010) </w:t>
      </w:r>
      <w:r>
        <w:rPr>
          <w:rFonts w:ascii="Arial" w:hAnsi="Arial" w:eastAsia="Arial" w:cs="Arial"/>
          <w:b w:val="0"/>
          <w:i/>
          <w:smallCaps w:val="0"/>
          <w:strike w:val="0"/>
          <w:color w:val="000000"/>
          <w:sz w:val="22"/>
          <w:szCs w:val="22"/>
          <w:u w:val="none"/>
          <w:shd w:val="clear" w:fill="auto"/>
          <w:vertAlign w:val="baseline"/>
          <w:rtl w:val="0"/>
        </w:rPr>
        <w:t>The Spirit Level: Why equality is better for everyone</w:t>
      </w:r>
      <w:r>
        <w:rPr>
          <w:rFonts w:ascii="Arial" w:hAnsi="Arial" w:eastAsia="Arial" w:cs="Arial"/>
          <w:b w:val="0"/>
          <w:i w:val="0"/>
          <w:smallCaps w:val="0"/>
          <w:strike w:val="0"/>
          <w:color w:val="000000"/>
          <w:sz w:val="22"/>
          <w:szCs w:val="22"/>
          <w:u w:val="none"/>
          <w:shd w:val="clear" w:fill="auto"/>
          <w:vertAlign w:val="baseline"/>
          <w:rtl w:val="0"/>
        </w:rPr>
        <w:t>. London: Penguin.</w:t>
      </w:r>
    </w:p>
    <w:p w14:paraId="000000B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World Bank (2022) </w:t>
      </w:r>
      <w:r>
        <w:rPr>
          <w:rFonts w:ascii="Arial" w:hAnsi="Arial" w:eastAsia="Arial" w:cs="Arial"/>
          <w:b w:val="0"/>
          <w:i/>
          <w:smallCaps w:val="0"/>
          <w:strike w:val="0"/>
          <w:color w:val="000000"/>
          <w:sz w:val="22"/>
          <w:szCs w:val="22"/>
          <w:u w:val="none"/>
          <w:shd w:val="clear" w:fill="auto"/>
          <w:vertAlign w:val="baseline"/>
          <w:rtl w:val="0"/>
        </w:rPr>
        <w:t>Poverty and shared prosperity 2022: Correcting course</w:t>
      </w:r>
      <w:r>
        <w:rPr>
          <w:rFonts w:ascii="Arial" w:hAnsi="Arial" w:eastAsia="Arial" w:cs="Arial"/>
          <w:b w:val="0"/>
          <w:i w:val="0"/>
          <w:smallCaps w:val="0"/>
          <w:strike w:val="0"/>
          <w:color w:val="000000"/>
          <w:sz w:val="22"/>
          <w:szCs w:val="22"/>
          <w:u w:val="none"/>
          <w:shd w:val="clear" w:fill="auto"/>
          <w:vertAlign w:val="baseline"/>
          <w:rtl w:val="0"/>
        </w:rPr>
        <w:t xml:space="preserve">. Washington, DC: World Bank. Available at: </w:t>
      </w:r>
      <w:r>
        <w:fldChar w:fldCharType="begin"/>
      </w:r>
      <w:r>
        <w:instrText xml:space="preserve"> HYPERLINK "https://www.worldbank.org"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https://www.worldbank.org</w:t>
      </w:r>
      <w:r>
        <w:rPr>
          <w:rFonts w:ascii="Arial" w:hAnsi="Arial" w:eastAsia="Arial" w:cs="Arial"/>
          <w:b w:val="0"/>
          <w:i w:val="0"/>
          <w:smallCaps w:val="0"/>
          <w:strike w:val="0"/>
          <w:color w:val="000000"/>
          <w:sz w:val="22"/>
          <w:szCs w:val="22"/>
          <w:u w:val="non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14 February 2026).</w:t>
      </w:r>
    </w:p>
    <w:p w14:paraId="000000B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World Bank (2023) </w:t>
      </w:r>
      <w:r>
        <w:rPr>
          <w:rFonts w:ascii="Arial" w:hAnsi="Arial" w:eastAsia="Arial" w:cs="Arial"/>
          <w:b w:val="0"/>
          <w:i/>
          <w:smallCaps w:val="0"/>
          <w:strike w:val="0"/>
          <w:color w:val="000000"/>
          <w:sz w:val="22"/>
          <w:szCs w:val="22"/>
          <w:u w:val="none"/>
          <w:shd w:val="clear" w:fill="auto"/>
          <w:vertAlign w:val="baseline"/>
          <w:rtl w:val="0"/>
        </w:rPr>
        <w:t>World development report 2023</w:t>
      </w:r>
      <w:r>
        <w:rPr>
          <w:rFonts w:ascii="Arial" w:hAnsi="Arial" w:eastAsia="Arial" w:cs="Arial"/>
          <w:b w:val="0"/>
          <w:i w:val="0"/>
          <w:smallCaps w:val="0"/>
          <w:strike w:val="0"/>
          <w:color w:val="000000"/>
          <w:sz w:val="22"/>
          <w:szCs w:val="22"/>
          <w:u w:val="none"/>
          <w:shd w:val="clear" w:fill="auto"/>
          <w:vertAlign w:val="baseline"/>
          <w:rtl w:val="0"/>
        </w:rPr>
        <w:t xml:space="preserve">. Washington, DC: World Bank. Available at: </w:t>
      </w:r>
      <w:r>
        <w:fldChar w:fldCharType="begin"/>
      </w:r>
      <w:r>
        <w:instrText xml:space="preserve"> HYPERLINK "https://www.worldbank.org" \h </w:instrText>
      </w:r>
      <w:r>
        <w:fldChar w:fldCharType="separate"/>
      </w:r>
      <w:r>
        <w:rPr>
          <w:rFonts w:ascii="Arial" w:hAnsi="Arial" w:eastAsia="Arial" w:cs="Arial"/>
          <w:b w:val="0"/>
          <w:i w:val="0"/>
          <w:smallCaps w:val="0"/>
          <w:strike w:val="0"/>
          <w:color w:val="000000"/>
          <w:sz w:val="22"/>
          <w:szCs w:val="22"/>
          <w:u w:val="none"/>
          <w:shd w:val="clear" w:fill="auto"/>
          <w:vertAlign w:val="baseline"/>
          <w:rtl w:val="0"/>
        </w:rPr>
        <w:t>https://www.worldbank.org</w:t>
      </w:r>
      <w:r>
        <w:rPr>
          <w:rFonts w:ascii="Arial" w:hAnsi="Arial" w:eastAsia="Arial" w:cs="Arial"/>
          <w:b w:val="0"/>
          <w:i w:val="0"/>
          <w:smallCaps w:val="0"/>
          <w:strike w:val="0"/>
          <w:color w:val="000000"/>
          <w:sz w:val="22"/>
          <w:szCs w:val="22"/>
          <w:u w:val="non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13 February 2026).</w:t>
      </w:r>
    </w:p>
    <w:p w14:paraId="000000B5">
      <w:pPr>
        <w:spacing w:line="360" w:lineRule="auto"/>
        <w:jc w:val="both"/>
        <w:rPr>
          <w:rFonts w:ascii="Arial" w:hAnsi="Arial" w:eastAsia="Arial" w:cs="Arial"/>
        </w:rPr>
      </w:pPr>
    </w:p>
    <w:p w14:paraId="000000B6">
      <w:pPr>
        <w:spacing w:line="360" w:lineRule="auto"/>
        <w:jc w:val="both"/>
        <w:rPr>
          <w:rFonts w:ascii="Arial" w:hAnsi="Arial" w:eastAsia="Arial" w:cs="Arial"/>
        </w:rPr>
      </w:pPr>
    </w:p>
    <w:sectPr>
      <w:footerReference r:id="rId5" w:type="default"/>
      <w:pgSz w:w="11906" w:h="16838"/>
      <w:pgMar w:top="1440" w:right="1440" w:bottom="1440" w:left="144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Quattrocento Sans">
    <w:altName w:val="Segoe Print"/>
    <w:panose1 w:val="00000000000000000000"/>
    <w:charset w:val="00"/>
    <w:family w:val="auto"/>
    <w:pitch w:val="default"/>
    <w:sig w:usb0="00000000" w:usb1="00000000" w:usb2="00000000" w:usb3="00000000" w:csb0="00000000" w:csb1="00000000"/>
  </w:font>
  <w:font w:name="Play">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B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513"/>
        <w:tab w:val="right" w:pos="9026"/>
      </w:tabs>
      <w:spacing w:before="0" w:after="0" w:line="240" w:lineRule="auto"/>
      <w:ind w:left="0" w:right="0" w:firstLine="0"/>
      <w:jc w:val="center"/>
      <w:rPr>
        <w:rFonts w:ascii="Calibri" w:hAnsi="Calibri" w:eastAsia="Calibri" w:cs="Calibri"/>
        <w:b w:val="0"/>
        <w:i w:val="0"/>
        <w:smallCaps w:val="0"/>
        <w:strike w:val="0"/>
        <w:color w:val="000000"/>
        <w:sz w:val="22"/>
        <w:szCs w:val="22"/>
        <w:u w:val="none"/>
        <w:shd w:val="clear" w:fill="auto"/>
        <w:vertAlign w:val="baseline"/>
      </w:rPr>
    </w:pPr>
    <w:r>
      <w:rPr>
        <w:rFonts w:ascii="Calibri" w:hAnsi="Calibri" w:eastAsia="Calibri" w:cs="Calibri"/>
        <w:b w:val="0"/>
        <w:i w:val="0"/>
        <w:smallCaps w:val="0"/>
        <w:strike w:val="0"/>
        <w:color w:val="000000"/>
        <w:sz w:val="22"/>
        <w:szCs w:val="22"/>
        <w:u w:val="none"/>
        <w:shd w:val="clear" w:fill="auto"/>
        <w:vertAlign w:val="baseline"/>
      </w:rPr>
      <w:fldChar w:fldCharType="begin"/>
    </w:r>
    <w:r>
      <w:rPr>
        <w:rFonts w:ascii="Calibri" w:hAnsi="Calibri" w:eastAsia="Calibri" w:cs="Calibri"/>
        <w:b w:val="0"/>
        <w:i w:val="0"/>
        <w:smallCaps w:val="0"/>
        <w:strike w:val="0"/>
        <w:color w:val="000000"/>
        <w:sz w:val="22"/>
        <w:szCs w:val="22"/>
        <w:u w:val="none"/>
        <w:shd w:val="clear" w:fill="auto"/>
        <w:vertAlign w:val="baseline"/>
      </w:rPr>
      <w:instrText xml:space="preserve">PAGE</w:instrText>
    </w:r>
    <w:r>
      <w:rPr>
        <w:rFonts w:ascii="Calibri" w:hAnsi="Calibri" w:eastAsia="Calibri" w:cs="Calibri"/>
        <w:b w:val="0"/>
        <w:i w:val="0"/>
        <w:smallCaps w:val="0"/>
        <w:strike w:val="0"/>
        <w:color w:val="000000"/>
        <w:sz w:val="22"/>
        <w:szCs w:val="22"/>
        <w:u w:val="none"/>
        <w:shd w:val="clear" w:fill="auto"/>
        <w:vertAlign w:val="baseline"/>
      </w:rPr>
      <w:fldChar w:fldCharType="separate"/>
    </w:r>
    <w:r>
      <w:rPr>
        <w:rFonts w:ascii="Calibri" w:hAnsi="Calibri" w:eastAsia="Calibri" w:cs="Calibri"/>
        <w:b w:val="0"/>
        <w:i w:val="0"/>
        <w:smallCaps w:val="0"/>
        <w:strike w:val="0"/>
        <w:color w:val="000000"/>
        <w:sz w:val="22"/>
        <w:szCs w:val="22"/>
        <w:u w:val="none"/>
        <w:shd w:val="clear" w:fill="auto"/>
        <w:vertAlign w:val="baseline"/>
      </w:rPr>
      <w:fldChar w:fldCharType="end"/>
    </w:r>
  </w:p>
  <w:p w14:paraId="000000B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513"/>
        <w:tab w:val="right" w:pos="9026"/>
      </w:tabs>
      <w:spacing w:before="0" w:after="0" w:line="240" w:lineRule="auto"/>
      <w:ind w:left="0" w:right="0" w:firstLine="0"/>
      <w:jc w:val="left"/>
      <w:rPr>
        <w:rFonts w:ascii="Calibri" w:hAnsi="Calibri" w:eastAsia="Calibri" w:cs="Calibri"/>
        <w:b w:val="0"/>
        <w:i w:val="0"/>
        <w:smallCaps w:val="0"/>
        <w:strike w:val="0"/>
        <w:color w:val="000000"/>
        <w:sz w:val="22"/>
        <w:szCs w:val="22"/>
        <w:u w:val="none"/>
        <w:shd w:val="clear" w:fill="auto"/>
        <w:vertAlign w:val="baselin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ind w:left="720" w:hanging="360"/>
      </w:pPr>
    </w:lvl>
    <w:lvl w:ilvl="1" w:tentative="0">
      <w:start w:val="1"/>
      <w:numFmt w:val="decimal"/>
      <w:lvlText w:val="%2."/>
      <w:lvlJc w:val="left"/>
      <w:pPr>
        <w:ind w:left="1440" w:hanging="360"/>
      </w:pPr>
    </w:lvl>
    <w:lvl w:ilvl="2" w:tentative="0">
      <w:start w:val="1"/>
      <w:numFmt w:val="decimal"/>
      <w:lvlText w:val="%3."/>
      <w:lvlJc w:val="left"/>
      <w:pPr>
        <w:ind w:left="2160" w:hanging="360"/>
      </w:pPr>
    </w:lvl>
    <w:lvl w:ilvl="3" w:tentative="0">
      <w:start w:val="1"/>
      <w:numFmt w:val="decimal"/>
      <w:lvlText w:val="%4."/>
      <w:lvlJc w:val="left"/>
      <w:pPr>
        <w:ind w:left="2880" w:hanging="360"/>
      </w:pPr>
    </w:lvl>
    <w:lvl w:ilvl="4" w:tentative="0">
      <w:start w:val="1"/>
      <w:numFmt w:val="decimal"/>
      <w:lvlText w:val="%5."/>
      <w:lvlJc w:val="left"/>
      <w:pPr>
        <w:ind w:left="3600" w:hanging="360"/>
      </w:pPr>
    </w:lvl>
    <w:lvl w:ilvl="5" w:tentative="0">
      <w:start w:val="1"/>
      <w:numFmt w:val="decimal"/>
      <w:lvlText w:val="%6."/>
      <w:lvlJc w:val="left"/>
      <w:pPr>
        <w:ind w:left="4320" w:hanging="360"/>
      </w:pPr>
    </w:lvl>
    <w:lvl w:ilvl="6" w:tentative="0">
      <w:start w:val="1"/>
      <w:numFmt w:val="decimal"/>
      <w:lvlText w:val="%7."/>
      <w:lvlJc w:val="left"/>
      <w:pPr>
        <w:ind w:left="5040" w:hanging="360"/>
      </w:pPr>
    </w:lvl>
    <w:lvl w:ilvl="7" w:tentative="0">
      <w:start w:val="1"/>
      <w:numFmt w:val="decimal"/>
      <w:lvlText w:val="%8."/>
      <w:lvlJc w:val="left"/>
      <w:pPr>
        <w:ind w:left="5760" w:hanging="360"/>
      </w:pPr>
    </w:lvl>
    <w:lvl w:ilvl="8" w:tentative="0">
      <w:start w:val="1"/>
      <w:numFmt w:val="decimal"/>
      <w:lvlText w:val="%9."/>
      <w:lvlJc w:val="left"/>
      <w:pPr>
        <w:ind w:left="6480" w:hanging="360"/>
      </w:pPr>
    </w:lvl>
  </w:abstractNum>
  <w:abstractNum w:abstractNumId="1">
    <w:nsid w:val="0053208E"/>
    <w:multiLevelType w:val="multilevel"/>
    <w:tmpl w:val="0053208E"/>
    <w:lvl w:ilvl="0" w:tentative="0">
      <w:start w:val="1"/>
      <w:numFmt w:val="decimal"/>
      <w:lvlText w:val="%1."/>
      <w:lvlJc w:val="left"/>
      <w:pPr>
        <w:ind w:left="720" w:hanging="360"/>
      </w:pPr>
    </w:lvl>
    <w:lvl w:ilvl="1" w:tentative="0">
      <w:start w:val="1"/>
      <w:numFmt w:val="decimal"/>
      <w:lvlText w:val="%2."/>
      <w:lvlJc w:val="left"/>
      <w:pPr>
        <w:ind w:left="1440" w:hanging="360"/>
      </w:pPr>
    </w:lvl>
    <w:lvl w:ilvl="2" w:tentative="0">
      <w:start w:val="1"/>
      <w:numFmt w:val="decimal"/>
      <w:lvlText w:val="%3."/>
      <w:lvlJc w:val="left"/>
      <w:pPr>
        <w:ind w:left="2160" w:hanging="360"/>
      </w:pPr>
    </w:lvl>
    <w:lvl w:ilvl="3" w:tentative="0">
      <w:start w:val="1"/>
      <w:numFmt w:val="decimal"/>
      <w:lvlText w:val="%4."/>
      <w:lvlJc w:val="left"/>
      <w:pPr>
        <w:ind w:left="2880" w:hanging="360"/>
      </w:pPr>
    </w:lvl>
    <w:lvl w:ilvl="4" w:tentative="0">
      <w:start w:val="1"/>
      <w:numFmt w:val="decimal"/>
      <w:lvlText w:val="%5."/>
      <w:lvlJc w:val="left"/>
      <w:pPr>
        <w:ind w:left="3600" w:hanging="360"/>
      </w:pPr>
    </w:lvl>
    <w:lvl w:ilvl="5" w:tentative="0">
      <w:start w:val="1"/>
      <w:numFmt w:val="decimal"/>
      <w:lvlText w:val="%6."/>
      <w:lvlJc w:val="left"/>
      <w:pPr>
        <w:ind w:left="4320" w:hanging="360"/>
      </w:pPr>
    </w:lvl>
    <w:lvl w:ilvl="6" w:tentative="0">
      <w:start w:val="1"/>
      <w:numFmt w:val="decimal"/>
      <w:lvlText w:val="%7."/>
      <w:lvlJc w:val="left"/>
      <w:pPr>
        <w:ind w:left="5040" w:hanging="360"/>
      </w:pPr>
    </w:lvl>
    <w:lvl w:ilvl="7" w:tentative="0">
      <w:start w:val="1"/>
      <w:numFmt w:val="decimal"/>
      <w:lvlText w:val="%8."/>
      <w:lvlJc w:val="left"/>
      <w:pPr>
        <w:ind w:left="5760" w:hanging="360"/>
      </w:pPr>
    </w:lvl>
    <w:lvl w:ilvl="8" w:tentative="0">
      <w:start w:val="1"/>
      <w:numFmt w:val="decimal"/>
      <w:lvlText w:val="%9."/>
      <w:lvlJc w:val="left"/>
      <w:pPr>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20033708"/>
    <w:rsid w:val="66F647A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Calibri" w:hAnsi="Calibri" w:eastAsia="Calibri" w:cs="Calibri"/>
      <w:sz w:val="22"/>
      <w:szCs w:val="22"/>
      <w:lang w:val="en-GB"/>
    </w:rPr>
  </w:style>
  <w:style w:type="paragraph" w:styleId="2">
    <w:name w:val="heading 1"/>
    <w:basedOn w:val="1"/>
    <w:next w:val="1"/>
    <w:uiPriority w:val="0"/>
    <w:pPr>
      <w:keepNext/>
      <w:keepLines/>
      <w:spacing w:before="360" w:after="80"/>
    </w:pPr>
    <w:rPr>
      <w:rFonts w:ascii="Calibri" w:hAnsi="Calibri" w:eastAsia="Calibri" w:cs="Calibri"/>
      <w:color w:val="2F5496"/>
      <w:sz w:val="40"/>
      <w:szCs w:val="40"/>
    </w:rPr>
  </w:style>
  <w:style w:type="paragraph" w:styleId="3">
    <w:name w:val="heading 2"/>
    <w:basedOn w:val="1"/>
    <w:next w:val="1"/>
    <w:uiPriority w:val="0"/>
    <w:pPr>
      <w:keepNext/>
      <w:keepLines/>
      <w:spacing w:before="160" w:after="80"/>
    </w:pPr>
    <w:rPr>
      <w:rFonts w:ascii="Calibri" w:hAnsi="Calibri" w:eastAsia="Calibri" w:cs="Calibri"/>
      <w:color w:val="2F5496"/>
      <w:sz w:val="32"/>
      <w:szCs w:val="32"/>
    </w:rPr>
  </w:style>
  <w:style w:type="paragraph" w:styleId="4">
    <w:name w:val="heading 3"/>
    <w:basedOn w:val="1"/>
    <w:next w:val="1"/>
    <w:uiPriority w:val="0"/>
    <w:pPr>
      <w:keepNext/>
      <w:keepLines/>
      <w:spacing w:before="160" w:after="80"/>
    </w:pPr>
    <w:rPr>
      <w:color w:val="2F5496"/>
      <w:sz w:val="28"/>
      <w:szCs w:val="28"/>
    </w:rPr>
  </w:style>
  <w:style w:type="paragraph" w:styleId="5">
    <w:name w:val="heading 4"/>
    <w:basedOn w:val="1"/>
    <w:next w:val="1"/>
    <w:uiPriority w:val="0"/>
    <w:pPr>
      <w:keepNext/>
      <w:keepLines/>
      <w:spacing w:before="80" w:after="40"/>
    </w:pPr>
    <w:rPr>
      <w:i/>
      <w:color w:val="2F5496"/>
    </w:rPr>
  </w:style>
  <w:style w:type="paragraph" w:styleId="6">
    <w:name w:val="heading 5"/>
    <w:basedOn w:val="1"/>
    <w:next w:val="1"/>
    <w:uiPriority w:val="0"/>
    <w:pPr>
      <w:keepNext/>
      <w:keepLines/>
      <w:spacing w:before="80" w:after="40"/>
    </w:pPr>
    <w:rPr>
      <w:color w:val="2F5496"/>
    </w:rPr>
  </w:style>
  <w:style w:type="paragraph" w:styleId="7">
    <w:name w:val="heading 6"/>
    <w:basedOn w:val="1"/>
    <w:next w:val="1"/>
    <w:uiPriority w:val="0"/>
    <w:pPr>
      <w:keepNext/>
      <w:keepLines/>
      <w:spacing w:before="40" w:after="0"/>
    </w:pPr>
    <w:rPr>
      <w:i/>
      <w:color w:val="595959"/>
    </w:rPr>
  </w:style>
  <w:style w:type="character" w:default="1" w:styleId="8">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10">
    <w:name w:val="Subtitle"/>
    <w:basedOn w:val="1"/>
    <w:next w:val="1"/>
    <w:uiPriority w:val="0"/>
    <w:rPr>
      <w:color w:val="595959"/>
      <w:sz w:val="28"/>
      <w:szCs w:val="28"/>
    </w:rPr>
  </w:style>
  <w:style w:type="paragraph" w:styleId="11">
    <w:name w:val="Title"/>
    <w:basedOn w:val="1"/>
    <w:next w:val="1"/>
    <w:qFormat/>
    <w:uiPriority w:val="0"/>
    <w:pPr>
      <w:spacing w:after="80" w:line="240" w:lineRule="auto"/>
    </w:pPr>
    <w:rPr>
      <w:rFonts w:ascii="Calibri" w:hAnsi="Calibri" w:eastAsia="Calibri" w:cs="Calibri"/>
      <w:sz w:val="56"/>
      <w:szCs w:val="56"/>
    </w:rPr>
  </w:style>
  <w:style w:type="table" w:customStyle="1" w:styleId="12">
    <w:name w:val="Table Normal1"/>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Pages>15</Pages>
  <TotalTime>7</TotalTime>
  <ScaleCrop>false</ScaleCrop>
  <LinksUpToDate>false</LinksUpToDate>
  <Application>WPS Office_12.2.0.23197_F1E327BC-269C-435d-A152-05C5408002CA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2026-03-25T18:38:54Z</dcterms:created>
  <dc:creator>Piya1</dc:creator>
  <cp:lastModifiedBy>Piya1</cp:lastModifiedBy>
  <dcterms:modified xsi:type="dcterms:W3CDTF">2026-03-25T18:47:17Z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2057-12.2.0.23197</vt:lpwstr>
  </property>
  <property fmtid="{D5CDD505-2E9C-101B-9397-08002B2CF9AE}" pid="3" name="ICV">
    <vt:lpwstr>7C60D052B77F4DB08B8D2292EA742E3B_12</vt:lpwstr>
  </property>
</Properties>
</file>