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ABDDC" w14:textId="77777777" w:rsidR="008B4FB2" w:rsidRPr="008B4FB2" w:rsidRDefault="00190C8B" w:rsidP="008B4FB2">
      <w:pPr>
        <w:shd w:val="clear" w:color="auto" w:fill="auto"/>
        <w:spacing w:line="360" w:lineRule="auto"/>
        <w:rPr>
          <w:b/>
          <w:bCs/>
          <w:sz w:val="22"/>
          <w:szCs w:val="22"/>
          <w:highlight w:val="none"/>
          <w:lang w:val="en-GB"/>
        </w:rPr>
      </w:pPr>
      <w:r>
        <w:rPr>
          <w:b/>
          <w:bCs/>
          <w:sz w:val="22"/>
          <w:szCs w:val="22"/>
          <w:highlight w:val="none"/>
        </w:rPr>
        <w:t xml:space="preserve">MODULE 4 Submission: </w:t>
      </w:r>
      <w:r w:rsidR="008B4FB2" w:rsidRPr="008B4FB2">
        <w:rPr>
          <w:b/>
          <w:bCs/>
          <w:sz w:val="22"/>
          <w:szCs w:val="22"/>
          <w:highlight w:val="none"/>
          <w:lang w:val="en-GB"/>
        </w:rPr>
        <w:t>BMPF7073D</w:t>
      </w:r>
    </w:p>
    <w:p w14:paraId="641F2501" w14:textId="321904AF" w:rsidR="00190C8B" w:rsidRPr="00190C8B" w:rsidRDefault="00190C8B" w:rsidP="00F12485">
      <w:pPr>
        <w:shd w:val="clear" w:color="auto" w:fill="auto"/>
        <w:spacing w:line="360" w:lineRule="auto"/>
        <w:rPr>
          <w:b/>
          <w:bCs/>
          <w:sz w:val="22"/>
          <w:szCs w:val="22"/>
          <w:highlight w:val="none"/>
          <w:lang w:val="en-GB"/>
        </w:rPr>
      </w:pPr>
      <w:r w:rsidRPr="00190C8B">
        <w:rPr>
          <w:b/>
          <w:bCs/>
          <w:sz w:val="22"/>
          <w:szCs w:val="22"/>
          <w:highlight w:val="none"/>
          <w:lang w:val="en-GB"/>
        </w:rPr>
        <w:t>Jessica Bray (San</w:t>
      </w:r>
      <w:r>
        <w:rPr>
          <w:b/>
          <w:bCs/>
          <w:sz w:val="22"/>
          <w:szCs w:val="22"/>
          <w:highlight w:val="none"/>
          <w:lang w:val="en-GB"/>
        </w:rPr>
        <w:t>chez) 2317330</w:t>
      </w:r>
    </w:p>
    <w:p w14:paraId="0C7CB8EB" w14:textId="77777777" w:rsidR="00190C8B" w:rsidRDefault="00190C8B" w:rsidP="00F12485">
      <w:pPr>
        <w:shd w:val="clear" w:color="auto" w:fill="auto"/>
        <w:spacing w:line="360" w:lineRule="auto"/>
        <w:rPr>
          <w:b/>
          <w:bCs/>
          <w:sz w:val="22"/>
          <w:szCs w:val="22"/>
          <w:highlight w:val="none"/>
          <w:lang w:val="en-GB"/>
        </w:rPr>
      </w:pPr>
    </w:p>
    <w:p w14:paraId="40A63596" w14:textId="04D57882" w:rsidR="00EF6272" w:rsidRPr="00190C8B" w:rsidRDefault="00000000" w:rsidP="00F12485">
      <w:pPr>
        <w:shd w:val="clear" w:color="auto" w:fill="auto"/>
        <w:spacing w:line="360" w:lineRule="auto"/>
        <w:rPr>
          <w:b/>
          <w:bCs/>
          <w:sz w:val="22"/>
          <w:szCs w:val="22"/>
          <w:highlight w:val="none"/>
          <w:lang w:val="en-GB"/>
        </w:rPr>
      </w:pPr>
      <w:r w:rsidRPr="00190C8B">
        <w:rPr>
          <w:b/>
          <w:bCs/>
          <w:sz w:val="22"/>
          <w:szCs w:val="22"/>
          <w:highlight w:val="none"/>
          <w:lang w:val="en-GB"/>
        </w:rPr>
        <w:t>Component 1- Project Portfolio</w:t>
      </w:r>
    </w:p>
    <w:p w14:paraId="4362848C" w14:textId="77777777" w:rsidR="00EF6272" w:rsidRPr="00190C8B" w:rsidRDefault="00EF6272" w:rsidP="00F12485">
      <w:pPr>
        <w:shd w:val="clear" w:color="auto" w:fill="auto"/>
        <w:spacing w:line="360" w:lineRule="auto"/>
        <w:rPr>
          <w:sz w:val="22"/>
          <w:szCs w:val="22"/>
          <w:highlight w:val="none"/>
          <w:lang w:val="en-GB"/>
        </w:rPr>
      </w:pPr>
    </w:p>
    <w:p w14:paraId="3583CC85" w14:textId="77777777" w:rsidR="00EF6272" w:rsidRPr="00F12485" w:rsidRDefault="00000000" w:rsidP="00F12485">
      <w:pPr>
        <w:shd w:val="clear" w:color="auto" w:fill="auto"/>
        <w:spacing w:line="360" w:lineRule="auto"/>
        <w:rPr>
          <w:b/>
          <w:bCs/>
          <w:sz w:val="22"/>
          <w:szCs w:val="22"/>
          <w:highlight w:val="none"/>
        </w:rPr>
      </w:pPr>
      <w:r w:rsidRPr="00F12485">
        <w:rPr>
          <w:b/>
          <w:bCs/>
          <w:sz w:val="22"/>
          <w:szCs w:val="22"/>
          <w:highlight w:val="none"/>
        </w:rPr>
        <w:t xml:space="preserve">1.1 Introduction </w:t>
      </w:r>
    </w:p>
    <w:p w14:paraId="1C49E61B"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t>Since adolescence, I have been actively involved in community singing and amateur musical theatre. Now in my late thirties, I maintain a professional practice as a voice and singing teacher, alongside freelance work as a musical theatre director and producer. A substantial portion of my students participate in amateur singing contexts—ranging from musical theatre and choirs to contemporary commercial music (CCM) performances in local venues.</w:t>
      </w:r>
    </w:p>
    <w:p w14:paraId="5A0D60D7"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Through my engagement with the community arts scene, I have observed a recurring pattern of vocal strain, fatigue, and even voice loss among amateur performers. These issues often intensify during production weeks, when individuals juggle full-time work or study with performance demands, frequently neglecting vocal warm-ups and rest. Despite the physical demands of singing, many amateur performers lack formal training in vocal technique or vocal health, a gap that increases their vulnerability to vocal injury (Rosa &amp; </w:t>
      </w:r>
      <w:proofErr w:type="spellStart"/>
      <w:r w:rsidRPr="00F12485">
        <w:rPr>
          <w:sz w:val="22"/>
          <w:szCs w:val="22"/>
          <w:highlight w:val="none"/>
        </w:rPr>
        <w:t>Behlau</w:t>
      </w:r>
      <w:proofErr w:type="spellEnd"/>
      <w:r w:rsidRPr="00F12485">
        <w:rPr>
          <w:sz w:val="22"/>
          <w:szCs w:val="22"/>
          <w:highlight w:val="none"/>
        </w:rPr>
        <w:t>, 2017; Sharma et al., 2021).</w:t>
      </w:r>
    </w:p>
    <w:p w14:paraId="0B3063DD" w14:textId="047DAEE0" w:rsidR="00EE6921" w:rsidRPr="00EE6921" w:rsidRDefault="00EE6921" w:rsidP="00F12485">
      <w:pPr>
        <w:shd w:val="clear" w:color="auto" w:fill="auto"/>
        <w:spacing w:line="360" w:lineRule="auto"/>
        <w:rPr>
          <w:sz w:val="22"/>
          <w:szCs w:val="22"/>
          <w:highlight w:val="none"/>
        </w:rPr>
      </w:pPr>
      <w:r w:rsidRPr="00EE6921">
        <w:rPr>
          <w:sz w:val="22"/>
          <w:szCs w:val="22"/>
          <w:highlight w:val="none"/>
        </w:rPr>
        <w:t>Vocal health is a critical component of sustainable singing practice, yet it remains insufficiently emphasized within amateur contexts and is notably underrepresented in scholarly discourse (</w:t>
      </w:r>
      <w:proofErr w:type="spellStart"/>
      <w:r w:rsidRPr="00EE6921">
        <w:rPr>
          <w:sz w:val="22"/>
          <w:szCs w:val="22"/>
          <w:highlight w:val="none"/>
        </w:rPr>
        <w:t>Budjanovac</w:t>
      </w:r>
      <w:proofErr w:type="spellEnd"/>
      <w:r>
        <w:rPr>
          <w:sz w:val="22"/>
          <w:szCs w:val="22"/>
          <w:highlight w:val="none"/>
        </w:rPr>
        <w:t xml:space="preserve"> .A.</w:t>
      </w:r>
      <w:r w:rsidRPr="00EE6921">
        <w:rPr>
          <w:sz w:val="22"/>
          <w:szCs w:val="22"/>
          <w:highlight w:val="none"/>
        </w:rPr>
        <w:t xml:space="preserve"> &amp; </w:t>
      </w:r>
      <w:proofErr w:type="spellStart"/>
      <w:r w:rsidRPr="00EE6921">
        <w:rPr>
          <w:sz w:val="22"/>
          <w:szCs w:val="22"/>
          <w:highlight w:val="none"/>
        </w:rPr>
        <w:t>Kovačić</w:t>
      </w:r>
      <w:proofErr w:type="spellEnd"/>
      <w:r>
        <w:rPr>
          <w:sz w:val="22"/>
          <w:szCs w:val="22"/>
          <w:highlight w:val="none"/>
        </w:rPr>
        <w:t xml:space="preserve"> .G.</w:t>
      </w:r>
      <w:r w:rsidRPr="00EE6921">
        <w:rPr>
          <w:sz w:val="22"/>
          <w:szCs w:val="22"/>
          <w:highlight w:val="none"/>
        </w:rPr>
        <w:t>, 2003). Empirical studies highlight the significance of vocal hygiene routines—including adequate hydration, rest, and preparatory vocal exercises—in preserving vocal function (</w:t>
      </w:r>
      <w:proofErr w:type="spellStart"/>
      <w:r w:rsidRPr="00EE6921">
        <w:rPr>
          <w:sz w:val="22"/>
          <w:szCs w:val="22"/>
          <w:highlight w:val="none"/>
        </w:rPr>
        <w:t>Verdolini</w:t>
      </w:r>
      <w:proofErr w:type="spellEnd"/>
      <w:r>
        <w:rPr>
          <w:sz w:val="22"/>
          <w:szCs w:val="22"/>
          <w:highlight w:val="none"/>
        </w:rPr>
        <w:t xml:space="preserve"> .K.</w:t>
      </w:r>
      <w:r w:rsidRPr="00EE6921">
        <w:rPr>
          <w:sz w:val="22"/>
          <w:szCs w:val="22"/>
          <w:highlight w:val="none"/>
        </w:rPr>
        <w:t xml:space="preserve"> &amp; </w:t>
      </w:r>
      <w:proofErr w:type="spellStart"/>
      <w:r w:rsidRPr="00EE6921">
        <w:rPr>
          <w:sz w:val="22"/>
          <w:szCs w:val="22"/>
          <w:highlight w:val="none"/>
        </w:rPr>
        <w:t>Ramig</w:t>
      </w:r>
      <w:proofErr w:type="spellEnd"/>
      <w:r>
        <w:rPr>
          <w:sz w:val="22"/>
          <w:szCs w:val="22"/>
          <w:highlight w:val="none"/>
        </w:rPr>
        <w:t xml:space="preserve"> .L.O.</w:t>
      </w:r>
      <w:r w:rsidRPr="00EE6921">
        <w:rPr>
          <w:sz w:val="22"/>
          <w:szCs w:val="22"/>
          <w:highlight w:val="none"/>
        </w:rPr>
        <w:t>, 2001). However, the implementation of these practices within community-based singing environments is inconsistent and often overlooked (Sharma</w:t>
      </w:r>
      <w:r>
        <w:rPr>
          <w:sz w:val="22"/>
          <w:szCs w:val="22"/>
          <w:highlight w:val="none"/>
        </w:rPr>
        <w:t xml:space="preserve"> .V.</w:t>
      </w:r>
      <w:r w:rsidRPr="00EE6921">
        <w:rPr>
          <w:sz w:val="22"/>
          <w:szCs w:val="22"/>
          <w:highlight w:val="none"/>
        </w:rPr>
        <w:t xml:space="preserve"> et al., 2021; Rosa</w:t>
      </w:r>
      <w:r>
        <w:rPr>
          <w:sz w:val="22"/>
          <w:szCs w:val="22"/>
          <w:highlight w:val="none"/>
        </w:rPr>
        <w:t xml:space="preserve"> .M.</w:t>
      </w:r>
      <w:r w:rsidRPr="00EE6921">
        <w:rPr>
          <w:sz w:val="22"/>
          <w:szCs w:val="22"/>
          <w:highlight w:val="none"/>
        </w:rPr>
        <w:t xml:space="preserve"> &amp; </w:t>
      </w:r>
      <w:proofErr w:type="spellStart"/>
      <w:r w:rsidRPr="00EE6921">
        <w:rPr>
          <w:sz w:val="22"/>
          <w:szCs w:val="22"/>
          <w:highlight w:val="none"/>
        </w:rPr>
        <w:t>Behlau</w:t>
      </w:r>
      <w:proofErr w:type="spellEnd"/>
      <w:r>
        <w:rPr>
          <w:sz w:val="22"/>
          <w:szCs w:val="22"/>
          <w:highlight w:val="none"/>
        </w:rPr>
        <w:t xml:space="preserve"> .M.</w:t>
      </w:r>
      <w:r w:rsidRPr="00EE6921">
        <w:rPr>
          <w:sz w:val="22"/>
          <w:szCs w:val="22"/>
          <w:highlight w:val="none"/>
        </w:rPr>
        <w:t>, 2017).</w:t>
      </w:r>
    </w:p>
    <w:p w14:paraId="609615A7" w14:textId="6D35A39D" w:rsidR="00EF6272" w:rsidRPr="00F12485" w:rsidRDefault="00000000" w:rsidP="00F12485">
      <w:pPr>
        <w:shd w:val="clear" w:color="auto" w:fill="auto"/>
        <w:spacing w:line="360" w:lineRule="auto"/>
        <w:rPr>
          <w:sz w:val="22"/>
          <w:szCs w:val="22"/>
          <w:highlight w:val="none"/>
        </w:rPr>
      </w:pPr>
      <w:r w:rsidRPr="00F12485">
        <w:rPr>
          <w:sz w:val="22"/>
          <w:szCs w:val="22"/>
          <w:highlight w:val="none"/>
        </w:rPr>
        <w:t>My motivation for this research is to better support my students and the wider community of singers I work with. Participation in community theatre and singing has been shown to enhance wellbeing and social cohesion (Clift</w:t>
      </w:r>
      <w:r w:rsidR="00EE6921">
        <w:rPr>
          <w:sz w:val="22"/>
          <w:szCs w:val="22"/>
          <w:highlight w:val="none"/>
        </w:rPr>
        <w:t xml:space="preserve"> .S.M.</w:t>
      </w:r>
      <w:r w:rsidRPr="00F12485">
        <w:rPr>
          <w:sz w:val="22"/>
          <w:szCs w:val="22"/>
          <w:highlight w:val="none"/>
        </w:rPr>
        <w:t xml:space="preserve"> &amp; </w:t>
      </w:r>
      <w:proofErr w:type="spellStart"/>
      <w:r w:rsidRPr="00F12485">
        <w:rPr>
          <w:sz w:val="22"/>
          <w:szCs w:val="22"/>
          <w:highlight w:val="none"/>
        </w:rPr>
        <w:t>Hancox</w:t>
      </w:r>
      <w:proofErr w:type="spellEnd"/>
      <w:r w:rsidR="00EE6921">
        <w:rPr>
          <w:sz w:val="22"/>
          <w:szCs w:val="22"/>
          <w:highlight w:val="none"/>
        </w:rPr>
        <w:t xml:space="preserve"> .G.</w:t>
      </w:r>
      <w:r w:rsidRPr="00F12485">
        <w:rPr>
          <w:sz w:val="22"/>
          <w:szCs w:val="22"/>
          <w:highlight w:val="none"/>
        </w:rPr>
        <w:t>, 2010). Ensuring that performers can engage safely and sustainably is therefore both a vocal health and community wellbeing concern.</w:t>
      </w:r>
    </w:p>
    <w:p w14:paraId="78C98AF2"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lastRenderedPageBreak/>
        <w:t xml:space="preserve">This literature review will explore current practices and the culture for protecting vocal health among amateur singers in community theatre and singing groups, to expand my scholarship within a key area of my </w:t>
      </w:r>
      <w:proofErr w:type="spellStart"/>
      <w:r w:rsidRPr="00F12485">
        <w:rPr>
          <w:sz w:val="22"/>
          <w:szCs w:val="22"/>
          <w:highlight w:val="none"/>
        </w:rPr>
        <w:t>practise</w:t>
      </w:r>
      <w:proofErr w:type="spellEnd"/>
      <w:r w:rsidRPr="00F12485">
        <w:rPr>
          <w:sz w:val="22"/>
          <w:szCs w:val="22"/>
          <w:highlight w:val="none"/>
        </w:rPr>
        <w:t xml:space="preserve"> as a voice coach. I also aim identify if strategies may need to be implemented to promote healthier vocal habits in my own practice and possible grounding for further research within my studies, which could build on current knowledge and expand the data within an under researched vocal health demographic .</w:t>
      </w:r>
    </w:p>
    <w:p w14:paraId="345C5853" w14:textId="3BE8AD00" w:rsidR="00EF6272" w:rsidRPr="00F12485" w:rsidRDefault="00000000" w:rsidP="00F12485">
      <w:pPr>
        <w:shd w:val="clear" w:color="auto" w:fill="auto"/>
        <w:spacing w:line="360" w:lineRule="auto"/>
        <w:rPr>
          <w:b/>
          <w:bCs/>
          <w:sz w:val="22"/>
          <w:szCs w:val="22"/>
          <w:highlight w:val="none"/>
        </w:rPr>
      </w:pPr>
      <w:r w:rsidRPr="00F12485">
        <w:rPr>
          <w:b/>
          <w:bCs/>
          <w:sz w:val="22"/>
          <w:szCs w:val="22"/>
          <w:highlight w:val="none"/>
        </w:rPr>
        <w:t xml:space="preserve">1.2 Planned </w:t>
      </w:r>
      <w:r w:rsidR="00F12485" w:rsidRPr="00F12485">
        <w:rPr>
          <w:b/>
          <w:bCs/>
          <w:sz w:val="22"/>
          <w:szCs w:val="22"/>
          <w:highlight w:val="none"/>
        </w:rPr>
        <w:t>Program</w:t>
      </w:r>
      <w:r w:rsidRPr="00F12485">
        <w:rPr>
          <w:b/>
          <w:bCs/>
          <w:sz w:val="22"/>
          <w:szCs w:val="22"/>
          <w:highlight w:val="none"/>
        </w:rPr>
        <w:t xml:space="preserve"> of Study </w:t>
      </w:r>
    </w:p>
    <w:p w14:paraId="55B54091" w14:textId="2693B7F7" w:rsidR="00EF6272" w:rsidRPr="00F12485" w:rsidRDefault="00000000" w:rsidP="00F12485">
      <w:pPr>
        <w:shd w:val="clear" w:color="auto" w:fill="auto"/>
        <w:spacing w:line="360" w:lineRule="auto"/>
        <w:rPr>
          <w:sz w:val="22"/>
          <w:szCs w:val="22"/>
          <w:highlight w:val="none"/>
        </w:rPr>
      </w:pPr>
      <w:r w:rsidRPr="00F12485">
        <w:rPr>
          <w:sz w:val="22"/>
          <w:szCs w:val="22"/>
          <w:highlight w:val="none"/>
        </w:rPr>
        <w:t>Singing in choirs is a culturally significant activity practiced globally across religious, educational, and community settings. It offers numerous psychological and social benefits, including emotional wellbeing, social integration, and personal development (Clift</w:t>
      </w:r>
      <w:r w:rsidR="00AE2CC3">
        <w:rPr>
          <w:sz w:val="22"/>
          <w:szCs w:val="22"/>
          <w:highlight w:val="none"/>
        </w:rPr>
        <w:t xml:space="preserve"> .S.M</w:t>
      </w:r>
      <w:r w:rsidRPr="00F12485">
        <w:rPr>
          <w:sz w:val="22"/>
          <w:szCs w:val="22"/>
          <w:highlight w:val="none"/>
        </w:rPr>
        <w:t xml:space="preserve"> et al., 2010; Johnson </w:t>
      </w:r>
      <w:r w:rsidR="00AE2CC3">
        <w:rPr>
          <w:sz w:val="22"/>
          <w:szCs w:val="22"/>
          <w:highlight w:val="none"/>
        </w:rPr>
        <w:t xml:space="preserve"> J.K. </w:t>
      </w:r>
      <w:r w:rsidRPr="00F12485">
        <w:rPr>
          <w:sz w:val="22"/>
          <w:szCs w:val="22"/>
          <w:highlight w:val="none"/>
        </w:rPr>
        <w:t>et al., 2013). Despite these advantages, vocal health issues among amateur and church-based singers remain underexplored and often overlooked (Sharma et al., 2021; Rosa</w:t>
      </w:r>
      <w:r w:rsidR="00AE2CC3">
        <w:rPr>
          <w:sz w:val="22"/>
          <w:szCs w:val="22"/>
          <w:highlight w:val="none"/>
        </w:rPr>
        <w:t xml:space="preserve"> .M.</w:t>
      </w:r>
      <w:r w:rsidRPr="00F12485">
        <w:rPr>
          <w:sz w:val="22"/>
          <w:szCs w:val="22"/>
          <w:highlight w:val="none"/>
        </w:rPr>
        <w:t xml:space="preserve"> &amp; </w:t>
      </w:r>
      <w:proofErr w:type="spellStart"/>
      <w:r w:rsidRPr="00F12485">
        <w:rPr>
          <w:sz w:val="22"/>
          <w:szCs w:val="22"/>
          <w:highlight w:val="none"/>
        </w:rPr>
        <w:t>Behlau</w:t>
      </w:r>
      <w:proofErr w:type="spellEnd"/>
      <w:r w:rsidR="00AE2CC3">
        <w:rPr>
          <w:sz w:val="22"/>
          <w:szCs w:val="22"/>
          <w:highlight w:val="none"/>
        </w:rPr>
        <w:t xml:space="preserve"> .M.</w:t>
      </w:r>
      <w:r w:rsidRPr="00F12485">
        <w:rPr>
          <w:sz w:val="22"/>
          <w:szCs w:val="22"/>
          <w:highlight w:val="none"/>
        </w:rPr>
        <w:t>, 2017).</w:t>
      </w:r>
    </w:p>
    <w:p w14:paraId="257AE168" w14:textId="06D539F4" w:rsidR="00EF6272" w:rsidRPr="00F12485" w:rsidRDefault="00000000" w:rsidP="00F12485">
      <w:pPr>
        <w:shd w:val="clear" w:color="auto" w:fill="auto"/>
        <w:spacing w:line="360" w:lineRule="auto"/>
        <w:rPr>
          <w:sz w:val="22"/>
          <w:szCs w:val="22"/>
          <w:highlight w:val="none"/>
        </w:rPr>
      </w:pPr>
      <w:r w:rsidRPr="00F12485">
        <w:rPr>
          <w:sz w:val="22"/>
          <w:szCs w:val="22"/>
          <w:highlight w:val="none"/>
        </w:rPr>
        <w:t>Unlike professional soloists, amateur choir members often lack formal training in vocal technique and hygiene. Many learn music by ear and do not engage in structured warm-ups or receive guidance on vocal care (Sharma</w:t>
      </w:r>
      <w:r w:rsidR="00AE2CC3">
        <w:rPr>
          <w:sz w:val="22"/>
          <w:szCs w:val="22"/>
          <w:highlight w:val="none"/>
        </w:rPr>
        <w:t xml:space="preserve"> .V.</w:t>
      </w:r>
      <w:r w:rsidRPr="00F12485">
        <w:rPr>
          <w:sz w:val="22"/>
          <w:szCs w:val="22"/>
          <w:highlight w:val="none"/>
        </w:rPr>
        <w:t xml:space="preserve"> et al., 2021). This increases their risk of vocal symptoms such as hoarseness, fatigue, pitch breaks, and throat discomfort (Rosa</w:t>
      </w:r>
      <w:r w:rsidR="00AE2CC3">
        <w:rPr>
          <w:sz w:val="22"/>
          <w:szCs w:val="22"/>
          <w:highlight w:val="none"/>
        </w:rPr>
        <w:t xml:space="preserve"> .M.</w:t>
      </w:r>
      <w:r w:rsidRPr="00F12485">
        <w:rPr>
          <w:sz w:val="22"/>
          <w:szCs w:val="22"/>
          <w:highlight w:val="none"/>
        </w:rPr>
        <w:t xml:space="preserve"> &amp; </w:t>
      </w:r>
      <w:proofErr w:type="spellStart"/>
      <w:r w:rsidRPr="00F12485">
        <w:rPr>
          <w:sz w:val="22"/>
          <w:szCs w:val="22"/>
          <w:highlight w:val="none"/>
        </w:rPr>
        <w:t>Behlau</w:t>
      </w:r>
      <w:proofErr w:type="spellEnd"/>
      <w:r w:rsidR="00AE2CC3">
        <w:rPr>
          <w:sz w:val="22"/>
          <w:szCs w:val="22"/>
          <w:highlight w:val="none"/>
        </w:rPr>
        <w:t xml:space="preserve"> .M. </w:t>
      </w:r>
      <w:r w:rsidRPr="00F12485">
        <w:rPr>
          <w:sz w:val="22"/>
          <w:szCs w:val="22"/>
          <w:highlight w:val="none"/>
        </w:rPr>
        <w:t xml:space="preserve">, 2017; </w:t>
      </w:r>
      <w:proofErr w:type="spellStart"/>
      <w:r w:rsidRPr="00F12485">
        <w:rPr>
          <w:sz w:val="22"/>
          <w:szCs w:val="22"/>
          <w:highlight w:val="none"/>
        </w:rPr>
        <w:t>Tepe</w:t>
      </w:r>
      <w:proofErr w:type="spellEnd"/>
      <w:r w:rsidR="00AE2CC3">
        <w:rPr>
          <w:sz w:val="22"/>
          <w:szCs w:val="22"/>
          <w:highlight w:val="none"/>
        </w:rPr>
        <w:t xml:space="preserve"> .E.S.</w:t>
      </w:r>
      <w:r w:rsidRPr="00F12485">
        <w:rPr>
          <w:sz w:val="22"/>
          <w:szCs w:val="22"/>
          <w:highlight w:val="none"/>
        </w:rPr>
        <w:t xml:space="preserve"> et al., 2002). Contributing factors include poor hydration, insufficient vocal rest, and limited awareness of vocal hygiene practices (Sharma</w:t>
      </w:r>
      <w:r w:rsidR="00AE2CC3">
        <w:rPr>
          <w:sz w:val="22"/>
          <w:szCs w:val="22"/>
          <w:highlight w:val="none"/>
        </w:rPr>
        <w:t xml:space="preserve"> .V.</w:t>
      </w:r>
      <w:r w:rsidRPr="00F12485">
        <w:rPr>
          <w:sz w:val="22"/>
          <w:szCs w:val="22"/>
          <w:highlight w:val="none"/>
        </w:rPr>
        <w:t xml:space="preserve"> et al., 2021). Emotional stress and performance anxiety may further exacerbate these issues, particularly among less experienced </w:t>
      </w:r>
      <w:r w:rsidRPr="00D75063">
        <w:rPr>
          <w:sz w:val="22"/>
          <w:szCs w:val="22"/>
          <w:highlight w:val="none"/>
        </w:rPr>
        <w:t>singers (</w:t>
      </w:r>
      <w:r w:rsidR="00D75063" w:rsidRPr="00D75063">
        <w:rPr>
          <w:sz w:val="22"/>
          <w:szCs w:val="22"/>
          <w:highlight w:val="none"/>
        </w:rPr>
        <w:t xml:space="preserve">Ryan, C., &amp; Andrews, N. </w:t>
      </w:r>
      <w:r w:rsidR="00D75063" w:rsidRPr="00D75063">
        <w:rPr>
          <w:sz w:val="22"/>
          <w:szCs w:val="22"/>
          <w:highlight w:val="none"/>
        </w:rPr>
        <w:t>,</w:t>
      </w:r>
      <w:r w:rsidR="00D75063" w:rsidRPr="00D75063">
        <w:rPr>
          <w:sz w:val="22"/>
          <w:szCs w:val="22"/>
          <w:highlight w:val="none"/>
        </w:rPr>
        <w:t>2009</w:t>
      </w:r>
      <w:r w:rsidRPr="00D75063">
        <w:rPr>
          <w:sz w:val="22"/>
          <w:szCs w:val="22"/>
          <w:highlight w:val="none"/>
        </w:rPr>
        <w:t>).</w:t>
      </w:r>
    </w:p>
    <w:p w14:paraId="76260761" w14:textId="47C4CA71" w:rsidR="00EF6272" w:rsidRPr="00F12485" w:rsidRDefault="00000000" w:rsidP="00F12485">
      <w:pPr>
        <w:shd w:val="clear" w:color="auto" w:fill="auto"/>
        <w:spacing w:line="360" w:lineRule="auto"/>
        <w:rPr>
          <w:sz w:val="22"/>
          <w:szCs w:val="22"/>
          <w:highlight w:val="none"/>
        </w:rPr>
      </w:pPr>
      <w:r w:rsidRPr="00F12485">
        <w:rPr>
          <w:sz w:val="22"/>
          <w:szCs w:val="22"/>
          <w:highlight w:val="none"/>
        </w:rPr>
        <w:t>Given the prevalence of vocal symptoms and the lack of voice care knowledge, there is a clear need for targeted vocal health education. Collaborative efforts involving choir directors, speech-language pathologists, and healthcare professionals could help implement preventative strategies and promote long-term vocal wellbeing (</w:t>
      </w:r>
      <w:proofErr w:type="spellStart"/>
      <w:r w:rsidRPr="00F12485">
        <w:rPr>
          <w:sz w:val="22"/>
          <w:szCs w:val="22"/>
          <w:highlight w:val="none"/>
        </w:rPr>
        <w:t>Budjanovac</w:t>
      </w:r>
      <w:proofErr w:type="spellEnd"/>
      <w:r w:rsidR="00AE2CC3">
        <w:rPr>
          <w:sz w:val="22"/>
          <w:szCs w:val="22"/>
          <w:highlight w:val="none"/>
        </w:rPr>
        <w:t xml:space="preserve"> .A.</w:t>
      </w:r>
      <w:r w:rsidRPr="00F12485">
        <w:rPr>
          <w:sz w:val="22"/>
          <w:szCs w:val="22"/>
          <w:highlight w:val="none"/>
        </w:rPr>
        <w:t xml:space="preserve"> &amp; </w:t>
      </w:r>
      <w:proofErr w:type="spellStart"/>
      <w:r w:rsidRPr="00F12485">
        <w:rPr>
          <w:sz w:val="22"/>
          <w:szCs w:val="22"/>
          <w:highlight w:val="none"/>
        </w:rPr>
        <w:t>Kovacic</w:t>
      </w:r>
      <w:proofErr w:type="spellEnd"/>
      <w:r w:rsidR="00AE2CC3">
        <w:rPr>
          <w:sz w:val="22"/>
          <w:szCs w:val="22"/>
          <w:highlight w:val="none"/>
        </w:rPr>
        <w:t xml:space="preserve"> D.</w:t>
      </w:r>
      <w:r w:rsidRPr="00F12485">
        <w:rPr>
          <w:sz w:val="22"/>
          <w:szCs w:val="22"/>
          <w:highlight w:val="none"/>
        </w:rPr>
        <w:t xml:space="preserve">, 2003; Rosa </w:t>
      </w:r>
      <w:r w:rsidR="00AE2CC3">
        <w:rPr>
          <w:sz w:val="22"/>
          <w:szCs w:val="22"/>
          <w:highlight w:val="none"/>
        </w:rPr>
        <w:t xml:space="preserve">.M. </w:t>
      </w:r>
      <w:r w:rsidRPr="00F12485">
        <w:rPr>
          <w:sz w:val="22"/>
          <w:szCs w:val="22"/>
          <w:highlight w:val="none"/>
        </w:rPr>
        <w:t xml:space="preserve">&amp; </w:t>
      </w:r>
      <w:proofErr w:type="spellStart"/>
      <w:r w:rsidRPr="00F12485">
        <w:rPr>
          <w:sz w:val="22"/>
          <w:szCs w:val="22"/>
          <w:highlight w:val="none"/>
        </w:rPr>
        <w:t>Behlau</w:t>
      </w:r>
      <w:proofErr w:type="spellEnd"/>
      <w:r w:rsidR="00AE2CC3">
        <w:rPr>
          <w:sz w:val="22"/>
          <w:szCs w:val="22"/>
          <w:highlight w:val="none"/>
        </w:rPr>
        <w:t xml:space="preserve"> .M. </w:t>
      </w:r>
      <w:r w:rsidRPr="00F12485">
        <w:rPr>
          <w:sz w:val="22"/>
          <w:szCs w:val="22"/>
          <w:highlight w:val="none"/>
        </w:rPr>
        <w:t>, 2017).</w:t>
      </w:r>
    </w:p>
    <w:p w14:paraId="2BF601B6" w14:textId="65F9E575"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Engaging with this literature has deepened my understanding of vocal health in amateur contexts and highlighted gaps that merit further exploration. As an insider researcher and practitioner, </w:t>
      </w:r>
      <w:r w:rsidR="00D75063">
        <w:rPr>
          <w:sz w:val="22"/>
          <w:szCs w:val="22"/>
          <w:highlight w:val="none"/>
        </w:rPr>
        <w:t xml:space="preserve">As well as building on my own personal development, </w:t>
      </w:r>
      <w:r w:rsidRPr="00F12485">
        <w:rPr>
          <w:sz w:val="22"/>
          <w:szCs w:val="22"/>
          <w:highlight w:val="none"/>
        </w:rPr>
        <w:t>I aim to contribute to this under-researched area by examining current practices and identifying strategies to promote healthier vocal habits.</w:t>
      </w:r>
    </w:p>
    <w:p w14:paraId="17AC6522" w14:textId="2CC6062D" w:rsidR="00EF6272" w:rsidRPr="00190C8B" w:rsidRDefault="00000000" w:rsidP="00F12485">
      <w:pPr>
        <w:shd w:val="clear" w:color="auto" w:fill="auto"/>
        <w:spacing w:line="360" w:lineRule="auto"/>
        <w:rPr>
          <w:b/>
          <w:bCs/>
          <w:i/>
          <w:iCs/>
          <w:sz w:val="22"/>
          <w:szCs w:val="22"/>
          <w:highlight w:val="none"/>
        </w:rPr>
      </w:pPr>
      <w:r w:rsidRPr="00F12485">
        <w:rPr>
          <w:sz w:val="22"/>
          <w:szCs w:val="22"/>
          <w:highlight w:val="none"/>
        </w:rPr>
        <w:lastRenderedPageBreak/>
        <w:t>This leads to the central research question guiding my study:</w:t>
      </w:r>
      <w:r w:rsidRPr="00F12485">
        <w:rPr>
          <w:sz w:val="22"/>
          <w:szCs w:val="22"/>
          <w:highlight w:val="none"/>
        </w:rPr>
        <w:br/>
      </w:r>
      <w:r w:rsidRPr="00190C8B">
        <w:rPr>
          <w:b/>
          <w:bCs/>
          <w:i/>
          <w:iCs/>
          <w:sz w:val="22"/>
          <w:szCs w:val="22"/>
          <w:highlight w:val="none"/>
        </w:rPr>
        <w:t>What are the current practices for protecting vocal health among amateur sing</w:t>
      </w:r>
      <w:r w:rsidR="00D75063">
        <w:rPr>
          <w:b/>
          <w:bCs/>
          <w:i/>
          <w:iCs/>
          <w:sz w:val="22"/>
          <w:szCs w:val="22"/>
          <w:highlight w:val="none"/>
        </w:rPr>
        <w:t>ing groups</w:t>
      </w:r>
      <w:r w:rsidRPr="00190C8B">
        <w:rPr>
          <w:b/>
          <w:bCs/>
          <w:i/>
          <w:iCs/>
          <w:sz w:val="22"/>
          <w:szCs w:val="22"/>
          <w:highlight w:val="none"/>
        </w:rPr>
        <w:t>, and what strategies can be implemented to promote better vocal health habits within this population?</w:t>
      </w:r>
    </w:p>
    <w:p w14:paraId="4BB07DCD"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t>To address this question, I have outlined five key objectives, some of which align with my ongoing professional development:</w:t>
      </w:r>
    </w:p>
    <w:p w14:paraId="4CD70101" w14:textId="2A9A346B" w:rsidR="00EF6272" w:rsidRPr="00F12485" w:rsidRDefault="00D75063" w:rsidP="00F12485">
      <w:pPr>
        <w:shd w:val="clear" w:color="auto" w:fill="auto"/>
        <w:spacing w:line="360" w:lineRule="auto"/>
        <w:rPr>
          <w:sz w:val="22"/>
          <w:szCs w:val="22"/>
          <w:highlight w:val="none"/>
        </w:rPr>
      </w:pPr>
      <w:r>
        <w:rPr>
          <w:b/>
          <w:bCs/>
          <w:sz w:val="22"/>
          <w:szCs w:val="22"/>
          <w:highlight w:val="none"/>
        </w:rPr>
        <w:t>1.</w:t>
      </w:r>
      <w:r w:rsidR="00000000" w:rsidRPr="008A4F79">
        <w:rPr>
          <w:b/>
          <w:bCs/>
          <w:sz w:val="22"/>
          <w:szCs w:val="22"/>
          <w:highlight w:val="none"/>
        </w:rPr>
        <w:t>Understanding the Context and Culture of Amateur Singing in the UK</w:t>
      </w:r>
      <w:r w:rsidR="00000000" w:rsidRPr="00F12485">
        <w:rPr>
          <w:sz w:val="22"/>
          <w:szCs w:val="22"/>
          <w:highlight w:val="none"/>
        </w:rPr>
        <w:br/>
        <w:t>By May 2025, I will review at least 10 academic and practitioner sources exploring the cultural, social, and structural characteristics of amateur singing and community theatre.</w:t>
      </w:r>
    </w:p>
    <w:p w14:paraId="6F4E73E7" w14:textId="51B8132F" w:rsidR="00EF6272" w:rsidRPr="00F12485" w:rsidRDefault="00D75063" w:rsidP="00F12485">
      <w:pPr>
        <w:shd w:val="clear" w:color="auto" w:fill="auto"/>
        <w:spacing w:line="360" w:lineRule="auto"/>
        <w:rPr>
          <w:sz w:val="22"/>
          <w:szCs w:val="22"/>
          <w:highlight w:val="none"/>
        </w:rPr>
      </w:pPr>
      <w:r>
        <w:rPr>
          <w:b/>
          <w:bCs/>
          <w:sz w:val="22"/>
          <w:szCs w:val="22"/>
          <w:highlight w:val="none"/>
        </w:rPr>
        <w:t>2.</w:t>
      </w:r>
      <w:r w:rsidR="00000000" w:rsidRPr="008A4F79">
        <w:rPr>
          <w:b/>
          <w:bCs/>
          <w:sz w:val="22"/>
          <w:szCs w:val="22"/>
          <w:highlight w:val="none"/>
        </w:rPr>
        <w:t>Developing Knowledge of Vocal Health Issues and Strategies</w:t>
      </w:r>
      <w:r w:rsidR="00000000" w:rsidRPr="00F12485">
        <w:rPr>
          <w:sz w:val="22"/>
          <w:szCs w:val="22"/>
          <w:highlight w:val="none"/>
        </w:rPr>
        <w:br/>
        <w:t>Within six weeks, I will complete a critical literature review of at least 20 peer-reviewed and grey literature sources addressing vocal strain, fatigue, and preventative strategies.</w:t>
      </w:r>
    </w:p>
    <w:p w14:paraId="2FC15E61" w14:textId="200F35DB" w:rsidR="00EF6272" w:rsidRPr="00F12485" w:rsidRDefault="00D75063" w:rsidP="00F12485">
      <w:pPr>
        <w:shd w:val="clear" w:color="auto" w:fill="auto"/>
        <w:spacing w:line="360" w:lineRule="auto"/>
        <w:rPr>
          <w:sz w:val="22"/>
          <w:szCs w:val="22"/>
          <w:highlight w:val="none"/>
        </w:rPr>
      </w:pPr>
      <w:r>
        <w:rPr>
          <w:b/>
          <w:bCs/>
          <w:sz w:val="22"/>
          <w:szCs w:val="22"/>
          <w:highlight w:val="none"/>
        </w:rPr>
        <w:t>3.</w:t>
      </w:r>
      <w:r w:rsidR="00000000" w:rsidRPr="008A4F79">
        <w:rPr>
          <w:b/>
          <w:bCs/>
          <w:sz w:val="22"/>
          <w:szCs w:val="22"/>
          <w:highlight w:val="none"/>
        </w:rPr>
        <w:t>Enhancing Academic Research and Writing Skills</w:t>
      </w:r>
      <w:r w:rsidR="00000000" w:rsidRPr="00F12485">
        <w:rPr>
          <w:sz w:val="22"/>
          <w:szCs w:val="22"/>
          <w:highlight w:val="none"/>
        </w:rPr>
        <w:br/>
        <w:t>I will produce a 4,500-word literature review demonstrating critical engagement, thematic synthesis, and appropriate referencing.</w:t>
      </w:r>
    </w:p>
    <w:p w14:paraId="284E73A6" w14:textId="31B1278A" w:rsidR="00EF6272" w:rsidRPr="00F12485" w:rsidRDefault="00D75063" w:rsidP="00F12485">
      <w:pPr>
        <w:shd w:val="clear" w:color="auto" w:fill="auto"/>
        <w:spacing w:line="360" w:lineRule="auto"/>
        <w:rPr>
          <w:sz w:val="22"/>
          <w:szCs w:val="22"/>
          <w:highlight w:val="none"/>
        </w:rPr>
      </w:pPr>
      <w:r>
        <w:rPr>
          <w:b/>
          <w:bCs/>
          <w:sz w:val="22"/>
          <w:szCs w:val="22"/>
          <w:highlight w:val="none"/>
        </w:rPr>
        <w:t>4.</w:t>
      </w:r>
      <w:r w:rsidR="00000000" w:rsidRPr="008A4F79">
        <w:rPr>
          <w:b/>
          <w:bCs/>
          <w:sz w:val="22"/>
          <w:szCs w:val="22"/>
          <w:highlight w:val="none"/>
        </w:rPr>
        <w:t>Advancing Reflexive Writing Practices</w:t>
      </w:r>
      <w:r w:rsidR="00000000" w:rsidRPr="00F12485">
        <w:rPr>
          <w:sz w:val="22"/>
          <w:szCs w:val="22"/>
          <w:highlight w:val="none"/>
        </w:rPr>
        <w:br/>
        <w:t>I will complete a 1,000–1,500 word reflexive commentary integrating personal insights with scholarly literature to reflect on my evolving role as a practitioner-researcher.</w:t>
      </w:r>
    </w:p>
    <w:p w14:paraId="64B77AEC" w14:textId="5707E63C" w:rsidR="00EF6272" w:rsidRDefault="00D75063" w:rsidP="00F12485">
      <w:pPr>
        <w:shd w:val="clear" w:color="auto" w:fill="auto"/>
        <w:spacing w:line="360" w:lineRule="auto"/>
        <w:rPr>
          <w:sz w:val="22"/>
          <w:szCs w:val="22"/>
          <w:highlight w:val="none"/>
        </w:rPr>
      </w:pPr>
      <w:r>
        <w:rPr>
          <w:b/>
          <w:bCs/>
          <w:sz w:val="22"/>
          <w:szCs w:val="22"/>
          <w:highlight w:val="none"/>
        </w:rPr>
        <w:t>5.</w:t>
      </w:r>
      <w:r w:rsidR="00000000" w:rsidRPr="008A4F79">
        <w:rPr>
          <w:b/>
          <w:bCs/>
          <w:sz w:val="22"/>
          <w:szCs w:val="22"/>
          <w:highlight w:val="none"/>
        </w:rPr>
        <w:t>Contributing to Professional Practice</w:t>
      </w:r>
      <w:r w:rsidR="00000000" w:rsidRPr="00F12485">
        <w:rPr>
          <w:sz w:val="22"/>
          <w:szCs w:val="22"/>
          <w:highlight w:val="none"/>
        </w:rPr>
        <w:br/>
        <w:t>I aim to identify evidence-based strategies for promoting vocal health and evaluate their applicability within my teaching practice, with potential to inform future research and pedagogy.</w:t>
      </w:r>
    </w:p>
    <w:p w14:paraId="75E899E6" w14:textId="77777777" w:rsidR="00D75063" w:rsidRPr="00F12485" w:rsidRDefault="00D75063" w:rsidP="00F12485">
      <w:pPr>
        <w:shd w:val="clear" w:color="auto" w:fill="auto"/>
        <w:spacing w:line="360" w:lineRule="auto"/>
        <w:rPr>
          <w:sz w:val="22"/>
          <w:szCs w:val="22"/>
          <w:highlight w:val="none"/>
        </w:rPr>
      </w:pPr>
    </w:p>
    <w:p w14:paraId="6DF3A4D8" w14:textId="77777777" w:rsidR="00EF6272" w:rsidRDefault="00000000" w:rsidP="00F12485">
      <w:pPr>
        <w:shd w:val="clear" w:color="auto" w:fill="auto"/>
        <w:spacing w:line="360" w:lineRule="auto"/>
        <w:rPr>
          <w:sz w:val="22"/>
          <w:szCs w:val="22"/>
          <w:highlight w:val="none"/>
        </w:rPr>
      </w:pPr>
      <w:r w:rsidRPr="00F12485">
        <w:rPr>
          <w:sz w:val="22"/>
          <w:szCs w:val="22"/>
          <w:highlight w:val="none"/>
        </w:rPr>
        <w:t>To support these objectives, I have developed a Gantt chart (Appendix A), which provides a structured timeline for task sequencing and milestone tracking (Bryman, 2016). For practitioner-researchers, such tools enhance transparency and adaptability in balancing academic and professional responsibilities (Bell &amp; Waters, 2018; O’Leary, 2017).</w:t>
      </w:r>
    </w:p>
    <w:p w14:paraId="599178D6" w14:textId="696A372A" w:rsidR="00D75063" w:rsidRPr="00D75063" w:rsidRDefault="00D75063" w:rsidP="00F12485">
      <w:pPr>
        <w:shd w:val="clear" w:color="auto" w:fill="auto"/>
        <w:spacing w:line="360" w:lineRule="auto"/>
        <w:rPr>
          <w:b/>
          <w:bCs/>
          <w:sz w:val="22"/>
          <w:szCs w:val="22"/>
          <w:highlight w:val="none"/>
        </w:rPr>
      </w:pPr>
      <w:r w:rsidRPr="008A4F79">
        <w:rPr>
          <w:b/>
          <w:bCs/>
          <w:sz w:val="22"/>
          <w:szCs w:val="22"/>
          <w:highlight w:val="none"/>
        </w:rPr>
        <w:t>Expected Learning Outcomes</w:t>
      </w:r>
    </w:p>
    <w:p w14:paraId="3707EF00"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These objectives also align with my expected learning outcomes, grouped into five areas: critical understanding of context, vocal health knowledge, academic research skills, reflexive practice development, and contribution to professional practice. Together, they support my </w:t>
      </w:r>
      <w:r w:rsidRPr="00F12485">
        <w:rPr>
          <w:sz w:val="22"/>
          <w:szCs w:val="22"/>
          <w:highlight w:val="none"/>
        </w:rPr>
        <w:lastRenderedPageBreak/>
        <w:t>development as an insider researcher and aim to advance scholarship in vocal health within amateur singing communities.</w:t>
      </w:r>
    </w:p>
    <w:p w14:paraId="6DA0D2CE" w14:textId="77777777" w:rsidR="00EF6272" w:rsidRPr="00D75063" w:rsidRDefault="00000000" w:rsidP="00F12485">
      <w:pPr>
        <w:shd w:val="clear" w:color="auto" w:fill="auto"/>
        <w:spacing w:line="360" w:lineRule="auto"/>
        <w:rPr>
          <w:i/>
          <w:iCs/>
          <w:sz w:val="22"/>
          <w:szCs w:val="22"/>
          <w:highlight w:val="none"/>
        </w:rPr>
      </w:pPr>
      <w:r w:rsidRPr="008A4F79">
        <w:rPr>
          <w:b/>
          <w:bCs/>
          <w:sz w:val="22"/>
          <w:szCs w:val="22"/>
          <w:highlight w:val="none"/>
        </w:rPr>
        <w:t>Critical Understanding of Context</w:t>
      </w:r>
      <w:r w:rsidRPr="00F12485">
        <w:rPr>
          <w:sz w:val="22"/>
          <w:szCs w:val="22"/>
          <w:highlight w:val="none"/>
        </w:rPr>
        <w:br/>
      </w:r>
      <w:r w:rsidRPr="00D75063">
        <w:rPr>
          <w:i/>
          <w:iCs/>
          <w:sz w:val="22"/>
          <w:szCs w:val="22"/>
          <w:highlight w:val="none"/>
        </w:rPr>
        <w:t>Demonstrate a comprehensive understanding of the cultural, social, and structural characteristics of amateur singing practices in the UK, with particular attention to community theatre and informal performance settings.</w:t>
      </w:r>
    </w:p>
    <w:p w14:paraId="4DC40872" w14:textId="77777777" w:rsidR="00EF6272" w:rsidRPr="00D75063" w:rsidRDefault="00000000" w:rsidP="00F12485">
      <w:pPr>
        <w:shd w:val="clear" w:color="auto" w:fill="auto"/>
        <w:spacing w:line="360" w:lineRule="auto"/>
        <w:rPr>
          <w:i/>
          <w:iCs/>
          <w:sz w:val="22"/>
          <w:szCs w:val="22"/>
          <w:highlight w:val="none"/>
        </w:rPr>
      </w:pPr>
      <w:r w:rsidRPr="008A4F79">
        <w:rPr>
          <w:b/>
          <w:bCs/>
          <w:sz w:val="22"/>
          <w:szCs w:val="22"/>
          <w:highlight w:val="none"/>
        </w:rPr>
        <w:t>Knowledge of Vocal Health in Amateur Contexts</w:t>
      </w:r>
      <w:r w:rsidRPr="00F12485">
        <w:rPr>
          <w:sz w:val="22"/>
          <w:szCs w:val="22"/>
          <w:highlight w:val="none"/>
        </w:rPr>
        <w:br/>
      </w:r>
      <w:r w:rsidRPr="00D75063">
        <w:rPr>
          <w:i/>
          <w:iCs/>
          <w:sz w:val="22"/>
          <w:szCs w:val="22"/>
          <w:highlight w:val="none"/>
        </w:rPr>
        <w:t>Develop an advanced knowledge base of vocal health challenges and preventative strategies relevant to amateur singers, informed by current literature and practitioner insights.</w:t>
      </w:r>
    </w:p>
    <w:p w14:paraId="7484CE8F" w14:textId="77777777" w:rsidR="00EF6272" w:rsidRPr="00F12485" w:rsidRDefault="00000000" w:rsidP="00F12485">
      <w:pPr>
        <w:shd w:val="clear" w:color="auto" w:fill="auto"/>
        <w:spacing w:line="360" w:lineRule="auto"/>
        <w:rPr>
          <w:sz w:val="22"/>
          <w:szCs w:val="22"/>
          <w:highlight w:val="none"/>
        </w:rPr>
      </w:pPr>
      <w:r w:rsidRPr="008A4F79">
        <w:rPr>
          <w:b/>
          <w:bCs/>
          <w:sz w:val="22"/>
          <w:szCs w:val="22"/>
          <w:highlight w:val="none"/>
        </w:rPr>
        <w:t>Academic Research and Writing Skills</w:t>
      </w:r>
      <w:r w:rsidRPr="00F12485">
        <w:rPr>
          <w:sz w:val="22"/>
          <w:szCs w:val="22"/>
          <w:highlight w:val="none"/>
        </w:rPr>
        <w:br/>
      </w:r>
      <w:r w:rsidRPr="00D75063">
        <w:rPr>
          <w:i/>
          <w:iCs/>
          <w:sz w:val="22"/>
          <w:szCs w:val="22"/>
          <w:highlight w:val="none"/>
        </w:rPr>
        <w:t>Enhance academic competencies in literature review methodology, including source evaluation, thematic synthesis, and scholarly writing conventions appropriate to postgraduate study</w:t>
      </w:r>
      <w:r w:rsidRPr="00F12485">
        <w:rPr>
          <w:sz w:val="22"/>
          <w:szCs w:val="22"/>
          <w:highlight w:val="none"/>
        </w:rPr>
        <w:t>.</w:t>
      </w:r>
    </w:p>
    <w:p w14:paraId="25F5394A" w14:textId="77777777" w:rsidR="00EF6272" w:rsidRPr="00D75063" w:rsidRDefault="00000000" w:rsidP="00F12485">
      <w:pPr>
        <w:shd w:val="clear" w:color="auto" w:fill="auto"/>
        <w:spacing w:line="360" w:lineRule="auto"/>
        <w:rPr>
          <w:i/>
          <w:iCs/>
          <w:sz w:val="22"/>
          <w:szCs w:val="22"/>
          <w:highlight w:val="none"/>
        </w:rPr>
      </w:pPr>
      <w:r w:rsidRPr="008A4F79">
        <w:rPr>
          <w:b/>
          <w:bCs/>
          <w:sz w:val="22"/>
          <w:szCs w:val="22"/>
          <w:highlight w:val="none"/>
        </w:rPr>
        <w:t>Reflexive Practice Development</w:t>
      </w:r>
      <w:r w:rsidRPr="00F12485">
        <w:rPr>
          <w:sz w:val="22"/>
          <w:szCs w:val="22"/>
          <w:highlight w:val="none"/>
        </w:rPr>
        <w:br/>
      </w:r>
      <w:r w:rsidRPr="00D75063">
        <w:rPr>
          <w:i/>
          <w:iCs/>
          <w:sz w:val="22"/>
          <w:szCs w:val="22"/>
          <w:highlight w:val="none"/>
        </w:rPr>
        <w:t>Apply reflexive writing techniques to critically examine personal practice as a voice coach, integrating theoretical perspectives with experiential insights to support practitioner-researcher identity.</w:t>
      </w:r>
    </w:p>
    <w:p w14:paraId="4BA390BE" w14:textId="77777777" w:rsidR="00EF6272" w:rsidRPr="00F12485" w:rsidRDefault="00000000" w:rsidP="00F12485">
      <w:pPr>
        <w:shd w:val="clear" w:color="auto" w:fill="auto"/>
        <w:spacing w:line="360" w:lineRule="auto"/>
        <w:rPr>
          <w:sz w:val="22"/>
          <w:szCs w:val="22"/>
          <w:highlight w:val="none"/>
        </w:rPr>
      </w:pPr>
      <w:r w:rsidRPr="008A4F79">
        <w:rPr>
          <w:b/>
          <w:bCs/>
          <w:sz w:val="22"/>
          <w:szCs w:val="22"/>
          <w:highlight w:val="none"/>
        </w:rPr>
        <w:t>Contribution to Professional Practice</w:t>
      </w:r>
      <w:r w:rsidRPr="00F12485">
        <w:rPr>
          <w:sz w:val="22"/>
          <w:szCs w:val="22"/>
          <w:highlight w:val="none"/>
        </w:rPr>
        <w:br/>
      </w:r>
      <w:r w:rsidRPr="00D75063">
        <w:rPr>
          <w:i/>
          <w:iCs/>
          <w:sz w:val="22"/>
          <w:szCs w:val="22"/>
          <w:highlight w:val="none"/>
        </w:rPr>
        <w:t>Identify evidence-based strategies for promoting vocal health among amateur singers and evaluate their applicability within personal teaching practice, with potential to inform future research and pedagogical development.</w:t>
      </w:r>
    </w:p>
    <w:p w14:paraId="5CF4A017" w14:textId="77777777" w:rsidR="00EF6272" w:rsidRPr="00F12485" w:rsidRDefault="00EF6272" w:rsidP="00F12485">
      <w:pPr>
        <w:shd w:val="clear" w:color="auto" w:fill="auto"/>
        <w:spacing w:line="360" w:lineRule="auto"/>
        <w:rPr>
          <w:sz w:val="22"/>
          <w:szCs w:val="22"/>
          <w:highlight w:val="none"/>
        </w:rPr>
      </w:pPr>
    </w:p>
    <w:p w14:paraId="2FAE6EBE" w14:textId="77777777" w:rsidR="00EF6272" w:rsidRPr="008A4F79" w:rsidRDefault="00000000" w:rsidP="00F12485">
      <w:pPr>
        <w:shd w:val="clear" w:color="auto" w:fill="auto"/>
        <w:spacing w:line="360" w:lineRule="auto"/>
        <w:rPr>
          <w:b/>
          <w:bCs/>
          <w:sz w:val="22"/>
          <w:szCs w:val="22"/>
          <w:highlight w:val="none"/>
        </w:rPr>
      </w:pPr>
      <w:r w:rsidRPr="008A4F79">
        <w:rPr>
          <w:b/>
          <w:bCs/>
          <w:sz w:val="22"/>
          <w:szCs w:val="22"/>
          <w:highlight w:val="none"/>
        </w:rPr>
        <w:t xml:space="preserve">1.3 Methodology </w:t>
      </w:r>
    </w:p>
    <w:p w14:paraId="51DB4770"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t>This study adopts a rapid scoping review, supported by a hermeneutic approach, to explore vocal health practices among amateur singers. The rationale for this methodology lies in the need to investigate a broad, under-researched area and identify key themes and gaps in the literature. Scoping reviews are particularly suited to exploratory research, offering flexibility in evidence inclusion and the ability to map the extent and nature of existing studies (Grant &amp; Booth, 2009). Unlike systematic reviews, which focus on narrowly defined questions and rigorous synthesis, scoping reviews accommodate diverse evidence types, including grey literature, and are not constrained by formal quality appraisal (Randolph, 2009).</w:t>
      </w:r>
    </w:p>
    <w:p w14:paraId="64507A6A"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lastRenderedPageBreak/>
        <w:t xml:space="preserve">Due to time constraints, a full scoping review was not feasible. A rapid scoping review was therefore selected to maintain methodological </w:t>
      </w:r>
      <w:proofErr w:type="spellStart"/>
      <w:r w:rsidRPr="00F12485">
        <w:rPr>
          <w:sz w:val="22"/>
          <w:szCs w:val="22"/>
          <w:highlight w:val="none"/>
        </w:rPr>
        <w:t>rigour</w:t>
      </w:r>
      <w:proofErr w:type="spellEnd"/>
      <w:r w:rsidRPr="00F12485">
        <w:rPr>
          <w:sz w:val="22"/>
          <w:szCs w:val="22"/>
          <w:highlight w:val="none"/>
        </w:rPr>
        <w:t xml:space="preserve"> while ensuring timely completion. While this approach may limit comprehensiveness, its transparency and iterative engagement with literature help mitigate these limitations.</w:t>
      </w:r>
    </w:p>
    <w:p w14:paraId="7E750F78" w14:textId="1DDC78E8" w:rsidR="00EF6272" w:rsidRPr="00F12485" w:rsidRDefault="00000000" w:rsidP="00F12485">
      <w:pPr>
        <w:shd w:val="clear" w:color="auto" w:fill="auto"/>
        <w:spacing w:line="360" w:lineRule="auto"/>
        <w:rPr>
          <w:sz w:val="22"/>
          <w:szCs w:val="22"/>
          <w:highlight w:val="none"/>
        </w:rPr>
      </w:pPr>
      <w:r w:rsidRPr="00F12485">
        <w:rPr>
          <w:sz w:val="22"/>
          <w:szCs w:val="22"/>
          <w:highlight w:val="none"/>
        </w:rPr>
        <w:t>To complement the scoping review, a hermeneutic methodology was adopted. Rooted in interpretive philosophy, hermeneutics supports deeper understanding through the hermeneutic circle—a cyclical process of interpreting parts and wholes (</w:t>
      </w:r>
      <w:proofErr w:type="spellStart"/>
      <w:r w:rsidR="00E36925" w:rsidRPr="00E36925">
        <w:rPr>
          <w:sz w:val="22"/>
          <w:szCs w:val="22"/>
          <w:highlight w:val="none"/>
        </w:rPr>
        <w:t>Boell</w:t>
      </w:r>
      <w:proofErr w:type="spellEnd"/>
      <w:r w:rsidR="00E36925" w:rsidRPr="00E36925">
        <w:rPr>
          <w:sz w:val="22"/>
          <w:szCs w:val="22"/>
          <w:highlight w:val="none"/>
        </w:rPr>
        <w:t xml:space="preserve">, S. K., &amp; </w:t>
      </w:r>
      <w:proofErr w:type="spellStart"/>
      <w:r w:rsidR="00E36925" w:rsidRPr="00E36925">
        <w:rPr>
          <w:sz w:val="22"/>
          <w:szCs w:val="22"/>
          <w:highlight w:val="none"/>
        </w:rPr>
        <w:t>Cecez-Kecmanovic</w:t>
      </w:r>
      <w:proofErr w:type="spellEnd"/>
      <w:r w:rsidR="00E36925" w:rsidRPr="00E36925">
        <w:rPr>
          <w:sz w:val="22"/>
          <w:szCs w:val="22"/>
          <w:highlight w:val="none"/>
        </w:rPr>
        <w:t xml:space="preserve">, D. </w:t>
      </w:r>
      <w:r w:rsidR="00E36925" w:rsidRPr="00E36925">
        <w:rPr>
          <w:sz w:val="22"/>
          <w:szCs w:val="22"/>
          <w:highlight w:val="none"/>
        </w:rPr>
        <w:t>,</w:t>
      </w:r>
      <w:r w:rsidR="00E36925" w:rsidRPr="00E36925">
        <w:rPr>
          <w:sz w:val="22"/>
          <w:szCs w:val="22"/>
          <w:highlight w:val="none"/>
        </w:rPr>
        <w:t>2014</w:t>
      </w:r>
      <w:r w:rsidRPr="00F12485">
        <w:rPr>
          <w:sz w:val="22"/>
          <w:szCs w:val="22"/>
          <w:highlight w:val="none"/>
        </w:rPr>
        <w:t xml:space="preserve">). This approach is particularly valuable in practice-based research, where meaning is shaped by social, cultural, and experiential contexts. Although hermeneutic reviews may lack replicability, they offer rich, context-sensitive insights well-suited to theory-building and reflexive </w:t>
      </w:r>
      <w:r w:rsidRPr="00E36925">
        <w:rPr>
          <w:sz w:val="22"/>
          <w:szCs w:val="22"/>
          <w:highlight w:val="none"/>
        </w:rPr>
        <w:t>inquiry (</w:t>
      </w:r>
      <w:r w:rsidR="00E36925" w:rsidRPr="00E36925">
        <w:rPr>
          <w:sz w:val="22"/>
          <w:szCs w:val="22"/>
          <w:highlight w:val="none"/>
        </w:rPr>
        <w:t>MacLeod, M.L.P., McCaffrey, G., Wilson, E. et al.</w:t>
      </w:r>
      <w:r w:rsidRPr="00E36925">
        <w:rPr>
          <w:sz w:val="22"/>
          <w:szCs w:val="22"/>
          <w:highlight w:val="none"/>
        </w:rPr>
        <w:t>, 2023).</w:t>
      </w:r>
      <w:r w:rsidR="00E36925">
        <w:rPr>
          <w:sz w:val="22"/>
          <w:szCs w:val="22"/>
          <w:highlight w:val="none"/>
        </w:rPr>
        <w:t xml:space="preserve"> </w:t>
      </w:r>
      <w:r w:rsidR="00E36925">
        <w:rPr>
          <w:sz w:val="22"/>
          <w:szCs w:val="22"/>
          <w:highlight w:val="none"/>
        </w:rPr>
        <w:t>This aligns with my own values as a practice based researcher, with relativism ontological approaches.</w:t>
      </w:r>
    </w:p>
    <w:p w14:paraId="6BDF5C10" w14:textId="193B22C7"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The research question was developed using the SPIDER framework </w:t>
      </w:r>
      <w:r w:rsidRPr="00E36925">
        <w:rPr>
          <w:sz w:val="22"/>
          <w:szCs w:val="22"/>
          <w:highlight w:val="none"/>
        </w:rPr>
        <w:t>(</w:t>
      </w:r>
      <w:r w:rsidR="00E36925" w:rsidRPr="00E36925">
        <w:rPr>
          <w:sz w:val="22"/>
          <w:szCs w:val="22"/>
          <w:highlight w:val="none"/>
        </w:rPr>
        <w:t>Cooke, A., Smith, D. and Booth, A.</w:t>
      </w:r>
      <w:r w:rsidR="00E36925" w:rsidRPr="00E36925">
        <w:rPr>
          <w:sz w:val="22"/>
          <w:szCs w:val="22"/>
          <w:highlight w:val="none"/>
        </w:rPr>
        <w:t xml:space="preserve">, </w:t>
      </w:r>
      <w:r w:rsidR="00E36925" w:rsidRPr="00E36925">
        <w:rPr>
          <w:sz w:val="22"/>
          <w:szCs w:val="22"/>
          <w:highlight w:val="none"/>
        </w:rPr>
        <w:t>2012</w:t>
      </w:r>
      <w:r w:rsidRPr="00E36925">
        <w:rPr>
          <w:sz w:val="22"/>
          <w:szCs w:val="22"/>
          <w:highlight w:val="none"/>
        </w:rPr>
        <w:t>),</w:t>
      </w:r>
      <w:r w:rsidRPr="00F12485">
        <w:rPr>
          <w:sz w:val="22"/>
          <w:szCs w:val="22"/>
          <w:highlight w:val="none"/>
        </w:rPr>
        <w:t xml:space="preserve"> which is tailored to qualitative evidence synthesis. This framework guided the identification of key search categories:</w:t>
      </w:r>
    </w:p>
    <w:p w14:paraId="72DBBA2F" w14:textId="77777777" w:rsidR="00EF6272" w:rsidRPr="00F12485" w:rsidRDefault="00000000" w:rsidP="00F12485">
      <w:pPr>
        <w:shd w:val="clear" w:color="auto" w:fill="auto"/>
        <w:spacing w:line="360" w:lineRule="auto"/>
        <w:rPr>
          <w:sz w:val="22"/>
          <w:szCs w:val="22"/>
          <w:highlight w:val="none"/>
        </w:rPr>
      </w:pPr>
      <w:r w:rsidRPr="00E36925">
        <w:rPr>
          <w:b/>
          <w:bCs/>
          <w:sz w:val="22"/>
          <w:szCs w:val="22"/>
          <w:highlight w:val="none"/>
        </w:rPr>
        <w:t>Population:</w:t>
      </w:r>
      <w:r w:rsidRPr="00F12485">
        <w:rPr>
          <w:sz w:val="22"/>
          <w:szCs w:val="22"/>
          <w:highlight w:val="none"/>
        </w:rPr>
        <w:t xml:space="preserve"> “amateur singer*”, “community choir”</w:t>
      </w:r>
    </w:p>
    <w:p w14:paraId="72829E53" w14:textId="77777777" w:rsidR="00EF6272" w:rsidRPr="00F12485" w:rsidRDefault="00000000" w:rsidP="00F12485">
      <w:pPr>
        <w:shd w:val="clear" w:color="auto" w:fill="auto"/>
        <w:spacing w:line="360" w:lineRule="auto"/>
        <w:rPr>
          <w:sz w:val="22"/>
          <w:szCs w:val="22"/>
          <w:highlight w:val="none"/>
        </w:rPr>
      </w:pPr>
      <w:r w:rsidRPr="00E36925">
        <w:rPr>
          <w:b/>
          <w:bCs/>
          <w:sz w:val="22"/>
          <w:szCs w:val="22"/>
          <w:highlight w:val="none"/>
        </w:rPr>
        <w:t>Phenomenon of interest:</w:t>
      </w:r>
      <w:r w:rsidRPr="00F12485">
        <w:rPr>
          <w:sz w:val="22"/>
          <w:szCs w:val="22"/>
          <w:highlight w:val="none"/>
        </w:rPr>
        <w:t xml:space="preserve"> “vocal health”, “voice strain”</w:t>
      </w:r>
    </w:p>
    <w:p w14:paraId="1800BCBB" w14:textId="77777777" w:rsidR="00EF6272" w:rsidRPr="00F12485" w:rsidRDefault="00000000" w:rsidP="00F12485">
      <w:pPr>
        <w:shd w:val="clear" w:color="auto" w:fill="auto"/>
        <w:spacing w:line="360" w:lineRule="auto"/>
        <w:rPr>
          <w:sz w:val="22"/>
          <w:szCs w:val="22"/>
          <w:highlight w:val="none"/>
        </w:rPr>
      </w:pPr>
      <w:r w:rsidRPr="00E36925">
        <w:rPr>
          <w:b/>
          <w:bCs/>
          <w:sz w:val="22"/>
          <w:szCs w:val="22"/>
          <w:highlight w:val="none"/>
        </w:rPr>
        <w:t>Intervention/strategy:</w:t>
      </w:r>
      <w:r w:rsidRPr="00F12485">
        <w:rPr>
          <w:sz w:val="22"/>
          <w:szCs w:val="22"/>
          <w:highlight w:val="none"/>
        </w:rPr>
        <w:t xml:space="preserve"> “training”, “prevention”, “habit*”</w:t>
      </w:r>
    </w:p>
    <w:p w14:paraId="6F551F08" w14:textId="631C8AEC" w:rsidR="00EF6272" w:rsidRPr="00F12485" w:rsidRDefault="00000000" w:rsidP="00F12485">
      <w:pPr>
        <w:shd w:val="clear" w:color="auto" w:fill="auto"/>
        <w:spacing w:line="360" w:lineRule="auto"/>
        <w:rPr>
          <w:sz w:val="22"/>
          <w:szCs w:val="22"/>
          <w:highlight w:val="none"/>
        </w:rPr>
      </w:pPr>
      <w:r w:rsidRPr="00F12485">
        <w:rPr>
          <w:sz w:val="22"/>
          <w:szCs w:val="22"/>
          <w:highlight w:val="none"/>
        </w:rPr>
        <w:t>Search terms were refined using synonyms and Boolean operators. A Venn diagram (</w:t>
      </w:r>
      <w:proofErr w:type="spellStart"/>
      <w:r w:rsidRPr="00F12485">
        <w:rPr>
          <w:sz w:val="22"/>
          <w:szCs w:val="22"/>
          <w:highlight w:val="none"/>
        </w:rPr>
        <w:t>Hempel</w:t>
      </w:r>
      <w:r w:rsidR="00351AB8">
        <w:rPr>
          <w:sz w:val="22"/>
          <w:szCs w:val="22"/>
          <w:highlight w:val="none"/>
        </w:rPr>
        <w:t>.S</w:t>
      </w:r>
      <w:proofErr w:type="spellEnd"/>
      <w:r w:rsidR="00351AB8">
        <w:rPr>
          <w:sz w:val="22"/>
          <w:szCs w:val="22"/>
          <w:highlight w:val="none"/>
        </w:rPr>
        <w:t>.</w:t>
      </w:r>
      <w:r w:rsidRPr="00F12485">
        <w:rPr>
          <w:sz w:val="22"/>
          <w:szCs w:val="22"/>
          <w:highlight w:val="none"/>
        </w:rPr>
        <w:t xml:space="preserve">, 2020) was used to </w:t>
      </w:r>
      <w:proofErr w:type="spellStart"/>
      <w:r w:rsidR="00351AB8" w:rsidRPr="00F12485">
        <w:rPr>
          <w:sz w:val="22"/>
          <w:szCs w:val="22"/>
          <w:highlight w:val="none"/>
        </w:rPr>
        <w:t>visuali</w:t>
      </w:r>
      <w:r w:rsidR="00351AB8">
        <w:rPr>
          <w:sz w:val="22"/>
          <w:szCs w:val="22"/>
          <w:highlight w:val="none"/>
        </w:rPr>
        <w:t>s</w:t>
      </w:r>
      <w:r w:rsidR="00351AB8" w:rsidRPr="00F12485">
        <w:rPr>
          <w:sz w:val="22"/>
          <w:szCs w:val="22"/>
          <w:highlight w:val="none"/>
        </w:rPr>
        <w:t>e</w:t>
      </w:r>
      <w:proofErr w:type="spellEnd"/>
      <w:r w:rsidRPr="00F12485">
        <w:rPr>
          <w:sz w:val="22"/>
          <w:szCs w:val="22"/>
          <w:highlight w:val="none"/>
        </w:rPr>
        <w:t xml:space="preserve"> intersections and ensure clarity. (Appendix </w:t>
      </w:r>
      <w:r w:rsidR="00AE2CC3">
        <w:rPr>
          <w:sz w:val="22"/>
          <w:szCs w:val="22"/>
          <w:highlight w:val="none"/>
        </w:rPr>
        <w:t>2</w:t>
      </w:r>
      <w:r w:rsidRPr="00F12485">
        <w:rPr>
          <w:sz w:val="22"/>
          <w:szCs w:val="22"/>
          <w:highlight w:val="none"/>
        </w:rPr>
        <w:t xml:space="preserve">), this was then </w:t>
      </w:r>
      <w:proofErr w:type="spellStart"/>
      <w:r w:rsidRPr="00F12485">
        <w:rPr>
          <w:sz w:val="22"/>
          <w:szCs w:val="22"/>
          <w:highlight w:val="none"/>
        </w:rPr>
        <w:t>visualised</w:t>
      </w:r>
      <w:proofErr w:type="spellEnd"/>
      <w:r w:rsidRPr="00F12485">
        <w:rPr>
          <w:sz w:val="22"/>
          <w:szCs w:val="22"/>
          <w:highlight w:val="none"/>
        </w:rPr>
        <w:t xml:space="preserve"> with Table 1 </w:t>
      </w:r>
      <w:r w:rsidR="00351AB8">
        <w:rPr>
          <w:sz w:val="22"/>
          <w:szCs w:val="22"/>
          <w:highlight w:val="none"/>
        </w:rPr>
        <w:t>(</w:t>
      </w:r>
      <w:r w:rsidRPr="00F12485">
        <w:rPr>
          <w:sz w:val="22"/>
          <w:szCs w:val="22"/>
          <w:highlight w:val="none"/>
        </w:rPr>
        <w:t>below</w:t>
      </w:r>
      <w:r w:rsidR="00351AB8">
        <w:rPr>
          <w:sz w:val="22"/>
          <w:szCs w:val="22"/>
          <w:highlight w:val="none"/>
        </w:rPr>
        <w:t>)</w:t>
      </w:r>
      <w:r w:rsidRPr="00F12485">
        <w:rPr>
          <w:sz w:val="22"/>
          <w:szCs w:val="22"/>
          <w:highlight w:val="none"/>
        </w:rPr>
        <w:t xml:space="preserve"> that defines the possible intersections of search terms. </w:t>
      </w:r>
    </w:p>
    <w:p w14:paraId="2F947297" w14:textId="77777777" w:rsidR="00EF6272" w:rsidRPr="00351AB8" w:rsidRDefault="00000000" w:rsidP="00F12485">
      <w:pPr>
        <w:shd w:val="clear" w:color="auto" w:fill="auto"/>
        <w:spacing w:line="360" w:lineRule="auto"/>
        <w:rPr>
          <w:i/>
          <w:iCs/>
          <w:sz w:val="22"/>
          <w:szCs w:val="22"/>
          <w:highlight w:val="none"/>
        </w:rPr>
      </w:pPr>
      <w:r w:rsidRPr="00351AB8">
        <w:rPr>
          <w:i/>
          <w:iCs/>
          <w:sz w:val="22"/>
          <w:szCs w:val="22"/>
          <w:highlight w:val="none"/>
        </w:rPr>
        <w:t>Table1 Venn Diagram Search intersections by Synonym</w:t>
      </w:r>
    </w:p>
    <w:p w14:paraId="6CFCC7EB"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drawing>
          <wp:inline distT="114300" distB="114300" distL="114300" distR="114300" wp14:anchorId="1CA6DFD3" wp14:editId="48E56A68">
            <wp:extent cx="5253038" cy="177455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253038" cy="1774556"/>
                    </a:xfrm>
                    <a:prstGeom prst="rect">
                      <a:avLst/>
                    </a:prstGeom>
                    <a:ln/>
                  </pic:spPr>
                </pic:pic>
              </a:graphicData>
            </a:graphic>
          </wp:inline>
        </w:drawing>
      </w:r>
    </w:p>
    <w:p w14:paraId="4E6AB0C4"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lastRenderedPageBreak/>
        <w:t xml:space="preserve"> After evaluating the intersections, the A∩C category was excluded, as it did not yield literature focused on vocal health. This decision also reflected time constraints and the need for a focused, manageable dataset.</w:t>
      </w:r>
    </w:p>
    <w:p w14:paraId="6E0C34F4" w14:textId="77777777" w:rsidR="00EF6272" w:rsidRPr="00F12485" w:rsidRDefault="00EF6272" w:rsidP="00F12485">
      <w:pPr>
        <w:shd w:val="clear" w:color="auto" w:fill="auto"/>
        <w:spacing w:line="360" w:lineRule="auto"/>
        <w:rPr>
          <w:sz w:val="22"/>
          <w:szCs w:val="22"/>
          <w:highlight w:val="none"/>
        </w:rPr>
      </w:pPr>
    </w:p>
    <w:p w14:paraId="6558681A" w14:textId="77777777" w:rsidR="00EF6272" w:rsidRPr="00F12485" w:rsidRDefault="00EF6272" w:rsidP="00F12485">
      <w:pPr>
        <w:shd w:val="clear" w:color="auto" w:fill="auto"/>
        <w:spacing w:line="360" w:lineRule="auto"/>
        <w:rPr>
          <w:sz w:val="22"/>
          <w:szCs w:val="22"/>
          <w:highlight w:val="none"/>
        </w:rPr>
      </w:pPr>
    </w:p>
    <w:p w14:paraId="0B9EAA34" w14:textId="1E141416" w:rsidR="00EF6272" w:rsidRPr="00F12485" w:rsidRDefault="00000000" w:rsidP="00F12485">
      <w:pPr>
        <w:shd w:val="clear" w:color="auto" w:fill="auto"/>
        <w:spacing w:line="360" w:lineRule="auto"/>
        <w:rPr>
          <w:sz w:val="22"/>
          <w:szCs w:val="22"/>
          <w:highlight w:val="none"/>
        </w:rPr>
      </w:pPr>
      <w:r w:rsidRPr="00F12485">
        <w:rPr>
          <w:sz w:val="22"/>
          <w:szCs w:val="22"/>
          <w:highlight w:val="none"/>
        </w:rPr>
        <w:t>The final search strategy combined terms from the following categories</w:t>
      </w:r>
      <w:r w:rsidR="00351AB8">
        <w:rPr>
          <w:sz w:val="22"/>
          <w:szCs w:val="22"/>
          <w:highlight w:val="none"/>
        </w:rPr>
        <w:t>, intersected with “AND”</w:t>
      </w:r>
      <w:r w:rsidRPr="00F12485">
        <w:rPr>
          <w:sz w:val="22"/>
          <w:szCs w:val="22"/>
          <w:highlight w:val="none"/>
        </w:rPr>
        <w:t>:</w:t>
      </w:r>
    </w:p>
    <w:p w14:paraId="60F450ED" w14:textId="77777777" w:rsidR="00EF6272" w:rsidRPr="00351AB8" w:rsidRDefault="00000000" w:rsidP="00F12485">
      <w:pPr>
        <w:shd w:val="clear" w:color="auto" w:fill="auto"/>
        <w:spacing w:line="360" w:lineRule="auto"/>
        <w:rPr>
          <w:b/>
          <w:bCs/>
          <w:sz w:val="22"/>
          <w:szCs w:val="22"/>
          <w:highlight w:val="none"/>
        </w:rPr>
      </w:pPr>
      <w:r w:rsidRPr="00351AB8">
        <w:rPr>
          <w:b/>
          <w:bCs/>
          <w:sz w:val="22"/>
          <w:szCs w:val="22"/>
          <w:highlight w:val="none"/>
        </w:rPr>
        <w:t>A: ("amateur singer*" OR "non-professional singer*" OR "community theatre" OR “community choir” OR “untrained singer”)</w:t>
      </w:r>
    </w:p>
    <w:p w14:paraId="17D16B3E" w14:textId="77777777" w:rsidR="00EF6272" w:rsidRPr="00351AB8" w:rsidRDefault="00000000" w:rsidP="00F12485">
      <w:pPr>
        <w:shd w:val="clear" w:color="auto" w:fill="auto"/>
        <w:spacing w:line="360" w:lineRule="auto"/>
        <w:rPr>
          <w:b/>
          <w:bCs/>
          <w:sz w:val="22"/>
          <w:szCs w:val="22"/>
          <w:highlight w:val="none"/>
        </w:rPr>
      </w:pPr>
      <w:r w:rsidRPr="00351AB8">
        <w:rPr>
          <w:b/>
          <w:bCs/>
          <w:sz w:val="22"/>
          <w:szCs w:val="22"/>
          <w:highlight w:val="none"/>
        </w:rPr>
        <w:t>B: ("vocal health" OR "voice care" OR "vocal hygiene" OR "vocal fatigue" OR "voice strain")</w:t>
      </w:r>
    </w:p>
    <w:p w14:paraId="580BE684" w14:textId="77777777" w:rsidR="00EF6272" w:rsidRPr="00351AB8" w:rsidRDefault="00000000" w:rsidP="00F12485">
      <w:pPr>
        <w:shd w:val="clear" w:color="auto" w:fill="auto"/>
        <w:spacing w:line="360" w:lineRule="auto"/>
        <w:rPr>
          <w:b/>
          <w:bCs/>
          <w:sz w:val="22"/>
          <w:szCs w:val="22"/>
          <w:highlight w:val="none"/>
        </w:rPr>
      </w:pPr>
      <w:r w:rsidRPr="00351AB8">
        <w:rPr>
          <w:b/>
          <w:bCs/>
          <w:sz w:val="22"/>
          <w:szCs w:val="22"/>
          <w:highlight w:val="none"/>
        </w:rPr>
        <w:t>C: ("practice*" OR "strategy*" OR "intervention*" OR "education" OR "training")</w:t>
      </w:r>
    </w:p>
    <w:p w14:paraId="5B972A3F" w14:textId="2E7D72E1" w:rsidR="00EF6272" w:rsidRPr="00F12485" w:rsidRDefault="00000000" w:rsidP="00F12485">
      <w:pPr>
        <w:shd w:val="clear" w:color="auto" w:fill="auto"/>
        <w:spacing w:line="360" w:lineRule="auto"/>
        <w:rPr>
          <w:sz w:val="22"/>
          <w:szCs w:val="22"/>
          <w:highlight w:val="none"/>
        </w:rPr>
      </w:pPr>
      <w:r w:rsidRPr="00F12485">
        <w:rPr>
          <w:sz w:val="22"/>
          <w:szCs w:val="22"/>
          <w:highlight w:val="none"/>
        </w:rPr>
        <w:t>The inclusion timeframe was initially set from the onset of the COVID-19 pandemic</w:t>
      </w:r>
      <w:r w:rsidR="00351AB8">
        <w:rPr>
          <w:sz w:val="22"/>
          <w:szCs w:val="22"/>
          <w:highlight w:val="none"/>
        </w:rPr>
        <w:t xml:space="preserve"> in 2020</w:t>
      </w:r>
      <w:r w:rsidRPr="00F12485">
        <w:rPr>
          <w:sz w:val="22"/>
          <w:szCs w:val="22"/>
          <w:highlight w:val="none"/>
        </w:rPr>
        <w:t xml:space="preserve">. However, as community singing was largely suspended during this period </w:t>
      </w:r>
      <w:r w:rsidRPr="00AE2CC3">
        <w:rPr>
          <w:color w:val="auto"/>
          <w:sz w:val="22"/>
          <w:szCs w:val="22"/>
          <w:highlight w:val="none"/>
        </w:rPr>
        <w:t xml:space="preserve">(Axon </w:t>
      </w:r>
      <w:r w:rsidR="00AE2CC3" w:rsidRPr="00AE2CC3">
        <w:rPr>
          <w:color w:val="auto"/>
          <w:sz w:val="22"/>
          <w:szCs w:val="22"/>
          <w:highlight w:val="none"/>
        </w:rPr>
        <w:t xml:space="preserve">. C.J. </w:t>
      </w:r>
      <w:r w:rsidRPr="00AE2CC3">
        <w:rPr>
          <w:color w:val="auto"/>
          <w:sz w:val="22"/>
          <w:szCs w:val="22"/>
          <w:highlight w:val="none"/>
        </w:rPr>
        <w:t xml:space="preserve">et al., 2023), </w:t>
      </w:r>
      <w:r w:rsidRPr="00F12485">
        <w:rPr>
          <w:sz w:val="22"/>
          <w:szCs w:val="22"/>
          <w:highlight w:val="none"/>
        </w:rPr>
        <w:t>the timeframe was extended to include literature from 201</w:t>
      </w:r>
      <w:r w:rsidR="00351AB8">
        <w:rPr>
          <w:sz w:val="22"/>
          <w:szCs w:val="22"/>
          <w:highlight w:val="none"/>
        </w:rPr>
        <w:t>6</w:t>
      </w:r>
      <w:r w:rsidRPr="00F12485">
        <w:rPr>
          <w:sz w:val="22"/>
          <w:szCs w:val="22"/>
          <w:highlight w:val="none"/>
        </w:rPr>
        <w:t xml:space="preserve"> onwards. This broader range captures both pre- and post-pandemic insights and reflects increased research interest in community singing, following initiatives such as the All-Party Parliamentary Group on Arts’ Health and Wellbeing Inquiry</w:t>
      </w:r>
      <w:r w:rsidR="00351AB8">
        <w:rPr>
          <w:sz w:val="22"/>
          <w:szCs w:val="22"/>
          <w:highlight w:val="none"/>
        </w:rPr>
        <w:t xml:space="preserve"> (National Centre for Creative Health, 2017)</w:t>
      </w:r>
      <w:r w:rsidRPr="00F12485">
        <w:rPr>
          <w:sz w:val="22"/>
          <w:szCs w:val="22"/>
          <w:highlight w:val="none"/>
        </w:rPr>
        <w:t xml:space="preserve"> and the Voices Now Big Choral Census (2017).</w:t>
      </w:r>
    </w:p>
    <w:p w14:paraId="1CEC565B" w14:textId="4A122E15"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Initial searches </w:t>
      </w:r>
      <w:proofErr w:type="spellStart"/>
      <w:r w:rsidRPr="00F12485">
        <w:rPr>
          <w:sz w:val="22"/>
          <w:szCs w:val="22"/>
          <w:highlight w:val="none"/>
        </w:rPr>
        <w:t>prioritised</w:t>
      </w:r>
      <w:proofErr w:type="spellEnd"/>
      <w:r w:rsidRPr="00F12485">
        <w:rPr>
          <w:sz w:val="22"/>
          <w:szCs w:val="22"/>
          <w:highlight w:val="none"/>
        </w:rPr>
        <w:t xml:space="preserve"> Tier 1 literature </w:t>
      </w:r>
      <w:r w:rsidRPr="00DC712E">
        <w:rPr>
          <w:color w:val="auto"/>
          <w:sz w:val="22"/>
          <w:szCs w:val="22"/>
          <w:highlight w:val="none"/>
        </w:rPr>
        <w:t>(</w:t>
      </w:r>
      <w:proofErr w:type="spellStart"/>
      <w:r w:rsidRPr="00DC712E">
        <w:rPr>
          <w:color w:val="auto"/>
          <w:sz w:val="22"/>
          <w:szCs w:val="22"/>
          <w:highlight w:val="none"/>
        </w:rPr>
        <w:t>Kepes</w:t>
      </w:r>
      <w:proofErr w:type="spellEnd"/>
      <w:r w:rsidR="00DC712E" w:rsidRPr="00DC712E">
        <w:rPr>
          <w:color w:val="auto"/>
          <w:sz w:val="22"/>
          <w:szCs w:val="22"/>
          <w:highlight w:val="none"/>
        </w:rPr>
        <w:t xml:space="preserve"> .S. </w:t>
      </w:r>
      <w:r w:rsidR="00DC712E">
        <w:rPr>
          <w:color w:val="auto"/>
          <w:sz w:val="22"/>
          <w:szCs w:val="22"/>
          <w:highlight w:val="none"/>
        </w:rPr>
        <w:t>,e</w:t>
      </w:r>
      <w:r w:rsidR="00DC712E" w:rsidRPr="00DC712E">
        <w:rPr>
          <w:color w:val="auto"/>
          <w:sz w:val="22"/>
          <w:szCs w:val="22"/>
          <w:highlight w:val="none"/>
        </w:rPr>
        <w:t>t al</w:t>
      </w:r>
      <w:r w:rsidRPr="00DC712E">
        <w:rPr>
          <w:color w:val="auto"/>
          <w:sz w:val="22"/>
          <w:szCs w:val="22"/>
          <w:highlight w:val="none"/>
        </w:rPr>
        <w:t xml:space="preserve">, 2012) </w:t>
      </w:r>
      <w:r w:rsidRPr="00F12485">
        <w:rPr>
          <w:sz w:val="22"/>
          <w:szCs w:val="22"/>
          <w:highlight w:val="none"/>
        </w:rPr>
        <w:t>to ensure credibility.</w:t>
      </w:r>
      <w:r w:rsidR="0041050E">
        <w:rPr>
          <w:sz w:val="22"/>
          <w:szCs w:val="22"/>
          <w:highlight w:val="none"/>
        </w:rPr>
        <w:t xml:space="preserve"> I further considered the inclusion of Tier 2 Literature</w:t>
      </w:r>
      <w:r w:rsidR="00DC712E">
        <w:rPr>
          <w:sz w:val="22"/>
          <w:szCs w:val="22"/>
          <w:highlight w:val="none"/>
        </w:rPr>
        <w:t xml:space="preserve"> also known as Grey </w:t>
      </w:r>
      <w:proofErr w:type="spellStart"/>
      <w:r w:rsidR="00DC712E">
        <w:rPr>
          <w:sz w:val="22"/>
          <w:szCs w:val="22"/>
          <w:highlight w:val="none"/>
        </w:rPr>
        <w:t>literture</w:t>
      </w:r>
      <w:proofErr w:type="spellEnd"/>
      <w:r w:rsidRPr="00F12485">
        <w:rPr>
          <w:sz w:val="22"/>
          <w:szCs w:val="22"/>
          <w:highlight w:val="none"/>
        </w:rPr>
        <w:t xml:space="preserve"> given the niche nature of the topic. While concerns about grey literature quality are valid, its exclusion risks omitting valuable insights. </w:t>
      </w:r>
      <w:proofErr w:type="spellStart"/>
      <w:r w:rsidRPr="00AE2CC3">
        <w:rPr>
          <w:color w:val="auto"/>
          <w:sz w:val="22"/>
          <w:szCs w:val="22"/>
          <w:highlight w:val="none"/>
        </w:rPr>
        <w:t>Paez</w:t>
      </w:r>
      <w:proofErr w:type="spellEnd"/>
      <w:r w:rsidR="00AE2CC3" w:rsidRPr="00AE2CC3">
        <w:rPr>
          <w:color w:val="auto"/>
          <w:sz w:val="22"/>
          <w:szCs w:val="22"/>
          <w:highlight w:val="none"/>
        </w:rPr>
        <w:t xml:space="preserve"> .A.</w:t>
      </w:r>
      <w:r w:rsidRPr="00AE2CC3">
        <w:rPr>
          <w:color w:val="auto"/>
          <w:sz w:val="22"/>
          <w:szCs w:val="22"/>
          <w:highlight w:val="none"/>
        </w:rPr>
        <w:t xml:space="preserve"> (2017) </w:t>
      </w:r>
      <w:r w:rsidRPr="00F12485">
        <w:rPr>
          <w:sz w:val="22"/>
          <w:szCs w:val="22"/>
          <w:highlight w:val="none"/>
        </w:rPr>
        <w:t xml:space="preserve">argues that grey literature helps mitigate publication bias, a concern echoed </w:t>
      </w:r>
      <w:r w:rsidRPr="00AE2CC3">
        <w:rPr>
          <w:color w:val="auto"/>
          <w:sz w:val="22"/>
          <w:szCs w:val="22"/>
          <w:highlight w:val="none"/>
        </w:rPr>
        <w:t>by McAuley</w:t>
      </w:r>
      <w:r w:rsidR="00AE2CC3" w:rsidRPr="00AE2CC3">
        <w:rPr>
          <w:color w:val="auto"/>
          <w:sz w:val="22"/>
          <w:szCs w:val="22"/>
          <w:highlight w:val="none"/>
        </w:rPr>
        <w:t xml:space="preserve"> .L.</w:t>
      </w:r>
      <w:r w:rsidRPr="00AE2CC3">
        <w:rPr>
          <w:color w:val="auto"/>
          <w:sz w:val="22"/>
          <w:szCs w:val="22"/>
          <w:highlight w:val="none"/>
        </w:rPr>
        <w:t xml:space="preserve"> et al. (2000). </w:t>
      </w:r>
      <w:proofErr w:type="spellStart"/>
      <w:r w:rsidRPr="00AE2CC3">
        <w:rPr>
          <w:color w:val="auto"/>
          <w:sz w:val="22"/>
          <w:szCs w:val="22"/>
          <w:highlight w:val="none"/>
        </w:rPr>
        <w:t>Benzies</w:t>
      </w:r>
      <w:proofErr w:type="spellEnd"/>
      <w:r w:rsidRPr="00AE2CC3">
        <w:rPr>
          <w:color w:val="auto"/>
          <w:sz w:val="22"/>
          <w:szCs w:val="22"/>
          <w:highlight w:val="none"/>
        </w:rPr>
        <w:t xml:space="preserve"> </w:t>
      </w:r>
      <w:r w:rsidR="00AE2CC3" w:rsidRPr="00AE2CC3">
        <w:rPr>
          <w:color w:val="auto"/>
          <w:sz w:val="22"/>
          <w:szCs w:val="22"/>
          <w:highlight w:val="none"/>
        </w:rPr>
        <w:t xml:space="preserve">.K. M. </w:t>
      </w:r>
      <w:r w:rsidRPr="00AE2CC3">
        <w:rPr>
          <w:color w:val="auto"/>
          <w:sz w:val="22"/>
          <w:szCs w:val="22"/>
          <w:highlight w:val="none"/>
        </w:rPr>
        <w:t xml:space="preserve">et al. (2006) </w:t>
      </w:r>
      <w:r w:rsidRPr="00F12485">
        <w:rPr>
          <w:sz w:val="22"/>
          <w:szCs w:val="22"/>
          <w:highlight w:val="none"/>
        </w:rPr>
        <w:t>further highlight its value in applied research, where real-world context is critical.</w:t>
      </w:r>
      <w:r w:rsidR="00DC712E">
        <w:rPr>
          <w:sz w:val="22"/>
          <w:szCs w:val="22"/>
          <w:highlight w:val="none"/>
        </w:rPr>
        <w:t xml:space="preserve"> However, using </w:t>
      </w:r>
      <w:proofErr w:type="spellStart"/>
      <w:r w:rsidR="00DC712E" w:rsidRPr="00DC712E">
        <w:rPr>
          <w:color w:val="auto"/>
          <w:sz w:val="22"/>
          <w:szCs w:val="22"/>
          <w:highlight w:val="none"/>
        </w:rPr>
        <w:t>Kepes</w:t>
      </w:r>
      <w:proofErr w:type="spellEnd"/>
      <w:r w:rsidR="00DC712E" w:rsidRPr="00DC712E">
        <w:rPr>
          <w:color w:val="auto"/>
          <w:sz w:val="22"/>
          <w:szCs w:val="22"/>
          <w:highlight w:val="none"/>
        </w:rPr>
        <w:t xml:space="preserve"> .S. </w:t>
      </w:r>
      <w:r w:rsidR="00DC712E">
        <w:rPr>
          <w:color w:val="auto"/>
          <w:sz w:val="22"/>
          <w:szCs w:val="22"/>
          <w:highlight w:val="none"/>
        </w:rPr>
        <w:t>e</w:t>
      </w:r>
      <w:r w:rsidR="00DC712E" w:rsidRPr="00DC712E">
        <w:rPr>
          <w:color w:val="auto"/>
          <w:sz w:val="22"/>
          <w:szCs w:val="22"/>
          <w:highlight w:val="none"/>
        </w:rPr>
        <w:t>t al</w:t>
      </w:r>
      <w:r w:rsidR="00DC712E">
        <w:rPr>
          <w:color w:val="auto"/>
          <w:sz w:val="22"/>
          <w:szCs w:val="22"/>
          <w:highlight w:val="none"/>
        </w:rPr>
        <w:t>.</w:t>
      </w:r>
      <w:r w:rsidR="00DC712E">
        <w:rPr>
          <w:sz w:val="22"/>
          <w:szCs w:val="22"/>
          <w:highlight w:val="none"/>
        </w:rPr>
        <w:t xml:space="preserve"> (2012) guidance on credibility, I believed that given the time constraints of this work, I would aim to only include Tier 1, but if limited in yield I would bring the use of Tier 2 literature into the review, justified by the above reasoning. Also this would fall i</w:t>
      </w:r>
      <w:r w:rsidRPr="00F12485">
        <w:rPr>
          <w:sz w:val="22"/>
          <w:szCs w:val="22"/>
          <w:highlight w:val="none"/>
        </w:rPr>
        <w:t>n line with the hermeneutic approach, inclusion was based on contextual relevance and interpretive value, not solely on publication status (</w:t>
      </w:r>
      <w:proofErr w:type="spellStart"/>
      <w:r w:rsidRPr="00F12485">
        <w:rPr>
          <w:sz w:val="22"/>
          <w:szCs w:val="22"/>
          <w:highlight w:val="none"/>
        </w:rPr>
        <w:t>Boell</w:t>
      </w:r>
      <w:proofErr w:type="spellEnd"/>
      <w:r w:rsidR="00DC712E">
        <w:rPr>
          <w:sz w:val="22"/>
          <w:szCs w:val="22"/>
          <w:highlight w:val="none"/>
        </w:rPr>
        <w:t xml:space="preserve"> .S.</w:t>
      </w:r>
      <w:r w:rsidRPr="00F12485">
        <w:rPr>
          <w:sz w:val="22"/>
          <w:szCs w:val="22"/>
          <w:highlight w:val="none"/>
        </w:rPr>
        <w:t xml:space="preserve"> &amp; </w:t>
      </w:r>
      <w:proofErr w:type="spellStart"/>
      <w:r w:rsidRPr="00F12485">
        <w:rPr>
          <w:sz w:val="22"/>
          <w:szCs w:val="22"/>
          <w:highlight w:val="none"/>
        </w:rPr>
        <w:t>Cecez-Kecmanovic</w:t>
      </w:r>
      <w:proofErr w:type="spellEnd"/>
      <w:r w:rsidR="00DC712E">
        <w:rPr>
          <w:sz w:val="22"/>
          <w:szCs w:val="22"/>
          <w:highlight w:val="none"/>
        </w:rPr>
        <w:t xml:space="preserve"> .K.</w:t>
      </w:r>
      <w:r w:rsidRPr="00F12485">
        <w:rPr>
          <w:sz w:val="22"/>
          <w:szCs w:val="22"/>
          <w:highlight w:val="none"/>
        </w:rPr>
        <w:t>, 2010). Where Tier 1 yield was insufficient, grey literature was critically appraised using a rubric to ensure quality and relevance.</w:t>
      </w:r>
    </w:p>
    <w:p w14:paraId="31B99390"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lastRenderedPageBreak/>
        <w:t xml:space="preserve">Searches began using the university library’s broad search function, followed by targeted exploration of journals. Journals that appeared frequently were </w:t>
      </w:r>
      <w:proofErr w:type="spellStart"/>
      <w:r w:rsidRPr="00F12485">
        <w:rPr>
          <w:sz w:val="22"/>
          <w:szCs w:val="22"/>
          <w:highlight w:val="none"/>
        </w:rPr>
        <w:t>prioritised</w:t>
      </w:r>
      <w:proofErr w:type="spellEnd"/>
      <w:r w:rsidRPr="00F12485">
        <w:rPr>
          <w:sz w:val="22"/>
          <w:szCs w:val="22"/>
          <w:highlight w:val="none"/>
        </w:rPr>
        <w:t>, and backward and forward chaining of references was used to identify additional sources. This iterative process reflects the hermeneutic circle and supports the study’s aim to generate nuanced, practice-informed insights.</w:t>
      </w:r>
    </w:p>
    <w:p w14:paraId="375EBF20"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t>In summary, the combined use of a rapid scoping review and hermeneutic methodology provides a robust and flexible framework for addressing the research question. It enables the identification of current practices and strategies for vocal health in amateur singing, while supporting reflexive engagement and professional development.</w:t>
      </w:r>
    </w:p>
    <w:p w14:paraId="48D6F0DD" w14:textId="77777777" w:rsidR="00EF6272" w:rsidRPr="00F12485" w:rsidRDefault="00EF6272" w:rsidP="00F12485">
      <w:pPr>
        <w:shd w:val="clear" w:color="auto" w:fill="auto"/>
        <w:spacing w:line="360" w:lineRule="auto"/>
        <w:rPr>
          <w:sz w:val="22"/>
          <w:szCs w:val="22"/>
          <w:highlight w:val="none"/>
        </w:rPr>
      </w:pPr>
    </w:p>
    <w:p w14:paraId="78E317A3" w14:textId="77777777" w:rsidR="00EF6272" w:rsidRDefault="00000000" w:rsidP="00190C8B">
      <w:pPr>
        <w:shd w:val="clear" w:color="auto" w:fill="auto"/>
        <w:rPr>
          <w:b/>
          <w:bCs/>
          <w:highlight w:val="none"/>
        </w:rPr>
      </w:pPr>
      <w:r w:rsidRPr="00190C8B">
        <w:rPr>
          <w:b/>
          <w:bCs/>
          <w:highlight w:val="none"/>
        </w:rPr>
        <w:t xml:space="preserve">Component 2- Project Report: Review </w:t>
      </w:r>
    </w:p>
    <w:p w14:paraId="5E1B0411" w14:textId="77777777" w:rsidR="00190C8B" w:rsidRPr="00190C8B" w:rsidRDefault="00190C8B" w:rsidP="00190C8B">
      <w:pPr>
        <w:shd w:val="clear" w:color="auto" w:fill="auto"/>
        <w:rPr>
          <w:b/>
          <w:bCs/>
          <w:highlight w:val="none"/>
        </w:rPr>
      </w:pPr>
    </w:p>
    <w:p w14:paraId="4722DA77" w14:textId="709D8E0A" w:rsidR="00190C8B" w:rsidRDefault="00190C8B" w:rsidP="00F12485">
      <w:pPr>
        <w:shd w:val="clear" w:color="auto" w:fill="auto"/>
        <w:spacing w:line="360" w:lineRule="auto"/>
        <w:rPr>
          <w:b/>
          <w:bCs/>
          <w:i/>
          <w:iCs/>
          <w:sz w:val="22"/>
          <w:szCs w:val="22"/>
          <w:highlight w:val="none"/>
        </w:rPr>
      </w:pPr>
      <w:r>
        <w:rPr>
          <w:b/>
          <w:bCs/>
          <w:i/>
          <w:iCs/>
          <w:sz w:val="22"/>
          <w:szCs w:val="22"/>
          <w:highlight w:val="none"/>
        </w:rPr>
        <w:t xml:space="preserve">Research Question: </w:t>
      </w:r>
      <w:r w:rsidRPr="00190C8B">
        <w:rPr>
          <w:b/>
          <w:bCs/>
          <w:i/>
          <w:iCs/>
          <w:sz w:val="22"/>
          <w:szCs w:val="22"/>
          <w:highlight w:val="none"/>
        </w:rPr>
        <w:t>What are the current practices for protecting vocal health among amateur singers, and what strategies can be implemented to promote better vocal health habits within this population?</w:t>
      </w:r>
    </w:p>
    <w:p w14:paraId="78EBF5BA" w14:textId="77777777" w:rsidR="00190C8B" w:rsidRPr="00190C8B" w:rsidRDefault="00190C8B" w:rsidP="00F12485">
      <w:pPr>
        <w:shd w:val="clear" w:color="auto" w:fill="auto"/>
        <w:spacing w:line="360" w:lineRule="auto"/>
        <w:rPr>
          <w:b/>
          <w:bCs/>
          <w:sz w:val="22"/>
          <w:szCs w:val="22"/>
          <w:highlight w:val="none"/>
        </w:rPr>
      </w:pPr>
    </w:p>
    <w:p w14:paraId="3B0EC1C0" w14:textId="77777777" w:rsidR="00EF6272" w:rsidRPr="00190C8B" w:rsidRDefault="00000000" w:rsidP="00F12485">
      <w:pPr>
        <w:shd w:val="clear" w:color="auto" w:fill="auto"/>
        <w:spacing w:line="360" w:lineRule="auto"/>
        <w:rPr>
          <w:b/>
          <w:bCs/>
          <w:sz w:val="22"/>
          <w:szCs w:val="22"/>
          <w:highlight w:val="none"/>
        </w:rPr>
      </w:pPr>
      <w:bookmarkStart w:id="0" w:name="_kn1u5toh3im4" w:colFirst="0" w:colLast="0"/>
      <w:bookmarkEnd w:id="0"/>
      <w:r w:rsidRPr="00190C8B">
        <w:rPr>
          <w:b/>
          <w:bCs/>
          <w:sz w:val="22"/>
          <w:szCs w:val="22"/>
          <w:highlight w:val="none"/>
        </w:rPr>
        <w:t>Introduction</w:t>
      </w:r>
    </w:p>
    <w:p w14:paraId="402BAE34" w14:textId="399886A6" w:rsidR="00EF6272" w:rsidRPr="00F12485" w:rsidRDefault="00000000" w:rsidP="00F12485">
      <w:pPr>
        <w:shd w:val="clear" w:color="auto" w:fill="auto"/>
        <w:spacing w:line="360" w:lineRule="auto"/>
        <w:rPr>
          <w:sz w:val="22"/>
          <w:szCs w:val="22"/>
          <w:highlight w:val="none"/>
        </w:rPr>
      </w:pPr>
      <w:r w:rsidRPr="00F12485">
        <w:rPr>
          <w:sz w:val="22"/>
          <w:szCs w:val="22"/>
          <w:highlight w:val="none"/>
        </w:rPr>
        <w:t>Vocal health is a critical yet often overlooked component of sustainable singing, particularly within amateur performance settings. While community singing offers well-documented psychological and social benefits—including enhanced wellbeing, social cohesion, and emotional expression (Clift</w:t>
      </w:r>
      <w:r w:rsidR="00DC712E">
        <w:rPr>
          <w:sz w:val="22"/>
          <w:szCs w:val="22"/>
          <w:highlight w:val="none"/>
        </w:rPr>
        <w:t xml:space="preserve"> .S.M. </w:t>
      </w:r>
      <w:r w:rsidRPr="00F12485">
        <w:rPr>
          <w:sz w:val="22"/>
          <w:szCs w:val="22"/>
          <w:highlight w:val="none"/>
        </w:rPr>
        <w:t xml:space="preserve"> &amp; </w:t>
      </w:r>
      <w:proofErr w:type="spellStart"/>
      <w:r w:rsidRPr="00F12485">
        <w:rPr>
          <w:sz w:val="22"/>
          <w:szCs w:val="22"/>
          <w:highlight w:val="none"/>
        </w:rPr>
        <w:t>Hancox</w:t>
      </w:r>
      <w:proofErr w:type="spellEnd"/>
      <w:r w:rsidR="00DC712E">
        <w:rPr>
          <w:sz w:val="22"/>
          <w:szCs w:val="22"/>
          <w:highlight w:val="none"/>
        </w:rPr>
        <w:t xml:space="preserve"> .</w:t>
      </w:r>
      <w:r w:rsidR="00EE6921">
        <w:rPr>
          <w:sz w:val="22"/>
          <w:szCs w:val="22"/>
          <w:highlight w:val="none"/>
        </w:rPr>
        <w:t>G.</w:t>
      </w:r>
      <w:r w:rsidRPr="00F12485">
        <w:rPr>
          <w:sz w:val="22"/>
          <w:szCs w:val="22"/>
          <w:highlight w:val="none"/>
        </w:rPr>
        <w:t>, 2010)—many amateur singers lack formal training in vocal technique or hygiene. This absence of structured guidance increases the risk of vocal strain, fatigue, and long-term damage (Rosa</w:t>
      </w:r>
      <w:r w:rsidR="00EE6921">
        <w:rPr>
          <w:sz w:val="22"/>
          <w:szCs w:val="22"/>
          <w:highlight w:val="none"/>
        </w:rPr>
        <w:t xml:space="preserve"> .M.</w:t>
      </w:r>
      <w:r w:rsidRPr="00F12485">
        <w:rPr>
          <w:sz w:val="22"/>
          <w:szCs w:val="22"/>
          <w:highlight w:val="none"/>
        </w:rPr>
        <w:t xml:space="preserve"> &amp; </w:t>
      </w:r>
      <w:proofErr w:type="spellStart"/>
      <w:r w:rsidRPr="00F12485">
        <w:rPr>
          <w:sz w:val="22"/>
          <w:szCs w:val="22"/>
          <w:highlight w:val="none"/>
        </w:rPr>
        <w:t>Behlau</w:t>
      </w:r>
      <w:proofErr w:type="spellEnd"/>
      <w:r w:rsidR="00EE6921">
        <w:rPr>
          <w:sz w:val="22"/>
          <w:szCs w:val="22"/>
          <w:highlight w:val="none"/>
        </w:rPr>
        <w:t xml:space="preserve"> .M.</w:t>
      </w:r>
      <w:r w:rsidRPr="00F12485">
        <w:rPr>
          <w:sz w:val="22"/>
          <w:szCs w:val="22"/>
          <w:highlight w:val="none"/>
        </w:rPr>
        <w:t>, 2017; Sharma</w:t>
      </w:r>
      <w:r w:rsidR="00EE6921">
        <w:rPr>
          <w:sz w:val="22"/>
          <w:szCs w:val="22"/>
          <w:highlight w:val="none"/>
        </w:rPr>
        <w:t xml:space="preserve"> .V.</w:t>
      </w:r>
      <w:r w:rsidRPr="00F12485">
        <w:rPr>
          <w:sz w:val="22"/>
          <w:szCs w:val="22"/>
          <w:highlight w:val="none"/>
        </w:rPr>
        <w:t xml:space="preserve"> et al., 2021). As a practitioner working closely with amateur theatre and community choirs, I have observed these issues first-hand, particularly during intensive rehearsal periods where vocal care is </w:t>
      </w:r>
      <w:proofErr w:type="spellStart"/>
      <w:r w:rsidRPr="00F12485">
        <w:rPr>
          <w:sz w:val="22"/>
          <w:szCs w:val="22"/>
          <w:highlight w:val="none"/>
        </w:rPr>
        <w:t>deprioritised</w:t>
      </w:r>
      <w:proofErr w:type="spellEnd"/>
      <w:r w:rsidRPr="00F12485">
        <w:rPr>
          <w:sz w:val="22"/>
          <w:szCs w:val="22"/>
          <w:highlight w:val="none"/>
        </w:rPr>
        <w:t>.</w:t>
      </w:r>
    </w:p>
    <w:p w14:paraId="66C6D75B" w14:textId="0DD59C85" w:rsidR="00EF6272" w:rsidRPr="00F12485" w:rsidRDefault="00000000" w:rsidP="00F12485">
      <w:pPr>
        <w:shd w:val="clear" w:color="auto" w:fill="auto"/>
        <w:spacing w:line="360" w:lineRule="auto"/>
        <w:rPr>
          <w:sz w:val="22"/>
          <w:szCs w:val="22"/>
          <w:highlight w:val="none"/>
        </w:rPr>
      </w:pPr>
      <w:r w:rsidRPr="00F12485">
        <w:rPr>
          <w:sz w:val="22"/>
          <w:szCs w:val="22"/>
          <w:highlight w:val="none"/>
        </w:rPr>
        <w:t>Despite the physical demands of singing, vocal health practices such as hydration, rest, and warm-ups are inconsistently applied (</w:t>
      </w:r>
      <w:proofErr w:type="spellStart"/>
      <w:r w:rsidRPr="00F12485">
        <w:rPr>
          <w:sz w:val="22"/>
          <w:szCs w:val="22"/>
          <w:highlight w:val="none"/>
        </w:rPr>
        <w:t>Verdolini</w:t>
      </w:r>
      <w:proofErr w:type="spellEnd"/>
      <w:r w:rsidR="00EE6921">
        <w:rPr>
          <w:sz w:val="22"/>
          <w:szCs w:val="22"/>
          <w:highlight w:val="none"/>
        </w:rPr>
        <w:t xml:space="preserve"> .K.</w:t>
      </w:r>
      <w:r w:rsidRPr="00F12485">
        <w:rPr>
          <w:sz w:val="22"/>
          <w:szCs w:val="22"/>
          <w:highlight w:val="none"/>
        </w:rPr>
        <w:t xml:space="preserve"> &amp; </w:t>
      </w:r>
      <w:proofErr w:type="spellStart"/>
      <w:r w:rsidRPr="00F12485">
        <w:rPr>
          <w:sz w:val="22"/>
          <w:szCs w:val="22"/>
          <w:highlight w:val="none"/>
        </w:rPr>
        <w:t>Ramig</w:t>
      </w:r>
      <w:proofErr w:type="spellEnd"/>
      <w:r w:rsidR="00EE6921">
        <w:rPr>
          <w:sz w:val="22"/>
          <w:szCs w:val="22"/>
          <w:highlight w:val="none"/>
        </w:rPr>
        <w:t xml:space="preserve"> .L.O.</w:t>
      </w:r>
      <w:r w:rsidRPr="00F12485">
        <w:rPr>
          <w:sz w:val="22"/>
          <w:szCs w:val="22"/>
          <w:highlight w:val="none"/>
        </w:rPr>
        <w:t xml:space="preserve">, 2001). This literature review aims to explore current practices for protecting vocal health among amateur singers and identify strategies that can be implemented to promote healthier vocal habits. By critically engaging with existing research, this study seeks to inform my own teaching practice and contribute to the </w:t>
      </w:r>
      <w:r w:rsidRPr="00F12485">
        <w:rPr>
          <w:sz w:val="22"/>
          <w:szCs w:val="22"/>
          <w:highlight w:val="none"/>
        </w:rPr>
        <w:lastRenderedPageBreak/>
        <w:t>broader discourse on vocal wellbeing in community singing settings. The review also aims to highlight gaps in the literature and propose directions for future research within this underexplored area.</w:t>
      </w:r>
    </w:p>
    <w:p w14:paraId="4156B721" w14:textId="77777777" w:rsidR="00EF6272" w:rsidRPr="00190C8B" w:rsidRDefault="00000000" w:rsidP="00F12485">
      <w:pPr>
        <w:shd w:val="clear" w:color="auto" w:fill="auto"/>
        <w:spacing w:line="360" w:lineRule="auto"/>
        <w:rPr>
          <w:b/>
          <w:bCs/>
          <w:sz w:val="22"/>
          <w:szCs w:val="22"/>
          <w:highlight w:val="none"/>
        </w:rPr>
      </w:pPr>
      <w:r w:rsidRPr="00190C8B">
        <w:rPr>
          <w:b/>
          <w:bCs/>
          <w:sz w:val="22"/>
          <w:szCs w:val="22"/>
          <w:highlight w:val="none"/>
        </w:rPr>
        <w:t>Vocal Health Practices in Amateur Singing Groups</w:t>
      </w:r>
    </w:p>
    <w:p w14:paraId="36BC3898" w14:textId="349C1E8B"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Recent literature has increasingly focused on vocal health practices among amateur singers, with self-report questionnaires emerging as a predominant method of data collection. Studies by </w:t>
      </w:r>
      <w:proofErr w:type="spellStart"/>
      <w:r w:rsidRPr="00F12485">
        <w:rPr>
          <w:sz w:val="22"/>
          <w:szCs w:val="22"/>
          <w:highlight w:val="none"/>
        </w:rPr>
        <w:t>Levett</w:t>
      </w:r>
      <w:proofErr w:type="spellEnd"/>
      <w:r w:rsidR="00EE6921">
        <w:rPr>
          <w:sz w:val="22"/>
          <w:szCs w:val="22"/>
          <w:highlight w:val="none"/>
        </w:rPr>
        <w:t xml:space="preserve"> .J.</w:t>
      </w:r>
      <w:r w:rsidRPr="00F12485">
        <w:rPr>
          <w:sz w:val="22"/>
          <w:szCs w:val="22"/>
          <w:highlight w:val="none"/>
        </w:rPr>
        <w:t xml:space="preserve"> and Pring</w:t>
      </w:r>
      <w:r w:rsidR="00EE6921">
        <w:rPr>
          <w:sz w:val="22"/>
          <w:szCs w:val="22"/>
          <w:highlight w:val="none"/>
        </w:rPr>
        <w:t xml:space="preserve"> .T.</w:t>
      </w:r>
      <w:r w:rsidRPr="00F12485">
        <w:rPr>
          <w:sz w:val="22"/>
          <w:szCs w:val="22"/>
          <w:highlight w:val="none"/>
        </w:rPr>
        <w:t xml:space="preserve"> (2023), Sharma</w:t>
      </w:r>
      <w:r w:rsidR="00EE6921">
        <w:rPr>
          <w:sz w:val="22"/>
          <w:szCs w:val="22"/>
          <w:highlight w:val="none"/>
        </w:rPr>
        <w:t xml:space="preserve"> .V.</w:t>
      </w:r>
      <w:r w:rsidRPr="00F12485">
        <w:rPr>
          <w:sz w:val="22"/>
          <w:szCs w:val="22"/>
          <w:highlight w:val="none"/>
        </w:rPr>
        <w:t xml:space="preserve"> et al. (2021) and </w:t>
      </w:r>
      <w:proofErr w:type="spellStart"/>
      <w:r w:rsidR="00CD168C" w:rsidRPr="00CD168C">
        <w:rPr>
          <w:color w:val="auto"/>
          <w:sz w:val="22"/>
          <w:szCs w:val="22"/>
          <w:highlight w:val="none"/>
        </w:rPr>
        <w:t>Ravall</w:t>
      </w:r>
      <w:proofErr w:type="spellEnd"/>
      <w:r w:rsidR="00CD168C" w:rsidRPr="00CD168C">
        <w:rPr>
          <w:color w:val="auto"/>
          <w:sz w:val="22"/>
          <w:szCs w:val="22"/>
          <w:highlight w:val="none"/>
        </w:rPr>
        <w:t xml:space="preserve">, S. and </w:t>
      </w:r>
      <w:proofErr w:type="spellStart"/>
      <w:r w:rsidR="00CD168C" w:rsidRPr="00CD168C">
        <w:rPr>
          <w:color w:val="auto"/>
          <w:sz w:val="22"/>
          <w:szCs w:val="22"/>
          <w:highlight w:val="none"/>
        </w:rPr>
        <w:t>Simberg</w:t>
      </w:r>
      <w:proofErr w:type="spellEnd"/>
      <w:r w:rsidR="00CD168C" w:rsidRPr="00CD168C">
        <w:rPr>
          <w:color w:val="auto"/>
          <w:sz w:val="22"/>
          <w:szCs w:val="22"/>
          <w:highlight w:val="none"/>
        </w:rPr>
        <w:t>, S. (2020)</w:t>
      </w:r>
      <w:r w:rsidR="00CD168C" w:rsidRPr="00CD168C">
        <w:rPr>
          <w:color w:val="auto"/>
          <w:sz w:val="22"/>
          <w:szCs w:val="22"/>
          <w:highlight w:val="none"/>
        </w:rPr>
        <w:t xml:space="preserve"> </w:t>
      </w:r>
      <w:proofErr w:type="spellStart"/>
      <w:r w:rsidRPr="00F12485">
        <w:rPr>
          <w:sz w:val="22"/>
          <w:szCs w:val="22"/>
          <w:highlight w:val="none"/>
        </w:rPr>
        <w:t>utilised</w:t>
      </w:r>
      <w:proofErr w:type="spellEnd"/>
      <w:r w:rsidRPr="00F12485">
        <w:rPr>
          <w:sz w:val="22"/>
          <w:szCs w:val="22"/>
          <w:highlight w:val="none"/>
        </w:rPr>
        <w:t xml:space="preserve"> qualitative survey techniques to explore amateur singers’ understanding of vocal health and the practices they adopt. These methods provide insight into subjective experiences, though they could be argued that they are limited by participant bias-which will be discussed further later in this section. </w:t>
      </w:r>
    </w:p>
    <w:p w14:paraId="6DD3DD42" w14:textId="32739D31" w:rsidR="00EF6272" w:rsidRPr="00F12485" w:rsidRDefault="00EE6921" w:rsidP="00F12485">
      <w:pPr>
        <w:shd w:val="clear" w:color="auto" w:fill="auto"/>
        <w:spacing w:line="360" w:lineRule="auto"/>
        <w:rPr>
          <w:sz w:val="22"/>
          <w:szCs w:val="22"/>
          <w:highlight w:val="none"/>
        </w:rPr>
      </w:pPr>
      <w:proofErr w:type="spellStart"/>
      <w:r w:rsidRPr="00F12485">
        <w:rPr>
          <w:sz w:val="22"/>
          <w:szCs w:val="22"/>
          <w:highlight w:val="none"/>
        </w:rPr>
        <w:t>Levett</w:t>
      </w:r>
      <w:proofErr w:type="spellEnd"/>
      <w:r>
        <w:rPr>
          <w:sz w:val="22"/>
          <w:szCs w:val="22"/>
          <w:highlight w:val="none"/>
        </w:rPr>
        <w:t xml:space="preserve"> .J.</w:t>
      </w:r>
      <w:r w:rsidRPr="00F12485">
        <w:rPr>
          <w:sz w:val="22"/>
          <w:szCs w:val="22"/>
          <w:highlight w:val="none"/>
        </w:rPr>
        <w:t xml:space="preserve"> and Pring</w:t>
      </w:r>
      <w:r>
        <w:rPr>
          <w:sz w:val="22"/>
          <w:szCs w:val="22"/>
          <w:highlight w:val="none"/>
        </w:rPr>
        <w:t xml:space="preserve"> .T.</w:t>
      </w:r>
      <w:r w:rsidRPr="00F12485">
        <w:rPr>
          <w:sz w:val="22"/>
          <w:szCs w:val="22"/>
          <w:highlight w:val="none"/>
        </w:rPr>
        <w:t xml:space="preserve"> </w:t>
      </w:r>
      <w:r w:rsidR="00000000" w:rsidRPr="00F12485">
        <w:rPr>
          <w:sz w:val="22"/>
          <w:szCs w:val="22"/>
          <w:highlight w:val="none"/>
        </w:rPr>
        <w:t xml:space="preserve">(2023) identified a general lack of awareness of vocal health and structured support among amateur singers, despite their exposure to similar vocal risks as professionals. The high response rates observed in their study, as well as in those by Rosa </w:t>
      </w:r>
      <w:r>
        <w:rPr>
          <w:sz w:val="22"/>
          <w:szCs w:val="22"/>
          <w:highlight w:val="none"/>
        </w:rPr>
        <w:t>.M. &amp;</w:t>
      </w:r>
      <w:r w:rsidR="00000000" w:rsidRPr="00F12485">
        <w:rPr>
          <w:sz w:val="22"/>
          <w:szCs w:val="22"/>
          <w:highlight w:val="none"/>
        </w:rPr>
        <w:t xml:space="preserve"> </w:t>
      </w:r>
      <w:proofErr w:type="spellStart"/>
      <w:r w:rsidR="00000000" w:rsidRPr="00F12485">
        <w:rPr>
          <w:sz w:val="22"/>
          <w:szCs w:val="22"/>
          <w:highlight w:val="none"/>
        </w:rPr>
        <w:t>Behlau</w:t>
      </w:r>
      <w:proofErr w:type="spellEnd"/>
      <w:r w:rsidR="00000000" w:rsidRPr="00F12485">
        <w:rPr>
          <w:sz w:val="22"/>
          <w:szCs w:val="22"/>
          <w:highlight w:val="none"/>
        </w:rPr>
        <w:t xml:space="preserve"> </w:t>
      </w:r>
      <w:r>
        <w:rPr>
          <w:sz w:val="22"/>
          <w:szCs w:val="22"/>
          <w:highlight w:val="none"/>
        </w:rPr>
        <w:t xml:space="preserve">.M. </w:t>
      </w:r>
      <w:r w:rsidR="00000000" w:rsidRPr="00F12485">
        <w:rPr>
          <w:sz w:val="22"/>
          <w:szCs w:val="22"/>
          <w:highlight w:val="none"/>
        </w:rPr>
        <w:t xml:space="preserve">(2017) and </w:t>
      </w:r>
      <w:r w:rsidRPr="00F12485">
        <w:rPr>
          <w:sz w:val="22"/>
          <w:szCs w:val="22"/>
          <w:highlight w:val="none"/>
        </w:rPr>
        <w:t>Sharma</w:t>
      </w:r>
      <w:r>
        <w:rPr>
          <w:sz w:val="22"/>
          <w:szCs w:val="22"/>
          <w:highlight w:val="none"/>
        </w:rPr>
        <w:t xml:space="preserve"> .V.</w:t>
      </w:r>
      <w:r w:rsidRPr="00F12485">
        <w:rPr>
          <w:sz w:val="22"/>
          <w:szCs w:val="22"/>
          <w:highlight w:val="none"/>
        </w:rPr>
        <w:t xml:space="preserve"> et al</w:t>
      </w:r>
      <w:r w:rsidRPr="00F12485">
        <w:rPr>
          <w:sz w:val="22"/>
          <w:szCs w:val="22"/>
          <w:highlight w:val="none"/>
        </w:rPr>
        <w:t xml:space="preserve"> </w:t>
      </w:r>
      <w:r w:rsidR="00000000" w:rsidRPr="00F12485">
        <w:rPr>
          <w:sz w:val="22"/>
          <w:szCs w:val="22"/>
          <w:highlight w:val="none"/>
        </w:rPr>
        <w:t xml:space="preserve">(2021), suggest a latent interest in vocal health within this demographic. However, the use of snowball sampling in </w:t>
      </w:r>
      <w:proofErr w:type="spellStart"/>
      <w:r w:rsidRPr="00F12485">
        <w:rPr>
          <w:sz w:val="22"/>
          <w:szCs w:val="22"/>
          <w:highlight w:val="none"/>
        </w:rPr>
        <w:t>Levett</w:t>
      </w:r>
      <w:proofErr w:type="spellEnd"/>
      <w:r>
        <w:rPr>
          <w:sz w:val="22"/>
          <w:szCs w:val="22"/>
          <w:highlight w:val="none"/>
        </w:rPr>
        <w:t xml:space="preserve"> .J.</w:t>
      </w:r>
      <w:r w:rsidRPr="00F12485">
        <w:rPr>
          <w:sz w:val="22"/>
          <w:szCs w:val="22"/>
          <w:highlight w:val="none"/>
        </w:rPr>
        <w:t xml:space="preserve"> and Pring</w:t>
      </w:r>
      <w:r>
        <w:rPr>
          <w:sz w:val="22"/>
          <w:szCs w:val="22"/>
          <w:highlight w:val="none"/>
        </w:rPr>
        <w:t xml:space="preserve"> .T.</w:t>
      </w:r>
      <w:r w:rsidRPr="00F12485">
        <w:rPr>
          <w:sz w:val="22"/>
          <w:szCs w:val="22"/>
          <w:highlight w:val="none"/>
        </w:rPr>
        <w:t xml:space="preserve"> (2023)</w:t>
      </w:r>
      <w:r>
        <w:rPr>
          <w:sz w:val="22"/>
          <w:szCs w:val="22"/>
          <w:highlight w:val="none"/>
        </w:rPr>
        <w:t xml:space="preserve"> </w:t>
      </w:r>
      <w:r w:rsidR="00000000" w:rsidRPr="00F12485">
        <w:rPr>
          <w:sz w:val="22"/>
          <w:szCs w:val="22"/>
          <w:highlight w:val="none"/>
        </w:rPr>
        <w:t xml:space="preserve">study may have introduced bias, as individuals with a pre-existing interest in the topic may have been more likely to participate. This potentially skews the findings, limiting their </w:t>
      </w:r>
      <w:proofErr w:type="spellStart"/>
      <w:r w:rsidR="00000000" w:rsidRPr="00F12485">
        <w:rPr>
          <w:sz w:val="22"/>
          <w:szCs w:val="22"/>
          <w:highlight w:val="none"/>
        </w:rPr>
        <w:t>generalisability</w:t>
      </w:r>
      <w:proofErr w:type="spellEnd"/>
      <w:r w:rsidR="00000000" w:rsidRPr="00F12485">
        <w:rPr>
          <w:sz w:val="22"/>
          <w:szCs w:val="22"/>
          <w:highlight w:val="none"/>
        </w:rPr>
        <w:t xml:space="preserve">. In contrast, </w:t>
      </w:r>
      <w:r w:rsidRPr="00F12485">
        <w:rPr>
          <w:sz w:val="22"/>
          <w:szCs w:val="22"/>
          <w:highlight w:val="none"/>
        </w:rPr>
        <w:t>Sharma</w:t>
      </w:r>
      <w:r>
        <w:rPr>
          <w:sz w:val="22"/>
          <w:szCs w:val="22"/>
          <w:highlight w:val="none"/>
        </w:rPr>
        <w:t xml:space="preserve"> .V.</w:t>
      </w:r>
      <w:r w:rsidRPr="00F12485">
        <w:rPr>
          <w:sz w:val="22"/>
          <w:szCs w:val="22"/>
          <w:highlight w:val="none"/>
        </w:rPr>
        <w:t xml:space="preserve"> et al (2021</w:t>
      </w:r>
      <w:r>
        <w:rPr>
          <w:sz w:val="22"/>
          <w:szCs w:val="22"/>
          <w:highlight w:val="none"/>
        </w:rPr>
        <w:t>)</w:t>
      </w:r>
      <w:r w:rsidR="00000000" w:rsidRPr="00F12485">
        <w:rPr>
          <w:sz w:val="22"/>
          <w:szCs w:val="22"/>
          <w:highlight w:val="none"/>
        </w:rPr>
        <w:t xml:space="preserve">. and </w:t>
      </w:r>
      <w:r w:rsidRPr="00F12485">
        <w:rPr>
          <w:sz w:val="22"/>
          <w:szCs w:val="22"/>
          <w:highlight w:val="none"/>
        </w:rPr>
        <w:t xml:space="preserve">Rosa </w:t>
      </w:r>
      <w:r>
        <w:rPr>
          <w:sz w:val="22"/>
          <w:szCs w:val="22"/>
          <w:highlight w:val="none"/>
        </w:rPr>
        <w:t>.M. &amp;</w:t>
      </w:r>
      <w:r w:rsidRPr="00F12485">
        <w:rPr>
          <w:sz w:val="22"/>
          <w:szCs w:val="22"/>
          <w:highlight w:val="none"/>
        </w:rPr>
        <w:t xml:space="preserve"> </w:t>
      </w:r>
      <w:proofErr w:type="spellStart"/>
      <w:r w:rsidRPr="00F12485">
        <w:rPr>
          <w:sz w:val="22"/>
          <w:szCs w:val="22"/>
          <w:highlight w:val="none"/>
        </w:rPr>
        <w:t>Behlau</w:t>
      </w:r>
      <w:proofErr w:type="spellEnd"/>
      <w:r w:rsidRPr="00F12485">
        <w:rPr>
          <w:sz w:val="22"/>
          <w:szCs w:val="22"/>
          <w:highlight w:val="none"/>
        </w:rPr>
        <w:t xml:space="preserve"> </w:t>
      </w:r>
      <w:r>
        <w:rPr>
          <w:sz w:val="22"/>
          <w:szCs w:val="22"/>
          <w:highlight w:val="none"/>
        </w:rPr>
        <w:t xml:space="preserve">.M. </w:t>
      </w:r>
      <w:r w:rsidRPr="00F12485">
        <w:rPr>
          <w:sz w:val="22"/>
          <w:szCs w:val="22"/>
          <w:highlight w:val="none"/>
        </w:rPr>
        <w:t>(2017)</w:t>
      </w:r>
      <w:r>
        <w:rPr>
          <w:sz w:val="22"/>
          <w:szCs w:val="22"/>
          <w:highlight w:val="none"/>
        </w:rPr>
        <w:t xml:space="preserve"> </w:t>
      </w:r>
      <w:r w:rsidR="00000000" w:rsidRPr="00F12485">
        <w:rPr>
          <w:sz w:val="22"/>
          <w:szCs w:val="22"/>
          <w:highlight w:val="none"/>
        </w:rPr>
        <w:t>employed targeted recruitment through choirs and singing groups, and achieved similarly high response rates which could be reflective of a broader motivation to understand vocal health as an individual within these groups, evidenced by their engagement with the study.</w:t>
      </w:r>
    </w:p>
    <w:p w14:paraId="73DC1619" w14:textId="621AD433"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A notable concern raised by </w:t>
      </w:r>
      <w:proofErr w:type="spellStart"/>
      <w:r w:rsidR="00EE6921" w:rsidRPr="00F12485">
        <w:rPr>
          <w:sz w:val="22"/>
          <w:szCs w:val="22"/>
          <w:highlight w:val="none"/>
        </w:rPr>
        <w:t>Levett</w:t>
      </w:r>
      <w:proofErr w:type="spellEnd"/>
      <w:r w:rsidR="00EE6921">
        <w:rPr>
          <w:sz w:val="22"/>
          <w:szCs w:val="22"/>
          <w:highlight w:val="none"/>
        </w:rPr>
        <w:t xml:space="preserve"> .J.</w:t>
      </w:r>
      <w:r w:rsidR="00EE6921" w:rsidRPr="00F12485">
        <w:rPr>
          <w:sz w:val="22"/>
          <w:szCs w:val="22"/>
          <w:highlight w:val="none"/>
        </w:rPr>
        <w:t xml:space="preserve"> and Pring</w:t>
      </w:r>
      <w:r w:rsidR="00EE6921">
        <w:rPr>
          <w:sz w:val="22"/>
          <w:szCs w:val="22"/>
          <w:highlight w:val="none"/>
        </w:rPr>
        <w:t xml:space="preserve"> .T.</w:t>
      </w:r>
      <w:r w:rsidR="00EE6921" w:rsidRPr="00F12485">
        <w:rPr>
          <w:sz w:val="22"/>
          <w:szCs w:val="22"/>
          <w:highlight w:val="none"/>
        </w:rPr>
        <w:t xml:space="preserve"> (2023</w:t>
      </w:r>
      <w:r w:rsidRPr="00F12485">
        <w:rPr>
          <w:sz w:val="22"/>
          <w:szCs w:val="22"/>
          <w:highlight w:val="none"/>
        </w:rPr>
        <w:t xml:space="preserve">) is the </w:t>
      </w:r>
      <w:proofErr w:type="spellStart"/>
      <w:r w:rsidRPr="00F12485">
        <w:rPr>
          <w:sz w:val="22"/>
          <w:szCs w:val="22"/>
          <w:highlight w:val="none"/>
        </w:rPr>
        <w:t>underutilisation</w:t>
      </w:r>
      <w:proofErr w:type="spellEnd"/>
      <w:r w:rsidRPr="00F12485">
        <w:rPr>
          <w:sz w:val="22"/>
          <w:szCs w:val="22"/>
          <w:highlight w:val="none"/>
        </w:rPr>
        <w:t xml:space="preserve"> of professional vocal health support with amateur singing groups. Only 15.8% of respondents reported seeking help for vocal issues—a figure significantly lower than in comparable studies (</w:t>
      </w:r>
      <w:proofErr w:type="spellStart"/>
      <w:r w:rsidR="00CD168C" w:rsidRPr="00CD168C">
        <w:rPr>
          <w:color w:val="auto"/>
          <w:sz w:val="22"/>
          <w:szCs w:val="22"/>
          <w:highlight w:val="none"/>
        </w:rPr>
        <w:t>Pestana</w:t>
      </w:r>
      <w:proofErr w:type="spellEnd"/>
      <w:r w:rsidR="00CD168C" w:rsidRPr="00CD168C">
        <w:rPr>
          <w:color w:val="auto"/>
          <w:sz w:val="22"/>
          <w:szCs w:val="22"/>
          <w:highlight w:val="none"/>
        </w:rPr>
        <w:t xml:space="preserve">, P.M., </w:t>
      </w:r>
      <w:proofErr w:type="spellStart"/>
      <w:r w:rsidR="00CD168C" w:rsidRPr="00CD168C">
        <w:rPr>
          <w:color w:val="auto"/>
          <w:sz w:val="22"/>
          <w:szCs w:val="22"/>
          <w:highlight w:val="none"/>
        </w:rPr>
        <w:t>Manso</w:t>
      </w:r>
      <w:proofErr w:type="spellEnd"/>
      <w:r w:rsidR="00CD168C" w:rsidRPr="00CD168C">
        <w:rPr>
          <w:color w:val="auto"/>
          <w:sz w:val="22"/>
          <w:szCs w:val="22"/>
          <w:highlight w:val="none"/>
        </w:rPr>
        <w:t>, M.C. &amp; Melo, P., 2017</w:t>
      </w:r>
      <w:r w:rsidRPr="00F12485">
        <w:rPr>
          <w:sz w:val="22"/>
          <w:szCs w:val="22"/>
          <w:highlight w:val="none"/>
        </w:rPr>
        <w:t xml:space="preserve">; </w:t>
      </w:r>
      <w:r w:rsidR="00EE6921" w:rsidRPr="00F12485">
        <w:rPr>
          <w:sz w:val="22"/>
          <w:szCs w:val="22"/>
          <w:highlight w:val="none"/>
        </w:rPr>
        <w:t xml:space="preserve">Rosa </w:t>
      </w:r>
      <w:r w:rsidR="00EE6921">
        <w:rPr>
          <w:sz w:val="22"/>
          <w:szCs w:val="22"/>
          <w:highlight w:val="none"/>
        </w:rPr>
        <w:t>.M. &amp;</w:t>
      </w:r>
      <w:r w:rsidR="00EE6921" w:rsidRPr="00F12485">
        <w:rPr>
          <w:sz w:val="22"/>
          <w:szCs w:val="22"/>
          <w:highlight w:val="none"/>
        </w:rPr>
        <w:t xml:space="preserve"> </w:t>
      </w:r>
      <w:proofErr w:type="spellStart"/>
      <w:r w:rsidR="00EE6921" w:rsidRPr="00F12485">
        <w:rPr>
          <w:sz w:val="22"/>
          <w:szCs w:val="22"/>
          <w:highlight w:val="none"/>
        </w:rPr>
        <w:t>Behlau</w:t>
      </w:r>
      <w:proofErr w:type="spellEnd"/>
      <w:r w:rsidR="00EE6921" w:rsidRPr="00F12485">
        <w:rPr>
          <w:sz w:val="22"/>
          <w:szCs w:val="22"/>
          <w:highlight w:val="none"/>
        </w:rPr>
        <w:t xml:space="preserve"> </w:t>
      </w:r>
      <w:r w:rsidR="00EE6921">
        <w:rPr>
          <w:sz w:val="22"/>
          <w:szCs w:val="22"/>
          <w:highlight w:val="none"/>
        </w:rPr>
        <w:t xml:space="preserve">.M. </w:t>
      </w:r>
      <w:r w:rsidR="00EE6921">
        <w:rPr>
          <w:sz w:val="22"/>
          <w:szCs w:val="22"/>
          <w:highlight w:val="none"/>
        </w:rPr>
        <w:t>,</w:t>
      </w:r>
      <w:r w:rsidR="00EE6921" w:rsidRPr="00F12485">
        <w:rPr>
          <w:sz w:val="22"/>
          <w:szCs w:val="22"/>
          <w:highlight w:val="none"/>
        </w:rPr>
        <w:t>2017</w:t>
      </w:r>
      <w:r w:rsidRPr="00F12485">
        <w:rPr>
          <w:sz w:val="22"/>
          <w:szCs w:val="22"/>
          <w:highlight w:val="none"/>
        </w:rPr>
        <w:t>). This suggests barriers to accessing care or a lack of awareness regarding available resources. Importantly, those who consulted speech and language therapists were more likely to receive further intervention, highlighting the value of specialist input. Contrary to earlier findings (</w:t>
      </w:r>
      <w:proofErr w:type="spellStart"/>
      <w:r w:rsidRPr="00CD168C">
        <w:rPr>
          <w:color w:val="auto"/>
          <w:sz w:val="22"/>
          <w:szCs w:val="22"/>
          <w:highlight w:val="none"/>
        </w:rPr>
        <w:t>Adessa</w:t>
      </w:r>
      <w:proofErr w:type="spellEnd"/>
      <w:r w:rsidR="00CD168C" w:rsidRPr="00CD168C">
        <w:rPr>
          <w:color w:val="auto"/>
          <w:sz w:val="22"/>
          <w:szCs w:val="22"/>
          <w:highlight w:val="none"/>
        </w:rPr>
        <w:t xml:space="preserve"> .M.</w:t>
      </w:r>
      <w:r w:rsidRPr="00CD168C">
        <w:rPr>
          <w:color w:val="auto"/>
          <w:sz w:val="22"/>
          <w:szCs w:val="22"/>
          <w:highlight w:val="none"/>
        </w:rPr>
        <w:t xml:space="preserve"> et al., 2017</w:t>
      </w:r>
      <w:r w:rsidRPr="00F12485">
        <w:rPr>
          <w:sz w:val="22"/>
          <w:szCs w:val="22"/>
          <w:highlight w:val="none"/>
        </w:rPr>
        <w:t>), most participants who received therapy adhered to treatment and reported improvements in vocal confidence and technique.</w:t>
      </w:r>
    </w:p>
    <w:p w14:paraId="5D48B74A" w14:textId="551C7F96" w:rsidR="00EF6272" w:rsidRPr="00F12485" w:rsidRDefault="00EE6921" w:rsidP="00F12485">
      <w:pPr>
        <w:shd w:val="clear" w:color="auto" w:fill="auto"/>
        <w:spacing w:line="360" w:lineRule="auto"/>
        <w:rPr>
          <w:sz w:val="22"/>
          <w:szCs w:val="22"/>
          <w:highlight w:val="none"/>
        </w:rPr>
      </w:pPr>
      <w:proofErr w:type="spellStart"/>
      <w:r w:rsidRPr="00F12485">
        <w:rPr>
          <w:sz w:val="22"/>
          <w:szCs w:val="22"/>
          <w:highlight w:val="none"/>
        </w:rPr>
        <w:lastRenderedPageBreak/>
        <w:t>Levett</w:t>
      </w:r>
      <w:proofErr w:type="spellEnd"/>
      <w:r>
        <w:rPr>
          <w:sz w:val="22"/>
          <w:szCs w:val="22"/>
          <w:highlight w:val="none"/>
        </w:rPr>
        <w:t xml:space="preserve"> .J.</w:t>
      </w:r>
      <w:r w:rsidRPr="00F12485">
        <w:rPr>
          <w:sz w:val="22"/>
          <w:szCs w:val="22"/>
          <w:highlight w:val="none"/>
        </w:rPr>
        <w:t xml:space="preserve"> and Pring</w:t>
      </w:r>
      <w:r>
        <w:rPr>
          <w:sz w:val="22"/>
          <w:szCs w:val="22"/>
          <w:highlight w:val="none"/>
        </w:rPr>
        <w:t xml:space="preserve"> .T.</w:t>
      </w:r>
      <w:r w:rsidRPr="00F12485">
        <w:rPr>
          <w:sz w:val="22"/>
          <w:szCs w:val="22"/>
          <w:highlight w:val="none"/>
        </w:rPr>
        <w:t xml:space="preserve"> (2023</w:t>
      </w:r>
      <w:r w:rsidR="00000000" w:rsidRPr="00F12485">
        <w:rPr>
          <w:sz w:val="22"/>
          <w:szCs w:val="22"/>
          <w:highlight w:val="none"/>
        </w:rPr>
        <w:t>) employed a simple, subjective measure of vocal symptom severity. While limited in diagnostic precision, this tool effectively differentiated between singers based on warm-up practices and diagnostic history. Although more sophisticated instruments such as the Voice Symptom Scale (</w:t>
      </w:r>
      <w:proofErr w:type="spellStart"/>
      <w:r w:rsidR="00000000" w:rsidRPr="00F12485">
        <w:rPr>
          <w:sz w:val="22"/>
          <w:szCs w:val="22"/>
          <w:highlight w:val="none"/>
        </w:rPr>
        <w:t>VoiSS</w:t>
      </w:r>
      <w:proofErr w:type="spellEnd"/>
      <w:r w:rsidR="00000000" w:rsidRPr="00F12485">
        <w:rPr>
          <w:sz w:val="22"/>
          <w:szCs w:val="22"/>
          <w:highlight w:val="none"/>
        </w:rPr>
        <w:t>) (Lopes et al., 2019) and the Modern Singing Handicap Index (MSHI) (</w:t>
      </w:r>
      <w:r w:rsidRPr="00F12485">
        <w:rPr>
          <w:sz w:val="22"/>
          <w:szCs w:val="22"/>
          <w:highlight w:val="none"/>
        </w:rPr>
        <w:t xml:space="preserve">Rosa </w:t>
      </w:r>
      <w:r>
        <w:rPr>
          <w:sz w:val="22"/>
          <w:szCs w:val="22"/>
          <w:highlight w:val="none"/>
        </w:rPr>
        <w:t>.M. &amp;</w:t>
      </w:r>
      <w:r w:rsidRPr="00F12485">
        <w:rPr>
          <w:sz w:val="22"/>
          <w:szCs w:val="22"/>
          <w:highlight w:val="none"/>
        </w:rPr>
        <w:t xml:space="preserve"> </w:t>
      </w:r>
      <w:proofErr w:type="spellStart"/>
      <w:r w:rsidRPr="00F12485">
        <w:rPr>
          <w:sz w:val="22"/>
          <w:szCs w:val="22"/>
          <w:highlight w:val="none"/>
        </w:rPr>
        <w:t>Behlau</w:t>
      </w:r>
      <w:proofErr w:type="spellEnd"/>
      <w:r w:rsidRPr="00F12485">
        <w:rPr>
          <w:sz w:val="22"/>
          <w:szCs w:val="22"/>
          <w:highlight w:val="none"/>
        </w:rPr>
        <w:t xml:space="preserve"> </w:t>
      </w:r>
      <w:r>
        <w:rPr>
          <w:sz w:val="22"/>
          <w:szCs w:val="22"/>
          <w:highlight w:val="none"/>
        </w:rPr>
        <w:t>.M. ,</w:t>
      </w:r>
      <w:r w:rsidRPr="00F12485">
        <w:rPr>
          <w:sz w:val="22"/>
          <w:szCs w:val="22"/>
          <w:highlight w:val="none"/>
        </w:rPr>
        <w:t>2017</w:t>
      </w:r>
      <w:r>
        <w:rPr>
          <w:sz w:val="22"/>
          <w:szCs w:val="22"/>
          <w:highlight w:val="none"/>
        </w:rPr>
        <w:t xml:space="preserve">) </w:t>
      </w:r>
      <w:r w:rsidR="00000000" w:rsidRPr="00F12485">
        <w:rPr>
          <w:sz w:val="22"/>
          <w:szCs w:val="22"/>
          <w:highlight w:val="none"/>
        </w:rPr>
        <w:t xml:space="preserve">exist, their accessibility to amateur choirs remains limited. Nevertheless, the findings suggest that even basic assessment tools can be valuable in identifying at-risk singers and guiding them toward appropriate support. Something </w:t>
      </w:r>
    </w:p>
    <w:p w14:paraId="49AC759D" w14:textId="65EE4A63" w:rsidR="00EF6272" w:rsidRPr="00CD168C" w:rsidRDefault="00EE6921" w:rsidP="00F12485">
      <w:pPr>
        <w:shd w:val="clear" w:color="auto" w:fill="auto"/>
        <w:spacing w:line="360" w:lineRule="auto"/>
        <w:rPr>
          <w:sz w:val="22"/>
          <w:szCs w:val="22"/>
          <w:highlight w:val="none"/>
          <w:lang w:val="en-GB"/>
        </w:rPr>
      </w:pPr>
      <w:proofErr w:type="spellStart"/>
      <w:r w:rsidRPr="00CD168C">
        <w:rPr>
          <w:sz w:val="22"/>
          <w:szCs w:val="22"/>
          <w:highlight w:val="none"/>
          <w:lang w:val="en-GB"/>
        </w:rPr>
        <w:t>Levett</w:t>
      </w:r>
      <w:proofErr w:type="spellEnd"/>
      <w:r w:rsidRPr="00CD168C">
        <w:rPr>
          <w:sz w:val="22"/>
          <w:szCs w:val="22"/>
          <w:highlight w:val="none"/>
          <w:lang w:val="en-GB"/>
        </w:rPr>
        <w:t xml:space="preserve"> .J. and Pring .T. (2023) </w:t>
      </w:r>
      <w:r w:rsidR="00000000" w:rsidRPr="00CD168C">
        <w:rPr>
          <w:sz w:val="22"/>
          <w:szCs w:val="22"/>
          <w:highlight w:val="none"/>
          <w:lang w:val="en-GB"/>
        </w:rPr>
        <w:t xml:space="preserve">contributes important insights into the vocal health behaviours of amateur singers—a group often underrepresented in voice research. Similar themes are echoed in </w:t>
      </w:r>
      <w:r w:rsidRPr="00CD168C">
        <w:rPr>
          <w:sz w:val="22"/>
          <w:szCs w:val="22"/>
          <w:highlight w:val="none"/>
          <w:lang w:val="en-GB"/>
        </w:rPr>
        <w:t>Sharma .V. et al (2021</w:t>
      </w:r>
      <w:r w:rsidR="00000000" w:rsidRPr="00CD168C">
        <w:rPr>
          <w:sz w:val="22"/>
          <w:szCs w:val="22"/>
          <w:highlight w:val="none"/>
          <w:lang w:val="en-GB"/>
        </w:rPr>
        <w:t>), with both studies benefiting from large sample sizes and a practical focus on warm-up routines and help-seeking behaviours. However, the reliance on self-reported data and simplistic symptom measures limits the generalisability and diagnostic precision of the findings. Additionally, the small effect sizes observed in warm-up efficacy warrant cautious interpretation.</w:t>
      </w:r>
    </w:p>
    <w:p w14:paraId="7828D8CE" w14:textId="07899EB7" w:rsidR="00EF6272" w:rsidRPr="00F12485" w:rsidRDefault="00000000" w:rsidP="00F12485">
      <w:pPr>
        <w:shd w:val="clear" w:color="auto" w:fill="auto"/>
        <w:spacing w:line="360" w:lineRule="auto"/>
        <w:rPr>
          <w:sz w:val="22"/>
          <w:szCs w:val="22"/>
          <w:highlight w:val="none"/>
        </w:rPr>
      </w:pPr>
      <w:r w:rsidRPr="00F12485">
        <w:rPr>
          <w:sz w:val="22"/>
          <w:szCs w:val="22"/>
          <w:highlight w:val="none"/>
        </w:rPr>
        <w:t>These findings suggest that limited vocal health awareness may be characteristic of amateur singers, potentially due to a lack of formal training. Comparative studies assessing trained versus untrained singers could help determine whether this issue is unique to the amateur demographic or indicative of a broader trend</w:t>
      </w:r>
      <w:r w:rsidRPr="00CD168C">
        <w:rPr>
          <w:sz w:val="22"/>
          <w:szCs w:val="22"/>
          <w:highlight w:val="none"/>
        </w:rPr>
        <w:t xml:space="preserve">. </w:t>
      </w:r>
      <w:r w:rsidR="00CD168C" w:rsidRPr="00CD168C">
        <w:rPr>
          <w:sz w:val="22"/>
          <w:szCs w:val="22"/>
          <w:highlight w:val="none"/>
        </w:rPr>
        <w:t>Baird, B.J. et al. (2020)</w:t>
      </w:r>
      <w:r w:rsidRPr="00F12485">
        <w:rPr>
          <w:sz w:val="22"/>
          <w:szCs w:val="22"/>
          <w:highlight w:val="none"/>
        </w:rPr>
        <w:t xml:space="preserve"> conducted such a study, examining self-reported vocal difficulties among collegiate a cappella singers with and without formal training. Interestingly, the prevalence of reported issues did not significantly differ between groups, and no vocal abnormalities were detected through </w:t>
      </w:r>
      <w:proofErr w:type="spellStart"/>
      <w:r w:rsidRPr="00F12485">
        <w:rPr>
          <w:sz w:val="22"/>
          <w:szCs w:val="22"/>
          <w:highlight w:val="none"/>
        </w:rPr>
        <w:t>laryngoscopic</w:t>
      </w:r>
      <w:proofErr w:type="spellEnd"/>
      <w:r w:rsidRPr="00F12485">
        <w:rPr>
          <w:sz w:val="22"/>
          <w:szCs w:val="22"/>
          <w:highlight w:val="none"/>
        </w:rPr>
        <w:t xml:space="preserve"> or acoustic assessments. One could asses that this concludes that there is no difference across trained and untrained singers that vocal health </w:t>
      </w:r>
      <w:proofErr w:type="spellStart"/>
      <w:r w:rsidRPr="00F12485">
        <w:rPr>
          <w:sz w:val="22"/>
          <w:szCs w:val="22"/>
          <w:highlight w:val="none"/>
        </w:rPr>
        <w:t>self awareness</w:t>
      </w:r>
      <w:proofErr w:type="spellEnd"/>
      <w:r w:rsidRPr="00F12485">
        <w:rPr>
          <w:sz w:val="22"/>
          <w:szCs w:val="22"/>
          <w:highlight w:val="none"/>
        </w:rPr>
        <w:t xml:space="preserve"> is comparative to the risk of their vocal health. It could also be reflective of the type of singing, Thus suggesting that participation specifically in the style of  a cappella singing does not inherently increase vocal health risks.</w:t>
      </w:r>
    </w:p>
    <w:p w14:paraId="52124FB2" w14:textId="3E69A51D"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Despite the absence of clinical pathology, </w:t>
      </w:r>
      <w:r w:rsidR="00CD168C" w:rsidRPr="00CD168C">
        <w:rPr>
          <w:sz w:val="22"/>
          <w:szCs w:val="22"/>
          <w:highlight w:val="none"/>
        </w:rPr>
        <w:t>Baird, B.J. et al. (2020</w:t>
      </w:r>
      <w:r w:rsidRPr="00F12485">
        <w:rPr>
          <w:sz w:val="22"/>
          <w:szCs w:val="22"/>
          <w:highlight w:val="none"/>
        </w:rPr>
        <w:t xml:space="preserve">) found a high rate of self-reported vocal difficulties across all groups, indicating a disconnect between subjective experience and objective findings. The authors caution against interpreting this as evidence that vocal training lacks benefit, instead calling for further research into the quality and content of vocal instruction. Although the author does not evidence this thought, it should be considered alongside other study observations such as </w:t>
      </w:r>
      <w:proofErr w:type="spellStart"/>
      <w:r w:rsidR="00CD168C" w:rsidRPr="00CD168C">
        <w:rPr>
          <w:sz w:val="22"/>
          <w:szCs w:val="22"/>
          <w:highlight w:val="none"/>
          <w:lang w:val="en-GB"/>
        </w:rPr>
        <w:t>Levett</w:t>
      </w:r>
      <w:proofErr w:type="spellEnd"/>
      <w:r w:rsidR="00CD168C" w:rsidRPr="00CD168C">
        <w:rPr>
          <w:sz w:val="22"/>
          <w:szCs w:val="22"/>
          <w:highlight w:val="none"/>
          <w:lang w:val="en-GB"/>
        </w:rPr>
        <w:t xml:space="preserve"> .J. and Pring .T. (2023</w:t>
      </w:r>
      <w:r w:rsidR="00CD168C">
        <w:rPr>
          <w:sz w:val="22"/>
          <w:szCs w:val="22"/>
          <w:highlight w:val="none"/>
          <w:lang w:val="en-GB"/>
        </w:rPr>
        <w:t xml:space="preserve">) </w:t>
      </w:r>
      <w:r w:rsidRPr="00F12485">
        <w:rPr>
          <w:sz w:val="22"/>
          <w:szCs w:val="22"/>
          <w:highlight w:val="none"/>
        </w:rPr>
        <w:t xml:space="preserve">and </w:t>
      </w:r>
      <w:r w:rsidR="00CD168C" w:rsidRPr="00CD168C">
        <w:rPr>
          <w:sz w:val="22"/>
          <w:szCs w:val="22"/>
          <w:highlight w:val="none"/>
        </w:rPr>
        <w:t xml:space="preserve">Ter, W.S. and </w:t>
      </w:r>
      <w:r w:rsidR="00CD168C" w:rsidRPr="00CD168C">
        <w:rPr>
          <w:sz w:val="22"/>
          <w:szCs w:val="22"/>
          <w:highlight w:val="none"/>
        </w:rPr>
        <w:lastRenderedPageBreak/>
        <w:t>Wong, K.Y., 2022</w:t>
      </w:r>
      <w:r w:rsidRPr="00F12485">
        <w:rPr>
          <w:sz w:val="22"/>
          <w:szCs w:val="22"/>
          <w:highlight w:val="none"/>
        </w:rPr>
        <w:t xml:space="preserve">, that echoed similar reflections on the quality of vocal instruction and warm ups.  </w:t>
      </w:r>
    </w:p>
    <w:p w14:paraId="2388390E" w14:textId="644C4790"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In contrast to </w:t>
      </w:r>
      <w:proofErr w:type="spellStart"/>
      <w:r w:rsidR="00CD168C" w:rsidRPr="00CD168C">
        <w:rPr>
          <w:sz w:val="22"/>
          <w:szCs w:val="22"/>
          <w:highlight w:val="none"/>
          <w:lang w:val="en-GB"/>
        </w:rPr>
        <w:t>Levett</w:t>
      </w:r>
      <w:proofErr w:type="spellEnd"/>
      <w:r w:rsidR="00CD168C" w:rsidRPr="00CD168C">
        <w:rPr>
          <w:sz w:val="22"/>
          <w:szCs w:val="22"/>
          <w:highlight w:val="none"/>
          <w:lang w:val="en-GB"/>
        </w:rPr>
        <w:t xml:space="preserve"> .J. and Pring .T. (2023</w:t>
      </w:r>
      <w:r w:rsidRPr="00F12485">
        <w:rPr>
          <w:sz w:val="22"/>
          <w:szCs w:val="22"/>
          <w:highlight w:val="none"/>
        </w:rPr>
        <w:t>) and Sharma</w:t>
      </w:r>
      <w:r w:rsidR="00CD168C">
        <w:rPr>
          <w:sz w:val="22"/>
          <w:szCs w:val="22"/>
          <w:highlight w:val="none"/>
        </w:rPr>
        <w:t xml:space="preserve"> .V.</w:t>
      </w:r>
      <w:r w:rsidRPr="00F12485">
        <w:rPr>
          <w:sz w:val="22"/>
          <w:szCs w:val="22"/>
          <w:highlight w:val="none"/>
        </w:rPr>
        <w:t xml:space="preserve"> et al. (2021), Baird</w:t>
      </w:r>
      <w:r w:rsidR="00CD168C">
        <w:rPr>
          <w:sz w:val="22"/>
          <w:szCs w:val="22"/>
          <w:highlight w:val="none"/>
        </w:rPr>
        <w:t xml:space="preserve"> .B.J.</w:t>
      </w:r>
      <w:r w:rsidRPr="00F12485">
        <w:rPr>
          <w:sz w:val="22"/>
          <w:szCs w:val="22"/>
          <w:highlight w:val="none"/>
        </w:rPr>
        <w:t xml:space="preserve"> et al. (2020) observed that a cappella singers were more likely to seek vocal health advice from peers rather than professionals. This may reflect accessibility issues or cultural norms specific to collegiate a cappella communities, rather than amateur singers more broadly.</w:t>
      </w:r>
    </w:p>
    <w:p w14:paraId="3C019C50" w14:textId="3DC83FCE" w:rsidR="00EF6272" w:rsidRPr="00F12485" w:rsidRDefault="00000000" w:rsidP="00F12485">
      <w:pPr>
        <w:shd w:val="clear" w:color="auto" w:fill="auto"/>
        <w:spacing w:line="360" w:lineRule="auto"/>
        <w:rPr>
          <w:sz w:val="22"/>
          <w:szCs w:val="22"/>
          <w:highlight w:val="none"/>
        </w:rPr>
      </w:pPr>
      <w:r w:rsidRPr="00F12485">
        <w:rPr>
          <w:sz w:val="22"/>
          <w:szCs w:val="22"/>
          <w:highlight w:val="none"/>
        </w:rPr>
        <w:t>Like the other studies discussed, Baird</w:t>
      </w:r>
      <w:r w:rsidR="00CD168C">
        <w:rPr>
          <w:sz w:val="22"/>
          <w:szCs w:val="22"/>
          <w:highlight w:val="none"/>
        </w:rPr>
        <w:t xml:space="preserve"> .B.J</w:t>
      </w:r>
      <w:r w:rsidRPr="00F12485">
        <w:rPr>
          <w:sz w:val="22"/>
          <w:szCs w:val="22"/>
          <w:highlight w:val="none"/>
        </w:rPr>
        <w:t xml:space="preserve"> et al. (2020) relied on self-reported data, which introduces potential bias, particularly in the absence of longitudinal tracking or detailed contextual information. However, this limitation is consistent across the literature and should be considered when interpreting collective findings. Baird</w:t>
      </w:r>
      <w:r w:rsidR="00CD168C">
        <w:rPr>
          <w:sz w:val="22"/>
          <w:szCs w:val="22"/>
          <w:highlight w:val="none"/>
        </w:rPr>
        <w:t xml:space="preserve"> .B.J. (2012)</w:t>
      </w:r>
      <w:r w:rsidRPr="00F12485">
        <w:rPr>
          <w:sz w:val="22"/>
          <w:szCs w:val="22"/>
          <w:highlight w:val="none"/>
        </w:rPr>
        <w:t xml:space="preserve">’s lack of significant group differences may also be influenced by sample size or variability in training quality. The </w:t>
      </w:r>
      <w:r w:rsidR="00CD168C" w:rsidRPr="00F12485">
        <w:rPr>
          <w:sz w:val="22"/>
          <w:szCs w:val="22"/>
          <w:highlight w:val="none"/>
        </w:rPr>
        <w:t>Baird</w:t>
      </w:r>
      <w:r w:rsidR="00CD168C">
        <w:rPr>
          <w:sz w:val="22"/>
          <w:szCs w:val="22"/>
          <w:highlight w:val="none"/>
        </w:rPr>
        <w:t xml:space="preserve"> .B.J</w:t>
      </w:r>
      <w:r w:rsidR="00CD168C" w:rsidRPr="00F12485">
        <w:rPr>
          <w:sz w:val="22"/>
          <w:szCs w:val="22"/>
          <w:highlight w:val="none"/>
        </w:rPr>
        <w:t xml:space="preserve"> et al. </w:t>
      </w:r>
      <w:r w:rsidR="00CD168C">
        <w:rPr>
          <w:sz w:val="22"/>
          <w:szCs w:val="22"/>
          <w:highlight w:val="none"/>
        </w:rPr>
        <w:t>(</w:t>
      </w:r>
      <w:r w:rsidRPr="00F12485">
        <w:rPr>
          <w:sz w:val="22"/>
          <w:szCs w:val="22"/>
          <w:highlight w:val="none"/>
        </w:rPr>
        <w:t>2020</w:t>
      </w:r>
      <w:r w:rsidR="00CD168C">
        <w:rPr>
          <w:sz w:val="22"/>
          <w:szCs w:val="22"/>
          <w:highlight w:val="none"/>
        </w:rPr>
        <w:t>)</w:t>
      </w:r>
      <w:r w:rsidRPr="00F12485">
        <w:rPr>
          <w:sz w:val="22"/>
          <w:szCs w:val="22"/>
          <w:highlight w:val="none"/>
        </w:rPr>
        <w:t xml:space="preserve">, study avoids </w:t>
      </w:r>
      <w:proofErr w:type="spellStart"/>
      <w:r w:rsidRPr="00F12485">
        <w:rPr>
          <w:sz w:val="22"/>
          <w:szCs w:val="22"/>
          <w:highlight w:val="none"/>
        </w:rPr>
        <w:t>overgeneralisation</w:t>
      </w:r>
      <w:proofErr w:type="spellEnd"/>
      <w:r w:rsidRPr="00F12485">
        <w:rPr>
          <w:sz w:val="22"/>
          <w:szCs w:val="22"/>
          <w:highlight w:val="none"/>
        </w:rPr>
        <w:t xml:space="preserve">, it does not fully explore why self-reported symptoms persist despite the absence of clinical evidence—an area that warrants further investigation. This aligns with the conclusions of </w:t>
      </w:r>
      <w:proofErr w:type="spellStart"/>
      <w:r w:rsidR="00CD168C" w:rsidRPr="00CD168C">
        <w:rPr>
          <w:sz w:val="22"/>
          <w:szCs w:val="22"/>
          <w:highlight w:val="none"/>
          <w:lang w:val="en-GB"/>
        </w:rPr>
        <w:t>Levett</w:t>
      </w:r>
      <w:proofErr w:type="spellEnd"/>
      <w:r w:rsidR="00CD168C" w:rsidRPr="00CD168C">
        <w:rPr>
          <w:sz w:val="22"/>
          <w:szCs w:val="22"/>
          <w:highlight w:val="none"/>
          <w:lang w:val="en-GB"/>
        </w:rPr>
        <w:t xml:space="preserve"> .J. and Pring .T. (</w:t>
      </w:r>
      <w:r w:rsidRPr="00F12485">
        <w:rPr>
          <w:sz w:val="22"/>
          <w:szCs w:val="22"/>
          <w:highlight w:val="none"/>
        </w:rPr>
        <w:t xml:space="preserve">2023) and Sharma </w:t>
      </w:r>
      <w:r w:rsidR="00CD168C">
        <w:rPr>
          <w:sz w:val="22"/>
          <w:szCs w:val="22"/>
          <w:highlight w:val="none"/>
        </w:rPr>
        <w:t xml:space="preserve">.V. </w:t>
      </w:r>
      <w:r w:rsidRPr="00F12485">
        <w:rPr>
          <w:sz w:val="22"/>
          <w:szCs w:val="22"/>
          <w:highlight w:val="none"/>
        </w:rPr>
        <w:t>et al. (2021), reinforcing the need for more nuanced research into vocal load, perception, and psychological factors affecting vocal health.</w:t>
      </w:r>
    </w:p>
    <w:p w14:paraId="52891BCD" w14:textId="497167D9" w:rsidR="00EF6272" w:rsidRPr="00F12485" w:rsidRDefault="00000000" w:rsidP="00F12485">
      <w:pPr>
        <w:shd w:val="clear" w:color="auto" w:fill="auto"/>
        <w:spacing w:line="360" w:lineRule="auto"/>
        <w:rPr>
          <w:sz w:val="22"/>
          <w:szCs w:val="22"/>
          <w:highlight w:val="none"/>
        </w:rPr>
      </w:pPr>
      <w:r w:rsidRPr="00F12485">
        <w:rPr>
          <w:sz w:val="22"/>
          <w:szCs w:val="22"/>
          <w:highlight w:val="none"/>
        </w:rPr>
        <w:t>A further observation across studies is the variance in the level of vocal health experience leaders of these community groups may have. Sharma</w:t>
      </w:r>
      <w:r w:rsidR="00CD168C">
        <w:rPr>
          <w:sz w:val="22"/>
          <w:szCs w:val="22"/>
          <w:highlight w:val="none"/>
        </w:rPr>
        <w:t xml:space="preserve"> .V.</w:t>
      </w:r>
      <w:r w:rsidRPr="00F12485">
        <w:rPr>
          <w:sz w:val="22"/>
          <w:szCs w:val="22"/>
          <w:highlight w:val="none"/>
        </w:rPr>
        <w:t xml:space="preserve"> Et al (2021), looking at church choirs of the Udupi District of Karnataka State, India- remarked that of the 12 church choir leaders, many of them had come from musical director or conductor’s backgrounds. The study observed that many of these did not have a background in singing and therefore it was </w:t>
      </w:r>
      <w:proofErr w:type="spellStart"/>
      <w:r w:rsidRPr="00F12485">
        <w:rPr>
          <w:sz w:val="22"/>
          <w:szCs w:val="22"/>
          <w:highlight w:val="none"/>
        </w:rPr>
        <w:t>theorised</w:t>
      </w:r>
      <w:proofErr w:type="spellEnd"/>
      <w:r w:rsidRPr="00F12485">
        <w:rPr>
          <w:sz w:val="22"/>
          <w:szCs w:val="22"/>
          <w:highlight w:val="none"/>
        </w:rPr>
        <w:t xml:space="preserve"> they may lack the understanding of the importance of vocal health, or understand the significance of vocal hygiene symptoms </w:t>
      </w:r>
      <w:r w:rsidR="00CD168C" w:rsidRPr="00F12485">
        <w:rPr>
          <w:sz w:val="22"/>
          <w:szCs w:val="22"/>
          <w:highlight w:val="none"/>
        </w:rPr>
        <w:t>exhibited</w:t>
      </w:r>
      <w:r w:rsidRPr="00F12485">
        <w:rPr>
          <w:sz w:val="22"/>
          <w:szCs w:val="22"/>
          <w:highlight w:val="none"/>
        </w:rPr>
        <w:t xml:space="preserve"> in their choirs. Therefore it could be believed without that clear guidance from leaders, singers may not be able to </w:t>
      </w:r>
      <w:proofErr w:type="spellStart"/>
      <w:r w:rsidRPr="00F12485">
        <w:rPr>
          <w:sz w:val="22"/>
          <w:szCs w:val="22"/>
          <w:highlight w:val="none"/>
        </w:rPr>
        <w:t>recognise</w:t>
      </w:r>
      <w:proofErr w:type="spellEnd"/>
      <w:r w:rsidRPr="00F12485">
        <w:rPr>
          <w:sz w:val="22"/>
          <w:szCs w:val="22"/>
          <w:highlight w:val="none"/>
        </w:rPr>
        <w:t xml:space="preserve"> vocal health issues in themselves. This was reflected in other studies such as </w:t>
      </w:r>
      <w:r w:rsidR="00913AC1" w:rsidRPr="00913AC1">
        <w:rPr>
          <w:sz w:val="22"/>
          <w:szCs w:val="22"/>
          <w:highlight w:val="none"/>
        </w:rPr>
        <w:t>Leiper, T. (2024)</w:t>
      </w:r>
      <w:r w:rsidRPr="00F12485">
        <w:rPr>
          <w:sz w:val="22"/>
          <w:szCs w:val="22"/>
          <w:highlight w:val="none"/>
        </w:rPr>
        <w:t xml:space="preserve">, where the study explored the use of a tool to </w:t>
      </w:r>
      <w:proofErr w:type="spellStart"/>
      <w:r w:rsidRPr="00F12485">
        <w:rPr>
          <w:sz w:val="22"/>
          <w:szCs w:val="22"/>
          <w:highlight w:val="none"/>
        </w:rPr>
        <w:t>self monitor</w:t>
      </w:r>
      <w:proofErr w:type="spellEnd"/>
      <w:r w:rsidRPr="00F12485">
        <w:rPr>
          <w:sz w:val="22"/>
          <w:szCs w:val="22"/>
          <w:highlight w:val="none"/>
        </w:rPr>
        <w:t xml:space="preserve"> vocal habits. </w:t>
      </w:r>
      <w:r w:rsidR="00913AC1" w:rsidRPr="00913AC1">
        <w:rPr>
          <w:sz w:val="22"/>
          <w:szCs w:val="22"/>
          <w:highlight w:val="none"/>
        </w:rPr>
        <w:t>Leiper, T. (2024)</w:t>
      </w:r>
      <w:r w:rsidRPr="00F12485">
        <w:rPr>
          <w:sz w:val="22"/>
          <w:szCs w:val="22"/>
          <w:highlight w:val="none"/>
        </w:rPr>
        <w:t xml:space="preserve">, </w:t>
      </w:r>
      <w:proofErr w:type="spellStart"/>
      <w:r w:rsidRPr="00F12485">
        <w:rPr>
          <w:sz w:val="22"/>
          <w:szCs w:val="22"/>
          <w:highlight w:val="none"/>
        </w:rPr>
        <w:t>recognised</w:t>
      </w:r>
      <w:proofErr w:type="spellEnd"/>
      <w:r w:rsidRPr="00F12485">
        <w:rPr>
          <w:sz w:val="22"/>
          <w:szCs w:val="22"/>
          <w:highlight w:val="none"/>
        </w:rPr>
        <w:t xml:space="preserve"> the need for </w:t>
      </w:r>
      <w:proofErr w:type="spellStart"/>
      <w:r w:rsidRPr="00F12485">
        <w:rPr>
          <w:sz w:val="22"/>
          <w:szCs w:val="22"/>
          <w:highlight w:val="none"/>
        </w:rPr>
        <w:t>self monitoring</w:t>
      </w:r>
      <w:proofErr w:type="spellEnd"/>
      <w:r w:rsidRPr="00F12485">
        <w:rPr>
          <w:sz w:val="22"/>
          <w:szCs w:val="22"/>
          <w:highlight w:val="none"/>
        </w:rPr>
        <w:t xml:space="preserve"> amongst amateur singers, due to the lack of awareness of vocal health within a large proportion of community singing leaders. This lack of specialist knowledge can influence rehearsal practices and the overall culture of vocal care within the group. Fahey</w:t>
      </w:r>
      <w:r w:rsidR="00913AC1">
        <w:rPr>
          <w:sz w:val="22"/>
          <w:szCs w:val="22"/>
          <w:highlight w:val="none"/>
        </w:rPr>
        <w:t xml:space="preserve"> .H.</w:t>
      </w:r>
      <w:r w:rsidRPr="00F12485">
        <w:rPr>
          <w:sz w:val="22"/>
          <w:szCs w:val="22"/>
          <w:highlight w:val="none"/>
        </w:rPr>
        <w:t xml:space="preserve"> et al. (2022) emphasize that leadership in social singing settings plays a crucial role in shaping participants’ experiences and well-being, yet many leaders may not have formal training in vocal health or pedagogy. Similarly, Starling Arts (2021) argue that while the benefits of group singing are well-documented, these outcomes are not automatic and require intentional integration of wellbeing </w:t>
      </w:r>
      <w:r w:rsidRPr="00F12485">
        <w:rPr>
          <w:sz w:val="22"/>
          <w:szCs w:val="22"/>
          <w:highlight w:val="none"/>
        </w:rPr>
        <w:lastRenderedPageBreak/>
        <w:t xml:space="preserve">and vocal care into the structure of rehearsals. In environments where untrained individuals join hobbyist singing groups, there is a strong likelihood that they will model their understanding of vocal health on the leader’s approach—potentially overlooking its importance if it is not explicitly addressed. This reinforces the need for choir leaders to incorporate vocal health education into rehearsals and for singers to take greater responsibility for their own vocal wellbeing. </w:t>
      </w:r>
    </w:p>
    <w:p w14:paraId="1C61F4EB" w14:textId="0FB3F00B"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Despite its contributions, </w:t>
      </w:r>
      <w:r w:rsidR="00111643" w:rsidRPr="00913AC1">
        <w:rPr>
          <w:sz w:val="22"/>
          <w:szCs w:val="22"/>
          <w:highlight w:val="none"/>
        </w:rPr>
        <w:t>Leiper, T. (2024)</w:t>
      </w:r>
      <w:r w:rsidR="00111643" w:rsidRPr="00F12485">
        <w:rPr>
          <w:sz w:val="22"/>
          <w:szCs w:val="22"/>
          <w:highlight w:val="none"/>
        </w:rPr>
        <w:t xml:space="preserve">, </w:t>
      </w:r>
      <w:r w:rsidRPr="00F12485">
        <w:rPr>
          <w:sz w:val="22"/>
          <w:szCs w:val="22"/>
          <w:highlight w:val="none"/>
        </w:rPr>
        <w:t xml:space="preserve"> study has several limitations. The sample size is small (n = 18 for the full trial), and the gender imbalance (predominantly female) may limit the </w:t>
      </w:r>
      <w:proofErr w:type="spellStart"/>
      <w:r w:rsidRPr="00F12485">
        <w:rPr>
          <w:sz w:val="22"/>
          <w:szCs w:val="22"/>
          <w:highlight w:val="none"/>
        </w:rPr>
        <w:t>generalisability</w:t>
      </w:r>
      <w:proofErr w:type="spellEnd"/>
      <w:r w:rsidRPr="00F12485">
        <w:rPr>
          <w:sz w:val="22"/>
          <w:szCs w:val="22"/>
          <w:highlight w:val="none"/>
        </w:rPr>
        <w:t xml:space="preserve"> of the findings. The reliance on self-reported data introduces the risk of response bias, particularly given the subjective nature of sensory feedback. While the author acknowledges the challenges of </w:t>
      </w:r>
      <w:proofErr w:type="spellStart"/>
      <w:r w:rsidRPr="00F12485">
        <w:rPr>
          <w:sz w:val="22"/>
          <w:szCs w:val="22"/>
          <w:highlight w:val="none"/>
        </w:rPr>
        <w:t>verbalising</w:t>
      </w:r>
      <w:proofErr w:type="spellEnd"/>
      <w:r w:rsidRPr="00F12485">
        <w:rPr>
          <w:sz w:val="22"/>
          <w:szCs w:val="22"/>
          <w:highlight w:val="none"/>
        </w:rPr>
        <w:t xml:space="preserve"> tacit knowledge, the study could have benefited from triangulating self-assessment data with expert evaluations or acoustic measurements to validate participants’ perceptions.</w:t>
      </w:r>
    </w:p>
    <w:p w14:paraId="74FDA685"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t>Additionally, while the SA protocol is described in detail, the study does not provide a clear framework for its long-term implementation or integration into choir settings. The emotional impact of self-assessment—such as reduced confidence or increased self-criticism—is noted but not fully explored. This raises questions about how to support singers in using the tool constructively without undermining their enjoyment or self-esteem.</w:t>
      </w:r>
    </w:p>
    <w:p w14:paraId="41EA43A3" w14:textId="1B652FEF"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However, further research with larger, more diverse samples and objective outcome measures could fully establish the protocol’s effectiveness and sustainability. The study’s findings </w:t>
      </w:r>
      <w:r w:rsidR="00111643">
        <w:rPr>
          <w:sz w:val="22"/>
          <w:szCs w:val="22"/>
          <w:highlight w:val="none"/>
        </w:rPr>
        <w:t xml:space="preserve">alongside the other supportive studies discussed </w:t>
      </w:r>
      <w:r w:rsidRPr="00F12485">
        <w:rPr>
          <w:sz w:val="22"/>
          <w:szCs w:val="22"/>
          <w:highlight w:val="none"/>
        </w:rPr>
        <w:t>underscore the importance of equipping amateur singers with the knowledge and skills to maintain vocal health, thereby enhancing both their musical experience and long-term wellbeing.</w:t>
      </w:r>
    </w:p>
    <w:p w14:paraId="53319FDA" w14:textId="77777777" w:rsidR="00EF6272" w:rsidRPr="00F12485" w:rsidRDefault="00EF6272" w:rsidP="00F12485">
      <w:pPr>
        <w:shd w:val="clear" w:color="auto" w:fill="auto"/>
        <w:spacing w:line="360" w:lineRule="auto"/>
        <w:rPr>
          <w:sz w:val="22"/>
          <w:szCs w:val="22"/>
          <w:highlight w:val="none"/>
        </w:rPr>
      </w:pPr>
    </w:p>
    <w:p w14:paraId="31CE4DA8" w14:textId="77777777" w:rsidR="00EF6272" w:rsidRPr="00190C8B" w:rsidRDefault="00000000" w:rsidP="00F12485">
      <w:pPr>
        <w:shd w:val="clear" w:color="auto" w:fill="auto"/>
        <w:spacing w:line="360" w:lineRule="auto"/>
        <w:rPr>
          <w:b/>
          <w:bCs/>
          <w:sz w:val="22"/>
          <w:szCs w:val="22"/>
          <w:highlight w:val="none"/>
        </w:rPr>
      </w:pPr>
      <w:r w:rsidRPr="00190C8B">
        <w:rPr>
          <w:b/>
          <w:bCs/>
          <w:sz w:val="22"/>
          <w:szCs w:val="22"/>
          <w:highlight w:val="none"/>
        </w:rPr>
        <w:t xml:space="preserve"> The Role of Vocal Warm-Ups and Technique</w:t>
      </w:r>
    </w:p>
    <w:p w14:paraId="5285E93E" w14:textId="704AF743"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Vocal warm-ups are structured preparatory exercises designed to activate the respiratory and phonatory systems before singing or speaking. They are widely </w:t>
      </w:r>
      <w:proofErr w:type="spellStart"/>
      <w:r w:rsidRPr="00F12485">
        <w:rPr>
          <w:sz w:val="22"/>
          <w:szCs w:val="22"/>
          <w:highlight w:val="none"/>
        </w:rPr>
        <w:t>recognised</w:t>
      </w:r>
      <w:proofErr w:type="spellEnd"/>
      <w:r w:rsidRPr="00F12485">
        <w:rPr>
          <w:sz w:val="22"/>
          <w:szCs w:val="22"/>
          <w:highlight w:val="none"/>
        </w:rPr>
        <w:t xml:space="preserve"> for their contribution to enhancing vocal flexibility, reducing muscular tension, and supporting healthy voice production (</w:t>
      </w:r>
      <w:r w:rsidR="00111643" w:rsidRPr="00111643">
        <w:rPr>
          <w:sz w:val="22"/>
          <w:szCs w:val="22"/>
          <w:highlight w:val="none"/>
        </w:rPr>
        <w:t>Ter, W.S. and Wong, K.Y., 2022</w:t>
      </w:r>
      <w:r w:rsidRPr="00F12485">
        <w:rPr>
          <w:sz w:val="22"/>
          <w:szCs w:val="22"/>
          <w:highlight w:val="none"/>
        </w:rPr>
        <w:t>). Recent empirical research affirms that even brief warm-up routines can significantly improve vocal ease, stamina, and perceptual effort, thus positively influencing both performance quality and vocal health (Lloyd</w:t>
      </w:r>
      <w:r w:rsidR="00111643">
        <w:rPr>
          <w:sz w:val="22"/>
          <w:szCs w:val="22"/>
          <w:highlight w:val="none"/>
        </w:rPr>
        <w:t xml:space="preserve"> .A.T.</w:t>
      </w:r>
      <w:r w:rsidRPr="00F12485">
        <w:rPr>
          <w:sz w:val="22"/>
          <w:szCs w:val="22"/>
          <w:highlight w:val="none"/>
        </w:rPr>
        <w:t xml:space="preserve"> et al., 2020; Yilmaz </w:t>
      </w:r>
      <w:r w:rsidR="00111643">
        <w:rPr>
          <w:sz w:val="22"/>
          <w:szCs w:val="22"/>
          <w:highlight w:val="none"/>
        </w:rPr>
        <w:t xml:space="preserve">.C. </w:t>
      </w:r>
      <w:r w:rsidRPr="00F12485">
        <w:rPr>
          <w:sz w:val="22"/>
          <w:szCs w:val="22"/>
          <w:highlight w:val="none"/>
        </w:rPr>
        <w:t xml:space="preserve">et al., 2025). However, considerable variability persists in warm-up practices, particularly </w:t>
      </w:r>
      <w:r w:rsidRPr="00F12485">
        <w:rPr>
          <w:sz w:val="22"/>
          <w:szCs w:val="22"/>
          <w:highlight w:val="none"/>
        </w:rPr>
        <w:lastRenderedPageBreak/>
        <w:t>among amateur singers, underscoring the need for increased awareness and pedagogical guidance in this area (</w:t>
      </w:r>
      <w:proofErr w:type="spellStart"/>
      <w:r w:rsidRPr="00F12485">
        <w:rPr>
          <w:sz w:val="22"/>
          <w:szCs w:val="22"/>
          <w:highlight w:val="none"/>
        </w:rPr>
        <w:t>Levett</w:t>
      </w:r>
      <w:proofErr w:type="spellEnd"/>
      <w:r w:rsidR="00111643">
        <w:rPr>
          <w:sz w:val="22"/>
          <w:szCs w:val="22"/>
          <w:highlight w:val="none"/>
        </w:rPr>
        <w:t xml:space="preserve"> .J.</w:t>
      </w:r>
      <w:r w:rsidRPr="00F12485">
        <w:rPr>
          <w:sz w:val="22"/>
          <w:szCs w:val="22"/>
          <w:highlight w:val="none"/>
        </w:rPr>
        <w:t xml:space="preserve"> &amp; Pring</w:t>
      </w:r>
      <w:r w:rsidR="00111643">
        <w:rPr>
          <w:sz w:val="22"/>
          <w:szCs w:val="22"/>
          <w:highlight w:val="none"/>
        </w:rPr>
        <w:t xml:space="preserve"> .T.</w:t>
      </w:r>
      <w:r w:rsidRPr="00F12485">
        <w:rPr>
          <w:sz w:val="22"/>
          <w:szCs w:val="22"/>
          <w:highlight w:val="none"/>
        </w:rPr>
        <w:t>, 2023).</w:t>
      </w:r>
    </w:p>
    <w:p w14:paraId="7651C6BD" w14:textId="77BB136F" w:rsidR="00EF6272" w:rsidRPr="00F12485" w:rsidRDefault="00111643" w:rsidP="00F12485">
      <w:pPr>
        <w:shd w:val="clear" w:color="auto" w:fill="auto"/>
        <w:spacing w:line="360" w:lineRule="auto"/>
        <w:rPr>
          <w:sz w:val="22"/>
          <w:szCs w:val="22"/>
          <w:highlight w:val="none"/>
        </w:rPr>
      </w:pPr>
      <w:proofErr w:type="spellStart"/>
      <w:r w:rsidRPr="00F12485">
        <w:rPr>
          <w:sz w:val="22"/>
          <w:szCs w:val="22"/>
          <w:highlight w:val="none"/>
        </w:rPr>
        <w:t>Levett</w:t>
      </w:r>
      <w:proofErr w:type="spellEnd"/>
      <w:r>
        <w:rPr>
          <w:sz w:val="22"/>
          <w:szCs w:val="22"/>
          <w:highlight w:val="none"/>
        </w:rPr>
        <w:t xml:space="preserve"> .J.</w:t>
      </w:r>
      <w:r w:rsidRPr="00F12485">
        <w:rPr>
          <w:sz w:val="22"/>
          <w:szCs w:val="22"/>
          <w:highlight w:val="none"/>
        </w:rPr>
        <w:t xml:space="preserve"> &amp; Pring</w:t>
      </w:r>
      <w:r>
        <w:rPr>
          <w:sz w:val="22"/>
          <w:szCs w:val="22"/>
          <w:highlight w:val="none"/>
        </w:rPr>
        <w:t xml:space="preserve"> .T.</w:t>
      </w:r>
      <w:r w:rsidRPr="00F12485">
        <w:rPr>
          <w:sz w:val="22"/>
          <w:szCs w:val="22"/>
          <w:highlight w:val="none"/>
        </w:rPr>
        <w:t xml:space="preserve"> </w:t>
      </w:r>
      <w:r>
        <w:rPr>
          <w:sz w:val="22"/>
          <w:szCs w:val="22"/>
          <w:highlight w:val="none"/>
        </w:rPr>
        <w:t>(</w:t>
      </w:r>
      <w:r w:rsidRPr="00F12485">
        <w:rPr>
          <w:sz w:val="22"/>
          <w:szCs w:val="22"/>
          <w:highlight w:val="none"/>
        </w:rPr>
        <w:t>2023</w:t>
      </w:r>
      <w:r w:rsidR="00000000" w:rsidRPr="00F12485">
        <w:rPr>
          <w:sz w:val="22"/>
          <w:szCs w:val="22"/>
          <w:highlight w:val="none"/>
        </w:rPr>
        <w:t>) provide one of the few contemporary studies focusing on vocal warm-up and cool-down routines in amateur choir settings. Their research indicates that choir-led warm-ups are associated with a statistically significant—albeit modest—reduction in self-reported vocal symptoms. By contrast, individually performed warm-ups, particularly those undertaken without group rehearsal or instructor input, showed no additional benefit. The study suggests that the effectiveness of warm-ups may be undermined by their limited scope, with many choirs relying predominantly on simple scale exercises. Contextual challenges, including time constraints, inconsistent attendance, and limited rehearsal duration, were found to compromise the quality and consistency of warm-up implementation, and may account for the near-complete absence of cool-down activities.</w:t>
      </w:r>
    </w:p>
    <w:p w14:paraId="3A422AFC" w14:textId="3208CCC2"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Although </w:t>
      </w:r>
      <w:proofErr w:type="spellStart"/>
      <w:r w:rsidR="00111643" w:rsidRPr="00F12485">
        <w:rPr>
          <w:sz w:val="22"/>
          <w:szCs w:val="22"/>
          <w:highlight w:val="none"/>
        </w:rPr>
        <w:t>Levett</w:t>
      </w:r>
      <w:proofErr w:type="spellEnd"/>
      <w:r w:rsidR="00111643">
        <w:rPr>
          <w:sz w:val="22"/>
          <w:szCs w:val="22"/>
          <w:highlight w:val="none"/>
        </w:rPr>
        <w:t xml:space="preserve"> .J.</w:t>
      </w:r>
      <w:r w:rsidR="00111643" w:rsidRPr="00F12485">
        <w:rPr>
          <w:sz w:val="22"/>
          <w:szCs w:val="22"/>
          <w:highlight w:val="none"/>
        </w:rPr>
        <w:t xml:space="preserve"> &amp; Pring</w:t>
      </w:r>
      <w:r w:rsidR="00111643">
        <w:rPr>
          <w:sz w:val="22"/>
          <w:szCs w:val="22"/>
          <w:highlight w:val="none"/>
        </w:rPr>
        <w:t xml:space="preserve"> .T.</w:t>
      </w:r>
      <w:r w:rsidR="00111643" w:rsidRPr="00F12485">
        <w:rPr>
          <w:sz w:val="22"/>
          <w:szCs w:val="22"/>
          <w:highlight w:val="none"/>
        </w:rPr>
        <w:t xml:space="preserve"> </w:t>
      </w:r>
      <w:r w:rsidR="00111643">
        <w:rPr>
          <w:sz w:val="22"/>
          <w:szCs w:val="22"/>
          <w:highlight w:val="none"/>
        </w:rPr>
        <w:t>(</w:t>
      </w:r>
      <w:r w:rsidR="00111643" w:rsidRPr="00F12485">
        <w:rPr>
          <w:sz w:val="22"/>
          <w:szCs w:val="22"/>
          <w:highlight w:val="none"/>
        </w:rPr>
        <w:t>2023</w:t>
      </w:r>
      <w:r w:rsidR="00111643">
        <w:rPr>
          <w:sz w:val="22"/>
          <w:szCs w:val="22"/>
          <w:highlight w:val="none"/>
        </w:rPr>
        <w:t>)</w:t>
      </w:r>
      <w:r w:rsidRPr="00F12485">
        <w:rPr>
          <w:sz w:val="22"/>
          <w:szCs w:val="22"/>
          <w:highlight w:val="none"/>
        </w:rPr>
        <w:t xml:space="preserve"> highlight variation in warm-up practices, their study does not systematically evaluate the content, duration, or pedagogical quality of the exercises used—variables that could critically influence their effectiveness. Future research would benefit from a more granular approach, including the analysis of specific vocal tasks and the integration of validated assessment tools such as the Voice Symptom Scale (</w:t>
      </w:r>
      <w:proofErr w:type="spellStart"/>
      <w:r w:rsidRPr="00F12485">
        <w:rPr>
          <w:sz w:val="22"/>
          <w:szCs w:val="22"/>
          <w:highlight w:val="none"/>
        </w:rPr>
        <w:t>VoiSS</w:t>
      </w:r>
      <w:proofErr w:type="spellEnd"/>
      <w:r w:rsidRPr="00F12485">
        <w:rPr>
          <w:sz w:val="22"/>
          <w:szCs w:val="22"/>
          <w:highlight w:val="none"/>
        </w:rPr>
        <w:t>) or the Modern Singing Handicap Index (MSHI), which provide greater diagnostic precision (Yilmaz</w:t>
      </w:r>
      <w:r w:rsidR="00111643">
        <w:rPr>
          <w:sz w:val="22"/>
          <w:szCs w:val="22"/>
          <w:highlight w:val="none"/>
        </w:rPr>
        <w:t xml:space="preserve"> .C.</w:t>
      </w:r>
      <w:r w:rsidRPr="00F12485">
        <w:rPr>
          <w:sz w:val="22"/>
          <w:szCs w:val="22"/>
          <w:highlight w:val="none"/>
        </w:rPr>
        <w:t xml:space="preserve"> et al., 2025). Furthermore, their findings point to a broader issue of vocal health literacy in amateur contexts, suggesting the importance of educational interventions and increased access to professional vocal care.</w:t>
      </w:r>
    </w:p>
    <w:p w14:paraId="1777D5CC" w14:textId="4F129D5E"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The contextual framing offered by </w:t>
      </w:r>
      <w:proofErr w:type="spellStart"/>
      <w:r w:rsidR="00111643" w:rsidRPr="00F12485">
        <w:rPr>
          <w:sz w:val="22"/>
          <w:szCs w:val="22"/>
          <w:highlight w:val="none"/>
        </w:rPr>
        <w:t>Levett</w:t>
      </w:r>
      <w:proofErr w:type="spellEnd"/>
      <w:r w:rsidR="00111643">
        <w:rPr>
          <w:sz w:val="22"/>
          <w:szCs w:val="22"/>
          <w:highlight w:val="none"/>
        </w:rPr>
        <w:t xml:space="preserve"> .J.</w:t>
      </w:r>
      <w:r w:rsidR="00111643" w:rsidRPr="00F12485">
        <w:rPr>
          <w:sz w:val="22"/>
          <w:szCs w:val="22"/>
          <w:highlight w:val="none"/>
        </w:rPr>
        <w:t xml:space="preserve"> &amp; Pring</w:t>
      </w:r>
      <w:r w:rsidR="00111643">
        <w:rPr>
          <w:sz w:val="22"/>
          <w:szCs w:val="22"/>
          <w:highlight w:val="none"/>
        </w:rPr>
        <w:t xml:space="preserve"> .T.</w:t>
      </w:r>
      <w:r w:rsidR="00111643" w:rsidRPr="00F12485">
        <w:rPr>
          <w:sz w:val="22"/>
          <w:szCs w:val="22"/>
          <w:highlight w:val="none"/>
        </w:rPr>
        <w:t xml:space="preserve"> </w:t>
      </w:r>
      <w:r w:rsidR="00111643">
        <w:rPr>
          <w:sz w:val="22"/>
          <w:szCs w:val="22"/>
          <w:highlight w:val="none"/>
        </w:rPr>
        <w:t>(</w:t>
      </w:r>
      <w:r w:rsidR="00111643" w:rsidRPr="00F12485">
        <w:rPr>
          <w:sz w:val="22"/>
          <w:szCs w:val="22"/>
          <w:highlight w:val="none"/>
        </w:rPr>
        <w:t>2023</w:t>
      </w:r>
      <w:r w:rsidRPr="00F12485">
        <w:rPr>
          <w:sz w:val="22"/>
          <w:szCs w:val="22"/>
          <w:highlight w:val="none"/>
        </w:rPr>
        <w:t xml:space="preserve">) is especially valuable, as it contrasts the structured support systems available to professional singers with the often fragmented and informal practices found in amateur settings. This disparity is echoed by </w:t>
      </w:r>
      <w:proofErr w:type="spellStart"/>
      <w:r w:rsidRPr="00F12485">
        <w:rPr>
          <w:sz w:val="22"/>
          <w:szCs w:val="22"/>
          <w:highlight w:val="none"/>
        </w:rPr>
        <w:t>Ravall</w:t>
      </w:r>
      <w:proofErr w:type="spellEnd"/>
      <w:r w:rsidRPr="00F12485">
        <w:rPr>
          <w:sz w:val="22"/>
          <w:szCs w:val="22"/>
          <w:highlight w:val="none"/>
        </w:rPr>
        <w:t xml:space="preserve"> </w:t>
      </w:r>
      <w:r w:rsidR="00111643">
        <w:rPr>
          <w:sz w:val="22"/>
          <w:szCs w:val="22"/>
          <w:highlight w:val="none"/>
        </w:rPr>
        <w:t>.S. &amp;</w:t>
      </w:r>
      <w:r w:rsidRPr="00F12485">
        <w:rPr>
          <w:sz w:val="22"/>
          <w:szCs w:val="22"/>
          <w:highlight w:val="none"/>
        </w:rPr>
        <w:t xml:space="preserve"> </w:t>
      </w:r>
      <w:proofErr w:type="spellStart"/>
      <w:r w:rsidRPr="00F12485">
        <w:rPr>
          <w:sz w:val="22"/>
          <w:szCs w:val="22"/>
          <w:highlight w:val="none"/>
        </w:rPr>
        <w:t>Simberg</w:t>
      </w:r>
      <w:proofErr w:type="spellEnd"/>
      <w:r w:rsidRPr="00F12485">
        <w:rPr>
          <w:sz w:val="22"/>
          <w:szCs w:val="22"/>
          <w:highlight w:val="none"/>
        </w:rPr>
        <w:t xml:space="preserve"> </w:t>
      </w:r>
      <w:r w:rsidR="00111643">
        <w:rPr>
          <w:sz w:val="22"/>
          <w:szCs w:val="22"/>
          <w:highlight w:val="none"/>
        </w:rPr>
        <w:t xml:space="preserve">.S. </w:t>
      </w:r>
      <w:r w:rsidRPr="00F12485">
        <w:rPr>
          <w:sz w:val="22"/>
          <w:szCs w:val="22"/>
          <w:highlight w:val="none"/>
        </w:rPr>
        <w:t>(2020) and Smith</w:t>
      </w:r>
      <w:r w:rsidR="00111643">
        <w:rPr>
          <w:sz w:val="22"/>
          <w:szCs w:val="22"/>
          <w:highlight w:val="none"/>
        </w:rPr>
        <w:t xml:space="preserve"> .B.</w:t>
      </w:r>
      <w:r w:rsidRPr="00F12485">
        <w:rPr>
          <w:sz w:val="22"/>
          <w:szCs w:val="22"/>
          <w:highlight w:val="none"/>
        </w:rPr>
        <w:t xml:space="preserve"> (2018), who identify a general lack of awareness regarding vocal health risks among amateur performers. </w:t>
      </w:r>
      <w:proofErr w:type="spellStart"/>
      <w:r w:rsidR="00111643" w:rsidRPr="00F12485">
        <w:rPr>
          <w:sz w:val="22"/>
          <w:szCs w:val="22"/>
          <w:highlight w:val="none"/>
        </w:rPr>
        <w:t>Levett</w:t>
      </w:r>
      <w:proofErr w:type="spellEnd"/>
      <w:r w:rsidR="00111643">
        <w:rPr>
          <w:sz w:val="22"/>
          <w:szCs w:val="22"/>
          <w:highlight w:val="none"/>
        </w:rPr>
        <w:t xml:space="preserve"> .J.</w:t>
      </w:r>
      <w:r w:rsidR="00111643" w:rsidRPr="00F12485">
        <w:rPr>
          <w:sz w:val="22"/>
          <w:szCs w:val="22"/>
          <w:highlight w:val="none"/>
        </w:rPr>
        <w:t xml:space="preserve"> &amp; Pring</w:t>
      </w:r>
      <w:r w:rsidR="00111643">
        <w:rPr>
          <w:sz w:val="22"/>
          <w:szCs w:val="22"/>
          <w:highlight w:val="none"/>
        </w:rPr>
        <w:t xml:space="preserve"> .T.</w:t>
      </w:r>
      <w:r w:rsidR="00111643" w:rsidRPr="00F12485">
        <w:rPr>
          <w:sz w:val="22"/>
          <w:szCs w:val="22"/>
          <w:highlight w:val="none"/>
        </w:rPr>
        <w:t xml:space="preserve"> </w:t>
      </w:r>
      <w:r w:rsidR="00111643">
        <w:rPr>
          <w:sz w:val="22"/>
          <w:szCs w:val="22"/>
          <w:highlight w:val="none"/>
        </w:rPr>
        <w:t>(</w:t>
      </w:r>
      <w:r w:rsidR="00111643" w:rsidRPr="00F12485">
        <w:rPr>
          <w:sz w:val="22"/>
          <w:szCs w:val="22"/>
          <w:highlight w:val="none"/>
        </w:rPr>
        <w:t>2023</w:t>
      </w:r>
      <w:r w:rsidR="00111643">
        <w:rPr>
          <w:sz w:val="22"/>
          <w:szCs w:val="22"/>
          <w:highlight w:val="none"/>
        </w:rPr>
        <w:t>)</w:t>
      </w:r>
      <w:r w:rsidRPr="00F12485">
        <w:rPr>
          <w:sz w:val="22"/>
          <w:szCs w:val="22"/>
          <w:highlight w:val="none"/>
        </w:rPr>
        <w:t xml:space="preserve">’s data reinforce this concern, revealing that many singers experiencing vocal discomfort do not seek professional advice, and those who do often consult singing teachers rather than healthcare professionals. This tendency may delay appropriate intervention and reflects broader issues around help-seeking </w:t>
      </w:r>
      <w:proofErr w:type="spellStart"/>
      <w:r w:rsidRPr="00F12485">
        <w:rPr>
          <w:sz w:val="22"/>
          <w:szCs w:val="22"/>
          <w:highlight w:val="none"/>
        </w:rPr>
        <w:t>behaviour</w:t>
      </w:r>
      <w:proofErr w:type="spellEnd"/>
      <w:r w:rsidRPr="00F12485">
        <w:rPr>
          <w:sz w:val="22"/>
          <w:szCs w:val="22"/>
          <w:highlight w:val="none"/>
        </w:rPr>
        <w:t xml:space="preserve"> and the perceived accessibility of specialist care (</w:t>
      </w:r>
      <w:proofErr w:type="spellStart"/>
      <w:r w:rsidRPr="00F12485">
        <w:rPr>
          <w:sz w:val="22"/>
          <w:szCs w:val="22"/>
          <w:highlight w:val="none"/>
        </w:rPr>
        <w:t>Adessa</w:t>
      </w:r>
      <w:proofErr w:type="spellEnd"/>
      <w:r w:rsidR="00111643">
        <w:rPr>
          <w:sz w:val="22"/>
          <w:szCs w:val="22"/>
          <w:highlight w:val="none"/>
        </w:rPr>
        <w:t xml:space="preserve"> .M.</w:t>
      </w:r>
      <w:r w:rsidRPr="00F12485">
        <w:rPr>
          <w:sz w:val="22"/>
          <w:szCs w:val="22"/>
          <w:highlight w:val="none"/>
        </w:rPr>
        <w:t xml:space="preserve"> et al., 2017).</w:t>
      </w:r>
    </w:p>
    <w:p w14:paraId="6B51BB30" w14:textId="51B503B6"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Despite its limitations, the study contributes meaningfully to the field by documenting the practical realities of vocal health management in non-professional contexts. Its emphasis on </w:t>
      </w:r>
      <w:r w:rsidRPr="00F12485">
        <w:rPr>
          <w:sz w:val="22"/>
          <w:szCs w:val="22"/>
          <w:highlight w:val="none"/>
        </w:rPr>
        <w:lastRenderedPageBreak/>
        <w:t xml:space="preserve">choir-led warm-ups as protective—though modestly so—corresponds with broader literature confirming the physiological and perceptual benefits of vocal warm-ups (Amir </w:t>
      </w:r>
      <w:r w:rsidR="00111643">
        <w:rPr>
          <w:sz w:val="22"/>
          <w:szCs w:val="22"/>
          <w:highlight w:val="none"/>
        </w:rPr>
        <w:t xml:space="preserve">.O. </w:t>
      </w:r>
      <w:r w:rsidRPr="00F12485">
        <w:rPr>
          <w:sz w:val="22"/>
          <w:szCs w:val="22"/>
          <w:highlight w:val="none"/>
        </w:rPr>
        <w:t xml:space="preserve">et al., 2019; </w:t>
      </w:r>
      <w:proofErr w:type="spellStart"/>
      <w:r w:rsidRPr="00F12485">
        <w:rPr>
          <w:sz w:val="22"/>
          <w:szCs w:val="22"/>
          <w:highlight w:val="none"/>
        </w:rPr>
        <w:t>Mezzedimi</w:t>
      </w:r>
      <w:proofErr w:type="spellEnd"/>
      <w:r w:rsidRPr="00F12485">
        <w:rPr>
          <w:sz w:val="22"/>
          <w:szCs w:val="22"/>
          <w:highlight w:val="none"/>
        </w:rPr>
        <w:t xml:space="preserve"> </w:t>
      </w:r>
      <w:r w:rsidR="00111643">
        <w:rPr>
          <w:sz w:val="22"/>
          <w:szCs w:val="22"/>
          <w:highlight w:val="none"/>
        </w:rPr>
        <w:t xml:space="preserve">.C. </w:t>
      </w:r>
      <w:r w:rsidRPr="00F12485">
        <w:rPr>
          <w:sz w:val="22"/>
          <w:szCs w:val="22"/>
          <w:highlight w:val="none"/>
        </w:rPr>
        <w:t>et al., 2020). The finding that individual warm-ups were largely ineffective without structured guidance further underscores the importance of pedagogical intentionality and the risks associated with unguided, superficial practice.</w:t>
      </w:r>
    </w:p>
    <w:p w14:paraId="3987169A" w14:textId="12E8F825"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Complementing this empirical perspective, </w:t>
      </w:r>
      <w:proofErr w:type="spellStart"/>
      <w:r w:rsidRPr="00F12485">
        <w:rPr>
          <w:sz w:val="22"/>
          <w:szCs w:val="22"/>
          <w:highlight w:val="none"/>
        </w:rPr>
        <w:t>Apfelstadt</w:t>
      </w:r>
      <w:proofErr w:type="spellEnd"/>
      <w:r w:rsidR="00111643">
        <w:rPr>
          <w:sz w:val="22"/>
          <w:szCs w:val="22"/>
          <w:highlight w:val="none"/>
        </w:rPr>
        <w:t xml:space="preserve"> .H.</w:t>
      </w:r>
      <w:r w:rsidRPr="00F12485">
        <w:rPr>
          <w:sz w:val="22"/>
          <w:szCs w:val="22"/>
          <w:highlight w:val="none"/>
        </w:rPr>
        <w:t xml:space="preserve"> (2016)</w:t>
      </w:r>
      <w:r w:rsidR="00111643">
        <w:rPr>
          <w:sz w:val="22"/>
          <w:szCs w:val="22"/>
          <w:highlight w:val="none"/>
        </w:rPr>
        <w:t xml:space="preserve">’s </w:t>
      </w:r>
      <w:r w:rsidRPr="00F12485">
        <w:rPr>
          <w:sz w:val="22"/>
          <w:szCs w:val="22"/>
          <w:highlight w:val="none"/>
        </w:rPr>
        <w:t xml:space="preserve">pedagogical article "Warm-Ups: Building Strong Foundations for Ensemble Singing" offers a practice-oriented framework for vocal preparation in choral contexts. Drawing from her experience as a conductor and educator, </w:t>
      </w:r>
      <w:proofErr w:type="spellStart"/>
      <w:r w:rsidRPr="00F12485">
        <w:rPr>
          <w:sz w:val="22"/>
          <w:szCs w:val="22"/>
          <w:highlight w:val="none"/>
        </w:rPr>
        <w:t>Apfelstadt</w:t>
      </w:r>
      <w:proofErr w:type="spellEnd"/>
      <w:r w:rsidR="00111643">
        <w:rPr>
          <w:sz w:val="22"/>
          <w:szCs w:val="22"/>
          <w:highlight w:val="none"/>
        </w:rPr>
        <w:t xml:space="preserve"> .H. (2016)</w:t>
      </w:r>
      <w:r w:rsidRPr="00F12485">
        <w:rPr>
          <w:sz w:val="22"/>
          <w:szCs w:val="22"/>
          <w:highlight w:val="none"/>
        </w:rPr>
        <w:t xml:space="preserve"> </w:t>
      </w:r>
      <w:proofErr w:type="spellStart"/>
      <w:r w:rsidRPr="00F12485">
        <w:rPr>
          <w:sz w:val="22"/>
          <w:szCs w:val="22"/>
          <w:highlight w:val="none"/>
        </w:rPr>
        <w:t>reconceptualises</w:t>
      </w:r>
      <w:proofErr w:type="spellEnd"/>
      <w:r w:rsidRPr="00F12485">
        <w:rPr>
          <w:sz w:val="22"/>
          <w:szCs w:val="22"/>
          <w:highlight w:val="none"/>
        </w:rPr>
        <w:t xml:space="preserve"> warm-ups not merely as physical preparation, but as integral to ensemble cohesion, musical interpretation, and educational development. Her tripartite sequence—body, breath, and voice—parallels the physiological demands of singing and mirrors principles drawn from sports science, reinforcing the analogy between vocal and athletic performance.</w:t>
      </w:r>
    </w:p>
    <w:p w14:paraId="0E7AD6A8" w14:textId="33FC8002"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A notable strength of </w:t>
      </w:r>
      <w:proofErr w:type="spellStart"/>
      <w:r w:rsidRPr="00F12485">
        <w:rPr>
          <w:sz w:val="22"/>
          <w:szCs w:val="22"/>
          <w:highlight w:val="none"/>
        </w:rPr>
        <w:t>Apfelstadt</w:t>
      </w:r>
      <w:proofErr w:type="spellEnd"/>
      <w:r w:rsidR="00111643">
        <w:rPr>
          <w:sz w:val="22"/>
          <w:szCs w:val="22"/>
          <w:highlight w:val="none"/>
        </w:rPr>
        <w:t xml:space="preserve"> .H. (2016)</w:t>
      </w:r>
      <w:r w:rsidRPr="00F12485">
        <w:rPr>
          <w:sz w:val="22"/>
          <w:szCs w:val="22"/>
          <w:highlight w:val="none"/>
        </w:rPr>
        <w:t xml:space="preserve">’s work lies in its emphasis on adaptability and musical integration. She advocates for warm-ups to be tailored to the repertoire, using them as tools to introduce technical challenges such as difficult intervals, articulation patterns, or harmonic contexts. This approach aligns with contemporary views on </w:t>
      </w:r>
      <w:proofErr w:type="spellStart"/>
      <w:r w:rsidRPr="00F12485">
        <w:rPr>
          <w:sz w:val="22"/>
          <w:szCs w:val="22"/>
          <w:highlight w:val="none"/>
        </w:rPr>
        <w:t>contextualised</w:t>
      </w:r>
      <w:proofErr w:type="spellEnd"/>
      <w:r w:rsidRPr="00F12485">
        <w:rPr>
          <w:sz w:val="22"/>
          <w:szCs w:val="22"/>
          <w:highlight w:val="none"/>
        </w:rPr>
        <w:t xml:space="preserve"> learning in music education, wherein technical exercises are directly connected to musical goals (Lloyd</w:t>
      </w:r>
      <w:r w:rsidR="00111643">
        <w:rPr>
          <w:sz w:val="22"/>
          <w:szCs w:val="22"/>
          <w:highlight w:val="none"/>
        </w:rPr>
        <w:t xml:space="preserve"> .A.T.</w:t>
      </w:r>
      <w:r w:rsidRPr="00F12485">
        <w:rPr>
          <w:sz w:val="22"/>
          <w:szCs w:val="22"/>
          <w:highlight w:val="none"/>
        </w:rPr>
        <w:t xml:space="preserve"> et al., 2020; </w:t>
      </w:r>
      <w:r w:rsidR="00CD168C" w:rsidRPr="00CD168C">
        <w:rPr>
          <w:sz w:val="22"/>
          <w:szCs w:val="22"/>
          <w:highlight w:val="none"/>
        </w:rPr>
        <w:t>Ter, W.S. and Wong, K.Y., 2022</w:t>
      </w:r>
      <w:r w:rsidRPr="00F12485">
        <w:rPr>
          <w:sz w:val="22"/>
          <w:szCs w:val="22"/>
          <w:highlight w:val="none"/>
        </w:rPr>
        <w:t>). Moreover, her recommendation to incorporate warm-ups at various points throughout rehearsals—rather than limiting them to the outset—reflects a nuanced understanding of cognitive and vocal fatigue, as well as the importance of sustained mental focus.</w:t>
      </w:r>
    </w:p>
    <w:p w14:paraId="1989B42A" w14:textId="6D7C619A" w:rsidR="00EF6272" w:rsidRPr="00F12485" w:rsidRDefault="00000000" w:rsidP="00F12485">
      <w:pPr>
        <w:shd w:val="clear" w:color="auto" w:fill="auto"/>
        <w:spacing w:line="360" w:lineRule="auto"/>
        <w:rPr>
          <w:sz w:val="22"/>
          <w:szCs w:val="22"/>
          <w:highlight w:val="none"/>
        </w:rPr>
      </w:pPr>
      <w:proofErr w:type="spellStart"/>
      <w:r w:rsidRPr="00F12485">
        <w:rPr>
          <w:sz w:val="22"/>
          <w:szCs w:val="22"/>
          <w:highlight w:val="none"/>
        </w:rPr>
        <w:t>Apfelstadt</w:t>
      </w:r>
      <w:proofErr w:type="spellEnd"/>
      <w:r w:rsidR="00111643">
        <w:rPr>
          <w:sz w:val="22"/>
          <w:szCs w:val="22"/>
          <w:highlight w:val="none"/>
        </w:rPr>
        <w:t xml:space="preserve"> .H. (2016)</w:t>
      </w:r>
      <w:r w:rsidRPr="00F12485">
        <w:rPr>
          <w:sz w:val="22"/>
          <w:szCs w:val="22"/>
          <w:highlight w:val="none"/>
        </w:rPr>
        <w:t xml:space="preserve"> also stresses the importance of modelling, pacing, and feedback in the delivery of effective warm-ups. She cautions against over-</w:t>
      </w:r>
      <w:proofErr w:type="spellStart"/>
      <w:r w:rsidRPr="00F12485">
        <w:rPr>
          <w:sz w:val="22"/>
          <w:szCs w:val="22"/>
          <w:highlight w:val="none"/>
        </w:rPr>
        <w:t>verbalisation</w:t>
      </w:r>
      <w:proofErr w:type="spellEnd"/>
      <w:r w:rsidRPr="00F12485">
        <w:rPr>
          <w:sz w:val="22"/>
          <w:szCs w:val="22"/>
          <w:highlight w:val="none"/>
        </w:rPr>
        <w:t xml:space="preserve"> and passive repetition, advocating instead for dynamic demonstration and responsive teaching practices. These principles align with constructivist pedagogical theories, where learning is achieved through active engagement and iterative reflection (</w:t>
      </w:r>
      <w:proofErr w:type="spellStart"/>
      <w:r w:rsidRPr="00F12485">
        <w:rPr>
          <w:sz w:val="22"/>
          <w:szCs w:val="22"/>
          <w:highlight w:val="none"/>
        </w:rPr>
        <w:t>Sandage</w:t>
      </w:r>
      <w:proofErr w:type="spellEnd"/>
      <w:r w:rsidR="00111643">
        <w:rPr>
          <w:sz w:val="22"/>
          <w:szCs w:val="22"/>
          <w:highlight w:val="none"/>
        </w:rPr>
        <w:t xml:space="preserve"> .M.</w:t>
      </w:r>
      <w:r w:rsidRPr="00F12485">
        <w:rPr>
          <w:sz w:val="22"/>
          <w:szCs w:val="22"/>
          <w:highlight w:val="none"/>
        </w:rPr>
        <w:t xml:space="preserve"> &amp; Hoch</w:t>
      </w:r>
      <w:r w:rsidR="00111643">
        <w:rPr>
          <w:sz w:val="22"/>
          <w:szCs w:val="22"/>
          <w:highlight w:val="none"/>
        </w:rPr>
        <w:t xml:space="preserve"> .M.</w:t>
      </w:r>
      <w:r w:rsidRPr="00F12485">
        <w:rPr>
          <w:sz w:val="22"/>
          <w:szCs w:val="22"/>
          <w:highlight w:val="none"/>
        </w:rPr>
        <w:t xml:space="preserve">, 2018). Her critique of </w:t>
      </w:r>
      <w:proofErr w:type="spellStart"/>
      <w:r w:rsidRPr="00F12485">
        <w:rPr>
          <w:sz w:val="22"/>
          <w:szCs w:val="22"/>
          <w:highlight w:val="none"/>
        </w:rPr>
        <w:t>ritualised</w:t>
      </w:r>
      <w:proofErr w:type="spellEnd"/>
      <w:r w:rsidRPr="00F12485">
        <w:rPr>
          <w:sz w:val="22"/>
          <w:szCs w:val="22"/>
          <w:highlight w:val="none"/>
        </w:rPr>
        <w:t xml:space="preserve"> and poorly understood warm-up routines raises significant concerns about pedagogical integrity, particularly in settings where musical leadership is inconsistent or under-resourced.</w:t>
      </w:r>
    </w:p>
    <w:p w14:paraId="52D16D86" w14:textId="2303BDC0"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However, </w:t>
      </w:r>
      <w:proofErr w:type="spellStart"/>
      <w:r w:rsidRPr="00F12485">
        <w:rPr>
          <w:sz w:val="22"/>
          <w:szCs w:val="22"/>
          <w:highlight w:val="none"/>
        </w:rPr>
        <w:t>Apfelstadt</w:t>
      </w:r>
      <w:proofErr w:type="spellEnd"/>
      <w:r w:rsidR="00111643">
        <w:rPr>
          <w:sz w:val="22"/>
          <w:szCs w:val="22"/>
          <w:highlight w:val="none"/>
        </w:rPr>
        <w:t xml:space="preserve"> .H. (2016)</w:t>
      </w:r>
      <w:r w:rsidRPr="00F12485">
        <w:rPr>
          <w:sz w:val="22"/>
          <w:szCs w:val="22"/>
          <w:highlight w:val="none"/>
        </w:rPr>
        <w:t>’s article is limited by its lack of empirical validation. While rich in practitioner insight, it does not engage with recent physiological or psychological research on vocal warm-up efficacy. Integrating findings from studies such as Yilmaz</w:t>
      </w:r>
      <w:r w:rsidR="00111643">
        <w:rPr>
          <w:sz w:val="22"/>
          <w:szCs w:val="22"/>
          <w:highlight w:val="none"/>
        </w:rPr>
        <w:t xml:space="preserve"> .C.</w:t>
      </w:r>
      <w:r w:rsidRPr="00F12485">
        <w:rPr>
          <w:sz w:val="22"/>
          <w:szCs w:val="22"/>
          <w:highlight w:val="none"/>
        </w:rPr>
        <w:t xml:space="preserve"> et al. (2025) or </w:t>
      </w:r>
      <w:r w:rsidRPr="00F12485">
        <w:rPr>
          <w:sz w:val="22"/>
          <w:szCs w:val="22"/>
          <w:highlight w:val="none"/>
        </w:rPr>
        <w:lastRenderedPageBreak/>
        <w:t xml:space="preserve">Amir </w:t>
      </w:r>
      <w:r w:rsidR="00111643">
        <w:rPr>
          <w:sz w:val="22"/>
          <w:szCs w:val="22"/>
          <w:highlight w:val="none"/>
        </w:rPr>
        <w:t xml:space="preserve">.O. </w:t>
      </w:r>
      <w:r w:rsidRPr="00F12485">
        <w:rPr>
          <w:sz w:val="22"/>
          <w:szCs w:val="22"/>
          <w:highlight w:val="none"/>
        </w:rPr>
        <w:t xml:space="preserve">et al. (2019) could have lent her arguments additional scientific credibility. Furthermore, the article does not sufficiently address the heterogeneity of vocal needs across age groups, voice types, or health statuses—an omission that limits its </w:t>
      </w:r>
      <w:proofErr w:type="spellStart"/>
      <w:r w:rsidRPr="00F12485">
        <w:rPr>
          <w:sz w:val="22"/>
          <w:szCs w:val="22"/>
          <w:highlight w:val="none"/>
        </w:rPr>
        <w:t>generalisability</w:t>
      </w:r>
      <w:proofErr w:type="spellEnd"/>
      <w:r w:rsidRPr="00F12485">
        <w:rPr>
          <w:sz w:val="22"/>
          <w:szCs w:val="22"/>
          <w:highlight w:val="none"/>
        </w:rPr>
        <w:t xml:space="preserve"> across diverse singing populations.</w:t>
      </w:r>
    </w:p>
    <w:p w14:paraId="47638558" w14:textId="692B2274"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In conclusion, the literature reviewed underscores both the value and the complexity of vocal warm-up practices, particularly in amateur choral settings. </w:t>
      </w:r>
      <w:proofErr w:type="spellStart"/>
      <w:r w:rsidRPr="00F12485">
        <w:rPr>
          <w:sz w:val="22"/>
          <w:szCs w:val="22"/>
          <w:highlight w:val="none"/>
        </w:rPr>
        <w:t>Levett</w:t>
      </w:r>
      <w:proofErr w:type="spellEnd"/>
      <w:r w:rsidRPr="00F12485">
        <w:rPr>
          <w:sz w:val="22"/>
          <w:szCs w:val="22"/>
          <w:highlight w:val="none"/>
        </w:rPr>
        <w:t xml:space="preserve"> </w:t>
      </w:r>
      <w:r w:rsidR="00111643">
        <w:rPr>
          <w:sz w:val="22"/>
          <w:szCs w:val="22"/>
          <w:highlight w:val="none"/>
        </w:rPr>
        <w:t xml:space="preserve">.J. </w:t>
      </w:r>
      <w:r w:rsidRPr="00F12485">
        <w:rPr>
          <w:sz w:val="22"/>
          <w:szCs w:val="22"/>
          <w:highlight w:val="none"/>
        </w:rPr>
        <w:t>and Pring</w:t>
      </w:r>
      <w:r w:rsidR="00111643">
        <w:rPr>
          <w:sz w:val="22"/>
          <w:szCs w:val="22"/>
          <w:highlight w:val="none"/>
        </w:rPr>
        <w:t xml:space="preserve"> .T.</w:t>
      </w:r>
      <w:r w:rsidRPr="00F12485">
        <w:rPr>
          <w:sz w:val="22"/>
          <w:szCs w:val="22"/>
          <w:highlight w:val="none"/>
        </w:rPr>
        <w:t xml:space="preserve"> (2023) offer a data-driven account of the modest but statistically significant benefits of structured warm-ups, while </w:t>
      </w:r>
      <w:proofErr w:type="spellStart"/>
      <w:r w:rsidRPr="00F12485">
        <w:rPr>
          <w:sz w:val="22"/>
          <w:szCs w:val="22"/>
          <w:highlight w:val="none"/>
        </w:rPr>
        <w:t>Apfelstadt</w:t>
      </w:r>
      <w:proofErr w:type="spellEnd"/>
      <w:r w:rsidR="00111643">
        <w:rPr>
          <w:sz w:val="22"/>
          <w:szCs w:val="22"/>
          <w:highlight w:val="none"/>
        </w:rPr>
        <w:t>. H.</w:t>
      </w:r>
      <w:r w:rsidRPr="00F12485">
        <w:rPr>
          <w:sz w:val="22"/>
          <w:szCs w:val="22"/>
          <w:highlight w:val="none"/>
        </w:rPr>
        <w:t xml:space="preserve"> (2016) provides a compelling pedagogical framework rooted in professional practice. Taken together, these perspectives point to the need for further research that integrates empirical assessment with pedagogical innovation. Future investigations should </w:t>
      </w:r>
      <w:proofErr w:type="spellStart"/>
      <w:r w:rsidRPr="00F12485">
        <w:rPr>
          <w:sz w:val="22"/>
          <w:szCs w:val="22"/>
          <w:highlight w:val="none"/>
        </w:rPr>
        <w:t>prioritise</w:t>
      </w:r>
      <w:proofErr w:type="spellEnd"/>
      <w:r w:rsidRPr="00F12485">
        <w:rPr>
          <w:sz w:val="22"/>
          <w:szCs w:val="22"/>
          <w:highlight w:val="none"/>
        </w:rPr>
        <w:t xml:space="preserve"> the development of evidence-based warm-up protocols tailored to amateur contexts, alongside educational initiatives aimed at improving vocal health literacy and promoting access to professional care.</w:t>
      </w:r>
    </w:p>
    <w:p w14:paraId="0BF8B352" w14:textId="188ABC8F" w:rsidR="00EF6272" w:rsidRPr="00190C8B" w:rsidRDefault="00000000" w:rsidP="00F12485">
      <w:pPr>
        <w:shd w:val="clear" w:color="auto" w:fill="auto"/>
        <w:spacing w:line="360" w:lineRule="auto"/>
        <w:rPr>
          <w:b/>
          <w:bCs/>
          <w:sz w:val="22"/>
          <w:szCs w:val="22"/>
          <w:highlight w:val="none"/>
        </w:rPr>
      </w:pPr>
      <w:bookmarkStart w:id="1" w:name="_w2u5fvre7bbj" w:colFirst="0" w:colLast="0"/>
      <w:bookmarkEnd w:id="1"/>
      <w:r w:rsidRPr="00190C8B">
        <w:rPr>
          <w:b/>
          <w:bCs/>
          <w:sz w:val="22"/>
          <w:szCs w:val="22"/>
          <w:highlight w:val="none"/>
        </w:rPr>
        <w:t>Singing, Community Theatre, and Wellbeing</w:t>
      </w:r>
    </w:p>
    <w:p w14:paraId="5F040F94" w14:textId="48709739"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Community singing has been increasingly </w:t>
      </w:r>
      <w:proofErr w:type="spellStart"/>
      <w:r w:rsidRPr="00F12485">
        <w:rPr>
          <w:sz w:val="22"/>
          <w:szCs w:val="22"/>
          <w:highlight w:val="none"/>
        </w:rPr>
        <w:t>recognised</w:t>
      </w:r>
      <w:proofErr w:type="spellEnd"/>
      <w:r w:rsidRPr="00F12485">
        <w:rPr>
          <w:sz w:val="22"/>
          <w:szCs w:val="22"/>
          <w:highlight w:val="none"/>
        </w:rPr>
        <w:t xml:space="preserve"> as a meaningful contributor to emotional wellbeing, social cohesion, and psychological resilience across diverse populations (Camlin</w:t>
      </w:r>
      <w:r w:rsidR="00111643">
        <w:rPr>
          <w:sz w:val="22"/>
          <w:szCs w:val="22"/>
          <w:highlight w:val="none"/>
        </w:rPr>
        <w:t xml:space="preserve"> .D.</w:t>
      </w:r>
      <w:r w:rsidRPr="00F12485">
        <w:rPr>
          <w:sz w:val="22"/>
          <w:szCs w:val="22"/>
          <w:highlight w:val="none"/>
        </w:rPr>
        <w:t>, Daffern</w:t>
      </w:r>
      <w:r w:rsidR="00111643">
        <w:rPr>
          <w:sz w:val="22"/>
          <w:szCs w:val="22"/>
          <w:highlight w:val="none"/>
        </w:rPr>
        <w:t xml:space="preserve"> .H.</w:t>
      </w:r>
      <w:r w:rsidRPr="00F12485">
        <w:rPr>
          <w:sz w:val="22"/>
          <w:szCs w:val="22"/>
          <w:highlight w:val="none"/>
        </w:rPr>
        <w:t xml:space="preserve"> &amp; </w:t>
      </w:r>
      <w:proofErr w:type="spellStart"/>
      <w:r w:rsidRPr="00F12485">
        <w:rPr>
          <w:sz w:val="22"/>
          <w:szCs w:val="22"/>
          <w:highlight w:val="none"/>
        </w:rPr>
        <w:t>Zeserson</w:t>
      </w:r>
      <w:proofErr w:type="spellEnd"/>
      <w:r w:rsidR="00111643">
        <w:rPr>
          <w:sz w:val="22"/>
          <w:szCs w:val="22"/>
          <w:highlight w:val="none"/>
        </w:rPr>
        <w:t xml:space="preserve"> .K.</w:t>
      </w:r>
      <w:r w:rsidRPr="00F12485">
        <w:rPr>
          <w:sz w:val="22"/>
          <w:szCs w:val="22"/>
          <w:highlight w:val="none"/>
        </w:rPr>
        <w:t>, 2020). As a non-clinical, accessible activity, it offers a unique intersection between artistic expression and public health. While much of the literature has focused on the psychosocial benefits of group singing, its implications for vocal health—particularly among amateur singers—warrant closer examination (</w:t>
      </w:r>
      <w:r w:rsidR="00111643">
        <w:rPr>
          <w:sz w:val="22"/>
          <w:szCs w:val="22"/>
          <w:highlight w:val="none"/>
        </w:rPr>
        <w:t xml:space="preserve">Clift .S.M. &amp; </w:t>
      </w:r>
      <w:proofErr w:type="spellStart"/>
      <w:r w:rsidR="00111643">
        <w:rPr>
          <w:sz w:val="22"/>
          <w:szCs w:val="22"/>
          <w:highlight w:val="none"/>
        </w:rPr>
        <w:t>Hancox</w:t>
      </w:r>
      <w:proofErr w:type="spellEnd"/>
      <w:r w:rsidR="00111643">
        <w:rPr>
          <w:sz w:val="22"/>
          <w:szCs w:val="22"/>
          <w:highlight w:val="none"/>
        </w:rPr>
        <w:t xml:space="preserve"> .G. (2010</w:t>
      </w:r>
      <w:r w:rsidRPr="00F12485">
        <w:rPr>
          <w:sz w:val="22"/>
          <w:szCs w:val="22"/>
          <w:highlight w:val="none"/>
        </w:rPr>
        <w:t>). Amateur singers often engage in regular voice use without formal training or awareness of vocal hygiene, placing them at potential risk for vocal strain or dysfunction (</w:t>
      </w:r>
      <w:proofErr w:type="spellStart"/>
      <w:r w:rsidRPr="00F12485">
        <w:rPr>
          <w:sz w:val="22"/>
          <w:szCs w:val="22"/>
          <w:highlight w:val="none"/>
        </w:rPr>
        <w:t>Ravall</w:t>
      </w:r>
      <w:proofErr w:type="spellEnd"/>
      <w:r w:rsidR="00111643">
        <w:rPr>
          <w:sz w:val="22"/>
          <w:szCs w:val="22"/>
          <w:highlight w:val="none"/>
        </w:rPr>
        <w:t xml:space="preserve"> .S.</w:t>
      </w:r>
      <w:r w:rsidRPr="00F12485">
        <w:rPr>
          <w:sz w:val="22"/>
          <w:szCs w:val="22"/>
          <w:highlight w:val="none"/>
        </w:rPr>
        <w:t xml:space="preserve"> &amp; </w:t>
      </w:r>
      <w:proofErr w:type="spellStart"/>
      <w:r w:rsidRPr="00F12485">
        <w:rPr>
          <w:sz w:val="22"/>
          <w:szCs w:val="22"/>
          <w:highlight w:val="none"/>
        </w:rPr>
        <w:t>Simberg</w:t>
      </w:r>
      <w:proofErr w:type="spellEnd"/>
      <w:r w:rsidR="00111643">
        <w:rPr>
          <w:sz w:val="22"/>
          <w:szCs w:val="22"/>
          <w:highlight w:val="none"/>
        </w:rPr>
        <w:t xml:space="preserve"> .S.</w:t>
      </w:r>
      <w:r w:rsidRPr="00F12485">
        <w:rPr>
          <w:sz w:val="22"/>
          <w:szCs w:val="22"/>
          <w:highlight w:val="none"/>
        </w:rPr>
        <w:t>, 2020). Understanding how community singing supports or challenges vocal wellbeing is therefore essential for informing preventative strategies and educational interventions in non-professional settings.</w:t>
      </w:r>
    </w:p>
    <w:p w14:paraId="39D682D9" w14:textId="27072A08"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Moss </w:t>
      </w:r>
      <w:r w:rsidR="00194C96">
        <w:rPr>
          <w:sz w:val="22"/>
          <w:szCs w:val="22"/>
          <w:highlight w:val="none"/>
        </w:rPr>
        <w:t xml:space="preserve">.H. </w:t>
      </w:r>
      <w:r w:rsidRPr="00F12485">
        <w:rPr>
          <w:sz w:val="22"/>
          <w:szCs w:val="22"/>
          <w:highlight w:val="none"/>
        </w:rPr>
        <w:t>et al. (2018) provide large-scale, international evidence of the perceived health benefits of choir singing, drawing on responses from 1,779 choristers. Their mixed-methods study identified positive outcomes across physical, emotional, social, and spiritual domains, with respiratory health and mental wellbeing emerging as key themes. These findings suggest that regular singing may enhance vocal function through improved breath control, posture, and stress reduction—factors known to influence vocal efficiency. However, the study’s reliance on self-selected participants and absence of a control group limits the ability to isolate singing as the causal factor, as broader social engagement may also contribute to the reported benefits.</w:t>
      </w:r>
    </w:p>
    <w:p w14:paraId="75668FC0" w14:textId="73EA1AD6" w:rsidR="00EF6272" w:rsidRPr="00F12485" w:rsidRDefault="00000000" w:rsidP="00F12485">
      <w:pPr>
        <w:shd w:val="clear" w:color="auto" w:fill="auto"/>
        <w:spacing w:line="360" w:lineRule="auto"/>
        <w:rPr>
          <w:sz w:val="22"/>
          <w:szCs w:val="22"/>
          <w:highlight w:val="none"/>
        </w:rPr>
      </w:pPr>
      <w:proofErr w:type="spellStart"/>
      <w:r w:rsidRPr="00F12485">
        <w:rPr>
          <w:sz w:val="22"/>
          <w:szCs w:val="22"/>
          <w:highlight w:val="none"/>
        </w:rPr>
        <w:lastRenderedPageBreak/>
        <w:t>Densley</w:t>
      </w:r>
      <w:proofErr w:type="spellEnd"/>
      <w:r w:rsidR="00194C96">
        <w:rPr>
          <w:sz w:val="22"/>
          <w:szCs w:val="22"/>
          <w:highlight w:val="none"/>
        </w:rPr>
        <w:t xml:space="preserve"> .B.</w:t>
      </w:r>
      <w:r w:rsidRPr="00F12485">
        <w:rPr>
          <w:sz w:val="22"/>
          <w:szCs w:val="22"/>
          <w:highlight w:val="none"/>
        </w:rPr>
        <w:t xml:space="preserve"> and Andrews</w:t>
      </w:r>
      <w:r w:rsidR="00194C96">
        <w:rPr>
          <w:sz w:val="22"/>
          <w:szCs w:val="22"/>
          <w:highlight w:val="none"/>
        </w:rPr>
        <w:t xml:space="preserve"> .K.</w:t>
      </w:r>
      <w:r w:rsidRPr="00F12485">
        <w:rPr>
          <w:sz w:val="22"/>
          <w:szCs w:val="22"/>
          <w:highlight w:val="none"/>
        </w:rPr>
        <w:t xml:space="preserve"> (2021) offer a more intimate, qualitative perspective through their exploration of 68 community choir participants in Australia. Their thematic analysis revealed that participants experienced singing as both emotionally and physically uplifting. These embodied responses point to a sensory experience, where vocal expression is closely tied to bodily awareness and emotional release. The study also </w:t>
      </w:r>
      <w:proofErr w:type="spellStart"/>
      <w:r w:rsidRPr="00F12485">
        <w:rPr>
          <w:sz w:val="22"/>
          <w:szCs w:val="22"/>
          <w:highlight w:val="none"/>
        </w:rPr>
        <w:t>emphasised</w:t>
      </w:r>
      <w:proofErr w:type="spellEnd"/>
      <w:r w:rsidRPr="00F12485">
        <w:rPr>
          <w:sz w:val="22"/>
          <w:szCs w:val="22"/>
          <w:highlight w:val="none"/>
        </w:rPr>
        <w:t xml:space="preserve"> the importance of inclusive, </w:t>
      </w:r>
      <w:proofErr w:type="spellStart"/>
      <w:r w:rsidRPr="00F12485">
        <w:rPr>
          <w:sz w:val="22"/>
          <w:szCs w:val="22"/>
          <w:highlight w:val="none"/>
        </w:rPr>
        <w:t>non-judgemental</w:t>
      </w:r>
      <w:proofErr w:type="spellEnd"/>
      <w:r w:rsidRPr="00F12485">
        <w:rPr>
          <w:sz w:val="22"/>
          <w:szCs w:val="22"/>
          <w:highlight w:val="none"/>
        </w:rPr>
        <w:t xml:space="preserve"> environments in fostering psychological safety—an essential condition for healthy vocal use. Although the sample was small and predominantly female, the findings provide valuable insight into the affective and sensory experiences that may underpin sustainable vocal engagement in amateur contexts.</w:t>
      </w:r>
    </w:p>
    <w:p w14:paraId="7AA5BF8B" w14:textId="1B6A5D26"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Han </w:t>
      </w:r>
      <w:r w:rsidR="002D305B">
        <w:rPr>
          <w:sz w:val="22"/>
          <w:szCs w:val="22"/>
          <w:highlight w:val="none"/>
        </w:rPr>
        <w:t xml:space="preserve">.R. </w:t>
      </w:r>
      <w:r w:rsidRPr="00F12485">
        <w:rPr>
          <w:sz w:val="22"/>
          <w:szCs w:val="22"/>
          <w:highlight w:val="none"/>
        </w:rPr>
        <w:t xml:space="preserve">et al. (2025) contribute methodological </w:t>
      </w:r>
      <w:proofErr w:type="spellStart"/>
      <w:r w:rsidRPr="00F12485">
        <w:rPr>
          <w:sz w:val="22"/>
          <w:szCs w:val="22"/>
          <w:highlight w:val="none"/>
        </w:rPr>
        <w:t>rigour</w:t>
      </w:r>
      <w:proofErr w:type="spellEnd"/>
      <w:r w:rsidRPr="00F12485">
        <w:rPr>
          <w:sz w:val="22"/>
          <w:szCs w:val="22"/>
          <w:highlight w:val="none"/>
        </w:rPr>
        <w:t xml:space="preserve"> through a controlled, mixed-methods design examining the impact of choir participation on international university students. Their findings support the “social cure” framework (Haslam</w:t>
      </w:r>
      <w:r w:rsidR="002D305B">
        <w:rPr>
          <w:sz w:val="22"/>
          <w:szCs w:val="22"/>
          <w:highlight w:val="none"/>
        </w:rPr>
        <w:t xml:space="preserve"> .C.</w:t>
      </w:r>
      <w:r w:rsidRPr="00F12485">
        <w:rPr>
          <w:sz w:val="22"/>
          <w:szCs w:val="22"/>
          <w:highlight w:val="none"/>
        </w:rPr>
        <w:t xml:space="preserve"> et al., 2018), demonstrating that choir involvement significantly enhanced participants’ sense of belonging and psychosocial wellbeing. While the intervention did not significantly reduce loneliness, it did correlate with improvements in mood, self-esteem, and perceived purpose—factors that indirectly support vocal health by reducing stress and encouraging regular, mindful voice use. The study’s focus on a vulnerable population navigating cultural transitions further underscores the role of singing as a </w:t>
      </w:r>
      <w:proofErr w:type="spellStart"/>
      <w:r w:rsidRPr="00F12485">
        <w:rPr>
          <w:sz w:val="22"/>
          <w:szCs w:val="22"/>
          <w:highlight w:val="none"/>
        </w:rPr>
        <w:t>stabilising</w:t>
      </w:r>
      <w:proofErr w:type="spellEnd"/>
      <w:r w:rsidRPr="00F12485">
        <w:rPr>
          <w:sz w:val="22"/>
          <w:szCs w:val="22"/>
          <w:highlight w:val="none"/>
        </w:rPr>
        <w:t xml:space="preserve"> and identity-affirming practice.</w:t>
      </w:r>
    </w:p>
    <w:p w14:paraId="43B22F02"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t>Collectively, these studies underscore the multifaceted benefits of community singing and justify its examination in relation to vocal health. Emotional wellbeing, social connectedness, and embodied awareness—core outcomes of group singing—are not only beneficial in their own right but may also serve as protective factors against vocal fatigue and misuse. This is particularly relevant for amateur singers, who often lack access to formal vocal training yet engage in sustained voice use. Integrating vocal health education into community choir settings, informed by the psychosocial and physiological insights from this literature, could enhance both the wellbeing and vocal longevity of participants.</w:t>
      </w:r>
    </w:p>
    <w:p w14:paraId="25C22EC7" w14:textId="77777777" w:rsidR="00EF6272" w:rsidRPr="00F12485" w:rsidRDefault="00EF6272" w:rsidP="00F12485">
      <w:pPr>
        <w:shd w:val="clear" w:color="auto" w:fill="auto"/>
        <w:spacing w:line="360" w:lineRule="auto"/>
        <w:rPr>
          <w:sz w:val="22"/>
          <w:szCs w:val="22"/>
          <w:highlight w:val="none"/>
        </w:rPr>
      </w:pPr>
    </w:p>
    <w:p w14:paraId="258953F9" w14:textId="01E50FDB" w:rsidR="00EF6272" w:rsidRPr="00190C8B" w:rsidRDefault="00000000" w:rsidP="00F12485">
      <w:pPr>
        <w:shd w:val="clear" w:color="auto" w:fill="auto"/>
        <w:spacing w:line="360" w:lineRule="auto"/>
        <w:rPr>
          <w:b/>
          <w:bCs/>
          <w:sz w:val="22"/>
          <w:szCs w:val="22"/>
          <w:highlight w:val="none"/>
        </w:rPr>
      </w:pPr>
      <w:proofErr w:type="spellStart"/>
      <w:r w:rsidRPr="00190C8B">
        <w:rPr>
          <w:b/>
          <w:bCs/>
          <w:sz w:val="22"/>
          <w:szCs w:val="22"/>
          <w:highlight w:val="none"/>
        </w:rPr>
        <w:t xml:space="preserve">Self </w:t>
      </w:r>
      <w:r w:rsidR="00190C8B" w:rsidRPr="00190C8B">
        <w:rPr>
          <w:b/>
          <w:bCs/>
          <w:sz w:val="22"/>
          <w:szCs w:val="22"/>
          <w:highlight w:val="none"/>
        </w:rPr>
        <w:t>Assessment</w:t>
      </w:r>
      <w:proofErr w:type="spellEnd"/>
      <w:r w:rsidRPr="00190C8B">
        <w:rPr>
          <w:b/>
          <w:bCs/>
          <w:sz w:val="22"/>
          <w:szCs w:val="22"/>
          <w:highlight w:val="none"/>
        </w:rPr>
        <w:t xml:space="preserve"> Tools </w:t>
      </w:r>
    </w:p>
    <w:p w14:paraId="71357FF0" w14:textId="1B12875A"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Two studies—Leiper </w:t>
      </w:r>
      <w:r w:rsidR="002D305B">
        <w:rPr>
          <w:sz w:val="22"/>
          <w:szCs w:val="22"/>
          <w:highlight w:val="none"/>
        </w:rPr>
        <w:t xml:space="preserve">.T. </w:t>
      </w:r>
      <w:r w:rsidRPr="00F12485">
        <w:rPr>
          <w:sz w:val="22"/>
          <w:szCs w:val="22"/>
          <w:highlight w:val="none"/>
        </w:rPr>
        <w:t>(2024) and Rosa</w:t>
      </w:r>
      <w:r w:rsidR="002D305B">
        <w:rPr>
          <w:sz w:val="22"/>
          <w:szCs w:val="22"/>
          <w:highlight w:val="none"/>
        </w:rPr>
        <w:t xml:space="preserve"> .M.</w:t>
      </w:r>
      <w:r w:rsidRPr="00F12485">
        <w:rPr>
          <w:sz w:val="22"/>
          <w:szCs w:val="22"/>
          <w:highlight w:val="none"/>
        </w:rPr>
        <w:t xml:space="preserve"> &amp; </w:t>
      </w:r>
      <w:proofErr w:type="spellStart"/>
      <w:r w:rsidRPr="00F12485">
        <w:rPr>
          <w:sz w:val="22"/>
          <w:szCs w:val="22"/>
          <w:highlight w:val="none"/>
        </w:rPr>
        <w:t>Behlau</w:t>
      </w:r>
      <w:proofErr w:type="spellEnd"/>
      <w:r w:rsidR="002D305B">
        <w:rPr>
          <w:sz w:val="22"/>
          <w:szCs w:val="22"/>
          <w:highlight w:val="none"/>
        </w:rPr>
        <w:t xml:space="preserve"> .M.</w:t>
      </w:r>
      <w:r w:rsidRPr="00F12485">
        <w:rPr>
          <w:sz w:val="22"/>
          <w:szCs w:val="22"/>
          <w:highlight w:val="none"/>
        </w:rPr>
        <w:t xml:space="preserve"> (2017)—offer critical insights into how assessment tools can be used to identify, monitor, and mitigate vocal health risks in this population. These studies employ distinct yet complementary methodologies, highlighting the evolving role of self-assessment and standardized screening tools in vocal health research.</w:t>
      </w:r>
    </w:p>
    <w:p w14:paraId="2C7A19B8" w14:textId="77EC2DBC" w:rsidR="00EF6272" w:rsidRPr="00F12485" w:rsidRDefault="00000000" w:rsidP="00F12485">
      <w:pPr>
        <w:shd w:val="clear" w:color="auto" w:fill="auto"/>
        <w:spacing w:line="360" w:lineRule="auto"/>
        <w:rPr>
          <w:sz w:val="22"/>
          <w:szCs w:val="22"/>
          <w:highlight w:val="none"/>
        </w:rPr>
      </w:pPr>
      <w:r w:rsidRPr="00F12485">
        <w:rPr>
          <w:sz w:val="22"/>
          <w:szCs w:val="22"/>
          <w:highlight w:val="none"/>
        </w:rPr>
        <w:lastRenderedPageBreak/>
        <w:t>Rosa</w:t>
      </w:r>
      <w:r w:rsidR="002D305B">
        <w:rPr>
          <w:sz w:val="22"/>
          <w:szCs w:val="22"/>
          <w:highlight w:val="none"/>
        </w:rPr>
        <w:t xml:space="preserve"> .M. &amp;</w:t>
      </w:r>
      <w:r w:rsidRPr="00F12485">
        <w:rPr>
          <w:sz w:val="22"/>
          <w:szCs w:val="22"/>
          <w:highlight w:val="none"/>
        </w:rPr>
        <w:t xml:space="preserve"> </w:t>
      </w:r>
      <w:proofErr w:type="spellStart"/>
      <w:r w:rsidRPr="00F12485">
        <w:rPr>
          <w:sz w:val="22"/>
          <w:szCs w:val="22"/>
          <w:highlight w:val="none"/>
        </w:rPr>
        <w:t>Behlau</w:t>
      </w:r>
      <w:r w:rsidR="002D305B">
        <w:rPr>
          <w:sz w:val="22"/>
          <w:szCs w:val="22"/>
          <w:highlight w:val="none"/>
        </w:rPr>
        <w:t>.M</w:t>
      </w:r>
      <w:proofErr w:type="spellEnd"/>
      <w:r w:rsidR="002D305B">
        <w:rPr>
          <w:sz w:val="22"/>
          <w:szCs w:val="22"/>
          <w:highlight w:val="none"/>
        </w:rPr>
        <w:t>.</w:t>
      </w:r>
      <w:r w:rsidRPr="00F12485">
        <w:rPr>
          <w:sz w:val="22"/>
          <w:szCs w:val="22"/>
          <w:highlight w:val="none"/>
        </w:rPr>
        <w:t xml:space="preserve"> (2017)</w:t>
      </w:r>
      <w:r w:rsidR="002D305B">
        <w:rPr>
          <w:sz w:val="22"/>
          <w:szCs w:val="22"/>
          <w:highlight w:val="none"/>
        </w:rPr>
        <w:t>’s</w:t>
      </w:r>
      <w:r w:rsidRPr="00F12485">
        <w:rPr>
          <w:sz w:val="22"/>
          <w:szCs w:val="22"/>
          <w:highlight w:val="none"/>
        </w:rPr>
        <w:t xml:space="preserve"> cross-sectional study of 526 amateur choristers in São Paulo represents one of the most comprehensive efforts to map vocal risk in this population. The researchers employed three validated instruments:</w:t>
      </w:r>
    </w:p>
    <w:p w14:paraId="63396150"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t>Voice Symptom Scale (</w:t>
      </w:r>
      <w:proofErr w:type="spellStart"/>
      <w:r w:rsidRPr="00F12485">
        <w:rPr>
          <w:sz w:val="22"/>
          <w:szCs w:val="22"/>
          <w:highlight w:val="none"/>
        </w:rPr>
        <w:t>VoiSS</w:t>
      </w:r>
      <w:proofErr w:type="spellEnd"/>
      <w:r w:rsidRPr="00F12485">
        <w:rPr>
          <w:sz w:val="22"/>
          <w:szCs w:val="22"/>
          <w:highlight w:val="none"/>
        </w:rPr>
        <w:t>): A 30-item self-assessment tool measuring physical, emotional, and functional symptoms of dysphonia.</w:t>
      </w:r>
    </w:p>
    <w:p w14:paraId="2B57201E"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t>Modern Singing Handicap Index (MSHI): A singing-specific adaptation of the Voice Handicap Index, assessing perceived vocal limitations across impairment, disability, and handicap domains.</w:t>
      </w:r>
    </w:p>
    <w:p w14:paraId="4877E182"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t>Generalized Anxiety Disorder 7-item scale (GAD-7): A psychological screening tool to assess the potential influence of anxiety on vocal performance.</w:t>
      </w:r>
    </w:p>
    <w:p w14:paraId="3A13246C"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The study found that over half of the participants (51.5%) scored above the </w:t>
      </w:r>
      <w:proofErr w:type="spellStart"/>
      <w:r w:rsidRPr="00F12485">
        <w:rPr>
          <w:sz w:val="22"/>
          <w:szCs w:val="22"/>
          <w:highlight w:val="none"/>
        </w:rPr>
        <w:t>VoiSS</w:t>
      </w:r>
      <w:proofErr w:type="spellEnd"/>
      <w:r w:rsidRPr="00F12485">
        <w:rPr>
          <w:sz w:val="22"/>
          <w:szCs w:val="22"/>
          <w:highlight w:val="none"/>
        </w:rPr>
        <w:t xml:space="preserve"> threshold for vocal risk, with significant correlations between vocal symptoms, perceived handicap, and mild anxiety. Notably, the MSHI revealed that even among singers who did not report overt vocal complaints, many experienced functional limitations that could compromise vocal efficiency. These findings underscore the utility of standardized tools in identifying subclinical vocal issues and guiding referrals for professional intervention.</w:t>
      </w:r>
    </w:p>
    <w:p w14:paraId="0B69282B"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The impact of these tools lies in their ability to quantify subjective experiences of vocal strain and to stratify risk across large populations. By integrating physical, emotional, and functional dimensions, the </w:t>
      </w:r>
      <w:proofErr w:type="spellStart"/>
      <w:r w:rsidRPr="00F12485">
        <w:rPr>
          <w:sz w:val="22"/>
          <w:szCs w:val="22"/>
          <w:highlight w:val="none"/>
        </w:rPr>
        <w:t>VoiSS</w:t>
      </w:r>
      <w:proofErr w:type="spellEnd"/>
      <w:r w:rsidRPr="00F12485">
        <w:rPr>
          <w:sz w:val="22"/>
          <w:szCs w:val="22"/>
          <w:highlight w:val="none"/>
        </w:rPr>
        <w:t xml:space="preserve"> and MSHI provide a holistic view of vocal health, enabling researchers and choir leaders to identify at-risk individuals who may otherwise go unnoticed.</w:t>
      </w:r>
    </w:p>
    <w:p w14:paraId="5C36A06F" w14:textId="543B2F2F"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In contrast to the diagnostic orientation of Rosa </w:t>
      </w:r>
      <w:r w:rsidR="002D305B">
        <w:rPr>
          <w:sz w:val="22"/>
          <w:szCs w:val="22"/>
          <w:highlight w:val="none"/>
        </w:rPr>
        <w:t xml:space="preserve">.M. </w:t>
      </w:r>
      <w:r w:rsidRPr="00F12485">
        <w:rPr>
          <w:sz w:val="22"/>
          <w:szCs w:val="22"/>
          <w:highlight w:val="none"/>
        </w:rPr>
        <w:t xml:space="preserve">and </w:t>
      </w:r>
      <w:proofErr w:type="spellStart"/>
      <w:r w:rsidRPr="00F12485">
        <w:rPr>
          <w:sz w:val="22"/>
          <w:szCs w:val="22"/>
          <w:highlight w:val="none"/>
        </w:rPr>
        <w:t>Behlau</w:t>
      </w:r>
      <w:r w:rsidR="002D305B">
        <w:rPr>
          <w:sz w:val="22"/>
          <w:szCs w:val="22"/>
          <w:highlight w:val="none"/>
        </w:rPr>
        <w:t>.M</w:t>
      </w:r>
      <w:proofErr w:type="spellEnd"/>
      <w:r w:rsidR="002D305B">
        <w:rPr>
          <w:sz w:val="22"/>
          <w:szCs w:val="22"/>
          <w:highlight w:val="none"/>
        </w:rPr>
        <w:t>. (2017)</w:t>
      </w:r>
      <w:r w:rsidRPr="00F12485">
        <w:rPr>
          <w:sz w:val="22"/>
          <w:szCs w:val="22"/>
          <w:highlight w:val="none"/>
        </w:rPr>
        <w:t xml:space="preserve">’s study, </w:t>
      </w:r>
      <w:proofErr w:type="spellStart"/>
      <w:r w:rsidRPr="00F12485">
        <w:rPr>
          <w:sz w:val="22"/>
          <w:szCs w:val="22"/>
          <w:highlight w:val="none"/>
        </w:rPr>
        <w:t>Leiper</w:t>
      </w:r>
      <w:r w:rsidR="002D305B">
        <w:rPr>
          <w:sz w:val="22"/>
          <w:szCs w:val="22"/>
          <w:highlight w:val="none"/>
        </w:rPr>
        <w:t>.T</w:t>
      </w:r>
      <w:proofErr w:type="spellEnd"/>
      <w:r w:rsidR="002D305B">
        <w:rPr>
          <w:sz w:val="22"/>
          <w:szCs w:val="22"/>
          <w:highlight w:val="none"/>
        </w:rPr>
        <w:t>.</w:t>
      </w:r>
      <w:r w:rsidRPr="00F12485">
        <w:rPr>
          <w:sz w:val="22"/>
          <w:szCs w:val="22"/>
          <w:highlight w:val="none"/>
        </w:rPr>
        <w:t xml:space="preserve"> (2024) adopts a pedagogical and developmental approach, focusing on the role of self-assessment in promoting vocal health awareness. Her qualitative study involved 18 amateur choir singers who tried a multi-sensory self-assessment (SA) protocol over three weeks. The protocol encouraged singers to monitor their vocal behaviors using visual (mirror), auditory (recordings), and kinesthetic (bodily sensations) feedback.</w:t>
      </w:r>
    </w:p>
    <w:p w14:paraId="36B59F9C" w14:textId="4DBC9787" w:rsidR="00EF6272" w:rsidRPr="00F12485" w:rsidRDefault="00000000" w:rsidP="00F12485">
      <w:pPr>
        <w:shd w:val="clear" w:color="auto" w:fill="auto"/>
        <w:spacing w:line="360" w:lineRule="auto"/>
        <w:rPr>
          <w:sz w:val="22"/>
          <w:szCs w:val="22"/>
          <w:highlight w:val="none"/>
        </w:rPr>
      </w:pPr>
      <w:r w:rsidRPr="00F12485">
        <w:rPr>
          <w:sz w:val="22"/>
          <w:szCs w:val="22"/>
          <w:highlight w:val="none"/>
        </w:rPr>
        <w:t>The SA protocol was informed by prior research on motor learning and embodied cognition and was designed to help singers identify habitual behaviors associated with healthy or unhealthy voice use. Pre- and post-trial questionnaires, along with follow-up interviews, revealed significant increases in participants’ awareness of vocal habits, particularly among those not receiving formal voice training. Participants reported changes in mental attitude, increased attentiveness during practice, and the adoption of healthier vocal behaviors.</w:t>
      </w:r>
    </w:p>
    <w:p w14:paraId="70B902FA"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lastRenderedPageBreak/>
        <w:t>Leiper’s study demonstrates the transformative potential of self-assessment tools in fostering self-regulation and independent learning. Unlike standardized screening instruments, which are primarily diagnostic, the SA protocol functions as an educational intervention, empowering singers to take ownership of their vocal health. The multi-sensory design also addresses the limitations of purely auditory or visual feedback by integrating kinesthetic awareness, which is often underdeveloped in amateur singers.</w:t>
      </w:r>
    </w:p>
    <w:p w14:paraId="04B432D3" w14:textId="5DD986DB"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Together, these studies illustrate the diverse applications and impacts of assessment tools in the study of vocal health. Rosa </w:t>
      </w:r>
      <w:r w:rsidR="002D305B">
        <w:rPr>
          <w:sz w:val="22"/>
          <w:szCs w:val="22"/>
          <w:highlight w:val="none"/>
        </w:rPr>
        <w:t>.M. &amp;</w:t>
      </w:r>
      <w:r w:rsidRPr="00F12485">
        <w:rPr>
          <w:sz w:val="22"/>
          <w:szCs w:val="22"/>
          <w:highlight w:val="none"/>
        </w:rPr>
        <w:t xml:space="preserve"> </w:t>
      </w:r>
      <w:proofErr w:type="spellStart"/>
      <w:r w:rsidRPr="00F12485">
        <w:rPr>
          <w:sz w:val="22"/>
          <w:szCs w:val="22"/>
          <w:highlight w:val="none"/>
        </w:rPr>
        <w:t>Behlau</w:t>
      </w:r>
      <w:proofErr w:type="spellEnd"/>
      <w:r w:rsidR="002D305B">
        <w:rPr>
          <w:sz w:val="22"/>
          <w:szCs w:val="22"/>
          <w:highlight w:val="none"/>
        </w:rPr>
        <w:t xml:space="preserve"> .M.</w:t>
      </w:r>
      <w:r w:rsidRPr="00F12485">
        <w:rPr>
          <w:sz w:val="22"/>
          <w:szCs w:val="22"/>
          <w:highlight w:val="none"/>
        </w:rPr>
        <w:t xml:space="preserve"> (2017) emphasize the epidemiological and clinical utility of standardized questionnaires, while Leiper</w:t>
      </w:r>
      <w:r w:rsidR="002D305B">
        <w:rPr>
          <w:sz w:val="22"/>
          <w:szCs w:val="22"/>
          <w:highlight w:val="none"/>
        </w:rPr>
        <w:t xml:space="preserve"> .T.</w:t>
      </w:r>
      <w:r w:rsidRPr="00F12485">
        <w:rPr>
          <w:sz w:val="22"/>
          <w:szCs w:val="22"/>
          <w:highlight w:val="none"/>
        </w:rPr>
        <w:t xml:space="preserve"> (2024) highlights the pedagogical value of experiential, self-directed assessment. Both approaches contribute to a more nuanced understanding of vocal health in amateur choirs, and both advocate for increased education and support for this under-researched population.</w:t>
      </w:r>
    </w:p>
    <w:p w14:paraId="100E81D3" w14:textId="0D7E7C9B"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Importantly, both studies reveal that many amateur singers lack the tools and knowledge to monitor their vocal health effectively. </w:t>
      </w:r>
      <w:r w:rsidR="002D305B" w:rsidRPr="00F12485">
        <w:rPr>
          <w:sz w:val="22"/>
          <w:szCs w:val="22"/>
          <w:highlight w:val="none"/>
        </w:rPr>
        <w:t xml:space="preserve">Rosa </w:t>
      </w:r>
      <w:r w:rsidR="002D305B">
        <w:rPr>
          <w:sz w:val="22"/>
          <w:szCs w:val="22"/>
          <w:highlight w:val="none"/>
        </w:rPr>
        <w:t>.M. &amp;</w:t>
      </w:r>
      <w:r w:rsidR="002D305B" w:rsidRPr="00F12485">
        <w:rPr>
          <w:sz w:val="22"/>
          <w:szCs w:val="22"/>
          <w:highlight w:val="none"/>
        </w:rPr>
        <w:t xml:space="preserve"> </w:t>
      </w:r>
      <w:proofErr w:type="spellStart"/>
      <w:r w:rsidR="002D305B" w:rsidRPr="00F12485">
        <w:rPr>
          <w:sz w:val="22"/>
          <w:szCs w:val="22"/>
          <w:highlight w:val="none"/>
        </w:rPr>
        <w:t>Behlau</w:t>
      </w:r>
      <w:proofErr w:type="spellEnd"/>
      <w:r w:rsidR="002D305B">
        <w:rPr>
          <w:sz w:val="22"/>
          <w:szCs w:val="22"/>
          <w:highlight w:val="none"/>
        </w:rPr>
        <w:t xml:space="preserve"> .M.</w:t>
      </w:r>
      <w:r w:rsidR="002D305B" w:rsidRPr="00F12485">
        <w:rPr>
          <w:sz w:val="22"/>
          <w:szCs w:val="22"/>
          <w:highlight w:val="none"/>
        </w:rPr>
        <w:t xml:space="preserve"> (2017) </w:t>
      </w:r>
      <w:r w:rsidRPr="00F12485">
        <w:rPr>
          <w:sz w:val="22"/>
          <w:szCs w:val="22"/>
          <w:highlight w:val="none"/>
        </w:rPr>
        <w:t xml:space="preserve">found that a significant proportion of choristers had never received voice training or consulted a specialist, despite reporting symptoms of vocal strain. </w:t>
      </w:r>
      <w:r w:rsidR="002D305B" w:rsidRPr="00F12485">
        <w:rPr>
          <w:sz w:val="22"/>
          <w:szCs w:val="22"/>
          <w:highlight w:val="none"/>
        </w:rPr>
        <w:t>Leiper</w:t>
      </w:r>
      <w:r w:rsidR="002D305B">
        <w:rPr>
          <w:sz w:val="22"/>
          <w:szCs w:val="22"/>
          <w:highlight w:val="none"/>
        </w:rPr>
        <w:t xml:space="preserve"> .T.</w:t>
      </w:r>
      <w:r w:rsidR="002D305B" w:rsidRPr="00F12485">
        <w:rPr>
          <w:sz w:val="22"/>
          <w:szCs w:val="22"/>
          <w:highlight w:val="none"/>
        </w:rPr>
        <w:t xml:space="preserve"> (2024)</w:t>
      </w:r>
      <w:r w:rsidRPr="00F12485">
        <w:rPr>
          <w:sz w:val="22"/>
          <w:szCs w:val="22"/>
          <w:highlight w:val="none"/>
        </w:rPr>
        <w:t xml:space="preserve"> similarly observed that participants often lacked awareness of how to practice effectively or monitor their own vocal behaviors. These findings suggest a critical need for accessible, evidence-based assessment tools that can be integrated into community choir settings. </w:t>
      </w:r>
    </w:p>
    <w:p w14:paraId="179745D6"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Assessment tools play a pivotal role in advancing the study of vocal health among amateur choir singers. Standardized instruments such as the </w:t>
      </w:r>
      <w:proofErr w:type="spellStart"/>
      <w:r w:rsidRPr="00F12485">
        <w:rPr>
          <w:sz w:val="22"/>
          <w:szCs w:val="22"/>
          <w:highlight w:val="none"/>
        </w:rPr>
        <w:t>VoiSS</w:t>
      </w:r>
      <w:proofErr w:type="spellEnd"/>
      <w:r w:rsidRPr="00F12485">
        <w:rPr>
          <w:sz w:val="22"/>
          <w:szCs w:val="22"/>
          <w:highlight w:val="none"/>
        </w:rPr>
        <w:t xml:space="preserve"> and MSHI enable large-scale risk profiling and early detection of vocal dysfunction, while self-assessment protocols foster individual awareness and behavioral change. Future research should explore how these tools can be combined and adapted for diverse choral contexts, and how choir leaders can be trained to implement them effectively. As both studies affirm, empowering amateur singers with the means to assess and care for their voices is essential to sustaining the health and vitality of community singing</w:t>
      </w:r>
    </w:p>
    <w:p w14:paraId="215ECF7A" w14:textId="77777777" w:rsidR="00EF6272" w:rsidRPr="00F12485" w:rsidRDefault="00EF6272" w:rsidP="00F12485">
      <w:pPr>
        <w:shd w:val="clear" w:color="auto" w:fill="auto"/>
        <w:spacing w:line="360" w:lineRule="auto"/>
        <w:rPr>
          <w:sz w:val="22"/>
          <w:szCs w:val="22"/>
          <w:highlight w:val="none"/>
        </w:rPr>
      </w:pPr>
    </w:p>
    <w:p w14:paraId="5E10FB0F" w14:textId="40A1649D" w:rsidR="00190C8B" w:rsidRPr="00190C8B" w:rsidRDefault="00190C8B" w:rsidP="00F12485">
      <w:pPr>
        <w:shd w:val="clear" w:color="auto" w:fill="auto"/>
        <w:spacing w:line="360" w:lineRule="auto"/>
        <w:rPr>
          <w:b/>
          <w:bCs/>
          <w:sz w:val="22"/>
          <w:szCs w:val="22"/>
          <w:highlight w:val="none"/>
        </w:rPr>
      </w:pPr>
      <w:r w:rsidRPr="00190C8B">
        <w:rPr>
          <w:b/>
          <w:bCs/>
          <w:sz w:val="22"/>
          <w:szCs w:val="22"/>
          <w:highlight w:val="none"/>
        </w:rPr>
        <w:t>Summary</w:t>
      </w:r>
    </w:p>
    <w:p w14:paraId="3478DCAF" w14:textId="1B4FFE30"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The reviewed literature collectively highlights a consistent pattern of limited vocal health awareness and inconsistent preventative practices among amateur singers. Studies by </w:t>
      </w:r>
      <w:proofErr w:type="spellStart"/>
      <w:r w:rsidR="002D305B" w:rsidRPr="00F12485">
        <w:rPr>
          <w:sz w:val="22"/>
          <w:szCs w:val="22"/>
          <w:highlight w:val="none"/>
        </w:rPr>
        <w:t>Levett</w:t>
      </w:r>
      <w:proofErr w:type="spellEnd"/>
      <w:r w:rsidR="002D305B">
        <w:rPr>
          <w:sz w:val="22"/>
          <w:szCs w:val="22"/>
          <w:highlight w:val="none"/>
        </w:rPr>
        <w:t xml:space="preserve"> .J.</w:t>
      </w:r>
      <w:r w:rsidR="002D305B" w:rsidRPr="00F12485">
        <w:rPr>
          <w:sz w:val="22"/>
          <w:szCs w:val="22"/>
          <w:highlight w:val="none"/>
        </w:rPr>
        <w:t xml:space="preserve"> and Pring</w:t>
      </w:r>
      <w:r w:rsidR="002D305B">
        <w:rPr>
          <w:sz w:val="22"/>
          <w:szCs w:val="22"/>
          <w:highlight w:val="none"/>
        </w:rPr>
        <w:t xml:space="preserve"> .T.</w:t>
      </w:r>
      <w:r w:rsidR="002D305B" w:rsidRPr="00F12485">
        <w:rPr>
          <w:sz w:val="22"/>
          <w:szCs w:val="22"/>
          <w:highlight w:val="none"/>
        </w:rPr>
        <w:t xml:space="preserve"> (2023</w:t>
      </w:r>
      <w:r w:rsidR="002D305B">
        <w:rPr>
          <w:sz w:val="22"/>
          <w:szCs w:val="22"/>
          <w:highlight w:val="none"/>
        </w:rPr>
        <w:t>)</w:t>
      </w:r>
      <w:r w:rsidRPr="00F12485">
        <w:rPr>
          <w:sz w:val="22"/>
          <w:szCs w:val="22"/>
          <w:highlight w:val="none"/>
        </w:rPr>
        <w:t>, Sharma</w:t>
      </w:r>
      <w:r w:rsidR="002D305B">
        <w:rPr>
          <w:sz w:val="22"/>
          <w:szCs w:val="22"/>
          <w:highlight w:val="none"/>
        </w:rPr>
        <w:t xml:space="preserve"> .V.</w:t>
      </w:r>
      <w:r w:rsidRPr="00F12485">
        <w:rPr>
          <w:sz w:val="22"/>
          <w:szCs w:val="22"/>
          <w:highlight w:val="none"/>
        </w:rPr>
        <w:t xml:space="preserve"> et al. (2021), and </w:t>
      </w:r>
      <w:r w:rsidR="002D305B" w:rsidRPr="00F12485">
        <w:rPr>
          <w:sz w:val="22"/>
          <w:szCs w:val="22"/>
          <w:highlight w:val="none"/>
        </w:rPr>
        <w:t xml:space="preserve">Rosa </w:t>
      </w:r>
      <w:r w:rsidR="002D305B">
        <w:rPr>
          <w:sz w:val="22"/>
          <w:szCs w:val="22"/>
          <w:highlight w:val="none"/>
        </w:rPr>
        <w:t>.M. &amp;</w:t>
      </w:r>
      <w:r w:rsidR="002D305B" w:rsidRPr="00F12485">
        <w:rPr>
          <w:sz w:val="22"/>
          <w:szCs w:val="22"/>
          <w:highlight w:val="none"/>
        </w:rPr>
        <w:t xml:space="preserve"> </w:t>
      </w:r>
      <w:proofErr w:type="spellStart"/>
      <w:r w:rsidR="002D305B" w:rsidRPr="00F12485">
        <w:rPr>
          <w:sz w:val="22"/>
          <w:szCs w:val="22"/>
          <w:highlight w:val="none"/>
        </w:rPr>
        <w:t>Behlau</w:t>
      </w:r>
      <w:proofErr w:type="spellEnd"/>
      <w:r w:rsidR="002D305B">
        <w:rPr>
          <w:sz w:val="22"/>
          <w:szCs w:val="22"/>
          <w:highlight w:val="none"/>
        </w:rPr>
        <w:t xml:space="preserve"> .M.</w:t>
      </w:r>
      <w:r w:rsidR="002D305B" w:rsidRPr="00F12485">
        <w:rPr>
          <w:sz w:val="22"/>
          <w:szCs w:val="22"/>
          <w:highlight w:val="none"/>
        </w:rPr>
        <w:t xml:space="preserve"> (2017</w:t>
      </w:r>
      <w:r w:rsidRPr="00F12485">
        <w:rPr>
          <w:sz w:val="22"/>
          <w:szCs w:val="22"/>
          <w:highlight w:val="none"/>
        </w:rPr>
        <w:t xml:space="preserve">) converge </w:t>
      </w:r>
      <w:r w:rsidRPr="00F12485">
        <w:rPr>
          <w:sz w:val="22"/>
          <w:szCs w:val="22"/>
          <w:highlight w:val="none"/>
        </w:rPr>
        <w:lastRenderedPageBreak/>
        <w:t xml:space="preserve">on the finding that amateur singers often lack access to structured vocal health education and professional support. This is compounded by the </w:t>
      </w:r>
      <w:proofErr w:type="spellStart"/>
      <w:r w:rsidRPr="00F12485">
        <w:rPr>
          <w:sz w:val="22"/>
          <w:szCs w:val="22"/>
          <w:highlight w:val="none"/>
        </w:rPr>
        <w:t>underutilisation</w:t>
      </w:r>
      <w:proofErr w:type="spellEnd"/>
      <w:r w:rsidRPr="00F12485">
        <w:rPr>
          <w:sz w:val="22"/>
          <w:szCs w:val="22"/>
          <w:highlight w:val="none"/>
        </w:rPr>
        <w:t xml:space="preserve"> of specialist services, with only 15.8% of </w:t>
      </w:r>
      <w:proofErr w:type="spellStart"/>
      <w:r w:rsidR="002D305B" w:rsidRPr="00F12485">
        <w:rPr>
          <w:sz w:val="22"/>
          <w:szCs w:val="22"/>
          <w:highlight w:val="none"/>
        </w:rPr>
        <w:t>Levett</w:t>
      </w:r>
      <w:proofErr w:type="spellEnd"/>
      <w:r w:rsidR="002D305B">
        <w:rPr>
          <w:sz w:val="22"/>
          <w:szCs w:val="22"/>
          <w:highlight w:val="none"/>
        </w:rPr>
        <w:t xml:space="preserve"> .J.</w:t>
      </w:r>
      <w:r w:rsidR="002D305B" w:rsidRPr="00F12485">
        <w:rPr>
          <w:sz w:val="22"/>
          <w:szCs w:val="22"/>
          <w:highlight w:val="none"/>
        </w:rPr>
        <w:t xml:space="preserve"> and Pring</w:t>
      </w:r>
      <w:r w:rsidR="002D305B">
        <w:rPr>
          <w:sz w:val="22"/>
          <w:szCs w:val="22"/>
          <w:highlight w:val="none"/>
        </w:rPr>
        <w:t xml:space="preserve"> .T.</w:t>
      </w:r>
      <w:r w:rsidR="002D305B" w:rsidRPr="00F12485">
        <w:rPr>
          <w:sz w:val="22"/>
          <w:szCs w:val="22"/>
          <w:highlight w:val="none"/>
        </w:rPr>
        <w:t xml:space="preserve"> (2023</w:t>
      </w:r>
      <w:r w:rsidR="002D305B">
        <w:rPr>
          <w:sz w:val="22"/>
          <w:szCs w:val="22"/>
          <w:highlight w:val="none"/>
        </w:rPr>
        <w:t>)</w:t>
      </w:r>
      <w:r w:rsidRPr="00F12485">
        <w:rPr>
          <w:sz w:val="22"/>
          <w:szCs w:val="22"/>
          <w:highlight w:val="none"/>
        </w:rPr>
        <w:t>’s participants seeking professional help—significantly lower than in comparable studies (</w:t>
      </w:r>
      <w:proofErr w:type="spellStart"/>
      <w:r w:rsidRPr="00F12485">
        <w:rPr>
          <w:sz w:val="22"/>
          <w:szCs w:val="22"/>
          <w:highlight w:val="none"/>
        </w:rPr>
        <w:t>Pestana</w:t>
      </w:r>
      <w:proofErr w:type="spellEnd"/>
      <w:r w:rsidR="002D305B">
        <w:rPr>
          <w:sz w:val="22"/>
          <w:szCs w:val="22"/>
          <w:highlight w:val="none"/>
        </w:rPr>
        <w:t xml:space="preserve"> .P.M.</w:t>
      </w:r>
      <w:r w:rsidRPr="00F12485">
        <w:rPr>
          <w:sz w:val="22"/>
          <w:szCs w:val="22"/>
          <w:highlight w:val="none"/>
        </w:rPr>
        <w:t xml:space="preserve"> et al., 2017). These findings suggest systemic barriers to care and a need for more accessible, community-based interventions.</w:t>
      </w:r>
    </w:p>
    <w:p w14:paraId="1BB6F873" w14:textId="6964358E"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A key strength of these studies lies in their large sample sizes and practical focus on warm-up routines and help-seeking </w:t>
      </w:r>
      <w:proofErr w:type="spellStart"/>
      <w:r w:rsidRPr="00F12485">
        <w:rPr>
          <w:sz w:val="22"/>
          <w:szCs w:val="22"/>
          <w:highlight w:val="none"/>
        </w:rPr>
        <w:t>behaviours</w:t>
      </w:r>
      <w:proofErr w:type="spellEnd"/>
      <w:r w:rsidRPr="00F12485">
        <w:rPr>
          <w:sz w:val="22"/>
          <w:szCs w:val="22"/>
          <w:highlight w:val="none"/>
        </w:rPr>
        <w:t>. However, the reliance on self-reported data introduces potential bias, particularly in the absence of objective clinical validation. For instance, Baird</w:t>
      </w:r>
      <w:r w:rsidR="002D305B">
        <w:rPr>
          <w:sz w:val="22"/>
          <w:szCs w:val="22"/>
          <w:highlight w:val="none"/>
        </w:rPr>
        <w:t xml:space="preserve"> .B.J.</w:t>
      </w:r>
      <w:r w:rsidRPr="00F12485">
        <w:rPr>
          <w:sz w:val="22"/>
          <w:szCs w:val="22"/>
          <w:highlight w:val="none"/>
        </w:rPr>
        <w:t xml:space="preserve"> et al. (2020) found no significant difference in vocal health outcomes between trained and untrained collegiate a cappella singers, despite high rates of self-reported vocal difficulties. This disconnect between subjective experience and clinical evidence underscores the complexity of vocal health assessment and the need for more nuanced, multi-method research.</w:t>
      </w:r>
    </w:p>
    <w:p w14:paraId="55660335" w14:textId="60AFC784"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The literature also reveals variability in the quality and implementation of vocal warm-ups. </w:t>
      </w:r>
      <w:proofErr w:type="spellStart"/>
      <w:r w:rsidR="002D305B" w:rsidRPr="00F12485">
        <w:rPr>
          <w:sz w:val="22"/>
          <w:szCs w:val="22"/>
          <w:highlight w:val="none"/>
        </w:rPr>
        <w:t>Levett</w:t>
      </w:r>
      <w:proofErr w:type="spellEnd"/>
      <w:r w:rsidR="002D305B">
        <w:rPr>
          <w:sz w:val="22"/>
          <w:szCs w:val="22"/>
          <w:highlight w:val="none"/>
        </w:rPr>
        <w:t xml:space="preserve"> .J.</w:t>
      </w:r>
      <w:r w:rsidR="002D305B" w:rsidRPr="00F12485">
        <w:rPr>
          <w:sz w:val="22"/>
          <w:szCs w:val="22"/>
          <w:highlight w:val="none"/>
        </w:rPr>
        <w:t xml:space="preserve"> and Pring</w:t>
      </w:r>
      <w:r w:rsidR="002D305B">
        <w:rPr>
          <w:sz w:val="22"/>
          <w:szCs w:val="22"/>
          <w:highlight w:val="none"/>
        </w:rPr>
        <w:t xml:space="preserve"> .T.</w:t>
      </w:r>
      <w:r w:rsidR="002D305B" w:rsidRPr="00F12485">
        <w:rPr>
          <w:sz w:val="22"/>
          <w:szCs w:val="22"/>
          <w:highlight w:val="none"/>
        </w:rPr>
        <w:t xml:space="preserve"> (2023</w:t>
      </w:r>
      <w:r w:rsidRPr="00F12485">
        <w:rPr>
          <w:sz w:val="22"/>
          <w:szCs w:val="22"/>
          <w:highlight w:val="none"/>
        </w:rPr>
        <w:t xml:space="preserve">) observed that choir-led warm-ups were modestly effective in reducing vocal symptoms, whereas individual warm-ups without structured guidance showed limited benefit. This aligns with </w:t>
      </w:r>
      <w:proofErr w:type="spellStart"/>
      <w:r w:rsidRPr="00F12485">
        <w:rPr>
          <w:sz w:val="22"/>
          <w:szCs w:val="22"/>
          <w:highlight w:val="none"/>
        </w:rPr>
        <w:t>Apfelstadt</w:t>
      </w:r>
      <w:proofErr w:type="spellEnd"/>
      <w:r w:rsidR="002D305B">
        <w:rPr>
          <w:sz w:val="22"/>
          <w:szCs w:val="22"/>
          <w:highlight w:val="none"/>
        </w:rPr>
        <w:t xml:space="preserve"> .H.</w:t>
      </w:r>
      <w:r w:rsidRPr="00F12485">
        <w:rPr>
          <w:sz w:val="22"/>
          <w:szCs w:val="22"/>
          <w:highlight w:val="none"/>
        </w:rPr>
        <w:t>(2016)</w:t>
      </w:r>
      <w:r w:rsidR="002D305B">
        <w:rPr>
          <w:sz w:val="22"/>
          <w:szCs w:val="22"/>
          <w:highlight w:val="none"/>
        </w:rPr>
        <w:t>’s</w:t>
      </w:r>
      <w:r w:rsidRPr="00F12485">
        <w:rPr>
          <w:sz w:val="22"/>
          <w:szCs w:val="22"/>
          <w:highlight w:val="none"/>
        </w:rPr>
        <w:t xml:space="preserve"> pedagogical framework, which </w:t>
      </w:r>
      <w:proofErr w:type="spellStart"/>
      <w:r w:rsidRPr="00F12485">
        <w:rPr>
          <w:sz w:val="22"/>
          <w:szCs w:val="22"/>
          <w:highlight w:val="none"/>
        </w:rPr>
        <w:t>emphasises</w:t>
      </w:r>
      <w:proofErr w:type="spellEnd"/>
      <w:r w:rsidRPr="00F12485">
        <w:rPr>
          <w:sz w:val="22"/>
          <w:szCs w:val="22"/>
          <w:highlight w:val="none"/>
        </w:rPr>
        <w:t xml:space="preserve"> the importance of intentional, repertoire-specific warm-ups that integrate physical, cognitive, and musical preparation. While </w:t>
      </w:r>
      <w:proofErr w:type="spellStart"/>
      <w:r w:rsidR="002D305B" w:rsidRPr="00F12485">
        <w:rPr>
          <w:sz w:val="22"/>
          <w:szCs w:val="22"/>
          <w:highlight w:val="none"/>
        </w:rPr>
        <w:t>Apfelstadt</w:t>
      </w:r>
      <w:proofErr w:type="spellEnd"/>
      <w:r w:rsidR="002D305B">
        <w:rPr>
          <w:sz w:val="22"/>
          <w:szCs w:val="22"/>
          <w:highlight w:val="none"/>
        </w:rPr>
        <w:t xml:space="preserve"> .H.</w:t>
      </w:r>
      <w:r w:rsidR="002D305B" w:rsidRPr="00F12485">
        <w:rPr>
          <w:sz w:val="22"/>
          <w:szCs w:val="22"/>
          <w:highlight w:val="none"/>
        </w:rPr>
        <w:t>(2016)</w:t>
      </w:r>
      <w:r w:rsidR="002D305B">
        <w:rPr>
          <w:sz w:val="22"/>
          <w:szCs w:val="22"/>
          <w:highlight w:val="none"/>
        </w:rPr>
        <w:t>’s</w:t>
      </w:r>
      <w:r w:rsidR="002D305B" w:rsidRPr="00F12485">
        <w:rPr>
          <w:sz w:val="22"/>
          <w:szCs w:val="22"/>
          <w:highlight w:val="none"/>
        </w:rPr>
        <w:t xml:space="preserve"> </w:t>
      </w:r>
      <w:r w:rsidRPr="00F12485">
        <w:rPr>
          <w:sz w:val="22"/>
          <w:szCs w:val="22"/>
          <w:highlight w:val="none"/>
        </w:rPr>
        <w:t xml:space="preserve"> work lacks empirical validation, it offers a valuable practitioner perspective that complements the empirical findings of </w:t>
      </w:r>
      <w:proofErr w:type="spellStart"/>
      <w:r w:rsidR="002D305B" w:rsidRPr="00F12485">
        <w:rPr>
          <w:sz w:val="22"/>
          <w:szCs w:val="22"/>
          <w:highlight w:val="none"/>
        </w:rPr>
        <w:t>Levett</w:t>
      </w:r>
      <w:proofErr w:type="spellEnd"/>
      <w:r w:rsidR="002D305B">
        <w:rPr>
          <w:sz w:val="22"/>
          <w:szCs w:val="22"/>
          <w:highlight w:val="none"/>
        </w:rPr>
        <w:t xml:space="preserve"> .J.</w:t>
      </w:r>
      <w:r w:rsidR="002D305B" w:rsidRPr="00F12485">
        <w:rPr>
          <w:sz w:val="22"/>
          <w:szCs w:val="22"/>
          <w:highlight w:val="none"/>
        </w:rPr>
        <w:t xml:space="preserve"> and Pring</w:t>
      </w:r>
      <w:r w:rsidR="002D305B">
        <w:rPr>
          <w:sz w:val="22"/>
          <w:szCs w:val="22"/>
          <w:highlight w:val="none"/>
        </w:rPr>
        <w:t xml:space="preserve"> .T.</w:t>
      </w:r>
      <w:r w:rsidR="002D305B" w:rsidRPr="00F12485">
        <w:rPr>
          <w:sz w:val="22"/>
          <w:szCs w:val="22"/>
          <w:highlight w:val="none"/>
        </w:rPr>
        <w:t xml:space="preserve"> (2023)</w:t>
      </w:r>
      <w:r w:rsidRPr="00F12485">
        <w:rPr>
          <w:sz w:val="22"/>
          <w:szCs w:val="22"/>
          <w:highlight w:val="none"/>
        </w:rPr>
        <w:t>.</w:t>
      </w:r>
    </w:p>
    <w:p w14:paraId="4595E145" w14:textId="7200AF76"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In response to these findings, this study applies a hermeneutic approach to literature review, which is particularly suited to exploring context-dependent phenomena such as vocal health in amateur settings </w:t>
      </w:r>
      <w:r w:rsidRPr="00896295">
        <w:rPr>
          <w:sz w:val="22"/>
          <w:szCs w:val="22"/>
          <w:highlight w:val="none"/>
        </w:rPr>
        <w:t>(</w:t>
      </w:r>
      <w:proofErr w:type="spellStart"/>
      <w:r w:rsidR="00896295" w:rsidRPr="00896295">
        <w:rPr>
          <w:sz w:val="22"/>
          <w:szCs w:val="22"/>
          <w:highlight w:val="none"/>
        </w:rPr>
        <w:t>Boell</w:t>
      </w:r>
      <w:proofErr w:type="spellEnd"/>
      <w:r w:rsidR="00896295" w:rsidRPr="00896295">
        <w:rPr>
          <w:sz w:val="22"/>
          <w:szCs w:val="22"/>
          <w:highlight w:val="none"/>
        </w:rPr>
        <w:t xml:space="preserve"> .S.K. &amp; </w:t>
      </w:r>
      <w:proofErr w:type="spellStart"/>
      <w:r w:rsidR="00896295" w:rsidRPr="00896295">
        <w:rPr>
          <w:sz w:val="22"/>
          <w:szCs w:val="22"/>
          <w:highlight w:val="none"/>
        </w:rPr>
        <w:t>Cecez-Kecmanovic</w:t>
      </w:r>
      <w:proofErr w:type="spellEnd"/>
      <w:r w:rsidR="00896295" w:rsidRPr="00896295">
        <w:rPr>
          <w:sz w:val="22"/>
          <w:szCs w:val="22"/>
          <w:highlight w:val="none"/>
        </w:rPr>
        <w:t xml:space="preserve"> .D. (2010</w:t>
      </w:r>
      <w:r w:rsidR="00896295" w:rsidRPr="00896295">
        <w:rPr>
          <w:sz w:val="22"/>
          <w:szCs w:val="22"/>
          <w:highlight w:val="none"/>
        </w:rPr>
        <w:t>).</w:t>
      </w:r>
      <w:r w:rsidR="00896295">
        <w:rPr>
          <w:sz w:val="22"/>
          <w:szCs w:val="22"/>
          <w:highlight w:val="none"/>
        </w:rPr>
        <w:t xml:space="preserve"> </w:t>
      </w:r>
      <w:r w:rsidRPr="00F12485">
        <w:rPr>
          <w:sz w:val="22"/>
          <w:szCs w:val="22"/>
          <w:highlight w:val="none"/>
        </w:rPr>
        <w:t xml:space="preserve">The hermeneutic method allows for repetitive engagement with sources, enabling a deeper understanding of the social and pedagogical factors influencing vocal health </w:t>
      </w:r>
      <w:proofErr w:type="spellStart"/>
      <w:r w:rsidRPr="00F12485">
        <w:rPr>
          <w:sz w:val="22"/>
          <w:szCs w:val="22"/>
          <w:highlight w:val="none"/>
        </w:rPr>
        <w:t>behaviours</w:t>
      </w:r>
      <w:proofErr w:type="spellEnd"/>
      <w:r w:rsidRPr="00F12485">
        <w:rPr>
          <w:sz w:val="22"/>
          <w:szCs w:val="22"/>
          <w:highlight w:val="none"/>
        </w:rPr>
        <w:t>. This approach is justified by the fragmented and experiential nature of the available literature, which can’t capture the full lived experience through statistical data and quantitative data.</w:t>
      </w:r>
    </w:p>
    <w:p w14:paraId="21EFE5D1" w14:textId="33681595" w:rsidR="00EF6272" w:rsidRPr="00F12485" w:rsidRDefault="00000000" w:rsidP="00F12485">
      <w:pPr>
        <w:shd w:val="clear" w:color="auto" w:fill="auto"/>
        <w:spacing w:line="360" w:lineRule="auto"/>
        <w:rPr>
          <w:sz w:val="22"/>
          <w:szCs w:val="22"/>
          <w:highlight w:val="none"/>
        </w:rPr>
      </w:pPr>
      <w:r w:rsidRPr="00F12485">
        <w:rPr>
          <w:sz w:val="22"/>
          <w:szCs w:val="22"/>
          <w:highlight w:val="none"/>
        </w:rPr>
        <w:t>The decision to adopt a rapid scoping review methodology is similarly grounded in the nature of the research question and the constraints of the study. Scoping reviews are ideal for mapping broad, under-researched areas and identifying gaps in knowledge (</w:t>
      </w:r>
      <w:r w:rsidR="00896295" w:rsidRPr="00896295">
        <w:rPr>
          <w:sz w:val="22"/>
          <w:szCs w:val="22"/>
          <w:highlight w:val="none"/>
        </w:rPr>
        <w:t>Grant, M. J., &amp; Booth, A. 2009</w:t>
      </w:r>
      <w:r w:rsidRPr="00896295">
        <w:rPr>
          <w:sz w:val="22"/>
          <w:szCs w:val="22"/>
          <w:highlight w:val="none"/>
        </w:rPr>
        <w:t>).</w:t>
      </w:r>
      <w:r w:rsidRPr="00F12485">
        <w:rPr>
          <w:sz w:val="22"/>
          <w:szCs w:val="22"/>
          <w:highlight w:val="none"/>
        </w:rPr>
        <w:t xml:space="preserve"> Unlike systematic reviews, which require narrowly defined questions and rigorous appraisal, scoping reviews accommodate a wider range of evidence types, which could have included grey literature. </w:t>
      </w:r>
    </w:p>
    <w:p w14:paraId="0B503CEC" w14:textId="3D6C4F40" w:rsidR="00EF6272" w:rsidRPr="00F12485" w:rsidRDefault="00000000" w:rsidP="00F12485">
      <w:pPr>
        <w:shd w:val="clear" w:color="auto" w:fill="auto"/>
        <w:spacing w:line="360" w:lineRule="auto"/>
        <w:rPr>
          <w:sz w:val="22"/>
          <w:szCs w:val="22"/>
          <w:highlight w:val="none"/>
        </w:rPr>
      </w:pPr>
      <w:r w:rsidRPr="00F12485">
        <w:rPr>
          <w:sz w:val="22"/>
          <w:szCs w:val="22"/>
          <w:highlight w:val="none"/>
        </w:rPr>
        <w:lastRenderedPageBreak/>
        <w:t xml:space="preserve">Assessment tools also emerge as a key theme across the literature. Rosa </w:t>
      </w:r>
      <w:r w:rsidR="006A2EAD">
        <w:rPr>
          <w:sz w:val="22"/>
          <w:szCs w:val="22"/>
          <w:highlight w:val="none"/>
        </w:rPr>
        <w:t xml:space="preserve">.M. &amp; </w:t>
      </w:r>
      <w:proofErr w:type="spellStart"/>
      <w:r w:rsidRPr="00F12485">
        <w:rPr>
          <w:sz w:val="22"/>
          <w:szCs w:val="22"/>
          <w:highlight w:val="none"/>
        </w:rPr>
        <w:t>Behlau</w:t>
      </w:r>
      <w:proofErr w:type="spellEnd"/>
      <w:r w:rsidR="006A2EAD">
        <w:rPr>
          <w:sz w:val="22"/>
          <w:szCs w:val="22"/>
          <w:highlight w:val="none"/>
        </w:rPr>
        <w:t xml:space="preserve"> .M.</w:t>
      </w:r>
      <w:r w:rsidRPr="00F12485">
        <w:rPr>
          <w:sz w:val="22"/>
          <w:szCs w:val="22"/>
          <w:highlight w:val="none"/>
        </w:rPr>
        <w:t xml:space="preserve"> (2017) demonstrate the utility of validated instruments such as the Voice Symptom Scale (</w:t>
      </w:r>
      <w:proofErr w:type="spellStart"/>
      <w:r w:rsidRPr="00F12485">
        <w:rPr>
          <w:sz w:val="22"/>
          <w:szCs w:val="22"/>
          <w:highlight w:val="none"/>
        </w:rPr>
        <w:t>VoiSS</w:t>
      </w:r>
      <w:proofErr w:type="spellEnd"/>
      <w:r w:rsidRPr="00F12485">
        <w:rPr>
          <w:sz w:val="22"/>
          <w:szCs w:val="22"/>
          <w:highlight w:val="none"/>
        </w:rPr>
        <w:t>) and the Modern Singing Handicap Index (MSHI) in identifying at-risk singers. These tools provide a holistic view of vocal health, integrating physical, emotional, and functional dimensions. In contrast, Leiper</w:t>
      </w:r>
      <w:r w:rsidR="006A2EAD">
        <w:rPr>
          <w:sz w:val="22"/>
          <w:szCs w:val="22"/>
          <w:highlight w:val="none"/>
        </w:rPr>
        <w:t xml:space="preserve"> .T. </w:t>
      </w:r>
      <w:r w:rsidRPr="00F12485">
        <w:rPr>
          <w:sz w:val="22"/>
          <w:szCs w:val="22"/>
          <w:highlight w:val="none"/>
        </w:rPr>
        <w:t xml:space="preserve">(2024) explores the pedagogical potential of self-assessment protocols, which empower singers to monitor their own vocal </w:t>
      </w:r>
      <w:proofErr w:type="spellStart"/>
      <w:r w:rsidRPr="00F12485">
        <w:rPr>
          <w:sz w:val="22"/>
          <w:szCs w:val="22"/>
          <w:highlight w:val="none"/>
        </w:rPr>
        <w:t>behaviours</w:t>
      </w:r>
      <w:proofErr w:type="spellEnd"/>
      <w:r w:rsidRPr="00F12485">
        <w:rPr>
          <w:sz w:val="22"/>
          <w:szCs w:val="22"/>
          <w:highlight w:val="none"/>
        </w:rPr>
        <w:t xml:space="preserve"> using multi-sensory feedback. While Leiper</w:t>
      </w:r>
      <w:r w:rsidR="006A2EAD">
        <w:rPr>
          <w:sz w:val="22"/>
          <w:szCs w:val="22"/>
          <w:highlight w:val="none"/>
        </w:rPr>
        <w:t xml:space="preserve"> .T. (2024)</w:t>
      </w:r>
      <w:r w:rsidRPr="00F12485">
        <w:rPr>
          <w:sz w:val="22"/>
          <w:szCs w:val="22"/>
          <w:highlight w:val="none"/>
        </w:rPr>
        <w:t xml:space="preserve">’s study is limited by its small sample size and reliance on self-reporting, it offers a promising model for fostering self-regulation and vocal awareness in amateur contexts. A prominent theme emerging from these studies is the empowerment of individuals to recognize and articulate their own vocal health concerns—particularly in group singing contexts, where such issues may not be readily apparent to ensemble leaders. </w:t>
      </w:r>
    </w:p>
    <w:p w14:paraId="203DF3D7" w14:textId="77777777" w:rsidR="00EF6272" w:rsidRPr="00190C8B" w:rsidRDefault="00000000" w:rsidP="00F12485">
      <w:pPr>
        <w:shd w:val="clear" w:color="auto" w:fill="auto"/>
        <w:spacing w:line="360" w:lineRule="auto"/>
        <w:rPr>
          <w:b/>
          <w:bCs/>
          <w:sz w:val="22"/>
          <w:szCs w:val="22"/>
          <w:highlight w:val="none"/>
        </w:rPr>
      </w:pPr>
      <w:r w:rsidRPr="00190C8B">
        <w:rPr>
          <w:b/>
          <w:bCs/>
          <w:sz w:val="22"/>
          <w:szCs w:val="22"/>
          <w:highlight w:val="none"/>
        </w:rPr>
        <w:t>Conclusion and Future Recommendations</w:t>
      </w:r>
    </w:p>
    <w:p w14:paraId="03C04B3D" w14:textId="26BA8058"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The reviewed literature reveals a consistent pattern of limited vocal health awareness and inconsistent preventative practices among amateur singers. Despite the well-documented benefits of singing, there remains a significant gap in structured vocal health education and access to professional support. This is particularly evident in the </w:t>
      </w:r>
      <w:proofErr w:type="spellStart"/>
      <w:r w:rsidRPr="00F12485">
        <w:rPr>
          <w:sz w:val="22"/>
          <w:szCs w:val="22"/>
          <w:highlight w:val="none"/>
        </w:rPr>
        <w:t>underutilisation</w:t>
      </w:r>
      <w:proofErr w:type="spellEnd"/>
      <w:r w:rsidRPr="00F12485">
        <w:rPr>
          <w:sz w:val="22"/>
          <w:szCs w:val="22"/>
          <w:highlight w:val="none"/>
        </w:rPr>
        <w:t xml:space="preserve"> of specialist services, as highlighted by </w:t>
      </w:r>
      <w:proofErr w:type="spellStart"/>
      <w:r w:rsidRPr="00F12485">
        <w:rPr>
          <w:sz w:val="22"/>
          <w:szCs w:val="22"/>
          <w:highlight w:val="none"/>
        </w:rPr>
        <w:t>Levett</w:t>
      </w:r>
      <w:proofErr w:type="spellEnd"/>
      <w:r w:rsidR="006A2EAD">
        <w:rPr>
          <w:sz w:val="22"/>
          <w:szCs w:val="22"/>
          <w:highlight w:val="none"/>
        </w:rPr>
        <w:t xml:space="preserve"> .J.</w:t>
      </w:r>
      <w:r w:rsidRPr="00F12485">
        <w:rPr>
          <w:sz w:val="22"/>
          <w:szCs w:val="22"/>
          <w:highlight w:val="none"/>
        </w:rPr>
        <w:t xml:space="preserve"> </w:t>
      </w:r>
      <w:r w:rsidR="006A2EAD">
        <w:rPr>
          <w:sz w:val="22"/>
          <w:szCs w:val="22"/>
          <w:highlight w:val="none"/>
        </w:rPr>
        <w:t xml:space="preserve">&amp; </w:t>
      </w:r>
      <w:r w:rsidRPr="00F12485">
        <w:rPr>
          <w:sz w:val="22"/>
          <w:szCs w:val="22"/>
          <w:highlight w:val="none"/>
        </w:rPr>
        <w:t>Pring</w:t>
      </w:r>
      <w:r w:rsidR="006A2EAD">
        <w:rPr>
          <w:sz w:val="22"/>
          <w:szCs w:val="22"/>
          <w:highlight w:val="none"/>
        </w:rPr>
        <w:t xml:space="preserve"> .T.</w:t>
      </w:r>
      <w:r w:rsidRPr="00F12485">
        <w:rPr>
          <w:sz w:val="22"/>
          <w:szCs w:val="22"/>
          <w:highlight w:val="none"/>
        </w:rPr>
        <w:t xml:space="preserve"> (2023), where only a small proportion of participants sought professional help. Such findings point to systemic barriers and a pressing need for more accessible, community-based interventions.</w:t>
      </w:r>
    </w:p>
    <w:p w14:paraId="03130542" w14:textId="271554B2"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The studies reviewed also underscore the complexity of vocal health assessment. The disconnect between self-reported symptoms and clinical outcomes, as observed by Baird </w:t>
      </w:r>
      <w:r w:rsidR="006A2EAD">
        <w:rPr>
          <w:sz w:val="22"/>
          <w:szCs w:val="22"/>
          <w:highlight w:val="none"/>
        </w:rPr>
        <w:t xml:space="preserve">.B.J </w:t>
      </w:r>
      <w:r w:rsidRPr="00F12485">
        <w:rPr>
          <w:sz w:val="22"/>
          <w:szCs w:val="22"/>
          <w:highlight w:val="none"/>
        </w:rPr>
        <w:t xml:space="preserve">et al. (2020), suggests that subjective experiences alone are insufficient for accurate evaluation. This reinforces the value of multi-method approaches that combine self-assessment with validated clinical tools, such as the </w:t>
      </w:r>
      <w:proofErr w:type="spellStart"/>
      <w:r w:rsidRPr="00F12485">
        <w:rPr>
          <w:sz w:val="22"/>
          <w:szCs w:val="22"/>
          <w:highlight w:val="none"/>
        </w:rPr>
        <w:t>VoiSS</w:t>
      </w:r>
      <w:proofErr w:type="spellEnd"/>
      <w:r w:rsidRPr="00F12485">
        <w:rPr>
          <w:sz w:val="22"/>
          <w:szCs w:val="22"/>
          <w:highlight w:val="none"/>
        </w:rPr>
        <w:t xml:space="preserve"> and MSHI (Rosa</w:t>
      </w:r>
      <w:r w:rsidR="006A2EAD">
        <w:rPr>
          <w:sz w:val="22"/>
          <w:szCs w:val="22"/>
          <w:highlight w:val="none"/>
        </w:rPr>
        <w:t xml:space="preserve"> .M.</w:t>
      </w:r>
      <w:r w:rsidRPr="00F12485">
        <w:rPr>
          <w:sz w:val="22"/>
          <w:szCs w:val="22"/>
          <w:highlight w:val="none"/>
        </w:rPr>
        <w:t xml:space="preserve"> &amp; </w:t>
      </w:r>
      <w:proofErr w:type="spellStart"/>
      <w:r w:rsidRPr="00F12485">
        <w:rPr>
          <w:sz w:val="22"/>
          <w:szCs w:val="22"/>
          <w:highlight w:val="none"/>
        </w:rPr>
        <w:t>Behlau</w:t>
      </w:r>
      <w:proofErr w:type="spellEnd"/>
      <w:r w:rsidR="006A2EAD">
        <w:rPr>
          <w:sz w:val="22"/>
          <w:szCs w:val="22"/>
          <w:highlight w:val="none"/>
        </w:rPr>
        <w:t xml:space="preserve"> .M.</w:t>
      </w:r>
      <w:r w:rsidRPr="00F12485">
        <w:rPr>
          <w:sz w:val="22"/>
          <w:szCs w:val="22"/>
          <w:highlight w:val="none"/>
        </w:rPr>
        <w:t>, 2017).</w:t>
      </w:r>
    </w:p>
    <w:p w14:paraId="0BBD5AE5" w14:textId="279149AC"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Warm-up practices emerged as another critical theme, with evidence suggesting that structured, leader-led routines are more effective than unstructured individual efforts. </w:t>
      </w:r>
      <w:proofErr w:type="spellStart"/>
      <w:r w:rsidRPr="00F12485">
        <w:rPr>
          <w:sz w:val="22"/>
          <w:szCs w:val="22"/>
          <w:highlight w:val="none"/>
        </w:rPr>
        <w:t>Apfelstadt</w:t>
      </w:r>
      <w:proofErr w:type="spellEnd"/>
      <w:r w:rsidR="006A2EAD">
        <w:rPr>
          <w:sz w:val="22"/>
          <w:szCs w:val="22"/>
          <w:highlight w:val="none"/>
        </w:rPr>
        <w:t xml:space="preserve"> .H.</w:t>
      </w:r>
      <w:r w:rsidRPr="00F12485">
        <w:rPr>
          <w:sz w:val="22"/>
          <w:szCs w:val="22"/>
          <w:highlight w:val="none"/>
        </w:rPr>
        <w:t>’s (2016) pedagogical insights, though not empirically validated, offer a valuable framework for integrating physical, cognitive, and musical preparation into rehearsal settings.</w:t>
      </w:r>
    </w:p>
    <w:p w14:paraId="7A54B338"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Finally, the adoption of a hermeneutic and scoping review methodology in this study is well-suited to the fragmented and experiential nature of the literature. These approaches allow for a deeper exploration of the social and pedagogical contexts influencing vocal health </w:t>
      </w:r>
      <w:proofErr w:type="spellStart"/>
      <w:r w:rsidRPr="00F12485">
        <w:rPr>
          <w:sz w:val="22"/>
          <w:szCs w:val="22"/>
          <w:highlight w:val="none"/>
        </w:rPr>
        <w:t>behaviours</w:t>
      </w:r>
      <w:proofErr w:type="spellEnd"/>
      <w:r w:rsidRPr="00F12485">
        <w:rPr>
          <w:sz w:val="22"/>
          <w:szCs w:val="22"/>
          <w:highlight w:val="none"/>
        </w:rPr>
        <w:t xml:space="preserve">, </w:t>
      </w:r>
      <w:r w:rsidRPr="00F12485">
        <w:rPr>
          <w:sz w:val="22"/>
          <w:szCs w:val="22"/>
          <w:highlight w:val="none"/>
        </w:rPr>
        <w:lastRenderedPageBreak/>
        <w:t>and highlight the importance of empowering individuals—particularly in group settings—to take ownership of their vocal wellbeing.</w:t>
      </w:r>
    </w:p>
    <w:p w14:paraId="1E6C6CBD" w14:textId="177F4F88" w:rsidR="00EF6272" w:rsidRPr="00F12485" w:rsidRDefault="00000000" w:rsidP="00F12485">
      <w:pPr>
        <w:shd w:val="clear" w:color="auto" w:fill="auto"/>
        <w:spacing w:line="360" w:lineRule="auto"/>
        <w:rPr>
          <w:sz w:val="22"/>
          <w:szCs w:val="22"/>
          <w:highlight w:val="none"/>
        </w:rPr>
      </w:pPr>
      <w:r w:rsidRPr="00F12485">
        <w:rPr>
          <w:sz w:val="22"/>
          <w:szCs w:val="22"/>
          <w:highlight w:val="none"/>
        </w:rPr>
        <w:t>This study is subject to several limitations that should be acknowledged. Firstly, as a literature-based investigation, it relies exclusively on secondary data, which restricts the ability to draw conclusions from direct observation or engagement with amateur singing communities. While the hermeneutic approach allows for deep contextual interpretation, it does not substitute for empirical validation through primary research (</w:t>
      </w:r>
      <w:proofErr w:type="spellStart"/>
      <w:r w:rsidR="006A2EAD" w:rsidRPr="006A2EAD">
        <w:rPr>
          <w:sz w:val="22"/>
          <w:szCs w:val="22"/>
          <w:highlight w:val="none"/>
        </w:rPr>
        <w:t>Boell</w:t>
      </w:r>
      <w:proofErr w:type="spellEnd"/>
      <w:r w:rsidR="006A2EAD" w:rsidRPr="006A2EAD">
        <w:rPr>
          <w:sz w:val="22"/>
          <w:szCs w:val="22"/>
          <w:highlight w:val="none"/>
        </w:rPr>
        <w:t xml:space="preserve">, S.K. and </w:t>
      </w:r>
      <w:proofErr w:type="spellStart"/>
      <w:r w:rsidR="006A2EAD" w:rsidRPr="006A2EAD">
        <w:rPr>
          <w:sz w:val="22"/>
          <w:szCs w:val="22"/>
          <w:highlight w:val="none"/>
        </w:rPr>
        <w:t>Cecez-Kecmanovic</w:t>
      </w:r>
      <w:proofErr w:type="spellEnd"/>
      <w:r w:rsidR="006A2EAD" w:rsidRPr="006A2EAD">
        <w:rPr>
          <w:sz w:val="22"/>
          <w:szCs w:val="22"/>
          <w:highlight w:val="none"/>
        </w:rPr>
        <w:t>, D. 2014</w:t>
      </w:r>
      <w:r w:rsidR="006A2EAD" w:rsidRPr="006A2EAD">
        <w:rPr>
          <w:sz w:val="22"/>
          <w:szCs w:val="22"/>
          <w:highlight w:val="none"/>
        </w:rPr>
        <w:t>)</w:t>
      </w:r>
      <w:r w:rsidRPr="006A2EAD">
        <w:rPr>
          <w:sz w:val="22"/>
          <w:szCs w:val="22"/>
          <w:highlight w:val="none"/>
        </w:rPr>
        <w:t>.</w:t>
      </w:r>
    </w:p>
    <w:p w14:paraId="40944D86" w14:textId="62808AD4" w:rsidR="00EF6272" w:rsidRPr="00F12485" w:rsidRDefault="00000000" w:rsidP="00F12485">
      <w:pPr>
        <w:shd w:val="clear" w:color="auto" w:fill="auto"/>
        <w:spacing w:line="360" w:lineRule="auto"/>
        <w:rPr>
          <w:sz w:val="22"/>
          <w:szCs w:val="22"/>
          <w:highlight w:val="none"/>
        </w:rPr>
      </w:pPr>
      <w:r w:rsidRPr="00F12485">
        <w:rPr>
          <w:sz w:val="22"/>
          <w:szCs w:val="22"/>
          <w:highlight w:val="none"/>
        </w:rPr>
        <w:t>Secondly, many of the reviewed studies depend heavily on self-reported data, which introduces potential bias and limits the reliability of findings. For example, Baird</w:t>
      </w:r>
      <w:r w:rsidR="006A2EAD">
        <w:rPr>
          <w:sz w:val="22"/>
          <w:szCs w:val="22"/>
          <w:highlight w:val="none"/>
        </w:rPr>
        <w:t xml:space="preserve"> .B.J.</w:t>
      </w:r>
      <w:r w:rsidRPr="00F12485">
        <w:rPr>
          <w:sz w:val="22"/>
          <w:szCs w:val="22"/>
          <w:highlight w:val="none"/>
        </w:rPr>
        <w:t xml:space="preserve"> et al. (2020) found discrepancies between self-reported vocal difficulties and clinical outcomes, highlighting the limitations of subjective measures in vocal health assessment </w:t>
      </w:r>
    </w:p>
    <w:p w14:paraId="146EF6BB" w14:textId="161CDAF1"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Thirdly, while pedagogical frameworks such as </w:t>
      </w:r>
      <w:proofErr w:type="spellStart"/>
      <w:r w:rsidRPr="00F12485">
        <w:rPr>
          <w:sz w:val="22"/>
          <w:szCs w:val="22"/>
          <w:highlight w:val="none"/>
        </w:rPr>
        <w:t>Apfelstadt</w:t>
      </w:r>
      <w:proofErr w:type="spellEnd"/>
      <w:r w:rsidR="006A2EAD">
        <w:rPr>
          <w:sz w:val="22"/>
          <w:szCs w:val="22"/>
          <w:highlight w:val="none"/>
        </w:rPr>
        <w:t xml:space="preserve"> .H.</w:t>
      </w:r>
      <w:r w:rsidRPr="00F12485">
        <w:rPr>
          <w:sz w:val="22"/>
          <w:szCs w:val="22"/>
          <w:highlight w:val="none"/>
        </w:rPr>
        <w:t xml:space="preserve">’s (2016) offer valuable insights into warm-up practices, they lack empirical validation, which constrains their applicability across diverse amateur contexts </w:t>
      </w:r>
    </w:p>
    <w:p w14:paraId="7FFC30BB" w14:textId="62FA38F5"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 Similarly, Leiper</w:t>
      </w:r>
      <w:r w:rsidR="006A2EAD">
        <w:rPr>
          <w:sz w:val="22"/>
          <w:szCs w:val="22"/>
          <w:highlight w:val="none"/>
        </w:rPr>
        <w:t xml:space="preserve"> .T.</w:t>
      </w:r>
      <w:r w:rsidRPr="00F12485">
        <w:rPr>
          <w:sz w:val="22"/>
          <w:szCs w:val="22"/>
          <w:highlight w:val="none"/>
        </w:rPr>
        <w:t>’s (2024) promising self-assessment protocol is based on a small sample size and remains exploratory in nature 4.</w:t>
      </w:r>
    </w:p>
    <w:p w14:paraId="08E67D1C" w14:textId="5E02DA47"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The scoping review methodology, although appropriate for mapping broad and under-researched areas, does not include formal appraisal of evidence quality, which may affect the </w:t>
      </w:r>
      <w:proofErr w:type="spellStart"/>
      <w:r w:rsidRPr="00F12485">
        <w:rPr>
          <w:sz w:val="22"/>
          <w:szCs w:val="22"/>
          <w:highlight w:val="none"/>
        </w:rPr>
        <w:t>generalisability</w:t>
      </w:r>
      <w:proofErr w:type="spellEnd"/>
      <w:r w:rsidRPr="00F12485">
        <w:rPr>
          <w:sz w:val="22"/>
          <w:szCs w:val="22"/>
          <w:highlight w:val="none"/>
        </w:rPr>
        <w:t xml:space="preserve"> of findings (</w:t>
      </w:r>
      <w:r w:rsidR="006A2EAD" w:rsidRPr="006A2EAD">
        <w:rPr>
          <w:sz w:val="22"/>
          <w:szCs w:val="22"/>
          <w:highlight w:val="none"/>
        </w:rPr>
        <w:t>Grant, M. J., &amp; Booth, A. 2009</w:t>
      </w:r>
      <w:r w:rsidR="006A2EAD" w:rsidRPr="006A2EAD">
        <w:rPr>
          <w:sz w:val="22"/>
          <w:szCs w:val="22"/>
          <w:highlight w:val="none"/>
        </w:rPr>
        <w:t>)</w:t>
      </w:r>
    </w:p>
    <w:p w14:paraId="0D5A425D"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t>Additionally, the exclusion of grey literature and non-English sources may have led to the omission of relevant perspectives, particularly from non-Western singing traditions.</w:t>
      </w:r>
    </w:p>
    <w:p w14:paraId="5AB09D2F"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t>Finally, the fragmented nature of the literature and the experiential focus of many studies underscore the need for more robust, interdisciplinary research that integrates clinical, pedagogical, and community-based perspectives.</w:t>
      </w:r>
    </w:p>
    <w:p w14:paraId="448B0524" w14:textId="77777777" w:rsidR="00EF6272" w:rsidRPr="00F12485" w:rsidRDefault="00EF6272" w:rsidP="00F12485">
      <w:pPr>
        <w:shd w:val="clear" w:color="auto" w:fill="auto"/>
        <w:spacing w:line="360" w:lineRule="auto"/>
        <w:rPr>
          <w:sz w:val="22"/>
          <w:szCs w:val="22"/>
          <w:highlight w:val="none"/>
        </w:rPr>
      </w:pPr>
    </w:p>
    <w:p w14:paraId="24511397" w14:textId="77777777" w:rsidR="00EF6272" w:rsidRPr="00190C8B" w:rsidRDefault="00000000" w:rsidP="00F12485">
      <w:pPr>
        <w:shd w:val="clear" w:color="auto" w:fill="auto"/>
        <w:spacing w:line="360" w:lineRule="auto"/>
        <w:rPr>
          <w:b/>
          <w:bCs/>
          <w:sz w:val="22"/>
          <w:szCs w:val="22"/>
          <w:highlight w:val="none"/>
        </w:rPr>
      </w:pPr>
      <w:r w:rsidRPr="00190C8B">
        <w:rPr>
          <w:b/>
          <w:bCs/>
          <w:sz w:val="22"/>
          <w:szCs w:val="22"/>
          <w:highlight w:val="none"/>
        </w:rPr>
        <w:t xml:space="preserve">Critical Reflection </w:t>
      </w:r>
    </w:p>
    <w:p w14:paraId="556955B4" w14:textId="2C511487"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Initially, I explored </w:t>
      </w:r>
      <w:proofErr w:type="spellStart"/>
      <w:r w:rsidRPr="00F12485">
        <w:rPr>
          <w:sz w:val="22"/>
          <w:szCs w:val="22"/>
          <w:highlight w:val="none"/>
        </w:rPr>
        <w:t>Liu</w:t>
      </w:r>
      <w:r w:rsidR="006A2EAD">
        <w:rPr>
          <w:sz w:val="22"/>
          <w:szCs w:val="22"/>
          <w:highlight w:val="none"/>
        </w:rPr>
        <w:t>.K.</w:t>
      </w:r>
      <w:r w:rsidRPr="00F12485">
        <w:rPr>
          <w:sz w:val="22"/>
          <w:szCs w:val="22"/>
          <w:highlight w:val="none"/>
        </w:rPr>
        <w:t>’s</w:t>
      </w:r>
      <w:proofErr w:type="spellEnd"/>
      <w:r w:rsidRPr="00F12485">
        <w:rPr>
          <w:sz w:val="22"/>
          <w:szCs w:val="22"/>
          <w:highlight w:val="none"/>
        </w:rPr>
        <w:t xml:space="preserve"> (2005) framework for critical reflection, which draws on Dewey</w:t>
      </w:r>
      <w:r w:rsidR="006A2EAD">
        <w:rPr>
          <w:sz w:val="22"/>
          <w:szCs w:val="22"/>
          <w:highlight w:val="none"/>
        </w:rPr>
        <w:t xml:space="preserve"> .J.</w:t>
      </w:r>
      <w:r w:rsidRPr="00F12485">
        <w:rPr>
          <w:sz w:val="22"/>
          <w:szCs w:val="22"/>
          <w:highlight w:val="none"/>
        </w:rPr>
        <w:t xml:space="preserve"> (1933), Mezirow</w:t>
      </w:r>
      <w:r w:rsidR="006A2EAD">
        <w:rPr>
          <w:sz w:val="22"/>
          <w:szCs w:val="22"/>
          <w:highlight w:val="none"/>
        </w:rPr>
        <w:t xml:space="preserve"> .J.</w:t>
      </w:r>
      <w:r w:rsidRPr="00F12485">
        <w:rPr>
          <w:sz w:val="22"/>
          <w:szCs w:val="22"/>
          <w:highlight w:val="none"/>
        </w:rPr>
        <w:t xml:space="preserve"> (1990), Brookfield (1995), and </w:t>
      </w:r>
      <w:r w:rsidR="006A2EAD">
        <w:rPr>
          <w:sz w:val="22"/>
          <w:szCs w:val="22"/>
          <w:highlight w:val="none"/>
        </w:rPr>
        <w:t>V</w:t>
      </w:r>
      <w:r w:rsidRPr="00F12485">
        <w:rPr>
          <w:sz w:val="22"/>
          <w:szCs w:val="22"/>
          <w:highlight w:val="none"/>
        </w:rPr>
        <w:t xml:space="preserve">an </w:t>
      </w:r>
      <w:proofErr w:type="spellStart"/>
      <w:r w:rsidRPr="00F12485">
        <w:rPr>
          <w:sz w:val="22"/>
          <w:szCs w:val="22"/>
          <w:highlight w:val="none"/>
        </w:rPr>
        <w:t>Manen</w:t>
      </w:r>
      <w:proofErr w:type="spellEnd"/>
      <w:r w:rsidR="006A2EAD">
        <w:rPr>
          <w:sz w:val="22"/>
          <w:szCs w:val="22"/>
          <w:highlight w:val="none"/>
        </w:rPr>
        <w:t xml:space="preserve"> .M.</w:t>
      </w:r>
      <w:r w:rsidRPr="00F12485">
        <w:rPr>
          <w:sz w:val="22"/>
          <w:szCs w:val="22"/>
          <w:highlight w:val="none"/>
        </w:rPr>
        <w:t xml:space="preserve"> (1977), to support transformative learning. Its emphasis on content, process, and purpose aligned well with my hermeneutic approach and practitioner-researcher identity. However, despite its conceptual </w:t>
      </w:r>
      <w:r w:rsidRPr="00F12485">
        <w:rPr>
          <w:sz w:val="22"/>
          <w:szCs w:val="22"/>
          <w:highlight w:val="none"/>
        </w:rPr>
        <w:lastRenderedPageBreak/>
        <w:t>depth, I found the framework lacked empirical grounding and practical structure for application in my context.</w:t>
      </w:r>
    </w:p>
    <w:p w14:paraId="4509D007" w14:textId="2F8752E1" w:rsidR="00EF6272" w:rsidRPr="00F12485" w:rsidRDefault="00000000" w:rsidP="00F12485">
      <w:pPr>
        <w:shd w:val="clear" w:color="auto" w:fill="auto"/>
        <w:spacing w:line="360" w:lineRule="auto"/>
        <w:rPr>
          <w:sz w:val="22"/>
          <w:szCs w:val="22"/>
          <w:highlight w:val="none"/>
        </w:rPr>
      </w:pPr>
      <w:r w:rsidRPr="00F12485">
        <w:rPr>
          <w:sz w:val="22"/>
          <w:szCs w:val="22"/>
          <w:highlight w:val="none"/>
        </w:rPr>
        <w:t>Brookfield</w:t>
      </w:r>
      <w:r w:rsidR="006A2EAD">
        <w:rPr>
          <w:sz w:val="22"/>
          <w:szCs w:val="22"/>
          <w:highlight w:val="none"/>
        </w:rPr>
        <w:t xml:space="preserve"> .S.D.</w:t>
      </w:r>
      <w:r w:rsidRPr="00F12485">
        <w:rPr>
          <w:sz w:val="22"/>
          <w:szCs w:val="22"/>
          <w:highlight w:val="none"/>
        </w:rPr>
        <w:t>’s (1995) model also informed my thinking, particularly through its focus on assumption analysis and contextual awareness. Yet, as Liu</w:t>
      </w:r>
      <w:r w:rsidR="006A2EAD">
        <w:rPr>
          <w:sz w:val="22"/>
          <w:szCs w:val="22"/>
          <w:highlight w:val="none"/>
        </w:rPr>
        <w:t xml:space="preserve"> .K. (2015)</w:t>
      </w:r>
      <w:r w:rsidRPr="00F12485">
        <w:rPr>
          <w:sz w:val="22"/>
          <w:szCs w:val="22"/>
          <w:highlight w:val="none"/>
        </w:rPr>
        <w:t xml:space="preserve"> critiques, it does not clearly guide reflection toward transformative action. Seeking a more pragmatic and tested approach, I turned to </w:t>
      </w:r>
      <w:r w:rsidR="006A2EAD" w:rsidRPr="006A2EAD">
        <w:rPr>
          <w:sz w:val="22"/>
          <w:szCs w:val="22"/>
          <w:highlight w:val="none"/>
        </w:rPr>
        <w:t>Sow</w:t>
      </w:r>
      <w:r w:rsidR="006A2EAD">
        <w:rPr>
          <w:sz w:val="22"/>
          <w:szCs w:val="22"/>
          <w:highlight w:val="none"/>
        </w:rPr>
        <w:t xml:space="preserve"> .C.F et al</w:t>
      </w:r>
      <w:r w:rsidRPr="00F12485">
        <w:rPr>
          <w:sz w:val="22"/>
          <w:szCs w:val="22"/>
          <w:highlight w:val="none"/>
        </w:rPr>
        <w:t xml:space="preserve"> (2025), whose critique and integration of Kolb’s</w:t>
      </w:r>
      <w:r w:rsidR="006A2EAD">
        <w:rPr>
          <w:sz w:val="22"/>
          <w:szCs w:val="22"/>
          <w:highlight w:val="none"/>
        </w:rPr>
        <w:t xml:space="preserve"> </w:t>
      </w:r>
      <w:r w:rsidR="006A2EAD" w:rsidRPr="00F12485">
        <w:rPr>
          <w:sz w:val="22"/>
          <w:szCs w:val="22"/>
          <w:highlight w:val="none"/>
        </w:rPr>
        <w:t xml:space="preserve">(Kolb D, 1984)  </w:t>
      </w:r>
      <w:r w:rsidRPr="00F12485">
        <w:rPr>
          <w:sz w:val="22"/>
          <w:szCs w:val="22"/>
          <w:highlight w:val="none"/>
        </w:rPr>
        <w:t>, Gibbs’, Schön’s, and Rolfe’s models offered a balanced and accessible framework.</w:t>
      </w:r>
    </w:p>
    <w:p w14:paraId="247E7D21" w14:textId="091386D3"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Their hybrid model—combining the structured depth of Kolb (Kolb </w:t>
      </w:r>
      <w:r w:rsidR="006A2EAD">
        <w:rPr>
          <w:sz w:val="22"/>
          <w:szCs w:val="22"/>
          <w:highlight w:val="none"/>
        </w:rPr>
        <w:t>.</w:t>
      </w:r>
      <w:r w:rsidRPr="00F12485">
        <w:rPr>
          <w:sz w:val="22"/>
          <w:szCs w:val="22"/>
          <w:highlight w:val="none"/>
        </w:rPr>
        <w:t>D</w:t>
      </w:r>
      <w:r w:rsidR="006A2EAD">
        <w:rPr>
          <w:sz w:val="22"/>
          <w:szCs w:val="22"/>
          <w:highlight w:val="none"/>
        </w:rPr>
        <w:t>.,</w:t>
      </w:r>
      <w:r w:rsidRPr="00F12485">
        <w:rPr>
          <w:sz w:val="22"/>
          <w:szCs w:val="22"/>
          <w:highlight w:val="none"/>
        </w:rPr>
        <w:t xml:space="preserve"> 1984)  and Gibbs</w:t>
      </w:r>
      <w:r w:rsidR="006A2EAD">
        <w:rPr>
          <w:sz w:val="22"/>
          <w:szCs w:val="22"/>
          <w:highlight w:val="none"/>
        </w:rPr>
        <w:t xml:space="preserve"> (Gibbs .G. 1988)</w:t>
      </w:r>
      <w:r w:rsidRPr="00F12485">
        <w:rPr>
          <w:sz w:val="22"/>
          <w:szCs w:val="22"/>
          <w:highlight w:val="none"/>
        </w:rPr>
        <w:t xml:space="preserve"> with the simplicity of the “What? So What? Now What?”</w:t>
      </w:r>
      <w:r w:rsidR="006A2EAD">
        <w:rPr>
          <w:sz w:val="22"/>
          <w:szCs w:val="22"/>
          <w:highlight w:val="none"/>
        </w:rPr>
        <w:t xml:space="preserve"> (Rolfe .G. et al 2001) </w:t>
      </w:r>
      <w:r w:rsidRPr="00F12485">
        <w:rPr>
          <w:sz w:val="22"/>
          <w:szCs w:val="22"/>
          <w:highlight w:val="none"/>
        </w:rPr>
        <w:t xml:space="preserve">approach—addresses both the cognitive and emotional demands of reflective writing. It is particularly suited to multidisciplinary, practice-based research. Therefore, I resolve to adopt the </w:t>
      </w:r>
      <w:r w:rsidR="006A2EAD" w:rsidRPr="006A2EAD">
        <w:rPr>
          <w:sz w:val="22"/>
          <w:szCs w:val="22"/>
          <w:highlight w:val="none"/>
        </w:rPr>
        <w:t>Sow</w:t>
      </w:r>
      <w:r w:rsidR="006A2EAD">
        <w:rPr>
          <w:sz w:val="22"/>
          <w:szCs w:val="22"/>
          <w:highlight w:val="none"/>
        </w:rPr>
        <w:t xml:space="preserve"> .C.F et al</w:t>
      </w:r>
      <w:r w:rsidR="006A2EAD" w:rsidRPr="00F12485">
        <w:rPr>
          <w:sz w:val="22"/>
          <w:szCs w:val="22"/>
          <w:highlight w:val="none"/>
        </w:rPr>
        <w:t xml:space="preserve"> </w:t>
      </w:r>
      <w:r w:rsidRPr="00F12485">
        <w:rPr>
          <w:sz w:val="22"/>
          <w:szCs w:val="22"/>
          <w:highlight w:val="none"/>
        </w:rPr>
        <w:t>(2025) framework to guide my ongoing critical reflection, ensuring it remains both meaningful and actionable within my professional practice.</w:t>
      </w:r>
    </w:p>
    <w:p w14:paraId="239313A3" w14:textId="77777777" w:rsidR="00EF6272" w:rsidRPr="00F12485" w:rsidRDefault="00EF6272" w:rsidP="00F12485">
      <w:pPr>
        <w:shd w:val="clear" w:color="auto" w:fill="auto"/>
        <w:spacing w:line="360" w:lineRule="auto"/>
        <w:rPr>
          <w:sz w:val="22"/>
          <w:szCs w:val="22"/>
          <w:highlight w:val="none"/>
        </w:rPr>
      </w:pPr>
    </w:p>
    <w:p w14:paraId="2CBC4DC4" w14:textId="77777777" w:rsidR="00EF6272" w:rsidRPr="00190C8B" w:rsidRDefault="00000000" w:rsidP="00F12485">
      <w:pPr>
        <w:shd w:val="clear" w:color="auto" w:fill="auto"/>
        <w:spacing w:line="360" w:lineRule="auto"/>
        <w:rPr>
          <w:b/>
          <w:bCs/>
          <w:sz w:val="22"/>
          <w:szCs w:val="22"/>
          <w:highlight w:val="none"/>
        </w:rPr>
      </w:pPr>
      <w:bookmarkStart w:id="2" w:name="_snvcwvc04a6r" w:colFirst="0" w:colLast="0"/>
      <w:bookmarkStart w:id="3" w:name="_d1b85n1q8loa" w:colFirst="0" w:colLast="0"/>
      <w:bookmarkEnd w:id="2"/>
      <w:bookmarkEnd w:id="3"/>
      <w:r w:rsidRPr="00190C8B">
        <w:rPr>
          <w:b/>
          <w:bCs/>
          <w:sz w:val="22"/>
          <w:szCs w:val="22"/>
          <w:highlight w:val="none"/>
        </w:rPr>
        <w:t>1. What? (Descriptive Reflection)</w:t>
      </w:r>
    </w:p>
    <w:p w14:paraId="4F0019EA"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I approached this study in a dual role, both as a singing teacher and a musical theatre director, embedded in amateur performance communities. During my time as both a facilitator of these groups, and also a participant, I observed recurring vocal health issues—such as strain and fatigue—among amateur singers, particularly during production weeks. I not only understood from previous reading that the partaking of these activities promoted wellbeing to those involved, but was aware of the social support network they provided for many, the potential negative impact on those individuals- if they were to suffer poor vocal health and be no longer able to participate within those sessions. Furthermore, as I work towards building my scholarship within this field, I am driven to gaining valuable insight into areas that directly impact my professional practice. Owing to my current practice bringing me into contact with large groups of </w:t>
      </w:r>
      <w:proofErr w:type="spellStart"/>
      <w:r w:rsidRPr="00F12485">
        <w:rPr>
          <w:sz w:val="22"/>
          <w:szCs w:val="22"/>
          <w:highlight w:val="none"/>
        </w:rPr>
        <w:t>amatuer</w:t>
      </w:r>
      <w:proofErr w:type="spellEnd"/>
      <w:r w:rsidRPr="00F12485">
        <w:rPr>
          <w:sz w:val="22"/>
          <w:szCs w:val="22"/>
          <w:highlight w:val="none"/>
        </w:rPr>
        <w:t xml:space="preserve"> singers I was motivated to gainer a better insight in to my current practices and how they aligned with the wider field. Motivated by these observations and my professional practice, I undertook a literature-based inquiry to explore current vocal health practices and identify strategies that could be integrated into my own teaching, along with establishing a knowledge base for possible further research that could help build on existing knowledge.</w:t>
      </w:r>
    </w:p>
    <w:p w14:paraId="51EF0B4F" w14:textId="77777777" w:rsidR="00EF6272" w:rsidRPr="00F12485" w:rsidRDefault="00EF6272" w:rsidP="00F12485">
      <w:pPr>
        <w:shd w:val="clear" w:color="auto" w:fill="auto"/>
        <w:spacing w:line="360" w:lineRule="auto"/>
        <w:rPr>
          <w:sz w:val="22"/>
          <w:szCs w:val="22"/>
          <w:highlight w:val="none"/>
        </w:rPr>
      </w:pPr>
    </w:p>
    <w:p w14:paraId="5A91C5B7" w14:textId="77777777" w:rsidR="00EF6272" w:rsidRPr="00190C8B" w:rsidRDefault="00000000" w:rsidP="00F12485">
      <w:pPr>
        <w:shd w:val="clear" w:color="auto" w:fill="auto"/>
        <w:spacing w:line="360" w:lineRule="auto"/>
        <w:rPr>
          <w:b/>
          <w:bCs/>
          <w:sz w:val="22"/>
          <w:szCs w:val="22"/>
          <w:highlight w:val="none"/>
        </w:rPr>
      </w:pPr>
      <w:bookmarkStart w:id="4" w:name="_p18fia98n98b" w:colFirst="0" w:colLast="0"/>
      <w:bookmarkEnd w:id="4"/>
      <w:r w:rsidRPr="00190C8B">
        <w:rPr>
          <w:b/>
          <w:bCs/>
          <w:sz w:val="22"/>
          <w:szCs w:val="22"/>
          <w:highlight w:val="none"/>
        </w:rPr>
        <w:t>2. So What? (Analytical Reflection)</w:t>
      </w:r>
    </w:p>
    <w:p w14:paraId="255AEC87" w14:textId="6BF3F883" w:rsidR="00EF6272" w:rsidRPr="00F12485" w:rsidRDefault="00000000" w:rsidP="00F12485">
      <w:pPr>
        <w:shd w:val="clear" w:color="auto" w:fill="auto"/>
        <w:spacing w:line="360" w:lineRule="auto"/>
        <w:rPr>
          <w:sz w:val="22"/>
          <w:szCs w:val="22"/>
          <w:highlight w:val="none"/>
        </w:rPr>
      </w:pPr>
      <w:r w:rsidRPr="00F12485">
        <w:rPr>
          <w:sz w:val="22"/>
          <w:szCs w:val="22"/>
          <w:highlight w:val="none"/>
        </w:rPr>
        <w:lastRenderedPageBreak/>
        <w:t xml:space="preserve">Throughout this review, I identified a pattern of limited vocal health awareness and inconsistent preventative practices among amateur singers. I </w:t>
      </w:r>
      <w:proofErr w:type="spellStart"/>
      <w:r w:rsidRPr="00F12485">
        <w:rPr>
          <w:sz w:val="22"/>
          <w:szCs w:val="22"/>
          <w:highlight w:val="none"/>
        </w:rPr>
        <w:t>recognised</w:t>
      </w:r>
      <w:proofErr w:type="spellEnd"/>
      <w:r w:rsidRPr="00F12485">
        <w:rPr>
          <w:sz w:val="22"/>
          <w:szCs w:val="22"/>
          <w:highlight w:val="none"/>
        </w:rPr>
        <w:t xml:space="preserve"> that many singers within these groups lacked formal training and that vocal health was often prioritized in rehearsal or session settings. My assumption- that vocal health was undervalued and that amateur singers are under supported in this </w:t>
      </w:r>
      <w:proofErr w:type="spellStart"/>
      <w:r w:rsidRPr="00F12485">
        <w:rPr>
          <w:sz w:val="22"/>
          <w:szCs w:val="22"/>
          <w:highlight w:val="none"/>
        </w:rPr>
        <w:t>aread</w:t>
      </w:r>
      <w:proofErr w:type="spellEnd"/>
      <w:r w:rsidRPr="00F12485">
        <w:rPr>
          <w:sz w:val="22"/>
          <w:szCs w:val="22"/>
          <w:highlight w:val="none"/>
        </w:rPr>
        <w:t xml:space="preserve">- was confirmed with studies such as </w:t>
      </w:r>
      <w:proofErr w:type="spellStart"/>
      <w:r w:rsidRPr="00F12485">
        <w:rPr>
          <w:sz w:val="22"/>
          <w:szCs w:val="22"/>
          <w:highlight w:val="none"/>
        </w:rPr>
        <w:t>Levett</w:t>
      </w:r>
      <w:proofErr w:type="spellEnd"/>
      <w:r w:rsidR="006A2EAD">
        <w:rPr>
          <w:sz w:val="22"/>
          <w:szCs w:val="22"/>
          <w:highlight w:val="none"/>
        </w:rPr>
        <w:t xml:space="preserve"> .J.</w:t>
      </w:r>
      <w:r w:rsidRPr="00F12485">
        <w:rPr>
          <w:sz w:val="22"/>
          <w:szCs w:val="22"/>
          <w:highlight w:val="none"/>
        </w:rPr>
        <w:t xml:space="preserve"> &amp; Pring</w:t>
      </w:r>
      <w:r w:rsidR="006A2EAD">
        <w:rPr>
          <w:sz w:val="22"/>
          <w:szCs w:val="22"/>
          <w:highlight w:val="none"/>
        </w:rPr>
        <w:t xml:space="preserve"> .T.</w:t>
      </w:r>
      <w:r w:rsidRPr="00F12485">
        <w:rPr>
          <w:sz w:val="22"/>
          <w:szCs w:val="22"/>
          <w:highlight w:val="none"/>
        </w:rPr>
        <w:t xml:space="preserve"> (2023) and Rosa</w:t>
      </w:r>
      <w:r w:rsidR="006A2EAD">
        <w:rPr>
          <w:sz w:val="22"/>
          <w:szCs w:val="22"/>
          <w:highlight w:val="none"/>
        </w:rPr>
        <w:t xml:space="preserve"> .M.</w:t>
      </w:r>
      <w:r w:rsidRPr="00F12485">
        <w:rPr>
          <w:sz w:val="22"/>
          <w:szCs w:val="22"/>
          <w:highlight w:val="none"/>
        </w:rPr>
        <w:t xml:space="preserve"> &amp; </w:t>
      </w:r>
      <w:proofErr w:type="spellStart"/>
      <w:r w:rsidRPr="00F12485">
        <w:rPr>
          <w:sz w:val="22"/>
          <w:szCs w:val="22"/>
          <w:highlight w:val="none"/>
        </w:rPr>
        <w:t>Behlau</w:t>
      </w:r>
      <w:proofErr w:type="spellEnd"/>
      <w:r w:rsidR="006A2EAD">
        <w:rPr>
          <w:sz w:val="22"/>
          <w:szCs w:val="22"/>
          <w:highlight w:val="none"/>
        </w:rPr>
        <w:t xml:space="preserve"> .M.</w:t>
      </w:r>
      <w:r w:rsidRPr="00F12485">
        <w:rPr>
          <w:sz w:val="22"/>
          <w:szCs w:val="22"/>
          <w:highlight w:val="none"/>
        </w:rPr>
        <w:t xml:space="preserve"> (2017). </w:t>
      </w:r>
    </w:p>
    <w:p w14:paraId="2C30B1DD"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I gave acknowledgement to the limitations of </w:t>
      </w:r>
      <w:proofErr w:type="spellStart"/>
      <w:r w:rsidRPr="00F12485">
        <w:rPr>
          <w:sz w:val="22"/>
          <w:szCs w:val="22"/>
          <w:highlight w:val="none"/>
        </w:rPr>
        <w:t>self reported</w:t>
      </w:r>
      <w:proofErr w:type="spellEnd"/>
      <w:r w:rsidRPr="00F12485">
        <w:rPr>
          <w:sz w:val="22"/>
          <w:szCs w:val="22"/>
          <w:highlight w:val="none"/>
        </w:rPr>
        <w:t xml:space="preserve"> data and the need for more structured, evidence based interventions. Furthermore, The literature highlighted the importance of leadership, warm-up practices, and self-assessment tools, reinforcing my belief in the need for pedagogical change. </w:t>
      </w:r>
    </w:p>
    <w:p w14:paraId="63243550" w14:textId="77777777" w:rsidR="00EF6272" w:rsidRPr="00F12485" w:rsidRDefault="00EF6272" w:rsidP="00F12485">
      <w:pPr>
        <w:shd w:val="clear" w:color="auto" w:fill="auto"/>
        <w:spacing w:line="360" w:lineRule="auto"/>
        <w:rPr>
          <w:sz w:val="22"/>
          <w:szCs w:val="22"/>
          <w:highlight w:val="none"/>
        </w:rPr>
      </w:pPr>
    </w:p>
    <w:p w14:paraId="7F1E2995" w14:textId="77777777" w:rsidR="00EF6272" w:rsidRPr="00190C8B" w:rsidRDefault="00000000" w:rsidP="00F12485">
      <w:pPr>
        <w:shd w:val="clear" w:color="auto" w:fill="auto"/>
        <w:spacing w:line="360" w:lineRule="auto"/>
        <w:rPr>
          <w:b/>
          <w:bCs/>
          <w:sz w:val="22"/>
          <w:szCs w:val="22"/>
          <w:highlight w:val="none"/>
        </w:rPr>
      </w:pPr>
      <w:bookmarkStart w:id="5" w:name="_51k59xqbb49l" w:colFirst="0" w:colLast="0"/>
      <w:bookmarkEnd w:id="5"/>
      <w:r w:rsidRPr="00190C8B">
        <w:rPr>
          <w:b/>
          <w:bCs/>
          <w:sz w:val="22"/>
          <w:szCs w:val="22"/>
          <w:highlight w:val="none"/>
        </w:rPr>
        <w:t>3. Now What? (Transformative Reflection)</w:t>
      </w:r>
    </w:p>
    <w:p w14:paraId="432E2C12"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As a result of this review, I plan to implement more structured vocal health education in your teaching practice and when leading in group rehearsals. My hope being that I start a cultural shift to the attitude towards vocal health within my own cohort of students and groups. This will include integrating evidence-based warm-up routines, promoting self-monitoring tools, and advocating for vocal health literacy among my network of group leaders within community theatre. </w:t>
      </w:r>
    </w:p>
    <w:p w14:paraId="5D5D7A97"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I have come to understand that to impact my own network of singers, it requires both the empowerment of the individual to </w:t>
      </w:r>
      <w:proofErr w:type="spellStart"/>
      <w:r w:rsidRPr="00F12485">
        <w:rPr>
          <w:sz w:val="22"/>
          <w:szCs w:val="22"/>
          <w:highlight w:val="none"/>
        </w:rPr>
        <w:t>recognise</w:t>
      </w:r>
      <w:proofErr w:type="spellEnd"/>
      <w:r w:rsidRPr="00F12485">
        <w:rPr>
          <w:sz w:val="22"/>
          <w:szCs w:val="22"/>
          <w:highlight w:val="none"/>
        </w:rPr>
        <w:t xml:space="preserve"> and monitor their own health, but this needs to work in tandem with a shift in vocal health priorities that are led from leadership within these groups. The potential for the amount of singers this work could possibly impact within my own network, imparted on my level of impact further research into this field would have for such a significant group of people. I aim to contribute to the field through further research later within my research, and this could be through practitioner-led inquiry owing to the level of access I have to possible sample groups. </w:t>
      </w:r>
    </w:p>
    <w:p w14:paraId="6634DAB4"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t>This reflection has deepened your identity as an insider researcher and strengthened your commitment to bridging the gap between theory and practice in community singing contexts and the students I mentor in these groups.</w:t>
      </w:r>
    </w:p>
    <w:p w14:paraId="14B72228" w14:textId="77777777" w:rsidR="00EF6272" w:rsidRPr="00F12485" w:rsidRDefault="00EF6272" w:rsidP="00F12485">
      <w:pPr>
        <w:shd w:val="clear" w:color="auto" w:fill="auto"/>
        <w:spacing w:line="360" w:lineRule="auto"/>
        <w:rPr>
          <w:sz w:val="22"/>
          <w:szCs w:val="22"/>
          <w:highlight w:val="none"/>
        </w:rPr>
      </w:pPr>
    </w:p>
    <w:p w14:paraId="50A6082F" w14:textId="77777777" w:rsidR="00EF6272" w:rsidRPr="00190C8B" w:rsidRDefault="00000000" w:rsidP="00F12485">
      <w:pPr>
        <w:shd w:val="clear" w:color="auto" w:fill="auto"/>
        <w:spacing w:line="360" w:lineRule="auto"/>
        <w:rPr>
          <w:b/>
          <w:bCs/>
          <w:sz w:val="22"/>
          <w:szCs w:val="22"/>
          <w:highlight w:val="none"/>
        </w:rPr>
      </w:pPr>
      <w:bookmarkStart w:id="6" w:name="_3q0i5gmxaveo" w:colFirst="0" w:colLast="0"/>
      <w:bookmarkEnd w:id="6"/>
      <w:r w:rsidRPr="00190C8B">
        <w:rPr>
          <w:b/>
          <w:bCs/>
          <w:sz w:val="22"/>
          <w:szCs w:val="22"/>
          <w:highlight w:val="none"/>
        </w:rPr>
        <w:t>4. Meta-Reflection (Hermeneutic Layer)</w:t>
      </w:r>
    </w:p>
    <w:p w14:paraId="0C94E0FF"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lastRenderedPageBreak/>
        <w:t xml:space="preserve">Over time, my understanding evolved from anecdotal concern to a more nuanced, evidence-informed perspective. I have acknowledged the complexity of vocal health in amateur settings and the need for adaptable, context-sensitive solutions. My personal </w:t>
      </w:r>
    </w:p>
    <w:p w14:paraId="46885C05"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One area I feel that there is still an unresolved element of my research, is an informed Self-monitoring tool that could be successfully integrated into my practice. This is as I found the conflicting papers did not come to compare like for like, rather different forms of tools. This indirect comparison I felt impeded my ability to rest upon a possible future resource I could implement into my practice. I have reflected earlier on the importance of giving singers the correct tools to lead themselves in monitoring their own vocal health, which is essential in situations where they may mostly sing as a group and an individual’s </w:t>
      </w:r>
      <w:proofErr w:type="spellStart"/>
      <w:r w:rsidRPr="00F12485">
        <w:rPr>
          <w:sz w:val="22"/>
          <w:szCs w:val="22"/>
          <w:highlight w:val="none"/>
        </w:rPr>
        <w:t>symptomatics</w:t>
      </w:r>
      <w:proofErr w:type="spellEnd"/>
      <w:r w:rsidRPr="00F12485">
        <w:rPr>
          <w:sz w:val="22"/>
          <w:szCs w:val="22"/>
          <w:highlight w:val="none"/>
        </w:rPr>
        <w:t xml:space="preserve"> may go unnoticed to a leader. Therefore, I feel the implementation of the </w:t>
      </w:r>
      <w:proofErr w:type="spellStart"/>
      <w:r w:rsidRPr="00F12485">
        <w:rPr>
          <w:sz w:val="22"/>
          <w:szCs w:val="22"/>
          <w:highlight w:val="none"/>
        </w:rPr>
        <w:t>self monitoring</w:t>
      </w:r>
      <w:proofErr w:type="spellEnd"/>
      <w:r w:rsidRPr="00F12485">
        <w:rPr>
          <w:sz w:val="22"/>
          <w:szCs w:val="22"/>
          <w:highlight w:val="none"/>
        </w:rPr>
        <w:t xml:space="preserve"> tool would be essential in impacting </w:t>
      </w:r>
      <w:proofErr w:type="spellStart"/>
      <w:r w:rsidRPr="00F12485">
        <w:rPr>
          <w:sz w:val="22"/>
          <w:szCs w:val="22"/>
          <w:highlight w:val="none"/>
        </w:rPr>
        <w:t>change.I</w:t>
      </w:r>
      <w:proofErr w:type="spellEnd"/>
      <w:r w:rsidRPr="00F12485">
        <w:rPr>
          <w:sz w:val="22"/>
          <w:szCs w:val="22"/>
          <w:highlight w:val="none"/>
        </w:rPr>
        <w:t xml:space="preserve"> feel this reflective practice of returning back to knowledge gained throughout this process, leans into the hermeneutic methodology and supports my continuous professional development- and is an approach I will continue to take into my research, which I believe offers a practical, structured, and emotionally aware approach to reflection, aligning with your hermeneutic methodology and supporting my ongoing development as a reflective practitioner.</w:t>
      </w:r>
    </w:p>
    <w:p w14:paraId="783F0D4C" w14:textId="77777777" w:rsidR="00EF6272" w:rsidRDefault="00EF6272" w:rsidP="00F12485">
      <w:pPr>
        <w:shd w:val="clear" w:color="auto" w:fill="auto"/>
        <w:spacing w:line="360" w:lineRule="auto"/>
        <w:rPr>
          <w:sz w:val="22"/>
          <w:szCs w:val="22"/>
          <w:highlight w:val="none"/>
        </w:rPr>
      </w:pPr>
    </w:p>
    <w:p w14:paraId="39978758" w14:textId="77777777" w:rsidR="00AE2CC3" w:rsidRDefault="00AE2CC3" w:rsidP="00F12485">
      <w:pPr>
        <w:shd w:val="clear" w:color="auto" w:fill="auto"/>
        <w:spacing w:line="360" w:lineRule="auto"/>
        <w:rPr>
          <w:sz w:val="22"/>
          <w:szCs w:val="22"/>
          <w:highlight w:val="none"/>
        </w:rPr>
      </w:pPr>
    </w:p>
    <w:p w14:paraId="1CE0C5CF" w14:textId="77777777" w:rsidR="00AE2CC3" w:rsidRDefault="00AE2CC3" w:rsidP="00F12485">
      <w:pPr>
        <w:shd w:val="clear" w:color="auto" w:fill="auto"/>
        <w:spacing w:line="360" w:lineRule="auto"/>
        <w:rPr>
          <w:sz w:val="22"/>
          <w:szCs w:val="22"/>
          <w:highlight w:val="none"/>
        </w:rPr>
      </w:pPr>
    </w:p>
    <w:p w14:paraId="14045854" w14:textId="77777777" w:rsidR="00AE2CC3" w:rsidRDefault="00AE2CC3" w:rsidP="00F12485">
      <w:pPr>
        <w:shd w:val="clear" w:color="auto" w:fill="auto"/>
        <w:spacing w:line="360" w:lineRule="auto"/>
        <w:rPr>
          <w:sz w:val="22"/>
          <w:szCs w:val="22"/>
          <w:highlight w:val="none"/>
        </w:rPr>
      </w:pPr>
    </w:p>
    <w:p w14:paraId="493A77B4" w14:textId="77777777" w:rsidR="00AE2CC3" w:rsidRDefault="00AE2CC3" w:rsidP="00F12485">
      <w:pPr>
        <w:shd w:val="clear" w:color="auto" w:fill="auto"/>
        <w:spacing w:line="360" w:lineRule="auto"/>
        <w:rPr>
          <w:sz w:val="22"/>
          <w:szCs w:val="22"/>
          <w:highlight w:val="none"/>
        </w:rPr>
      </w:pPr>
    </w:p>
    <w:p w14:paraId="537980EA" w14:textId="77777777" w:rsidR="00AE2CC3" w:rsidRDefault="00AE2CC3" w:rsidP="00F12485">
      <w:pPr>
        <w:shd w:val="clear" w:color="auto" w:fill="auto"/>
        <w:spacing w:line="360" w:lineRule="auto"/>
        <w:rPr>
          <w:sz w:val="22"/>
          <w:szCs w:val="22"/>
          <w:highlight w:val="none"/>
        </w:rPr>
      </w:pPr>
    </w:p>
    <w:p w14:paraId="590B37EA" w14:textId="77777777" w:rsidR="00AE2CC3" w:rsidRDefault="00AE2CC3" w:rsidP="00F12485">
      <w:pPr>
        <w:shd w:val="clear" w:color="auto" w:fill="auto"/>
        <w:spacing w:line="360" w:lineRule="auto"/>
        <w:rPr>
          <w:sz w:val="22"/>
          <w:szCs w:val="22"/>
          <w:highlight w:val="none"/>
        </w:rPr>
      </w:pPr>
    </w:p>
    <w:p w14:paraId="52478CAD" w14:textId="77777777" w:rsidR="00AE2CC3" w:rsidRDefault="00AE2CC3" w:rsidP="00F12485">
      <w:pPr>
        <w:shd w:val="clear" w:color="auto" w:fill="auto"/>
        <w:spacing w:line="360" w:lineRule="auto"/>
        <w:rPr>
          <w:sz w:val="22"/>
          <w:szCs w:val="22"/>
          <w:highlight w:val="none"/>
        </w:rPr>
      </w:pPr>
    </w:p>
    <w:p w14:paraId="1BCDB8BB" w14:textId="77777777" w:rsidR="00AE2CC3" w:rsidRDefault="00AE2CC3" w:rsidP="00F12485">
      <w:pPr>
        <w:shd w:val="clear" w:color="auto" w:fill="auto"/>
        <w:spacing w:line="360" w:lineRule="auto"/>
        <w:rPr>
          <w:sz w:val="22"/>
          <w:szCs w:val="22"/>
          <w:highlight w:val="none"/>
        </w:rPr>
      </w:pPr>
    </w:p>
    <w:p w14:paraId="037BA6A5" w14:textId="77777777" w:rsidR="00AE2CC3" w:rsidRDefault="00AE2CC3" w:rsidP="00F12485">
      <w:pPr>
        <w:shd w:val="clear" w:color="auto" w:fill="auto"/>
        <w:spacing w:line="360" w:lineRule="auto"/>
        <w:rPr>
          <w:sz w:val="22"/>
          <w:szCs w:val="22"/>
          <w:highlight w:val="none"/>
        </w:rPr>
      </w:pPr>
    </w:p>
    <w:p w14:paraId="66D9FA48" w14:textId="77777777" w:rsidR="00AE2CC3" w:rsidRDefault="00AE2CC3" w:rsidP="00F12485">
      <w:pPr>
        <w:shd w:val="clear" w:color="auto" w:fill="auto"/>
        <w:spacing w:line="360" w:lineRule="auto"/>
        <w:rPr>
          <w:sz w:val="22"/>
          <w:szCs w:val="22"/>
          <w:highlight w:val="none"/>
        </w:rPr>
      </w:pPr>
    </w:p>
    <w:p w14:paraId="2B7E749E" w14:textId="77777777" w:rsidR="00AE2CC3" w:rsidRPr="00F12485" w:rsidRDefault="00AE2CC3" w:rsidP="00F12485">
      <w:pPr>
        <w:shd w:val="clear" w:color="auto" w:fill="auto"/>
        <w:spacing w:line="360" w:lineRule="auto"/>
        <w:rPr>
          <w:sz w:val="22"/>
          <w:szCs w:val="22"/>
          <w:highlight w:val="none"/>
        </w:rPr>
      </w:pPr>
    </w:p>
    <w:p w14:paraId="25EE0284" w14:textId="77777777" w:rsidR="00EF6272" w:rsidRPr="00F12485" w:rsidRDefault="00EF6272" w:rsidP="00F12485">
      <w:pPr>
        <w:shd w:val="clear" w:color="auto" w:fill="auto"/>
        <w:spacing w:line="360" w:lineRule="auto"/>
        <w:rPr>
          <w:sz w:val="22"/>
          <w:szCs w:val="22"/>
          <w:highlight w:val="none"/>
        </w:rPr>
      </w:pPr>
    </w:p>
    <w:p w14:paraId="1424547F" w14:textId="77777777" w:rsidR="00EF6272" w:rsidRDefault="00000000" w:rsidP="00F12485">
      <w:pPr>
        <w:shd w:val="clear" w:color="auto" w:fill="auto"/>
        <w:spacing w:line="360" w:lineRule="auto"/>
        <w:rPr>
          <w:b/>
          <w:bCs/>
          <w:sz w:val="22"/>
          <w:szCs w:val="22"/>
          <w:highlight w:val="none"/>
        </w:rPr>
      </w:pPr>
      <w:r w:rsidRPr="00190C8B">
        <w:rPr>
          <w:b/>
          <w:bCs/>
          <w:sz w:val="22"/>
          <w:szCs w:val="22"/>
          <w:highlight w:val="none"/>
        </w:rPr>
        <w:lastRenderedPageBreak/>
        <w:t>References</w:t>
      </w:r>
    </w:p>
    <w:tbl>
      <w:tblPr>
        <w:tblW w:w="11180" w:type="dxa"/>
        <w:tblLook w:val="04A0" w:firstRow="1" w:lastRow="0" w:firstColumn="1" w:lastColumn="0" w:noHBand="0" w:noVBand="1"/>
      </w:tblPr>
      <w:tblGrid>
        <w:gridCol w:w="11180"/>
      </w:tblGrid>
      <w:tr w:rsidR="00AE2CC3" w:rsidRPr="00AE2CC3" w14:paraId="78B72DD3" w14:textId="77777777" w:rsidTr="00AE2CC3">
        <w:trPr>
          <w:trHeight w:val="600"/>
        </w:trPr>
        <w:tc>
          <w:tcPr>
            <w:tcW w:w="11180" w:type="dxa"/>
            <w:tcBorders>
              <w:top w:val="nil"/>
              <w:left w:val="nil"/>
              <w:bottom w:val="nil"/>
              <w:right w:val="nil"/>
            </w:tcBorders>
            <w:shd w:val="clear" w:color="auto" w:fill="auto"/>
            <w:vAlign w:val="center"/>
          </w:tcPr>
          <w:tbl>
            <w:tblPr>
              <w:tblW w:w="8825" w:type="dxa"/>
              <w:tblLook w:val="04A0" w:firstRow="1" w:lastRow="0" w:firstColumn="1" w:lastColumn="0" w:noHBand="0" w:noVBand="1"/>
            </w:tblPr>
            <w:tblGrid>
              <w:gridCol w:w="8825"/>
            </w:tblGrid>
            <w:tr w:rsidR="00AE2CC3" w:rsidRPr="00AE2CC3" w14:paraId="177A68F0" w14:textId="77777777" w:rsidTr="00AE2CC3">
              <w:trPr>
                <w:trHeight w:val="828"/>
              </w:trPr>
              <w:tc>
                <w:tcPr>
                  <w:tcW w:w="8825" w:type="dxa"/>
                  <w:tcBorders>
                    <w:top w:val="nil"/>
                    <w:left w:val="nil"/>
                    <w:bottom w:val="nil"/>
                    <w:right w:val="nil"/>
                  </w:tcBorders>
                  <w:shd w:val="clear" w:color="auto" w:fill="auto"/>
                  <w:vAlign w:val="center"/>
                  <w:hideMark/>
                </w:tcPr>
                <w:p w14:paraId="434DB736"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rPr>
                    <w:t>Cooke, A., Smith, D. and Booth, A. (2012)) ‘Beyond PICO: The SPIDER Tool for Qualitative Evidence Synthesis’, Qualitative health research, 22(10), pp. 1435–1443.</w:t>
                  </w:r>
                </w:p>
              </w:tc>
            </w:tr>
            <w:tr w:rsidR="00AE2CC3" w:rsidRPr="00AE2CC3" w14:paraId="1C63A4E1" w14:textId="77777777" w:rsidTr="00AE2CC3">
              <w:trPr>
                <w:trHeight w:val="852"/>
              </w:trPr>
              <w:tc>
                <w:tcPr>
                  <w:tcW w:w="8825" w:type="dxa"/>
                  <w:tcBorders>
                    <w:top w:val="nil"/>
                    <w:left w:val="nil"/>
                    <w:bottom w:val="nil"/>
                    <w:right w:val="nil"/>
                  </w:tcBorders>
                  <w:shd w:val="clear" w:color="auto" w:fill="auto"/>
                  <w:vAlign w:val="bottom"/>
                  <w:hideMark/>
                </w:tcPr>
                <w:p w14:paraId="4E187C41"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proofErr w:type="spellStart"/>
                  <w:r w:rsidRPr="00AE2CC3">
                    <w:rPr>
                      <w:rFonts w:eastAsia="Times New Roman"/>
                      <w:color w:val="auto"/>
                      <w:sz w:val="22"/>
                      <w:szCs w:val="22"/>
                      <w:highlight w:val="none"/>
                      <w:lang w:val="en-GB"/>
                    </w:rPr>
                    <w:t>Adessa</w:t>
                  </w:r>
                  <w:proofErr w:type="spellEnd"/>
                  <w:r w:rsidRPr="00AE2CC3">
                    <w:rPr>
                      <w:rFonts w:eastAsia="Times New Roman"/>
                      <w:color w:val="auto"/>
                      <w:sz w:val="22"/>
                      <w:szCs w:val="22"/>
                      <w:highlight w:val="none"/>
                      <w:lang w:val="en-GB"/>
                    </w:rPr>
                    <w:t xml:space="preserve">, M., </w:t>
                  </w:r>
                  <w:proofErr w:type="spellStart"/>
                  <w:r w:rsidRPr="00AE2CC3">
                    <w:rPr>
                      <w:rFonts w:eastAsia="Times New Roman"/>
                      <w:color w:val="auto"/>
                      <w:sz w:val="22"/>
                      <w:szCs w:val="22"/>
                      <w:highlight w:val="none"/>
                      <w:lang w:val="en-GB"/>
                    </w:rPr>
                    <w:t>Stadelman</w:t>
                  </w:r>
                  <w:proofErr w:type="spellEnd"/>
                  <w:r w:rsidRPr="00AE2CC3">
                    <w:rPr>
                      <w:rFonts w:eastAsia="Times New Roman"/>
                      <w:color w:val="auto"/>
                      <w:sz w:val="22"/>
                      <w:szCs w:val="22"/>
                      <w:highlight w:val="none"/>
                      <w:lang w:val="en-GB"/>
                    </w:rPr>
                    <w:t xml:space="preserve">-Cohen, T., </w:t>
                  </w:r>
                  <w:proofErr w:type="spellStart"/>
                  <w:r w:rsidRPr="00AE2CC3">
                    <w:rPr>
                      <w:rFonts w:eastAsia="Times New Roman"/>
                      <w:color w:val="auto"/>
                      <w:sz w:val="22"/>
                      <w:szCs w:val="22"/>
                      <w:highlight w:val="none"/>
                      <w:lang w:val="en-GB"/>
                    </w:rPr>
                    <w:t>Zipse</w:t>
                  </w:r>
                  <w:proofErr w:type="spellEnd"/>
                  <w:r w:rsidRPr="00AE2CC3">
                    <w:rPr>
                      <w:rFonts w:eastAsia="Times New Roman"/>
                      <w:color w:val="auto"/>
                      <w:sz w:val="22"/>
                      <w:szCs w:val="22"/>
                      <w:highlight w:val="none"/>
                      <w:lang w:val="en-GB"/>
                    </w:rPr>
                    <w:t xml:space="preserve">, L., Guarino, A.J. &amp; Heaton, J.T. (2017) Factors affecting voice therapy completion in singers. </w:t>
                  </w:r>
                  <w:r w:rsidRPr="00AE2CC3">
                    <w:rPr>
                      <w:rFonts w:eastAsia="Times New Roman"/>
                      <w:i/>
                      <w:iCs/>
                      <w:color w:val="auto"/>
                      <w:sz w:val="22"/>
                      <w:szCs w:val="22"/>
                      <w:highlight w:val="none"/>
                      <w:lang w:val="en-GB"/>
                    </w:rPr>
                    <w:t>Journal of Voice</w:t>
                  </w:r>
                  <w:r w:rsidRPr="00AE2CC3">
                    <w:rPr>
                      <w:rFonts w:eastAsia="Times New Roman"/>
                      <w:color w:val="auto"/>
                      <w:sz w:val="22"/>
                      <w:szCs w:val="22"/>
                      <w:highlight w:val="none"/>
                      <w:lang w:val="en-GB"/>
                    </w:rPr>
                    <w:t>, 32, 564–571</w:t>
                  </w:r>
                </w:p>
              </w:tc>
            </w:tr>
            <w:tr w:rsidR="00AE2CC3" w:rsidRPr="00AE2CC3" w14:paraId="168262E1" w14:textId="77777777" w:rsidTr="00AE2CC3">
              <w:trPr>
                <w:trHeight w:val="864"/>
              </w:trPr>
              <w:tc>
                <w:tcPr>
                  <w:tcW w:w="8825" w:type="dxa"/>
                  <w:tcBorders>
                    <w:top w:val="nil"/>
                    <w:left w:val="nil"/>
                    <w:bottom w:val="nil"/>
                    <w:right w:val="nil"/>
                  </w:tcBorders>
                  <w:shd w:val="clear" w:color="auto" w:fill="auto"/>
                  <w:vAlign w:val="bottom"/>
                  <w:hideMark/>
                </w:tcPr>
                <w:p w14:paraId="35B9085B"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lang w:val="en-GB"/>
                    </w:rPr>
                    <w:t xml:space="preserve">Amir, O., Amir, N. and </w:t>
                  </w:r>
                  <w:proofErr w:type="spellStart"/>
                  <w:r w:rsidRPr="00AE2CC3">
                    <w:rPr>
                      <w:rFonts w:eastAsia="Times New Roman"/>
                      <w:color w:val="auto"/>
                      <w:sz w:val="22"/>
                      <w:szCs w:val="22"/>
                      <w:highlight w:val="none"/>
                      <w:lang w:val="en-GB"/>
                    </w:rPr>
                    <w:t>Michaeli</w:t>
                  </w:r>
                  <w:proofErr w:type="spellEnd"/>
                  <w:r w:rsidRPr="00AE2CC3">
                    <w:rPr>
                      <w:rFonts w:eastAsia="Times New Roman"/>
                      <w:color w:val="auto"/>
                      <w:sz w:val="22"/>
                      <w:szCs w:val="22"/>
                      <w:highlight w:val="none"/>
                      <w:lang w:val="en-GB"/>
                    </w:rPr>
                    <w:t xml:space="preserve">, O., 2019. </w:t>
                  </w:r>
                  <w:r w:rsidRPr="00AE2CC3">
                    <w:rPr>
                      <w:rFonts w:eastAsia="Times New Roman"/>
                      <w:i/>
                      <w:iCs/>
                      <w:color w:val="auto"/>
                      <w:sz w:val="22"/>
                      <w:szCs w:val="22"/>
                      <w:highlight w:val="none"/>
                      <w:lang w:val="en-GB"/>
                    </w:rPr>
                    <w:t>The effect of vocal warm-up on voice quality: Acoustic and perceptual measurements</w:t>
                  </w:r>
                  <w:r w:rsidRPr="00AE2CC3">
                    <w:rPr>
                      <w:rFonts w:eastAsia="Times New Roman"/>
                      <w:color w:val="auto"/>
                      <w:sz w:val="22"/>
                      <w:szCs w:val="22"/>
                      <w:highlight w:val="none"/>
                      <w:lang w:val="en-GB"/>
                    </w:rPr>
                    <w:t>. Journal of Voice, 33(2), pp.171–177</w:t>
                  </w:r>
                </w:p>
              </w:tc>
            </w:tr>
            <w:tr w:rsidR="00AE2CC3" w:rsidRPr="00AE2CC3" w14:paraId="6AE06869" w14:textId="77777777" w:rsidTr="00AE2CC3">
              <w:trPr>
                <w:trHeight w:val="564"/>
              </w:trPr>
              <w:tc>
                <w:tcPr>
                  <w:tcW w:w="8825" w:type="dxa"/>
                  <w:tcBorders>
                    <w:top w:val="nil"/>
                    <w:left w:val="nil"/>
                    <w:bottom w:val="nil"/>
                    <w:right w:val="nil"/>
                  </w:tcBorders>
                  <w:shd w:val="clear" w:color="auto" w:fill="auto"/>
                  <w:vAlign w:val="bottom"/>
                  <w:hideMark/>
                </w:tcPr>
                <w:p w14:paraId="231800B8"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proofErr w:type="spellStart"/>
                  <w:r w:rsidRPr="00AE2CC3">
                    <w:rPr>
                      <w:rFonts w:eastAsia="Times New Roman"/>
                      <w:color w:val="auto"/>
                      <w:sz w:val="22"/>
                      <w:szCs w:val="22"/>
                      <w:highlight w:val="none"/>
                      <w:lang w:val="en-GB"/>
                    </w:rPr>
                    <w:t>Apfelstadt</w:t>
                  </w:r>
                  <w:proofErr w:type="spellEnd"/>
                  <w:r w:rsidRPr="00AE2CC3">
                    <w:rPr>
                      <w:rFonts w:eastAsia="Times New Roman"/>
                      <w:color w:val="auto"/>
                      <w:sz w:val="22"/>
                      <w:szCs w:val="22"/>
                      <w:highlight w:val="none"/>
                      <w:lang w:val="en-GB"/>
                    </w:rPr>
                    <w:t xml:space="preserve">, H., 2016. Warm-ups: Building strong foundations for ensemble singing. </w:t>
                  </w:r>
                  <w:r w:rsidRPr="00AE2CC3">
                    <w:rPr>
                      <w:rFonts w:eastAsia="Times New Roman"/>
                      <w:i/>
                      <w:iCs/>
                      <w:color w:val="auto"/>
                      <w:sz w:val="22"/>
                      <w:szCs w:val="22"/>
                      <w:highlight w:val="none"/>
                      <w:lang w:val="en-GB"/>
                    </w:rPr>
                    <w:t>Music Educators Journal</w:t>
                  </w:r>
                  <w:r w:rsidRPr="00AE2CC3">
                    <w:rPr>
                      <w:rFonts w:eastAsia="Times New Roman"/>
                      <w:color w:val="auto"/>
                      <w:sz w:val="22"/>
                      <w:szCs w:val="22"/>
                      <w:highlight w:val="none"/>
                      <w:lang w:val="en-GB"/>
                    </w:rPr>
                    <w:t>, 102(3), pp.77–81</w:t>
                  </w:r>
                </w:p>
              </w:tc>
            </w:tr>
            <w:tr w:rsidR="00AE2CC3" w:rsidRPr="00AE2CC3" w14:paraId="642A8195" w14:textId="77777777" w:rsidTr="00AE2CC3">
              <w:trPr>
                <w:trHeight w:val="576"/>
              </w:trPr>
              <w:tc>
                <w:tcPr>
                  <w:tcW w:w="8825" w:type="dxa"/>
                  <w:tcBorders>
                    <w:top w:val="nil"/>
                    <w:left w:val="nil"/>
                    <w:bottom w:val="nil"/>
                    <w:right w:val="nil"/>
                  </w:tcBorders>
                  <w:shd w:val="clear" w:color="auto" w:fill="auto"/>
                  <w:vAlign w:val="bottom"/>
                  <w:hideMark/>
                </w:tcPr>
                <w:p w14:paraId="3E126E9E" w14:textId="77777777" w:rsidR="00AE2CC3" w:rsidRPr="00AE2CC3" w:rsidRDefault="00AE2CC3" w:rsidP="00AE2CC3">
                  <w:pPr>
                    <w:shd w:val="clear" w:color="auto" w:fill="auto"/>
                    <w:spacing w:before="0" w:after="0" w:line="240" w:lineRule="auto"/>
                    <w:rPr>
                      <w:rFonts w:ascii="Aptos Narrow" w:eastAsia="Times New Roman" w:hAnsi="Aptos Narrow" w:cs="Times New Roman"/>
                      <w:color w:val="auto"/>
                      <w:sz w:val="22"/>
                      <w:szCs w:val="22"/>
                      <w:highlight w:val="none"/>
                      <w:lang w:val="en-GB"/>
                    </w:rPr>
                  </w:pPr>
                  <w:r w:rsidRPr="00AE2CC3">
                    <w:rPr>
                      <w:rFonts w:ascii="Aptos Narrow" w:eastAsia="Times New Roman" w:hAnsi="Aptos Narrow" w:cs="Times New Roman"/>
                      <w:color w:val="auto"/>
                      <w:sz w:val="22"/>
                      <w:szCs w:val="22"/>
                      <w:highlight w:val="none"/>
                      <w:lang w:val="en-GB"/>
                    </w:rPr>
                    <w:t>Baird, B.J. et al. (2020) ‘A Preliminary Study of Vocal Health Among Collegiate A Cappella Singers’, Journal of voice, 34(3), p. 486</w:t>
                  </w:r>
                </w:p>
              </w:tc>
            </w:tr>
            <w:tr w:rsidR="00AE2CC3" w:rsidRPr="00AE2CC3" w14:paraId="771DE86C" w14:textId="77777777" w:rsidTr="00AE2CC3">
              <w:trPr>
                <w:trHeight w:val="552"/>
              </w:trPr>
              <w:tc>
                <w:tcPr>
                  <w:tcW w:w="8825" w:type="dxa"/>
                  <w:tcBorders>
                    <w:top w:val="nil"/>
                    <w:left w:val="nil"/>
                    <w:bottom w:val="nil"/>
                    <w:right w:val="nil"/>
                  </w:tcBorders>
                  <w:shd w:val="clear" w:color="auto" w:fill="auto"/>
                  <w:vAlign w:val="center"/>
                  <w:hideMark/>
                </w:tcPr>
                <w:p w14:paraId="4DBA1755"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rPr>
                    <w:t>Bell, J., &amp; Waters, S. (2018). Doing Your Research Project: A Guide for First-Time Researchers. McGraw-Hill Education.</w:t>
                  </w:r>
                </w:p>
              </w:tc>
            </w:tr>
            <w:tr w:rsidR="00AE2CC3" w:rsidRPr="00AE2CC3" w14:paraId="7DF8E40C" w14:textId="77777777" w:rsidTr="00AE2CC3">
              <w:trPr>
                <w:trHeight w:val="840"/>
              </w:trPr>
              <w:tc>
                <w:tcPr>
                  <w:tcW w:w="8825" w:type="dxa"/>
                  <w:tcBorders>
                    <w:top w:val="nil"/>
                    <w:left w:val="nil"/>
                    <w:bottom w:val="nil"/>
                    <w:right w:val="nil"/>
                  </w:tcBorders>
                  <w:shd w:val="clear" w:color="auto" w:fill="auto"/>
                  <w:vAlign w:val="bottom"/>
                  <w:hideMark/>
                </w:tcPr>
                <w:p w14:paraId="516A818D"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proofErr w:type="spellStart"/>
                  <w:r w:rsidRPr="00AE2CC3">
                    <w:rPr>
                      <w:rFonts w:eastAsia="Times New Roman"/>
                      <w:color w:val="auto"/>
                      <w:sz w:val="22"/>
                      <w:szCs w:val="22"/>
                      <w:highlight w:val="none"/>
                      <w:lang w:val="en-GB"/>
                    </w:rPr>
                    <w:t>Benzies</w:t>
                  </w:r>
                  <w:proofErr w:type="spellEnd"/>
                  <w:r w:rsidRPr="00AE2CC3">
                    <w:rPr>
                      <w:rFonts w:eastAsia="Times New Roman"/>
                      <w:color w:val="auto"/>
                      <w:sz w:val="22"/>
                      <w:szCs w:val="22"/>
                      <w:highlight w:val="none"/>
                      <w:lang w:val="en-GB"/>
                    </w:rPr>
                    <w:t xml:space="preserve"> KM, Premji S, Hayden KA, </w:t>
                  </w:r>
                  <w:proofErr w:type="spellStart"/>
                  <w:r w:rsidRPr="00AE2CC3">
                    <w:rPr>
                      <w:rFonts w:eastAsia="Times New Roman"/>
                      <w:color w:val="auto"/>
                      <w:sz w:val="22"/>
                      <w:szCs w:val="22"/>
                      <w:highlight w:val="none"/>
                      <w:lang w:val="en-GB"/>
                    </w:rPr>
                    <w:t>Serrett</w:t>
                  </w:r>
                  <w:proofErr w:type="spellEnd"/>
                  <w:r w:rsidRPr="00AE2CC3">
                    <w:rPr>
                      <w:rFonts w:eastAsia="Times New Roman"/>
                      <w:color w:val="auto"/>
                      <w:sz w:val="22"/>
                      <w:szCs w:val="22"/>
                      <w:highlight w:val="none"/>
                      <w:lang w:val="en-GB"/>
                    </w:rPr>
                    <w:t xml:space="preserve"> K. State-of-the-evidence reviews: advantages and challenges of including grey literature. </w:t>
                  </w:r>
                  <w:r w:rsidRPr="00AE2CC3">
                    <w:rPr>
                      <w:rFonts w:eastAsia="Times New Roman"/>
                      <w:i/>
                      <w:iCs/>
                      <w:color w:val="auto"/>
                      <w:sz w:val="22"/>
                      <w:szCs w:val="22"/>
                      <w:highlight w:val="none"/>
                      <w:lang w:val="en-GB"/>
                    </w:rPr>
                    <w:t xml:space="preserve">Worldviews Evid-Based </w:t>
                  </w:r>
                  <w:proofErr w:type="spellStart"/>
                  <w:r w:rsidRPr="00AE2CC3">
                    <w:rPr>
                      <w:rFonts w:eastAsia="Times New Roman"/>
                      <w:i/>
                      <w:iCs/>
                      <w:color w:val="auto"/>
                      <w:sz w:val="22"/>
                      <w:szCs w:val="22"/>
                      <w:highlight w:val="none"/>
                      <w:lang w:val="en-GB"/>
                    </w:rPr>
                    <w:t>Nurs</w:t>
                  </w:r>
                  <w:proofErr w:type="spellEnd"/>
                  <w:r w:rsidRPr="00AE2CC3">
                    <w:rPr>
                      <w:rFonts w:eastAsia="Times New Roman"/>
                      <w:color w:val="auto"/>
                      <w:sz w:val="22"/>
                      <w:szCs w:val="22"/>
                      <w:highlight w:val="none"/>
                      <w:lang w:val="en-GB"/>
                    </w:rPr>
                    <w:t>. 2006; 3: 55–61</w:t>
                  </w:r>
                </w:p>
              </w:tc>
            </w:tr>
            <w:tr w:rsidR="00AE2CC3" w:rsidRPr="00AE2CC3" w14:paraId="65AC3017" w14:textId="77777777" w:rsidTr="00AE2CC3">
              <w:trPr>
                <w:trHeight w:val="288"/>
              </w:trPr>
              <w:tc>
                <w:tcPr>
                  <w:tcW w:w="8825" w:type="dxa"/>
                  <w:tcBorders>
                    <w:top w:val="nil"/>
                    <w:left w:val="nil"/>
                    <w:bottom w:val="nil"/>
                    <w:right w:val="nil"/>
                  </w:tcBorders>
                  <w:shd w:val="clear" w:color="auto" w:fill="auto"/>
                  <w:vAlign w:val="center"/>
                  <w:hideMark/>
                </w:tcPr>
                <w:p w14:paraId="50519ACB"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proofErr w:type="spellStart"/>
                  <w:r w:rsidRPr="00AE2CC3">
                    <w:rPr>
                      <w:rFonts w:eastAsia="Times New Roman"/>
                      <w:color w:val="auto"/>
                      <w:sz w:val="22"/>
                      <w:szCs w:val="22"/>
                      <w:highlight w:val="none"/>
                      <w:lang w:val="en-GB"/>
                    </w:rPr>
                    <w:t>Boell</w:t>
                  </w:r>
                  <w:proofErr w:type="spellEnd"/>
                  <w:r w:rsidRPr="00AE2CC3">
                    <w:rPr>
                      <w:rFonts w:eastAsia="Times New Roman"/>
                      <w:color w:val="auto"/>
                      <w:sz w:val="22"/>
                      <w:szCs w:val="22"/>
                      <w:highlight w:val="none"/>
                      <w:lang w:val="en-GB"/>
                    </w:rPr>
                    <w:t xml:space="preserve"> .S.K. &amp; </w:t>
                  </w:r>
                  <w:proofErr w:type="spellStart"/>
                  <w:r w:rsidRPr="00AE2CC3">
                    <w:rPr>
                      <w:rFonts w:eastAsia="Times New Roman"/>
                      <w:color w:val="auto"/>
                      <w:sz w:val="22"/>
                      <w:szCs w:val="22"/>
                      <w:highlight w:val="none"/>
                      <w:lang w:val="en-GB"/>
                    </w:rPr>
                    <w:t>Cecez-Kecmanovic</w:t>
                  </w:r>
                  <w:proofErr w:type="spellEnd"/>
                  <w:r w:rsidRPr="00AE2CC3">
                    <w:rPr>
                      <w:rFonts w:eastAsia="Times New Roman"/>
                      <w:color w:val="auto"/>
                      <w:sz w:val="22"/>
                      <w:szCs w:val="22"/>
                      <w:highlight w:val="none"/>
                      <w:lang w:val="en-GB"/>
                    </w:rPr>
                    <w:t xml:space="preserve"> .D. (2010) Literature Reviews</w:t>
                  </w:r>
                </w:p>
              </w:tc>
            </w:tr>
            <w:tr w:rsidR="00AE2CC3" w:rsidRPr="00AE2CC3" w14:paraId="227E9295" w14:textId="77777777" w:rsidTr="00AE2CC3">
              <w:trPr>
                <w:trHeight w:val="828"/>
              </w:trPr>
              <w:tc>
                <w:tcPr>
                  <w:tcW w:w="8825" w:type="dxa"/>
                  <w:tcBorders>
                    <w:top w:val="nil"/>
                    <w:left w:val="nil"/>
                    <w:bottom w:val="nil"/>
                    <w:right w:val="nil"/>
                  </w:tcBorders>
                  <w:shd w:val="clear" w:color="auto" w:fill="auto"/>
                  <w:vAlign w:val="center"/>
                  <w:hideMark/>
                </w:tcPr>
                <w:p w14:paraId="19BDD419"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proofErr w:type="spellStart"/>
                  <w:r w:rsidRPr="00AE2CC3">
                    <w:rPr>
                      <w:rFonts w:eastAsia="Times New Roman"/>
                      <w:color w:val="auto"/>
                      <w:sz w:val="22"/>
                      <w:szCs w:val="22"/>
                      <w:highlight w:val="none"/>
                    </w:rPr>
                    <w:t>Boell</w:t>
                  </w:r>
                  <w:proofErr w:type="spellEnd"/>
                  <w:r w:rsidRPr="00AE2CC3">
                    <w:rPr>
                      <w:rFonts w:eastAsia="Times New Roman"/>
                      <w:color w:val="auto"/>
                      <w:sz w:val="22"/>
                      <w:szCs w:val="22"/>
                      <w:highlight w:val="none"/>
                    </w:rPr>
                    <w:t xml:space="preserve">, S. K., &amp; </w:t>
                  </w:r>
                  <w:proofErr w:type="spellStart"/>
                  <w:r w:rsidRPr="00AE2CC3">
                    <w:rPr>
                      <w:rFonts w:eastAsia="Times New Roman"/>
                      <w:color w:val="auto"/>
                      <w:sz w:val="22"/>
                      <w:szCs w:val="22"/>
                      <w:highlight w:val="none"/>
                    </w:rPr>
                    <w:t>Cecez-Kecmanovic</w:t>
                  </w:r>
                  <w:proofErr w:type="spellEnd"/>
                  <w:r w:rsidRPr="00AE2CC3">
                    <w:rPr>
                      <w:rFonts w:eastAsia="Times New Roman"/>
                      <w:color w:val="auto"/>
                      <w:sz w:val="22"/>
                      <w:szCs w:val="22"/>
                      <w:highlight w:val="none"/>
                    </w:rPr>
                    <w:t xml:space="preserve">, D. (2014). A Hermeneutic Approach for Conducting Literature Reviews and Literature Searches. Communications of the Association for Information Systems, 34, </w:t>
                  </w:r>
                </w:p>
              </w:tc>
            </w:tr>
            <w:tr w:rsidR="00AE2CC3" w:rsidRPr="00AE2CC3" w14:paraId="2336E943" w14:textId="77777777" w:rsidTr="00AE2CC3">
              <w:trPr>
                <w:trHeight w:val="864"/>
              </w:trPr>
              <w:tc>
                <w:tcPr>
                  <w:tcW w:w="8825" w:type="dxa"/>
                  <w:tcBorders>
                    <w:top w:val="nil"/>
                    <w:left w:val="nil"/>
                    <w:bottom w:val="nil"/>
                    <w:right w:val="nil"/>
                  </w:tcBorders>
                  <w:shd w:val="clear" w:color="auto" w:fill="auto"/>
                  <w:vAlign w:val="bottom"/>
                  <w:hideMark/>
                </w:tcPr>
                <w:p w14:paraId="6CCA2D40"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proofErr w:type="spellStart"/>
                  <w:r w:rsidRPr="00AE2CC3">
                    <w:rPr>
                      <w:rFonts w:eastAsia="Times New Roman"/>
                      <w:color w:val="auto"/>
                      <w:sz w:val="22"/>
                      <w:szCs w:val="22"/>
                      <w:highlight w:val="none"/>
                      <w:lang w:val="en-GB"/>
                    </w:rPr>
                    <w:t>Boell</w:t>
                  </w:r>
                  <w:proofErr w:type="spellEnd"/>
                  <w:r w:rsidRPr="00AE2CC3">
                    <w:rPr>
                      <w:rFonts w:eastAsia="Times New Roman"/>
                      <w:color w:val="auto"/>
                      <w:sz w:val="22"/>
                      <w:szCs w:val="22"/>
                      <w:highlight w:val="none"/>
                      <w:lang w:val="en-GB"/>
                    </w:rPr>
                    <w:t xml:space="preserve">, S.K. and </w:t>
                  </w:r>
                  <w:proofErr w:type="spellStart"/>
                  <w:r w:rsidRPr="00AE2CC3">
                    <w:rPr>
                      <w:rFonts w:eastAsia="Times New Roman"/>
                      <w:color w:val="auto"/>
                      <w:sz w:val="22"/>
                      <w:szCs w:val="22"/>
                      <w:highlight w:val="none"/>
                      <w:lang w:val="en-GB"/>
                    </w:rPr>
                    <w:t>Cecez-Kecmanovic</w:t>
                  </w:r>
                  <w:proofErr w:type="spellEnd"/>
                  <w:r w:rsidRPr="00AE2CC3">
                    <w:rPr>
                      <w:rFonts w:eastAsia="Times New Roman"/>
                      <w:color w:val="auto"/>
                      <w:sz w:val="22"/>
                      <w:szCs w:val="22"/>
                      <w:highlight w:val="none"/>
                      <w:lang w:val="en-GB"/>
                    </w:rPr>
                    <w:t xml:space="preserve">, D. (2014). </w:t>
                  </w:r>
                  <w:r w:rsidRPr="00AE2CC3">
                    <w:rPr>
                      <w:rFonts w:eastAsia="Times New Roman"/>
                      <w:i/>
                      <w:iCs/>
                      <w:color w:val="auto"/>
                      <w:sz w:val="22"/>
                      <w:szCs w:val="22"/>
                      <w:highlight w:val="none"/>
                      <w:lang w:val="en-GB"/>
                    </w:rPr>
                    <w:t>A Hermeneutic Approach for Conducting Literature Reviews and Literature Searches</w:t>
                  </w:r>
                  <w:r w:rsidRPr="00AE2CC3">
                    <w:rPr>
                      <w:rFonts w:eastAsia="Times New Roman"/>
                      <w:color w:val="auto"/>
                      <w:sz w:val="22"/>
                      <w:szCs w:val="22"/>
                      <w:highlight w:val="none"/>
                      <w:lang w:val="en-GB"/>
                    </w:rPr>
                    <w:t>. Communications of the Association for Information Systems, 3</w:t>
                  </w:r>
                </w:p>
              </w:tc>
            </w:tr>
            <w:tr w:rsidR="00AE2CC3" w:rsidRPr="00AE2CC3" w14:paraId="5BA42651" w14:textId="77777777" w:rsidTr="00AE2CC3">
              <w:trPr>
                <w:trHeight w:val="552"/>
              </w:trPr>
              <w:tc>
                <w:tcPr>
                  <w:tcW w:w="8825" w:type="dxa"/>
                  <w:tcBorders>
                    <w:top w:val="nil"/>
                    <w:left w:val="nil"/>
                    <w:bottom w:val="nil"/>
                    <w:right w:val="nil"/>
                  </w:tcBorders>
                  <w:shd w:val="clear" w:color="auto" w:fill="auto"/>
                  <w:vAlign w:val="center"/>
                  <w:hideMark/>
                </w:tcPr>
                <w:p w14:paraId="0C9F704E"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rPr>
                    <w:t>Brookfield, S.D., 1995. Becoming a critically reflective teacher. San Francisco: Jossey-Bass.</w:t>
                  </w:r>
                </w:p>
              </w:tc>
            </w:tr>
            <w:tr w:rsidR="00AE2CC3" w:rsidRPr="00AE2CC3" w14:paraId="2A68D62F" w14:textId="77777777" w:rsidTr="00AE2CC3">
              <w:trPr>
                <w:trHeight w:val="552"/>
              </w:trPr>
              <w:tc>
                <w:tcPr>
                  <w:tcW w:w="8825" w:type="dxa"/>
                  <w:tcBorders>
                    <w:top w:val="nil"/>
                    <w:left w:val="nil"/>
                    <w:bottom w:val="nil"/>
                    <w:right w:val="nil"/>
                  </w:tcBorders>
                  <w:shd w:val="clear" w:color="auto" w:fill="auto"/>
                  <w:vAlign w:val="center"/>
                  <w:hideMark/>
                </w:tcPr>
                <w:p w14:paraId="435EE44A"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rPr>
                    <w:t>Bryman, A. (2016). Social Research Methods (5th ed.). Oxford University Press.</w:t>
                  </w:r>
                </w:p>
              </w:tc>
            </w:tr>
            <w:tr w:rsidR="00AE2CC3" w:rsidRPr="00AE2CC3" w14:paraId="3C70F7A7" w14:textId="77777777" w:rsidTr="00AE2CC3">
              <w:trPr>
                <w:trHeight w:val="828"/>
              </w:trPr>
              <w:tc>
                <w:tcPr>
                  <w:tcW w:w="8825" w:type="dxa"/>
                  <w:tcBorders>
                    <w:top w:val="nil"/>
                    <w:left w:val="nil"/>
                    <w:bottom w:val="nil"/>
                    <w:right w:val="nil"/>
                  </w:tcBorders>
                  <w:shd w:val="clear" w:color="auto" w:fill="auto"/>
                  <w:vAlign w:val="center"/>
                  <w:hideMark/>
                </w:tcPr>
                <w:p w14:paraId="12ED80C0"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proofErr w:type="spellStart"/>
                  <w:r w:rsidRPr="00AE2CC3">
                    <w:rPr>
                      <w:rFonts w:eastAsia="Times New Roman"/>
                      <w:color w:val="auto"/>
                      <w:sz w:val="22"/>
                      <w:szCs w:val="22"/>
                      <w:highlight w:val="none"/>
                    </w:rPr>
                    <w:t>Budjanovac</w:t>
                  </w:r>
                  <w:proofErr w:type="spellEnd"/>
                  <w:r w:rsidRPr="00AE2CC3">
                    <w:rPr>
                      <w:rFonts w:eastAsia="Times New Roman"/>
                      <w:color w:val="auto"/>
                      <w:sz w:val="22"/>
                      <w:szCs w:val="22"/>
                      <w:highlight w:val="none"/>
                    </w:rPr>
                    <w:t xml:space="preserve">, A., &amp; </w:t>
                  </w:r>
                  <w:proofErr w:type="spellStart"/>
                  <w:r w:rsidRPr="00AE2CC3">
                    <w:rPr>
                      <w:rFonts w:eastAsia="Times New Roman"/>
                      <w:color w:val="auto"/>
                      <w:sz w:val="22"/>
                      <w:szCs w:val="22"/>
                      <w:highlight w:val="none"/>
                    </w:rPr>
                    <w:t>Kovacic</w:t>
                  </w:r>
                  <w:proofErr w:type="spellEnd"/>
                  <w:r w:rsidRPr="00AE2CC3">
                    <w:rPr>
                      <w:rFonts w:eastAsia="Times New Roman"/>
                      <w:color w:val="auto"/>
                      <w:sz w:val="22"/>
                      <w:szCs w:val="22"/>
                      <w:highlight w:val="none"/>
                    </w:rPr>
                    <w:t>, G. (2003). Knowledge About Voice Care Among Professional, Semiprofessional, and Amateur Choral Singers. Journal of Singing, 60(1), 67–74.</w:t>
                  </w:r>
                </w:p>
              </w:tc>
            </w:tr>
            <w:tr w:rsidR="00AE2CC3" w:rsidRPr="00AE2CC3" w14:paraId="3B075DB6" w14:textId="77777777" w:rsidTr="00AE2CC3">
              <w:trPr>
                <w:trHeight w:val="840"/>
              </w:trPr>
              <w:tc>
                <w:tcPr>
                  <w:tcW w:w="8825" w:type="dxa"/>
                  <w:tcBorders>
                    <w:top w:val="nil"/>
                    <w:left w:val="nil"/>
                    <w:bottom w:val="nil"/>
                    <w:right w:val="nil"/>
                  </w:tcBorders>
                  <w:shd w:val="clear" w:color="auto" w:fill="auto"/>
                  <w:vAlign w:val="bottom"/>
                  <w:hideMark/>
                </w:tcPr>
                <w:p w14:paraId="54D99A75"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lang w:val="en-GB"/>
                    </w:rPr>
                    <w:t xml:space="preserve">C.J. Axon, R. Dingwall, S. Evans, J.A. Cassell, The Skagit County choir COVID-19 outbreak – have we got it </w:t>
                  </w:r>
                  <w:proofErr w:type="spellStart"/>
                  <w:r w:rsidRPr="00AE2CC3">
                    <w:rPr>
                      <w:rFonts w:eastAsia="Times New Roman"/>
                      <w:color w:val="auto"/>
                      <w:sz w:val="22"/>
                      <w:szCs w:val="22"/>
                      <w:highlight w:val="none"/>
                      <w:lang w:val="en-GB"/>
                    </w:rPr>
                    <w:t>wrong?,Public</w:t>
                  </w:r>
                  <w:proofErr w:type="spellEnd"/>
                  <w:r w:rsidRPr="00AE2CC3">
                    <w:rPr>
                      <w:rFonts w:eastAsia="Times New Roman"/>
                      <w:color w:val="auto"/>
                      <w:sz w:val="22"/>
                      <w:szCs w:val="22"/>
                      <w:highlight w:val="none"/>
                      <w:lang w:val="en-GB"/>
                    </w:rPr>
                    <w:t xml:space="preserve"> </w:t>
                  </w:r>
                  <w:proofErr w:type="spellStart"/>
                  <w:r w:rsidRPr="00AE2CC3">
                    <w:rPr>
                      <w:rFonts w:eastAsia="Times New Roman"/>
                      <w:color w:val="auto"/>
                      <w:sz w:val="22"/>
                      <w:szCs w:val="22"/>
                      <w:highlight w:val="none"/>
                      <w:lang w:val="en-GB"/>
                    </w:rPr>
                    <w:t>Health,Volume</w:t>
                  </w:r>
                  <w:proofErr w:type="spellEnd"/>
                  <w:r w:rsidRPr="00AE2CC3">
                    <w:rPr>
                      <w:rFonts w:eastAsia="Times New Roman"/>
                      <w:color w:val="auto"/>
                      <w:sz w:val="22"/>
                      <w:szCs w:val="22"/>
                      <w:highlight w:val="none"/>
                      <w:lang w:val="en-GB"/>
                    </w:rPr>
                    <w:t xml:space="preserve"> 214,2023,Pages 85-90</w:t>
                  </w:r>
                </w:p>
              </w:tc>
            </w:tr>
            <w:tr w:rsidR="00AE2CC3" w:rsidRPr="00AE2CC3" w14:paraId="15E4724E" w14:textId="77777777" w:rsidTr="00AE2CC3">
              <w:trPr>
                <w:trHeight w:val="1128"/>
              </w:trPr>
              <w:tc>
                <w:tcPr>
                  <w:tcW w:w="8825" w:type="dxa"/>
                  <w:tcBorders>
                    <w:top w:val="nil"/>
                    <w:left w:val="nil"/>
                    <w:bottom w:val="nil"/>
                    <w:right w:val="nil"/>
                  </w:tcBorders>
                  <w:shd w:val="clear" w:color="auto" w:fill="auto"/>
                  <w:vAlign w:val="bottom"/>
                  <w:hideMark/>
                </w:tcPr>
                <w:p w14:paraId="24A2D57A"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proofErr w:type="spellStart"/>
                  <w:r w:rsidRPr="00AE2CC3">
                    <w:rPr>
                      <w:rFonts w:eastAsia="Times New Roman"/>
                      <w:color w:val="auto"/>
                      <w:sz w:val="22"/>
                      <w:szCs w:val="22"/>
                      <w:highlight w:val="none"/>
                      <w:lang w:val="de-DE"/>
                    </w:rPr>
                    <w:t>Camlin</w:t>
                  </w:r>
                  <w:proofErr w:type="spellEnd"/>
                  <w:r w:rsidRPr="00AE2CC3">
                    <w:rPr>
                      <w:rFonts w:eastAsia="Times New Roman"/>
                      <w:color w:val="auto"/>
                      <w:sz w:val="22"/>
                      <w:szCs w:val="22"/>
                      <w:highlight w:val="none"/>
                      <w:lang w:val="de-DE"/>
                    </w:rPr>
                    <w:t xml:space="preserve">, D., </w:t>
                  </w:r>
                  <w:proofErr w:type="spellStart"/>
                  <w:r w:rsidRPr="00AE2CC3">
                    <w:rPr>
                      <w:rFonts w:eastAsia="Times New Roman"/>
                      <w:color w:val="auto"/>
                      <w:sz w:val="22"/>
                      <w:szCs w:val="22"/>
                      <w:highlight w:val="none"/>
                      <w:lang w:val="de-DE"/>
                    </w:rPr>
                    <w:t>Daffern</w:t>
                  </w:r>
                  <w:proofErr w:type="spellEnd"/>
                  <w:r w:rsidRPr="00AE2CC3">
                    <w:rPr>
                      <w:rFonts w:eastAsia="Times New Roman"/>
                      <w:color w:val="auto"/>
                      <w:sz w:val="22"/>
                      <w:szCs w:val="22"/>
                      <w:highlight w:val="none"/>
                      <w:lang w:val="de-DE"/>
                    </w:rPr>
                    <w:t xml:space="preserve">, H. and </w:t>
                  </w:r>
                  <w:proofErr w:type="spellStart"/>
                  <w:r w:rsidRPr="00AE2CC3">
                    <w:rPr>
                      <w:rFonts w:eastAsia="Times New Roman"/>
                      <w:color w:val="auto"/>
                      <w:sz w:val="22"/>
                      <w:szCs w:val="22"/>
                      <w:highlight w:val="none"/>
                      <w:lang w:val="de-DE"/>
                    </w:rPr>
                    <w:t>Zeserson</w:t>
                  </w:r>
                  <w:proofErr w:type="spellEnd"/>
                  <w:r w:rsidRPr="00AE2CC3">
                    <w:rPr>
                      <w:rFonts w:eastAsia="Times New Roman"/>
                      <w:color w:val="auto"/>
                      <w:sz w:val="22"/>
                      <w:szCs w:val="22"/>
                      <w:highlight w:val="none"/>
                      <w:lang w:val="de-DE"/>
                    </w:rPr>
                    <w:t xml:space="preserve">, K., 2020. </w:t>
                  </w:r>
                  <w:r w:rsidRPr="00AE2CC3">
                    <w:rPr>
                      <w:rFonts w:eastAsia="Times New Roman"/>
                      <w:color w:val="auto"/>
                      <w:sz w:val="22"/>
                      <w:szCs w:val="22"/>
                      <w:highlight w:val="none"/>
                      <w:lang w:val="en-GB"/>
                    </w:rPr>
                    <w:t xml:space="preserve">Group singing as a resource for the development of a healthy public: A study of adult group singing. </w:t>
                  </w:r>
                  <w:r w:rsidRPr="00AE2CC3">
                    <w:rPr>
                      <w:rFonts w:eastAsia="Times New Roman"/>
                      <w:i/>
                      <w:iCs/>
                      <w:color w:val="auto"/>
                      <w:sz w:val="22"/>
                      <w:szCs w:val="22"/>
                      <w:highlight w:val="none"/>
                      <w:lang w:val="en-GB"/>
                    </w:rPr>
                    <w:t>Humanities and Social Sciences Communications</w:t>
                  </w:r>
                  <w:r w:rsidRPr="00AE2CC3">
                    <w:rPr>
                      <w:rFonts w:eastAsia="Times New Roman"/>
                      <w:color w:val="auto"/>
                      <w:sz w:val="22"/>
                      <w:szCs w:val="22"/>
                      <w:highlight w:val="none"/>
                      <w:lang w:val="en-GB"/>
                    </w:rPr>
                    <w:t>, 7(60), pp.1–15</w:t>
                  </w:r>
                </w:p>
              </w:tc>
            </w:tr>
            <w:tr w:rsidR="00AE2CC3" w:rsidRPr="00AE2CC3" w14:paraId="77C8BBAA" w14:textId="77777777" w:rsidTr="00AE2CC3">
              <w:trPr>
                <w:trHeight w:val="828"/>
              </w:trPr>
              <w:tc>
                <w:tcPr>
                  <w:tcW w:w="8825" w:type="dxa"/>
                  <w:tcBorders>
                    <w:top w:val="nil"/>
                    <w:left w:val="nil"/>
                    <w:bottom w:val="nil"/>
                    <w:right w:val="nil"/>
                  </w:tcBorders>
                  <w:shd w:val="clear" w:color="000000" w:fill="FFFFFF"/>
                  <w:vAlign w:val="center"/>
                  <w:hideMark/>
                </w:tcPr>
                <w:p w14:paraId="7801CAA9"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rPr>
                    <w:t xml:space="preserve">Clift, S. M., &amp; </w:t>
                  </w:r>
                  <w:proofErr w:type="spellStart"/>
                  <w:r w:rsidRPr="00AE2CC3">
                    <w:rPr>
                      <w:rFonts w:eastAsia="Times New Roman"/>
                      <w:color w:val="auto"/>
                      <w:sz w:val="22"/>
                      <w:szCs w:val="22"/>
                      <w:highlight w:val="none"/>
                    </w:rPr>
                    <w:t>Hancox</w:t>
                  </w:r>
                  <w:proofErr w:type="spellEnd"/>
                  <w:r w:rsidRPr="00AE2CC3">
                    <w:rPr>
                      <w:rFonts w:eastAsia="Times New Roman"/>
                      <w:color w:val="auto"/>
                      <w:sz w:val="22"/>
                      <w:szCs w:val="22"/>
                      <w:highlight w:val="none"/>
                    </w:rPr>
                    <w:t>, G. (2010). The significance of choral singing for sustaining psychological wellbeing. Music Performance Research, 3(1), 79–96.</w:t>
                  </w:r>
                </w:p>
              </w:tc>
            </w:tr>
            <w:tr w:rsidR="00AE2CC3" w:rsidRPr="00AE2CC3" w14:paraId="6EEB9838" w14:textId="77777777" w:rsidTr="00AE2CC3">
              <w:trPr>
                <w:trHeight w:val="1128"/>
              </w:trPr>
              <w:tc>
                <w:tcPr>
                  <w:tcW w:w="8825" w:type="dxa"/>
                  <w:tcBorders>
                    <w:top w:val="nil"/>
                    <w:left w:val="nil"/>
                    <w:bottom w:val="nil"/>
                    <w:right w:val="nil"/>
                  </w:tcBorders>
                  <w:shd w:val="clear" w:color="auto" w:fill="auto"/>
                  <w:vAlign w:val="bottom"/>
                  <w:hideMark/>
                </w:tcPr>
                <w:p w14:paraId="6AD455C7"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proofErr w:type="spellStart"/>
                  <w:r w:rsidRPr="00AE2CC3">
                    <w:rPr>
                      <w:rFonts w:eastAsia="Times New Roman"/>
                      <w:color w:val="auto"/>
                      <w:sz w:val="22"/>
                      <w:szCs w:val="22"/>
                      <w:highlight w:val="none"/>
                      <w:lang w:val="en-GB"/>
                    </w:rPr>
                    <w:lastRenderedPageBreak/>
                    <w:t>Densley</w:t>
                  </w:r>
                  <w:proofErr w:type="spellEnd"/>
                  <w:r w:rsidRPr="00AE2CC3">
                    <w:rPr>
                      <w:rFonts w:eastAsia="Times New Roman"/>
                      <w:color w:val="auto"/>
                      <w:sz w:val="22"/>
                      <w:szCs w:val="22"/>
                      <w:highlight w:val="none"/>
                      <w:lang w:val="en-GB"/>
                    </w:rPr>
                    <w:t xml:space="preserve">, B. and Andrews, K. (2021) ‘How participation in group singing in the community impacts on emotional wellbeing: A qualitative study on the perspectives of group singing participants’, </w:t>
                  </w:r>
                  <w:r w:rsidRPr="00AE2CC3">
                    <w:rPr>
                      <w:rFonts w:eastAsia="Times New Roman"/>
                      <w:i/>
                      <w:iCs/>
                      <w:color w:val="auto"/>
                      <w:sz w:val="22"/>
                      <w:szCs w:val="22"/>
                      <w:highlight w:val="none"/>
                      <w:lang w:val="en-GB"/>
                    </w:rPr>
                    <w:t>Australian journal of music therapy</w:t>
                  </w:r>
                  <w:r w:rsidRPr="00AE2CC3">
                    <w:rPr>
                      <w:rFonts w:eastAsia="Times New Roman"/>
                      <w:color w:val="auto"/>
                      <w:sz w:val="22"/>
                      <w:szCs w:val="22"/>
                      <w:highlight w:val="none"/>
                      <w:lang w:val="en-GB"/>
                    </w:rPr>
                    <w:t>, 32(2), pp. 39–56</w:t>
                  </w:r>
                </w:p>
              </w:tc>
            </w:tr>
            <w:tr w:rsidR="00AE2CC3" w:rsidRPr="00AE2CC3" w14:paraId="0B0E8E56" w14:textId="77777777" w:rsidTr="00AE2CC3">
              <w:trPr>
                <w:trHeight w:val="552"/>
              </w:trPr>
              <w:tc>
                <w:tcPr>
                  <w:tcW w:w="8825" w:type="dxa"/>
                  <w:tcBorders>
                    <w:top w:val="nil"/>
                    <w:left w:val="nil"/>
                    <w:bottom w:val="nil"/>
                    <w:right w:val="nil"/>
                  </w:tcBorders>
                  <w:shd w:val="clear" w:color="auto" w:fill="auto"/>
                  <w:vAlign w:val="center"/>
                  <w:hideMark/>
                </w:tcPr>
                <w:p w14:paraId="5F3B8FF5"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rPr>
                    <w:t>Dewey, J., 1933. How we think: A restatement of the relation of reflective thinking to the educative process. Chicago: Henry Regnery.</w:t>
                  </w:r>
                </w:p>
              </w:tc>
            </w:tr>
            <w:tr w:rsidR="00AE2CC3" w:rsidRPr="00AE2CC3" w14:paraId="203A722A" w14:textId="77777777" w:rsidTr="00AE2CC3">
              <w:trPr>
                <w:trHeight w:val="828"/>
              </w:trPr>
              <w:tc>
                <w:tcPr>
                  <w:tcW w:w="8825" w:type="dxa"/>
                  <w:tcBorders>
                    <w:top w:val="nil"/>
                    <w:left w:val="nil"/>
                    <w:bottom w:val="nil"/>
                    <w:right w:val="nil"/>
                  </w:tcBorders>
                  <w:shd w:val="clear" w:color="auto" w:fill="auto"/>
                  <w:vAlign w:val="center"/>
                  <w:hideMark/>
                </w:tcPr>
                <w:p w14:paraId="48773509"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rPr>
                    <w:t>Fahey, H., Phelan, H., Clift, S. and Moss, H., 2022. A chorus of voices: social singing and health promotion. Health Promotion International, 37(Supplement_1), pp.i1–i3. https://doi.org/10.1093/heapro/daac033</w:t>
                  </w:r>
                </w:p>
              </w:tc>
            </w:tr>
            <w:tr w:rsidR="00AE2CC3" w:rsidRPr="00AE2CC3" w14:paraId="452FA1B3" w14:textId="77777777" w:rsidTr="00AE2CC3">
              <w:trPr>
                <w:trHeight w:val="552"/>
              </w:trPr>
              <w:tc>
                <w:tcPr>
                  <w:tcW w:w="8825" w:type="dxa"/>
                  <w:tcBorders>
                    <w:top w:val="nil"/>
                    <w:left w:val="nil"/>
                    <w:bottom w:val="nil"/>
                    <w:right w:val="nil"/>
                  </w:tcBorders>
                  <w:shd w:val="clear" w:color="auto" w:fill="auto"/>
                  <w:vAlign w:val="center"/>
                  <w:hideMark/>
                </w:tcPr>
                <w:p w14:paraId="7D3A6B34"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rPr>
                    <w:t>Gibbs G. Learning by doing: a guide to teaching and learning methods. Oxford: Further Education Unit, Oxford Polytechnic; 1988</w:t>
                  </w:r>
                </w:p>
              </w:tc>
            </w:tr>
            <w:tr w:rsidR="00AE2CC3" w:rsidRPr="00AE2CC3" w14:paraId="79F15DD5" w14:textId="77777777" w:rsidTr="00AE2CC3">
              <w:trPr>
                <w:trHeight w:val="1104"/>
              </w:trPr>
              <w:tc>
                <w:tcPr>
                  <w:tcW w:w="8825" w:type="dxa"/>
                  <w:tcBorders>
                    <w:top w:val="nil"/>
                    <w:left w:val="nil"/>
                    <w:bottom w:val="nil"/>
                    <w:right w:val="nil"/>
                  </w:tcBorders>
                  <w:shd w:val="clear" w:color="auto" w:fill="auto"/>
                  <w:vAlign w:val="center"/>
                  <w:hideMark/>
                </w:tcPr>
                <w:p w14:paraId="4F5B3AF3"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rPr>
                    <w:t>Grant, M. J., &amp; Booth, A. (2009). A typology of reviews: an analysis of 14 review types and associated methodologies. Health Information and Libraries Journal, 26(2), 91–108. https://doi.org/10.1111/j.1471-1842.2009.00848.x</w:t>
                  </w:r>
                </w:p>
              </w:tc>
            </w:tr>
            <w:tr w:rsidR="00AE2CC3" w:rsidRPr="00AE2CC3" w14:paraId="759BEB3D" w14:textId="77777777" w:rsidTr="00AE2CC3">
              <w:trPr>
                <w:trHeight w:val="288"/>
              </w:trPr>
              <w:tc>
                <w:tcPr>
                  <w:tcW w:w="8825" w:type="dxa"/>
                  <w:tcBorders>
                    <w:top w:val="nil"/>
                    <w:left w:val="nil"/>
                    <w:bottom w:val="nil"/>
                    <w:right w:val="nil"/>
                  </w:tcBorders>
                  <w:shd w:val="clear" w:color="auto" w:fill="auto"/>
                  <w:vAlign w:val="bottom"/>
                  <w:hideMark/>
                </w:tcPr>
                <w:p w14:paraId="3BA9A140"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lang w:val="en-GB"/>
                    </w:rPr>
                    <w:t xml:space="preserve">Han, R. et al. (2025) ‘The Impact of Choir Singing on International Students’ Sense of Belonging, Loneliness, and Wellbeing: A Controlled Evaluation of UQ Voices’, </w:t>
                  </w:r>
                  <w:proofErr w:type="spellStart"/>
                  <w:r w:rsidRPr="00AE2CC3">
                    <w:rPr>
                      <w:rFonts w:eastAsia="Times New Roman"/>
                      <w:color w:val="auto"/>
                      <w:sz w:val="22"/>
                      <w:szCs w:val="22"/>
                      <w:highlight w:val="none"/>
                      <w:lang w:val="en-GB"/>
                    </w:rPr>
                    <w:t>Behavioral</w:t>
                  </w:r>
                  <w:proofErr w:type="spellEnd"/>
                  <w:r w:rsidRPr="00AE2CC3">
                    <w:rPr>
                      <w:rFonts w:eastAsia="Times New Roman"/>
                      <w:color w:val="auto"/>
                      <w:sz w:val="22"/>
                      <w:szCs w:val="22"/>
                      <w:highlight w:val="none"/>
                      <w:lang w:val="en-GB"/>
                    </w:rPr>
                    <w:t xml:space="preserve"> sciences, 15(5), p. 575</w:t>
                  </w:r>
                </w:p>
              </w:tc>
            </w:tr>
            <w:tr w:rsidR="00AE2CC3" w:rsidRPr="00AE2CC3" w14:paraId="03BEC017" w14:textId="77777777" w:rsidTr="00AE2CC3">
              <w:trPr>
                <w:trHeight w:val="564"/>
              </w:trPr>
              <w:tc>
                <w:tcPr>
                  <w:tcW w:w="8825" w:type="dxa"/>
                  <w:tcBorders>
                    <w:top w:val="nil"/>
                    <w:left w:val="nil"/>
                    <w:bottom w:val="nil"/>
                    <w:right w:val="nil"/>
                  </w:tcBorders>
                  <w:shd w:val="clear" w:color="auto" w:fill="auto"/>
                  <w:vAlign w:val="center"/>
                  <w:hideMark/>
                </w:tcPr>
                <w:p w14:paraId="799C7EF0"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lang w:val="en-GB"/>
                    </w:rPr>
                    <w:t xml:space="preserve">Haslam, C., Jetten, J., Cruwys, T., Dingle, G. and Haslam, S.A., 2018. </w:t>
                  </w:r>
                  <w:r w:rsidRPr="00AE2CC3">
                    <w:rPr>
                      <w:rFonts w:eastAsia="Times New Roman"/>
                      <w:i/>
                      <w:iCs/>
                      <w:color w:val="auto"/>
                      <w:sz w:val="22"/>
                      <w:szCs w:val="22"/>
                      <w:highlight w:val="none"/>
                      <w:lang w:val="en-GB"/>
                    </w:rPr>
                    <w:t>The New Psychology of Health: Unlocking the Social Cure</w:t>
                  </w:r>
                  <w:r w:rsidRPr="00AE2CC3">
                    <w:rPr>
                      <w:rFonts w:eastAsia="Times New Roman"/>
                      <w:color w:val="auto"/>
                      <w:sz w:val="22"/>
                      <w:szCs w:val="22"/>
                      <w:highlight w:val="none"/>
                      <w:lang w:val="en-GB"/>
                    </w:rPr>
                    <w:t>. Routledge.</w:t>
                  </w:r>
                </w:p>
              </w:tc>
            </w:tr>
            <w:tr w:rsidR="00AE2CC3" w:rsidRPr="00AE2CC3" w14:paraId="5BEFD853" w14:textId="77777777" w:rsidTr="00AE2CC3">
              <w:trPr>
                <w:trHeight w:val="576"/>
              </w:trPr>
              <w:tc>
                <w:tcPr>
                  <w:tcW w:w="8825" w:type="dxa"/>
                  <w:tcBorders>
                    <w:top w:val="nil"/>
                    <w:left w:val="nil"/>
                    <w:bottom w:val="nil"/>
                    <w:right w:val="nil"/>
                  </w:tcBorders>
                  <w:shd w:val="clear" w:color="auto" w:fill="auto"/>
                  <w:vAlign w:val="bottom"/>
                  <w:hideMark/>
                </w:tcPr>
                <w:p w14:paraId="47DBF26B"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lang w:val="en-GB"/>
                    </w:rPr>
                    <w:t>HEMPEL, S. (2020). </w:t>
                  </w:r>
                  <w:r w:rsidRPr="00AE2CC3">
                    <w:rPr>
                      <w:rFonts w:eastAsia="Times New Roman"/>
                      <w:i/>
                      <w:iCs/>
                      <w:color w:val="auto"/>
                      <w:sz w:val="22"/>
                      <w:szCs w:val="22"/>
                      <w:highlight w:val="none"/>
                      <w:lang w:val="en-GB"/>
                    </w:rPr>
                    <w:t>Conducting Your Literature Review</w:t>
                  </w:r>
                  <w:r w:rsidRPr="00AE2CC3">
                    <w:rPr>
                      <w:rFonts w:eastAsia="Times New Roman"/>
                      <w:color w:val="auto"/>
                      <w:sz w:val="22"/>
                      <w:szCs w:val="22"/>
                      <w:highlight w:val="none"/>
                      <w:lang w:val="en-GB"/>
                    </w:rPr>
                    <w:t>. American Psychological Association.</w:t>
                  </w:r>
                </w:p>
              </w:tc>
            </w:tr>
            <w:tr w:rsidR="00AE2CC3" w:rsidRPr="00AE2CC3" w14:paraId="1DAAC2D4" w14:textId="77777777" w:rsidTr="00AE2CC3">
              <w:trPr>
                <w:trHeight w:val="1104"/>
              </w:trPr>
              <w:tc>
                <w:tcPr>
                  <w:tcW w:w="8825" w:type="dxa"/>
                  <w:tcBorders>
                    <w:top w:val="nil"/>
                    <w:left w:val="nil"/>
                    <w:bottom w:val="nil"/>
                    <w:right w:val="nil"/>
                  </w:tcBorders>
                  <w:shd w:val="clear" w:color="000000" w:fill="FFFFFF"/>
                  <w:vAlign w:val="center"/>
                  <w:hideMark/>
                </w:tcPr>
                <w:p w14:paraId="1B4ABFBF"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rPr>
                    <w:t>Johnson, B.D., Dunlap, E. and Benoit, E. (2010) ‘Structured Qualitative Research: Organizing “Mountains of Words” for Data Analysis, both Qualitative and Quantitative’, Substance use &amp; misuse, 45(5), pp. 648–670. Available at: https://doi.org/10.3109/10826081003594757.</w:t>
                  </w:r>
                </w:p>
              </w:tc>
            </w:tr>
            <w:tr w:rsidR="00AE2CC3" w:rsidRPr="00AE2CC3" w14:paraId="2F9A0F7B" w14:textId="77777777" w:rsidTr="00AE2CC3">
              <w:trPr>
                <w:trHeight w:val="828"/>
              </w:trPr>
              <w:tc>
                <w:tcPr>
                  <w:tcW w:w="8825" w:type="dxa"/>
                  <w:tcBorders>
                    <w:top w:val="nil"/>
                    <w:left w:val="nil"/>
                    <w:bottom w:val="nil"/>
                    <w:right w:val="nil"/>
                  </w:tcBorders>
                  <w:shd w:val="clear" w:color="000000" w:fill="FFFFFF"/>
                  <w:vAlign w:val="center"/>
                  <w:hideMark/>
                </w:tcPr>
                <w:p w14:paraId="3B00FA96"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lang w:val="de-DE"/>
                    </w:rPr>
                    <w:t xml:space="preserve">Johnson, J. K., </w:t>
                  </w:r>
                  <w:proofErr w:type="spellStart"/>
                  <w:r w:rsidRPr="00AE2CC3">
                    <w:rPr>
                      <w:rFonts w:eastAsia="Times New Roman"/>
                      <w:color w:val="auto"/>
                      <w:sz w:val="22"/>
                      <w:szCs w:val="22"/>
                      <w:highlight w:val="none"/>
                      <w:lang w:val="de-DE"/>
                    </w:rPr>
                    <w:t>Louhivuori</w:t>
                  </w:r>
                  <w:proofErr w:type="spellEnd"/>
                  <w:r w:rsidRPr="00AE2CC3">
                    <w:rPr>
                      <w:rFonts w:eastAsia="Times New Roman"/>
                      <w:color w:val="auto"/>
                      <w:sz w:val="22"/>
                      <w:szCs w:val="22"/>
                      <w:highlight w:val="none"/>
                      <w:lang w:val="de-DE"/>
                    </w:rPr>
                    <w:t xml:space="preserve">, J., Stewart, A. L., et al. </w:t>
                  </w:r>
                  <w:r w:rsidRPr="00AE2CC3">
                    <w:rPr>
                      <w:rFonts w:eastAsia="Times New Roman"/>
                      <w:color w:val="auto"/>
                      <w:sz w:val="22"/>
                      <w:szCs w:val="22"/>
                      <w:highlight w:val="none"/>
                    </w:rPr>
                    <w:t>(2013). Quality of life of older adult community choral singers in Finland. International Psychogeriatrics, 25, 1–10.</w:t>
                  </w:r>
                </w:p>
              </w:tc>
            </w:tr>
            <w:tr w:rsidR="00AE2CC3" w:rsidRPr="00AE2CC3" w14:paraId="64B03DF5" w14:textId="77777777" w:rsidTr="00AE2CC3">
              <w:trPr>
                <w:trHeight w:val="864"/>
              </w:trPr>
              <w:tc>
                <w:tcPr>
                  <w:tcW w:w="8825" w:type="dxa"/>
                  <w:tcBorders>
                    <w:top w:val="nil"/>
                    <w:left w:val="nil"/>
                    <w:bottom w:val="nil"/>
                    <w:right w:val="nil"/>
                  </w:tcBorders>
                  <w:shd w:val="clear" w:color="auto" w:fill="auto"/>
                  <w:vAlign w:val="bottom"/>
                  <w:hideMark/>
                </w:tcPr>
                <w:p w14:paraId="4450A3FF" w14:textId="77777777" w:rsidR="00AE2CC3" w:rsidRPr="00AE2CC3" w:rsidRDefault="00AE2CC3" w:rsidP="00AE2CC3">
                  <w:pPr>
                    <w:shd w:val="clear" w:color="auto" w:fill="auto"/>
                    <w:spacing w:before="0" w:after="0" w:line="240" w:lineRule="auto"/>
                    <w:rPr>
                      <w:rFonts w:ascii="Aptos Narrow" w:eastAsia="Times New Roman" w:hAnsi="Aptos Narrow" w:cs="Times New Roman"/>
                      <w:color w:val="auto"/>
                      <w:sz w:val="22"/>
                      <w:szCs w:val="22"/>
                      <w:highlight w:val="none"/>
                      <w:u w:val="single"/>
                      <w:lang w:val="en-GB"/>
                    </w:rPr>
                  </w:pPr>
                  <w:hyperlink r:id="rId9" w:history="1">
                    <w:r w:rsidRPr="00AE2CC3">
                      <w:rPr>
                        <w:rFonts w:ascii="Aptos Narrow" w:eastAsia="Times New Roman" w:hAnsi="Aptos Narrow" w:cs="Times New Roman"/>
                        <w:color w:val="auto"/>
                        <w:sz w:val="22"/>
                        <w:szCs w:val="22"/>
                        <w:highlight w:val="none"/>
                        <w:u w:val="single"/>
                        <w:lang w:val="en-GB"/>
                      </w:rPr>
                      <w:t>Kepes, S., Banks, G. C., McDaniel, M., &amp; Whetzel, D. L. (2012). Publication Bias in the Organizational Sciences. Organizational Research Methods, 15(4), 624-662. https://doi.org/10.1177/1094428112452760 (Original work published 2012)</w:t>
                    </w:r>
                  </w:hyperlink>
                </w:p>
              </w:tc>
            </w:tr>
            <w:tr w:rsidR="00AE2CC3" w:rsidRPr="00AE2CC3" w14:paraId="0A19358D" w14:textId="77777777" w:rsidTr="00AE2CC3">
              <w:trPr>
                <w:trHeight w:val="552"/>
              </w:trPr>
              <w:tc>
                <w:tcPr>
                  <w:tcW w:w="8825" w:type="dxa"/>
                  <w:tcBorders>
                    <w:top w:val="nil"/>
                    <w:left w:val="nil"/>
                    <w:bottom w:val="nil"/>
                    <w:right w:val="nil"/>
                  </w:tcBorders>
                  <w:shd w:val="clear" w:color="auto" w:fill="auto"/>
                  <w:vAlign w:val="center"/>
                  <w:hideMark/>
                </w:tcPr>
                <w:p w14:paraId="5845D56A"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rPr>
                    <w:t>Kolb D. Experiential learning: Experience as the source of learning and development. NJ: Prentice Hall; 1984</w:t>
                  </w:r>
                </w:p>
              </w:tc>
            </w:tr>
            <w:tr w:rsidR="00AE2CC3" w:rsidRPr="00AE2CC3" w14:paraId="1375E771" w14:textId="77777777" w:rsidTr="00AE2CC3">
              <w:trPr>
                <w:trHeight w:val="852"/>
              </w:trPr>
              <w:tc>
                <w:tcPr>
                  <w:tcW w:w="8825" w:type="dxa"/>
                  <w:tcBorders>
                    <w:top w:val="nil"/>
                    <w:left w:val="nil"/>
                    <w:bottom w:val="nil"/>
                    <w:right w:val="nil"/>
                  </w:tcBorders>
                  <w:shd w:val="clear" w:color="auto" w:fill="auto"/>
                  <w:vAlign w:val="bottom"/>
                  <w:hideMark/>
                </w:tcPr>
                <w:p w14:paraId="0428273C"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lang w:val="en-GB"/>
                    </w:rPr>
                    <w:t xml:space="preserve">Leiper, T. (2024) ‘Healthy and Efficient Voice Use Awareness in Amateur Group Singers: A Multi-Sensory Self-Assessment Protocol Trial’, </w:t>
                  </w:r>
                  <w:r w:rsidRPr="00AE2CC3">
                    <w:rPr>
                      <w:rFonts w:eastAsia="Times New Roman"/>
                      <w:i/>
                      <w:iCs/>
                      <w:color w:val="auto"/>
                      <w:sz w:val="22"/>
                      <w:szCs w:val="22"/>
                      <w:highlight w:val="none"/>
                      <w:lang w:val="en-GB"/>
                    </w:rPr>
                    <w:t>Voice &amp; speech review</w:t>
                  </w:r>
                  <w:r w:rsidRPr="00AE2CC3">
                    <w:rPr>
                      <w:rFonts w:eastAsia="Times New Roman"/>
                      <w:color w:val="auto"/>
                      <w:sz w:val="22"/>
                      <w:szCs w:val="22"/>
                      <w:highlight w:val="none"/>
                      <w:lang w:val="en-GB"/>
                    </w:rPr>
                    <w:t>, 18(2), pp. 181–198</w:t>
                  </w:r>
                </w:p>
              </w:tc>
            </w:tr>
            <w:tr w:rsidR="00AE2CC3" w:rsidRPr="00AE2CC3" w14:paraId="0633CF8C" w14:textId="77777777" w:rsidTr="00AE2CC3">
              <w:trPr>
                <w:trHeight w:val="288"/>
              </w:trPr>
              <w:tc>
                <w:tcPr>
                  <w:tcW w:w="8825" w:type="dxa"/>
                  <w:tcBorders>
                    <w:top w:val="nil"/>
                    <w:left w:val="nil"/>
                    <w:bottom w:val="nil"/>
                    <w:right w:val="nil"/>
                  </w:tcBorders>
                  <w:shd w:val="clear" w:color="auto" w:fill="auto"/>
                  <w:vAlign w:val="bottom"/>
                  <w:hideMark/>
                </w:tcPr>
                <w:p w14:paraId="2D3C87D5" w14:textId="77777777" w:rsidR="00AE2CC3" w:rsidRPr="00AE2CC3" w:rsidRDefault="00AE2CC3" w:rsidP="00AE2CC3">
                  <w:pPr>
                    <w:shd w:val="clear" w:color="auto" w:fill="auto"/>
                    <w:spacing w:before="0" w:after="0" w:line="240" w:lineRule="auto"/>
                    <w:rPr>
                      <w:rFonts w:ascii="Aptos Narrow" w:eastAsia="Times New Roman" w:hAnsi="Aptos Narrow" w:cs="Times New Roman"/>
                      <w:color w:val="auto"/>
                      <w:sz w:val="22"/>
                      <w:szCs w:val="22"/>
                      <w:highlight w:val="none"/>
                      <w:lang w:val="en-GB"/>
                    </w:rPr>
                  </w:pPr>
                  <w:proofErr w:type="spellStart"/>
                  <w:r w:rsidRPr="00AE2CC3">
                    <w:rPr>
                      <w:rFonts w:ascii="Aptos Narrow" w:eastAsia="Times New Roman" w:hAnsi="Aptos Narrow" w:cs="Times New Roman"/>
                      <w:color w:val="auto"/>
                      <w:sz w:val="22"/>
                      <w:szCs w:val="22"/>
                      <w:highlight w:val="none"/>
                      <w:lang w:val="en-GB"/>
                    </w:rPr>
                    <w:t>Levett</w:t>
                  </w:r>
                  <w:proofErr w:type="spellEnd"/>
                  <w:r w:rsidRPr="00AE2CC3">
                    <w:rPr>
                      <w:rFonts w:ascii="Aptos Narrow" w:eastAsia="Times New Roman" w:hAnsi="Aptos Narrow" w:cs="Times New Roman"/>
                      <w:color w:val="auto"/>
                      <w:sz w:val="22"/>
                      <w:szCs w:val="22"/>
                      <w:highlight w:val="none"/>
                      <w:lang w:val="en-GB"/>
                    </w:rPr>
                    <w:t xml:space="preserve">&gt;J&gt; </w:t>
                  </w:r>
                </w:p>
              </w:tc>
            </w:tr>
            <w:tr w:rsidR="00AE2CC3" w:rsidRPr="00AE2CC3" w14:paraId="068AA7D5" w14:textId="77777777" w:rsidTr="00AE2CC3">
              <w:trPr>
                <w:trHeight w:val="828"/>
              </w:trPr>
              <w:tc>
                <w:tcPr>
                  <w:tcW w:w="8825" w:type="dxa"/>
                  <w:tcBorders>
                    <w:top w:val="nil"/>
                    <w:left w:val="nil"/>
                    <w:bottom w:val="nil"/>
                    <w:right w:val="nil"/>
                  </w:tcBorders>
                  <w:shd w:val="clear" w:color="auto" w:fill="auto"/>
                  <w:vAlign w:val="center"/>
                  <w:hideMark/>
                </w:tcPr>
                <w:p w14:paraId="0CADE72F"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rPr>
                    <w:t>Liu, K., 2015. Critical reflection as a framework for transformative learning in teacher education. Educational Review, 67(2), pp.135–157. https://doi.org/10.1080/00131911.2013.839546</w:t>
                  </w:r>
                </w:p>
              </w:tc>
            </w:tr>
            <w:tr w:rsidR="00AE2CC3" w:rsidRPr="00AE2CC3" w14:paraId="30C04219" w14:textId="77777777" w:rsidTr="00AE2CC3">
              <w:trPr>
                <w:trHeight w:val="1416"/>
              </w:trPr>
              <w:tc>
                <w:tcPr>
                  <w:tcW w:w="8825" w:type="dxa"/>
                  <w:tcBorders>
                    <w:top w:val="nil"/>
                    <w:left w:val="nil"/>
                    <w:bottom w:val="nil"/>
                    <w:right w:val="nil"/>
                  </w:tcBorders>
                  <w:shd w:val="clear" w:color="auto" w:fill="auto"/>
                  <w:vAlign w:val="bottom"/>
                  <w:hideMark/>
                </w:tcPr>
                <w:p w14:paraId="10553ADF"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lang w:val="en-GB"/>
                    </w:rPr>
                    <w:t xml:space="preserve">Lloyd, A.T., Ragsdale, F.W., Marchman, J., </w:t>
                  </w:r>
                  <w:proofErr w:type="spellStart"/>
                  <w:r w:rsidRPr="00AE2CC3">
                    <w:rPr>
                      <w:rFonts w:eastAsia="Times New Roman"/>
                      <w:color w:val="auto"/>
                      <w:sz w:val="22"/>
                      <w:szCs w:val="22"/>
                      <w:highlight w:val="none"/>
                      <w:lang w:val="en-GB"/>
                    </w:rPr>
                    <w:t>Bretl</w:t>
                  </w:r>
                  <w:proofErr w:type="spellEnd"/>
                  <w:r w:rsidRPr="00AE2CC3">
                    <w:rPr>
                      <w:rFonts w:eastAsia="Times New Roman"/>
                      <w:color w:val="auto"/>
                      <w:sz w:val="22"/>
                      <w:szCs w:val="22"/>
                      <w:highlight w:val="none"/>
                      <w:lang w:val="en-GB"/>
                    </w:rPr>
                    <w:t xml:space="preserve">, M.M., Diaz, J. and </w:t>
                  </w:r>
                  <w:proofErr w:type="spellStart"/>
                  <w:r w:rsidRPr="00AE2CC3">
                    <w:rPr>
                      <w:rFonts w:eastAsia="Times New Roman"/>
                      <w:color w:val="auto"/>
                      <w:sz w:val="22"/>
                      <w:szCs w:val="22"/>
                      <w:highlight w:val="none"/>
                      <w:lang w:val="en-GB"/>
                    </w:rPr>
                    <w:t>Rosow</w:t>
                  </w:r>
                  <w:proofErr w:type="spellEnd"/>
                  <w:r w:rsidRPr="00AE2CC3">
                    <w:rPr>
                      <w:rFonts w:eastAsia="Times New Roman"/>
                      <w:color w:val="auto"/>
                      <w:sz w:val="22"/>
                      <w:szCs w:val="22"/>
                      <w:highlight w:val="none"/>
                      <w:lang w:val="en-GB"/>
                    </w:rPr>
                    <w:t xml:space="preserve">, D.E., 2020. </w:t>
                  </w:r>
                  <w:r w:rsidRPr="00AE2CC3">
                    <w:rPr>
                      <w:rFonts w:eastAsia="Times New Roman"/>
                      <w:i/>
                      <w:iCs/>
                      <w:color w:val="auto"/>
                      <w:sz w:val="22"/>
                      <w:szCs w:val="22"/>
                      <w:highlight w:val="none"/>
                      <w:lang w:val="en-GB"/>
                    </w:rPr>
                    <w:t>Quantifying subjective and objective measures of singing after different warm-up times</w:t>
                  </w:r>
                  <w:r w:rsidRPr="00AE2CC3">
                    <w:rPr>
                      <w:rFonts w:eastAsia="Times New Roman"/>
                      <w:color w:val="auto"/>
                      <w:sz w:val="22"/>
                      <w:szCs w:val="22"/>
                      <w:highlight w:val="none"/>
                      <w:lang w:val="en-GB"/>
                    </w:rPr>
                    <w:t>. Journal of Voice. [online] Available at: https://news.med.miami.edu/miller-school-researchers-study-ideal-vocal-warm-up-time-for-singers/ [Accessed 20 Jul. 2025]</w:t>
                  </w:r>
                </w:p>
              </w:tc>
            </w:tr>
            <w:tr w:rsidR="00AE2CC3" w:rsidRPr="00AE2CC3" w14:paraId="596D1C53" w14:textId="77777777" w:rsidTr="00AE2CC3">
              <w:trPr>
                <w:trHeight w:val="828"/>
              </w:trPr>
              <w:tc>
                <w:tcPr>
                  <w:tcW w:w="8825" w:type="dxa"/>
                  <w:tcBorders>
                    <w:top w:val="nil"/>
                    <w:left w:val="nil"/>
                    <w:bottom w:val="nil"/>
                    <w:right w:val="nil"/>
                  </w:tcBorders>
                  <w:shd w:val="clear" w:color="auto" w:fill="auto"/>
                  <w:vAlign w:val="center"/>
                  <w:hideMark/>
                </w:tcPr>
                <w:p w14:paraId="5AB47EB0"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rPr>
                    <w:lastRenderedPageBreak/>
                    <w:t>MacLeod, M.L.P., McCaffrey, G., Wilson, E. et al. Exploring the intersection of hermeneutics and implementation: a scoping review. Syst Rev 12, 30 (2023).</w:t>
                  </w:r>
                </w:p>
              </w:tc>
            </w:tr>
            <w:tr w:rsidR="00AE2CC3" w:rsidRPr="00AE2CC3" w14:paraId="5C83E376" w14:textId="77777777" w:rsidTr="00AE2CC3">
              <w:trPr>
                <w:trHeight w:val="840"/>
              </w:trPr>
              <w:tc>
                <w:tcPr>
                  <w:tcW w:w="8825" w:type="dxa"/>
                  <w:tcBorders>
                    <w:top w:val="nil"/>
                    <w:left w:val="nil"/>
                    <w:bottom w:val="nil"/>
                    <w:right w:val="nil"/>
                  </w:tcBorders>
                  <w:shd w:val="clear" w:color="auto" w:fill="auto"/>
                  <w:vAlign w:val="bottom"/>
                  <w:hideMark/>
                </w:tcPr>
                <w:p w14:paraId="49E475B1"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lang w:val="en-GB"/>
                    </w:rPr>
                    <w:t xml:space="preserve">McAuley L, Pham B, </w:t>
                  </w:r>
                  <w:proofErr w:type="spellStart"/>
                  <w:r w:rsidRPr="00AE2CC3">
                    <w:rPr>
                      <w:rFonts w:eastAsia="Times New Roman"/>
                      <w:color w:val="auto"/>
                      <w:sz w:val="22"/>
                      <w:szCs w:val="22"/>
                      <w:highlight w:val="none"/>
                      <w:lang w:val="en-GB"/>
                    </w:rPr>
                    <w:t>Tugwell</w:t>
                  </w:r>
                  <w:proofErr w:type="spellEnd"/>
                  <w:r w:rsidRPr="00AE2CC3">
                    <w:rPr>
                      <w:rFonts w:eastAsia="Times New Roman"/>
                      <w:color w:val="auto"/>
                      <w:sz w:val="22"/>
                      <w:szCs w:val="22"/>
                      <w:highlight w:val="none"/>
                      <w:lang w:val="en-GB"/>
                    </w:rPr>
                    <w:t xml:space="preserve"> P, Moher D. Does the inclusion of grey literature influence estimates of intervention effectiveness reported in meta-analyses? </w:t>
                  </w:r>
                  <w:r w:rsidRPr="00AE2CC3">
                    <w:rPr>
                      <w:rFonts w:eastAsia="Times New Roman"/>
                      <w:i/>
                      <w:iCs/>
                      <w:color w:val="auto"/>
                      <w:sz w:val="22"/>
                      <w:szCs w:val="22"/>
                      <w:highlight w:val="none"/>
                      <w:lang w:val="en-GB"/>
                    </w:rPr>
                    <w:t>Lancet</w:t>
                  </w:r>
                  <w:r w:rsidRPr="00AE2CC3">
                    <w:rPr>
                      <w:rFonts w:eastAsia="Times New Roman"/>
                      <w:color w:val="auto"/>
                      <w:sz w:val="22"/>
                      <w:szCs w:val="22"/>
                      <w:highlight w:val="none"/>
                      <w:lang w:val="en-GB"/>
                    </w:rPr>
                    <w:t>. 2000; 356: 1228–1231</w:t>
                  </w:r>
                </w:p>
              </w:tc>
            </w:tr>
            <w:tr w:rsidR="00AE2CC3" w:rsidRPr="00AE2CC3" w14:paraId="5EFAB8C0" w14:textId="77777777" w:rsidTr="00AE2CC3">
              <w:trPr>
                <w:trHeight w:val="552"/>
              </w:trPr>
              <w:tc>
                <w:tcPr>
                  <w:tcW w:w="8825" w:type="dxa"/>
                  <w:tcBorders>
                    <w:top w:val="nil"/>
                    <w:left w:val="nil"/>
                    <w:bottom w:val="nil"/>
                    <w:right w:val="nil"/>
                  </w:tcBorders>
                  <w:shd w:val="clear" w:color="auto" w:fill="auto"/>
                  <w:vAlign w:val="center"/>
                  <w:hideMark/>
                </w:tcPr>
                <w:p w14:paraId="4ABA0FBE"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rPr>
                    <w:t>Mezirow, J., 1990. Fostering critical reflection in adulthood: A guide to transformative and emancipatory learning. San Francisco: Jossey-Bass.</w:t>
                  </w:r>
                </w:p>
              </w:tc>
            </w:tr>
            <w:tr w:rsidR="00AE2CC3" w:rsidRPr="00AE2CC3" w14:paraId="1B8EAD88" w14:textId="77777777" w:rsidTr="00AE2CC3">
              <w:trPr>
                <w:trHeight w:val="1140"/>
              </w:trPr>
              <w:tc>
                <w:tcPr>
                  <w:tcW w:w="8825" w:type="dxa"/>
                  <w:tcBorders>
                    <w:top w:val="nil"/>
                    <w:left w:val="nil"/>
                    <w:bottom w:val="nil"/>
                    <w:right w:val="nil"/>
                  </w:tcBorders>
                  <w:shd w:val="clear" w:color="auto" w:fill="auto"/>
                  <w:vAlign w:val="bottom"/>
                  <w:hideMark/>
                </w:tcPr>
                <w:p w14:paraId="538E7797"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proofErr w:type="spellStart"/>
                  <w:r w:rsidRPr="00AE2CC3">
                    <w:rPr>
                      <w:rFonts w:eastAsia="Times New Roman"/>
                      <w:color w:val="auto"/>
                      <w:sz w:val="22"/>
                      <w:szCs w:val="22"/>
                      <w:highlight w:val="none"/>
                      <w:lang w:val="en-GB"/>
                    </w:rPr>
                    <w:t>Mezzedimi</w:t>
                  </w:r>
                  <w:proofErr w:type="spellEnd"/>
                  <w:r w:rsidRPr="00AE2CC3">
                    <w:rPr>
                      <w:rFonts w:eastAsia="Times New Roman"/>
                      <w:color w:val="auto"/>
                      <w:sz w:val="22"/>
                      <w:szCs w:val="22"/>
                      <w:highlight w:val="none"/>
                      <w:lang w:val="en-GB"/>
                    </w:rPr>
                    <w:t xml:space="preserve">, C., Di Francesco, M., </w:t>
                  </w:r>
                  <w:proofErr w:type="spellStart"/>
                  <w:r w:rsidRPr="00AE2CC3">
                    <w:rPr>
                      <w:rFonts w:eastAsia="Times New Roman"/>
                      <w:color w:val="auto"/>
                      <w:sz w:val="22"/>
                      <w:szCs w:val="22"/>
                      <w:highlight w:val="none"/>
                      <w:lang w:val="en-GB"/>
                    </w:rPr>
                    <w:t>Livi</w:t>
                  </w:r>
                  <w:proofErr w:type="spellEnd"/>
                  <w:r w:rsidRPr="00AE2CC3">
                    <w:rPr>
                      <w:rFonts w:eastAsia="Times New Roman"/>
                      <w:color w:val="auto"/>
                      <w:sz w:val="22"/>
                      <w:szCs w:val="22"/>
                      <w:highlight w:val="none"/>
                      <w:lang w:val="en-GB"/>
                    </w:rPr>
                    <w:t xml:space="preserve">, W., </w:t>
                  </w:r>
                  <w:proofErr w:type="spellStart"/>
                  <w:r w:rsidRPr="00AE2CC3">
                    <w:rPr>
                      <w:rFonts w:eastAsia="Times New Roman"/>
                      <w:color w:val="auto"/>
                      <w:sz w:val="22"/>
                      <w:szCs w:val="22"/>
                      <w:highlight w:val="none"/>
                      <w:lang w:val="en-GB"/>
                    </w:rPr>
                    <w:t>Cocca</w:t>
                  </w:r>
                  <w:proofErr w:type="spellEnd"/>
                  <w:r w:rsidRPr="00AE2CC3">
                    <w:rPr>
                      <w:rFonts w:eastAsia="Times New Roman"/>
                      <w:color w:val="auto"/>
                      <w:sz w:val="22"/>
                      <w:szCs w:val="22"/>
                      <w:highlight w:val="none"/>
                      <w:lang w:val="en-GB"/>
                    </w:rPr>
                    <w:t xml:space="preserve">, S., </w:t>
                  </w:r>
                  <w:proofErr w:type="spellStart"/>
                  <w:r w:rsidRPr="00AE2CC3">
                    <w:rPr>
                      <w:rFonts w:eastAsia="Times New Roman"/>
                      <w:color w:val="auto"/>
                      <w:sz w:val="22"/>
                      <w:szCs w:val="22"/>
                      <w:highlight w:val="none"/>
                      <w:lang w:val="en-GB"/>
                    </w:rPr>
                    <w:t>Parrini</w:t>
                  </w:r>
                  <w:proofErr w:type="spellEnd"/>
                  <w:r w:rsidRPr="00AE2CC3">
                    <w:rPr>
                      <w:rFonts w:eastAsia="Times New Roman"/>
                      <w:color w:val="auto"/>
                      <w:sz w:val="22"/>
                      <w:szCs w:val="22"/>
                      <w:highlight w:val="none"/>
                      <w:lang w:val="en-GB"/>
                    </w:rPr>
                    <w:t xml:space="preserve">, S. and Galli, J., 2020. </w:t>
                  </w:r>
                  <w:r w:rsidRPr="00AE2CC3">
                    <w:rPr>
                      <w:rFonts w:eastAsia="Times New Roman"/>
                      <w:i/>
                      <w:iCs/>
                      <w:color w:val="auto"/>
                      <w:sz w:val="22"/>
                      <w:szCs w:val="22"/>
                      <w:highlight w:val="none"/>
                      <w:lang w:val="en-GB"/>
                    </w:rPr>
                    <w:t>Vocal warm-up and acoustic analysis: Objective data from healthy professional singers</w:t>
                  </w:r>
                  <w:r w:rsidRPr="00AE2CC3">
                    <w:rPr>
                      <w:rFonts w:eastAsia="Times New Roman"/>
                      <w:color w:val="auto"/>
                      <w:sz w:val="22"/>
                      <w:szCs w:val="22"/>
                      <w:highlight w:val="none"/>
                      <w:lang w:val="en-GB"/>
                    </w:rPr>
                    <w:t>. European Archives of Oto-Rhino-Laryngology, 277(6), pp.1751–1756</w:t>
                  </w:r>
                </w:p>
              </w:tc>
            </w:tr>
            <w:tr w:rsidR="00AE2CC3" w:rsidRPr="00AE2CC3" w14:paraId="6AD8898C" w14:textId="77777777" w:rsidTr="00AE2CC3">
              <w:trPr>
                <w:trHeight w:val="840"/>
              </w:trPr>
              <w:tc>
                <w:tcPr>
                  <w:tcW w:w="8825" w:type="dxa"/>
                  <w:tcBorders>
                    <w:top w:val="nil"/>
                    <w:left w:val="nil"/>
                    <w:bottom w:val="nil"/>
                    <w:right w:val="nil"/>
                  </w:tcBorders>
                  <w:shd w:val="clear" w:color="auto" w:fill="auto"/>
                  <w:vAlign w:val="bottom"/>
                  <w:hideMark/>
                </w:tcPr>
                <w:p w14:paraId="4BA3ED6F"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lang w:val="en-GB"/>
                    </w:rPr>
                    <w:t xml:space="preserve">Moss, H., Lynch, J. and O’Donoghue, J. (2018) ‘Exploring the perceived health benefits of singing in a choir: an international cross-sectional mixed-methods study’, </w:t>
                  </w:r>
                  <w:r w:rsidRPr="00AE2CC3">
                    <w:rPr>
                      <w:rFonts w:eastAsia="Times New Roman"/>
                      <w:i/>
                      <w:iCs/>
                      <w:color w:val="auto"/>
                      <w:sz w:val="22"/>
                      <w:szCs w:val="22"/>
                      <w:highlight w:val="none"/>
                      <w:lang w:val="en-GB"/>
                    </w:rPr>
                    <w:t>Perspectives in public health</w:t>
                  </w:r>
                  <w:r w:rsidRPr="00AE2CC3">
                    <w:rPr>
                      <w:rFonts w:eastAsia="Times New Roman"/>
                      <w:color w:val="auto"/>
                      <w:sz w:val="22"/>
                      <w:szCs w:val="22"/>
                      <w:highlight w:val="none"/>
                      <w:lang w:val="en-GB"/>
                    </w:rPr>
                    <w:t>, 138(3), pp. 160–168</w:t>
                  </w:r>
                </w:p>
              </w:tc>
            </w:tr>
            <w:tr w:rsidR="00AE2CC3" w:rsidRPr="00AE2CC3" w14:paraId="77B58FDF" w14:textId="77777777" w:rsidTr="00AE2CC3">
              <w:trPr>
                <w:trHeight w:val="864"/>
              </w:trPr>
              <w:tc>
                <w:tcPr>
                  <w:tcW w:w="8825" w:type="dxa"/>
                  <w:tcBorders>
                    <w:top w:val="nil"/>
                    <w:left w:val="nil"/>
                    <w:bottom w:val="nil"/>
                    <w:right w:val="nil"/>
                  </w:tcBorders>
                  <w:shd w:val="clear" w:color="auto" w:fill="auto"/>
                  <w:vAlign w:val="bottom"/>
                  <w:hideMark/>
                </w:tcPr>
                <w:p w14:paraId="1021B1FA" w14:textId="77777777" w:rsidR="00AE2CC3" w:rsidRPr="00AE2CC3" w:rsidRDefault="00AE2CC3" w:rsidP="00AE2CC3">
                  <w:pPr>
                    <w:shd w:val="clear" w:color="auto" w:fill="auto"/>
                    <w:spacing w:before="0" w:after="0" w:line="240" w:lineRule="auto"/>
                    <w:rPr>
                      <w:rFonts w:ascii="Aptos Narrow" w:eastAsia="Times New Roman" w:hAnsi="Aptos Narrow" w:cs="Times New Roman"/>
                      <w:color w:val="auto"/>
                      <w:sz w:val="22"/>
                      <w:szCs w:val="22"/>
                      <w:highlight w:val="none"/>
                      <w:lang w:val="en-GB"/>
                    </w:rPr>
                  </w:pPr>
                  <w:r w:rsidRPr="00AE2CC3">
                    <w:rPr>
                      <w:rFonts w:ascii="Aptos Narrow" w:eastAsia="Times New Roman" w:hAnsi="Aptos Narrow" w:cs="Times New Roman"/>
                      <w:color w:val="auto"/>
                      <w:sz w:val="22"/>
                      <w:szCs w:val="22"/>
                      <w:highlight w:val="none"/>
                      <w:lang w:val="en-GB"/>
                    </w:rPr>
                    <w:t xml:space="preserve">National Creative Centre for Health (2017) APPG AHW Inquiry Report - Creative Health: The Arts for Health and Wellbeing. </w:t>
                  </w:r>
                  <w:proofErr w:type="spellStart"/>
                  <w:r w:rsidRPr="00AE2CC3">
                    <w:rPr>
                      <w:rFonts w:ascii="Aptos Narrow" w:eastAsia="Times New Roman" w:hAnsi="Aptos Narrow" w:cs="Times New Roman"/>
                      <w:color w:val="auto"/>
                      <w:sz w:val="22"/>
                      <w:szCs w:val="22"/>
                      <w:highlight w:val="none"/>
                      <w:lang w:val="en-GB"/>
                    </w:rPr>
                    <w:t>Avaliable</w:t>
                  </w:r>
                  <w:proofErr w:type="spellEnd"/>
                  <w:r w:rsidRPr="00AE2CC3">
                    <w:rPr>
                      <w:rFonts w:ascii="Aptos Narrow" w:eastAsia="Times New Roman" w:hAnsi="Aptos Narrow" w:cs="Times New Roman"/>
                      <w:color w:val="auto"/>
                      <w:sz w:val="22"/>
                      <w:szCs w:val="22"/>
                      <w:highlight w:val="none"/>
                      <w:lang w:val="en-GB"/>
                    </w:rPr>
                    <w:t xml:space="preserve"> At: https://ncch.org.uk/appg-ahw-inquiry-report (Accessed: 15th June 2025)</w:t>
                  </w:r>
                </w:p>
              </w:tc>
            </w:tr>
            <w:tr w:rsidR="00AE2CC3" w:rsidRPr="00AE2CC3" w14:paraId="144DFFD6" w14:textId="77777777" w:rsidTr="00AE2CC3">
              <w:trPr>
                <w:trHeight w:val="552"/>
              </w:trPr>
              <w:tc>
                <w:tcPr>
                  <w:tcW w:w="8825" w:type="dxa"/>
                  <w:tcBorders>
                    <w:top w:val="nil"/>
                    <w:left w:val="nil"/>
                    <w:bottom w:val="nil"/>
                    <w:right w:val="nil"/>
                  </w:tcBorders>
                  <w:shd w:val="clear" w:color="auto" w:fill="auto"/>
                  <w:vAlign w:val="center"/>
                  <w:hideMark/>
                </w:tcPr>
                <w:p w14:paraId="0B5D45DE"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rPr>
                    <w:t>O’Leary, Z. (2017). The Essential Guide to Doing Your Research Project (3rd ed.). SAGE Publications.</w:t>
                  </w:r>
                </w:p>
              </w:tc>
            </w:tr>
            <w:tr w:rsidR="00AE2CC3" w:rsidRPr="00AE2CC3" w14:paraId="689B0C8E" w14:textId="77777777" w:rsidTr="00AE2CC3">
              <w:trPr>
                <w:trHeight w:val="864"/>
              </w:trPr>
              <w:tc>
                <w:tcPr>
                  <w:tcW w:w="8825" w:type="dxa"/>
                  <w:tcBorders>
                    <w:top w:val="nil"/>
                    <w:left w:val="nil"/>
                    <w:bottom w:val="nil"/>
                    <w:right w:val="nil"/>
                  </w:tcBorders>
                  <w:shd w:val="clear" w:color="auto" w:fill="auto"/>
                  <w:vAlign w:val="bottom"/>
                  <w:hideMark/>
                </w:tcPr>
                <w:p w14:paraId="0F5C7256" w14:textId="77777777" w:rsidR="00AE2CC3" w:rsidRPr="00AE2CC3" w:rsidRDefault="00AE2CC3" w:rsidP="00AE2CC3">
                  <w:pPr>
                    <w:shd w:val="clear" w:color="auto" w:fill="auto"/>
                    <w:spacing w:before="0" w:after="0" w:line="240" w:lineRule="auto"/>
                    <w:rPr>
                      <w:rFonts w:ascii="Courier New" w:eastAsia="Times New Roman" w:hAnsi="Courier New" w:cs="Courier New"/>
                      <w:color w:val="auto"/>
                      <w:sz w:val="22"/>
                      <w:szCs w:val="22"/>
                      <w:highlight w:val="none"/>
                      <w:lang w:val="en-GB"/>
                    </w:rPr>
                  </w:pPr>
                  <w:proofErr w:type="spellStart"/>
                  <w:r w:rsidRPr="00AE2CC3">
                    <w:rPr>
                      <w:rFonts w:ascii="Courier New" w:eastAsia="Times New Roman" w:hAnsi="Courier New" w:cs="Courier New"/>
                      <w:color w:val="auto"/>
                      <w:sz w:val="22"/>
                      <w:szCs w:val="22"/>
                      <w:highlight w:val="none"/>
                      <w:lang w:val="en-GB"/>
                    </w:rPr>
                    <w:t>Paez</w:t>
                  </w:r>
                  <w:proofErr w:type="spellEnd"/>
                  <w:r w:rsidRPr="00AE2CC3">
                    <w:rPr>
                      <w:rFonts w:ascii="Courier New" w:eastAsia="Times New Roman" w:hAnsi="Courier New" w:cs="Courier New"/>
                      <w:color w:val="auto"/>
                      <w:sz w:val="22"/>
                      <w:szCs w:val="22"/>
                      <w:highlight w:val="none"/>
                      <w:lang w:val="en-GB"/>
                    </w:rPr>
                    <w:t xml:space="preserve">, A. (2017) ‘Gray literature: An important resource in systematic reviews’, </w:t>
                  </w:r>
                  <w:r w:rsidRPr="00AE2CC3">
                    <w:rPr>
                      <w:rFonts w:ascii="Courier New" w:eastAsia="Times New Roman" w:hAnsi="Courier New" w:cs="Courier New"/>
                      <w:i/>
                      <w:iCs/>
                      <w:color w:val="auto"/>
                      <w:sz w:val="22"/>
                      <w:szCs w:val="22"/>
                      <w:highlight w:val="none"/>
                      <w:lang w:val="en-GB"/>
                    </w:rPr>
                    <w:t>Journal of evidence-based medicine</w:t>
                  </w:r>
                  <w:r w:rsidRPr="00AE2CC3">
                    <w:rPr>
                      <w:rFonts w:ascii="Courier New" w:eastAsia="Times New Roman" w:hAnsi="Courier New" w:cs="Courier New"/>
                      <w:color w:val="auto"/>
                      <w:sz w:val="22"/>
                      <w:szCs w:val="22"/>
                      <w:highlight w:val="none"/>
                      <w:lang w:val="en-GB"/>
                    </w:rPr>
                    <w:t>, 10(3), pp. 233–240.</w:t>
                  </w:r>
                </w:p>
              </w:tc>
            </w:tr>
            <w:tr w:rsidR="00AE2CC3" w:rsidRPr="00AE2CC3" w14:paraId="17CD5012" w14:textId="77777777" w:rsidTr="00AE2CC3">
              <w:trPr>
                <w:trHeight w:val="864"/>
              </w:trPr>
              <w:tc>
                <w:tcPr>
                  <w:tcW w:w="8825" w:type="dxa"/>
                  <w:tcBorders>
                    <w:top w:val="nil"/>
                    <w:left w:val="nil"/>
                    <w:bottom w:val="nil"/>
                    <w:right w:val="nil"/>
                  </w:tcBorders>
                  <w:shd w:val="clear" w:color="auto" w:fill="auto"/>
                  <w:vAlign w:val="bottom"/>
                  <w:hideMark/>
                </w:tcPr>
                <w:p w14:paraId="1F3D9016"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lang w:val="pt-PT"/>
                    </w:rPr>
                    <w:t xml:space="preserve">Pestana, P.M., Manso, M.C. &amp; Melo, P., 2017. </w:t>
                  </w:r>
                  <w:r w:rsidRPr="00AE2CC3">
                    <w:rPr>
                      <w:rFonts w:eastAsia="Times New Roman"/>
                      <w:i/>
                      <w:iCs/>
                      <w:color w:val="auto"/>
                      <w:sz w:val="22"/>
                      <w:szCs w:val="22"/>
                      <w:highlight w:val="none"/>
                      <w:lang w:val="en-GB"/>
                    </w:rPr>
                    <w:t>Prevalence of voice disorders in singers: Systematic review and meta-analysis</w:t>
                  </w:r>
                  <w:r w:rsidRPr="00AE2CC3">
                    <w:rPr>
                      <w:rFonts w:eastAsia="Times New Roman"/>
                      <w:color w:val="auto"/>
                      <w:sz w:val="22"/>
                      <w:szCs w:val="22"/>
                      <w:highlight w:val="none"/>
                      <w:lang w:val="en-GB"/>
                    </w:rPr>
                    <w:t>. Journal of Voice,</w:t>
                  </w:r>
                </w:p>
              </w:tc>
            </w:tr>
            <w:tr w:rsidR="00AE2CC3" w:rsidRPr="00AE2CC3" w14:paraId="2E6ED938" w14:textId="77777777" w:rsidTr="00AE2CC3">
              <w:trPr>
                <w:trHeight w:val="828"/>
              </w:trPr>
              <w:tc>
                <w:tcPr>
                  <w:tcW w:w="8825" w:type="dxa"/>
                  <w:tcBorders>
                    <w:top w:val="nil"/>
                    <w:left w:val="nil"/>
                    <w:bottom w:val="nil"/>
                    <w:right w:val="nil"/>
                  </w:tcBorders>
                  <w:shd w:val="clear" w:color="auto" w:fill="auto"/>
                  <w:vAlign w:val="center"/>
                  <w:hideMark/>
                </w:tcPr>
                <w:p w14:paraId="3A857F3B"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rPr>
                    <w:t>Randolph, J. J. (2009). A guide to writing the dissertation literature review. Practical Assessment, Research &amp; Evaluation, 14(13). http://pareonline.net/getvn.asp?v=14&amp;n=13</w:t>
                  </w:r>
                </w:p>
              </w:tc>
            </w:tr>
            <w:tr w:rsidR="00AE2CC3" w:rsidRPr="00AE2CC3" w14:paraId="49F2329E" w14:textId="77777777" w:rsidTr="00AE2CC3">
              <w:trPr>
                <w:trHeight w:val="564"/>
              </w:trPr>
              <w:tc>
                <w:tcPr>
                  <w:tcW w:w="8825" w:type="dxa"/>
                  <w:tcBorders>
                    <w:top w:val="nil"/>
                    <w:left w:val="nil"/>
                    <w:bottom w:val="nil"/>
                    <w:right w:val="nil"/>
                  </w:tcBorders>
                  <w:shd w:val="clear" w:color="auto" w:fill="auto"/>
                  <w:vAlign w:val="bottom"/>
                  <w:hideMark/>
                </w:tcPr>
                <w:p w14:paraId="6D900A90"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proofErr w:type="spellStart"/>
                  <w:r w:rsidRPr="00AE2CC3">
                    <w:rPr>
                      <w:rFonts w:eastAsia="Times New Roman"/>
                      <w:color w:val="auto"/>
                      <w:sz w:val="22"/>
                      <w:szCs w:val="22"/>
                      <w:highlight w:val="none"/>
                      <w:lang w:val="en-GB"/>
                    </w:rPr>
                    <w:t>Ravall</w:t>
                  </w:r>
                  <w:proofErr w:type="spellEnd"/>
                  <w:r w:rsidRPr="00AE2CC3">
                    <w:rPr>
                      <w:rFonts w:eastAsia="Times New Roman"/>
                      <w:color w:val="auto"/>
                      <w:sz w:val="22"/>
                      <w:szCs w:val="22"/>
                      <w:highlight w:val="none"/>
                      <w:lang w:val="en-GB"/>
                    </w:rPr>
                    <w:t xml:space="preserve">, S. and </w:t>
                  </w:r>
                  <w:proofErr w:type="spellStart"/>
                  <w:r w:rsidRPr="00AE2CC3">
                    <w:rPr>
                      <w:rFonts w:eastAsia="Times New Roman"/>
                      <w:color w:val="auto"/>
                      <w:sz w:val="22"/>
                      <w:szCs w:val="22"/>
                      <w:highlight w:val="none"/>
                      <w:lang w:val="en-GB"/>
                    </w:rPr>
                    <w:t>Simberg</w:t>
                  </w:r>
                  <w:proofErr w:type="spellEnd"/>
                  <w:r w:rsidRPr="00AE2CC3">
                    <w:rPr>
                      <w:rFonts w:eastAsia="Times New Roman"/>
                      <w:color w:val="auto"/>
                      <w:sz w:val="22"/>
                      <w:szCs w:val="22"/>
                      <w:highlight w:val="none"/>
                      <w:lang w:val="en-GB"/>
                    </w:rPr>
                    <w:t xml:space="preserve">, S. (2020) ‘Voice Disorders and Voice Knowledge in Choir Singers’, </w:t>
                  </w:r>
                  <w:r w:rsidRPr="00AE2CC3">
                    <w:rPr>
                      <w:rFonts w:eastAsia="Times New Roman"/>
                      <w:i/>
                      <w:iCs/>
                      <w:color w:val="auto"/>
                      <w:sz w:val="22"/>
                      <w:szCs w:val="22"/>
                      <w:highlight w:val="none"/>
                      <w:lang w:val="en-GB"/>
                    </w:rPr>
                    <w:t>Journal of voice</w:t>
                  </w:r>
                  <w:r w:rsidRPr="00AE2CC3">
                    <w:rPr>
                      <w:rFonts w:eastAsia="Times New Roman"/>
                      <w:color w:val="auto"/>
                      <w:sz w:val="22"/>
                      <w:szCs w:val="22"/>
                      <w:highlight w:val="none"/>
                      <w:lang w:val="en-GB"/>
                    </w:rPr>
                    <w:t>, 34(1), p. 157.e1-157</w:t>
                  </w:r>
                </w:p>
              </w:tc>
            </w:tr>
            <w:tr w:rsidR="00AE2CC3" w:rsidRPr="00AE2CC3" w14:paraId="11722C13" w14:textId="77777777" w:rsidTr="00AE2CC3">
              <w:trPr>
                <w:trHeight w:val="828"/>
              </w:trPr>
              <w:tc>
                <w:tcPr>
                  <w:tcW w:w="8825" w:type="dxa"/>
                  <w:tcBorders>
                    <w:top w:val="nil"/>
                    <w:left w:val="nil"/>
                    <w:bottom w:val="nil"/>
                    <w:right w:val="nil"/>
                  </w:tcBorders>
                  <w:shd w:val="clear" w:color="auto" w:fill="auto"/>
                  <w:vAlign w:val="center"/>
                  <w:hideMark/>
                </w:tcPr>
                <w:p w14:paraId="6B8CBE6C"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rPr>
                    <w:t>Rolfe G, Freshwater D, Jasper M. Critical refection in nursing and the helping professions: A user’s guide. Basingstoke: Palgrave Macmillan; 2001</w:t>
                  </w:r>
                </w:p>
              </w:tc>
            </w:tr>
            <w:tr w:rsidR="00AE2CC3" w:rsidRPr="00AE2CC3" w14:paraId="10283D39" w14:textId="77777777" w:rsidTr="00AE2CC3">
              <w:trPr>
                <w:trHeight w:val="552"/>
              </w:trPr>
              <w:tc>
                <w:tcPr>
                  <w:tcW w:w="8825" w:type="dxa"/>
                  <w:tcBorders>
                    <w:top w:val="nil"/>
                    <w:left w:val="nil"/>
                    <w:bottom w:val="nil"/>
                    <w:right w:val="nil"/>
                  </w:tcBorders>
                  <w:shd w:val="clear" w:color="auto" w:fill="auto"/>
                  <w:vAlign w:val="center"/>
                  <w:hideMark/>
                </w:tcPr>
                <w:p w14:paraId="64118BAC"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rPr>
                    <w:t xml:space="preserve">Rosa, M., &amp; </w:t>
                  </w:r>
                  <w:proofErr w:type="spellStart"/>
                  <w:r w:rsidRPr="00AE2CC3">
                    <w:rPr>
                      <w:rFonts w:eastAsia="Times New Roman"/>
                      <w:color w:val="auto"/>
                      <w:sz w:val="22"/>
                      <w:szCs w:val="22"/>
                      <w:highlight w:val="none"/>
                    </w:rPr>
                    <w:t>Behlau</w:t>
                  </w:r>
                  <w:proofErr w:type="spellEnd"/>
                  <w:r w:rsidRPr="00AE2CC3">
                    <w:rPr>
                      <w:rFonts w:eastAsia="Times New Roman"/>
                      <w:color w:val="auto"/>
                      <w:sz w:val="22"/>
                      <w:szCs w:val="22"/>
                      <w:highlight w:val="none"/>
                    </w:rPr>
                    <w:t>, M. (2017). Mapping of vocal risk in amateur choir. Journal of Voice, 31(1), 118.e1–118.e11.</w:t>
                  </w:r>
                </w:p>
              </w:tc>
            </w:tr>
            <w:tr w:rsidR="00AE2CC3" w:rsidRPr="00AE2CC3" w14:paraId="0221766C" w14:textId="77777777" w:rsidTr="00AE2CC3">
              <w:trPr>
                <w:trHeight w:val="828"/>
              </w:trPr>
              <w:tc>
                <w:tcPr>
                  <w:tcW w:w="8825" w:type="dxa"/>
                  <w:tcBorders>
                    <w:top w:val="nil"/>
                    <w:left w:val="nil"/>
                    <w:bottom w:val="nil"/>
                    <w:right w:val="nil"/>
                  </w:tcBorders>
                  <w:shd w:val="clear" w:color="auto" w:fill="auto"/>
                  <w:vAlign w:val="center"/>
                  <w:hideMark/>
                </w:tcPr>
                <w:p w14:paraId="72C17138"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rPr>
                    <w:t>Ryan, C., &amp; Andrews, N. (2009). An investigation into the choral singer’s experience of music performance anxiety. Journal of Research in Music Education, 57(2), 108–126.</w:t>
                  </w:r>
                </w:p>
              </w:tc>
            </w:tr>
            <w:tr w:rsidR="00AE2CC3" w:rsidRPr="00AE2CC3" w14:paraId="263FF2B1" w14:textId="77777777" w:rsidTr="00AE2CC3">
              <w:trPr>
                <w:trHeight w:val="864"/>
              </w:trPr>
              <w:tc>
                <w:tcPr>
                  <w:tcW w:w="8825" w:type="dxa"/>
                  <w:tcBorders>
                    <w:top w:val="nil"/>
                    <w:left w:val="nil"/>
                    <w:bottom w:val="nil"/>
                    <w:right w:val="nil"/>
                  </w:tcBorders>
                  <w:shd w:val="clear" w:color="auto" w:fill="auto"/>
                  <w:vAlign w:val="bottom"/>
                  <w:hideMark/>
                </w:tcPr>
                <w:p w14:paraId="58C8B120"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proofErr w:type="spellStart"/>
                  <w:r w:rsidRPr="00AE2CC3">
                    <w:rPr>
                      <w:rFonts w:eastAsia="Times New Roman"/>
                      <w:color w:val="auto"/>
                      <w:sz w:val="22"/>
                      <w:szCs w:val="22"/>
                      <w:highlight w:val="none"/>
                      <w:lang w:val="de-DE"/>
                    </w:rPr>
                    <w:t>Sandage</w:t>
                  </w:r>
                  <w:proofErr w:type="spellEnd"/>
                  <w:r w:rsidRPr="00AE2CC3">
                    <w:rPr>
                      <w:rFonts w:eastAsia="Times New Roman"/>
                      <w:color w:val="auto"/>
                      <w:sz w:val="22"/>
                      <w:szCs w:val="22"/>
                      <w:highlight w:val="none"/>
                      <w:lang w:val="de-DE"/>
                    </w:rPr>
                    <w:t xml:space="preserve">, M. and Hoch, M., 2018. </w:t>
                  </w:r>
                  <w:r w:rsidRPr="00AE2CC3">
                    <w:rPr>
                      <w:rFonts w:eastAsia="Times New Roman"/>
                      <w:i/>
                      <w:iCs/>
                      <w:color w:val="auto"/>
                      <w:sz w:val="22"/>
                      <w:szCs w:val="22"/>
                      <w:highlight w:val="none"/>
                      <w:lang w:val="en-GB"/>
                    </w:rPr>
                    <w:t>Principles of motor learning in vocal training: Implications for voice pedagogy</w:t>
                  </w:r>
                  <w:r w:rsidRPr="00AE2CC3">
                    <w:rPr>
                      <w:rFonts w:eastAsia="Times New Roman"/>
                      <w:color w:val="auto"/>
                      <w:sz w:val="22"/>
                      <w:szCs w:val="22"/>
                      <w:highlight w:val="none"/>
                      <w:lang w:val="en-GB"/>
                    </w:rPr>
                    <w:t>. Journal of Singing, 74(5), pp.561–568</w:t>
                  </w:r>
                </w:p>
              </w:tc>
            </w:tr>
            <w:tr w:rsidR="00AE2CC3" w:rsidRPr="00AE2CC3" w14:paraId="1C1A7D47" w14:textId="77777777" w:rsidTr="00AE2CC3">
              <w:trPr>
                <w:trHeight w:val="828"/>
              </w:trPr>
              <w:tc>
                <w:tcPr>
                  <w:tcW w:w="8825" w:type="dxa"/>
                  <w:tcBorders>
                    <w:top w:val="nil"/>
                    <w:left w:val="nil"/>
                    <w:bottom w:val="nil"/>
                    <w:right w:val="nil"/>
                  </w:tcBorders>
                  <w:shd w:val="clear" w:color="auto" w:fill="auto"/>
                  <w:vAlign w:val="center"/>
                  <w:hideMark/>
                </w:tcPr>
                <w:p w14:paraId="7E4E4784"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proofErr w:type="spellStart"/>
                  <w:r w:rsidRPr="00AE2CC3">
                    <w:rPr>
                      <w:rFonts w:eastAsia="Times New Roman"/>
                      <w:color w:val="auto"/>
                      <w:sz w:val="22"/>
                      <w:szCs w:val="22"/>
                      <w:highlight w:val="none"/>
                      <w:lang w:val="pt-PT"/>
                    </w:rPr>
                    <w:t>Sharma</w:t>
                  </w:r>
                  <w:proofErr w:type="spellEnd"/>
                  <w:r w:rsidRPr="00AE2CC3">
                    <w:rPr>
                      <w:rFonts w:eastAsia="Times New Roman"/>
                      <w:color w:val="auto"/>
                      <w:sz w:val="22"/>
                      <w:szCs w:val="22"/>
                      <w:highlight w:val="none"/>
                      <w:lang w:val="pt-PT"/>
                    </w:rPr>
                    <w:t xml:space="preserve">, V., </w:t>
                  </w:r>
                  <w:proofErr w:type="spellStart"/>
                  <w:r w:rsidRPr="00AE2CC3">
                    <w:rPr>
                      <w:rFonts w:eastAsia="Times New Roman"/>
                      <w:color w:val="auto"/>
                      <w:sz w:val="22"/>
                      <w:szCs w:val="22"/>
                      <w:highlight w:val="none"/>
                      <w:lang w:val="pt-PT"/>
                    </w:rPr>
                    <w:t>Nayak</w:t>
                  </w:r>
                  <w:proofErr w:type="spellEnd"/>
                  <w:r w:rsidRPr="00AE2CC3">
                    <w:rPr>
                      <w:rFonts w:eastAsia="Times New Roman"/>
                      <w:color w:val="auto"/>
                      <w:sz w:val="22"/>
                      <w:szCs w:val="22"/>
                      <w:highlight w:val="none"/>
                      <w:lang w:val="pt-PT"/>
                    </w:rPr>
                    <w:t xml:space="preserve">, S., &amp; </w:t>
                  </w:r>
                  <w:proofErr w:type="spellStart"/>
                  <w:r w:rsidRPr="00AE2CC3">
                    <w:rPr>
                      <w:rFonts w:eastAsia="Times New Roman"/>
                      <w:color w:val="auto"/>
                      <w:sz w:val="22"/>
                      <w:szCs w:val="22"/>
                      <w:highlight w:val="none"/>
                      <w:lang w:val="pt-PT"/>
                    </w:rPr>
                    <w:t>Devadas</w:t>
                  </w:r>
                  <w:proofErr w:type="spellEnd"/>
                  <w:r w:rsidRPr="00AE2CC3">
                    <w:rPr>
                      <w:rFonts w:eastAsia="Times New Roman"/>
                      <w:color w:val="auto"/>
                      <w:sz w:val="22"/>
                      <w:szCs w:val="22"/>
                      <w:highlight w:val="none"/>
                      <w:lang w:val="pt-PT"/>
                    </w:rPr>
                    <w:t xml:space="preserve">, U. (2021). </w:t>
                  </w:r>
                  <w:r w:rsidRPr="00AE2CC3">
                    <w:rPr>
                      <w:rFonts w:eastAsia="Times New Roman"/>
                      <w:color w:val="auto"/>
                      <w:sz w:val="22"/>
                      <w:szCs w:val="22"/>
                      <w:highlight w:val="none"/>
                    </w:rPr>
                    <w:t>A survey of vocal health in church choir singers. European Archives of Oto-Rhino-Laryngology, 278, 2907–2917.</w:t>
                  </w:r>
                </w:p>
              </w:tc>
            </w:tr>
            <w:tr w:rsidR="00AE2CC3" w:rsidRPr="00AE2CC3" w14:paraId="4FE0B714" w14:textId="77777777" w:rsidTr="00AE2CC3">
              <w:trPr>
                <w:trHeight w:val="576"/>
              </w:trPr>
              <w:tc>
                <w:tcPr>
                  <w:tcW w:w="8825" w:type="dxa"/>
                  <w:tcBorders>
                    <w:top w:val="nil"/>
                    <w:left w:val="nil"/>
                    <w:bottom w:val="nil"/>
                    <w:right w:val="nil"/>
                  </w:tcBorders>
                  <w:shd w:val="clear" w:color="auto" w:fill="auto"/>
                  <w:vAlign w:val="bottom"/>
                  <w:hideMark/>
                </w:tcPr>
                <w:p w14:paraId="3F44DD0B"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lang w:val="en-GB"/>
                    </w:rPr>
                    <w:lastRenderedPageBreak/>
                    <w:t xml:space="preserve">Smith, B., 2018. </w:t>
                  </w:r>
                  <w:r w:rsidRPr="00AE2CC3">
                    <w:rPr>
                      <w:rFonts w:eastAsia="Times New Roman"/>
                      <w:i/>
                      <w:iCs/>
                      <w:color w:val="auto"/>
                      <w:sz w:val="22"/>
                      <w:szCs w:val="22"/>
                      <w:highlight w:val="none"/>
                      <w:lang w:val="en-GB"/>
                    </w:rPr>
                    <w:t>Voice care in the community: Challenges for the amateur singer</w:t>
                  </w:r>
                  <w:r w:rsidRPr="00AE2CC3">
                    <w:rPr>
                      <w:rFonts w:eastAsia="Times New Roman"/>
                      <w:color w:val="auto"/>
                      <w:sz w:val="22"/>
                      <w:szCs w:val="22"/>
                      <w:highlight w:val="none"/>
                      <w:lang w:val="en-GB"/>
                    </w:rPr>
                    <w:t>. Voice and Speech Review, 12(1), pp.34–46</w:t>
                  </w:r>
                </w:p>
              </w:tc>
            </w:tr>
            <w:tr w:rsidR="00AE2CC3" w:rsidRPr="00AE2CC3" w14:paraId="701232CF" w14:textId="77777777" w:rsidTr="00AE2CC3">
              <w:trPr>
                <w:trHeight w:val="828"/>
              </w:trPr>
              <w:tc>
                <w:tcPr>
                  <w:tcW w:w="8825" w:type="dxa"/>
                  <w:tcBorders>
                    <w:top w:val="nil"/>
                    <w:left w:val="nil"/>
                    <w:bottom w:val="nil"/>
                    <w:right w:val="nil"/>
                  </w:tcBorders>
                  <w:shd w:val="clear" w:color="auto" w:fill="auto"/>
                  <w:vAlign w:val="center"/>
                  <w:hideMark/>
                </w:tcPr>
                <w:p w14:paraId="7ADC4A10"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rPr>
                    <w:t xml:space="preserve">Sow, CF., Rasiah, S. &amp; Er, H.M. A critical Exploration of Theoretical Frameworks for Reflective Learning: Reflections from a Faculty Development Workshop. </w:t>
                  </w:r>
                  <w:proofErr w:type="spellStart"/>
                  <w:r w:rsidRPr="00AE2CC3">
                    <w:rPr>
                      <w:rFonts w:eastAsia="Times New Roman"/>
                      <w:color w:val="auto"/>
                      <w:sz w:val="22"/>
                      <w:szCs w:val="22"/>
                      <w:highlight w:val="none"/>
                    </w:rPr>
                    <w:t>Med.Sci.Educ</w:t>
                  </w:r>
                  <w:proofErr w:type="spellEnd"/>
                  <w:r w:rsidRPr="00AE2CC3">
                    <w:rPr>
                      <w:rFonts w:eastAsia="Times New Roman"/>
                      <w:color w:val="auto"/>
                      <w:sz w:val="22"/>
                      <w:szCs w:val="22"/>
                      <w:highlight w:val="none"/>
                    </w:rPr>
                    <w:t>. 35, 503–507 (2025)</w:t>
                  </w:r>
                </w:p>
              </w:tc>
            </w:tr>
            <w:tr w:rsidR="00AE2CC3" w:rsidRPr="00AE2CC3" w14:paraId="3A7EFD08" w14:textId="77777777" w:rsidTr="00AE2CC3">
              <w:trPr>
                <w:trHeight w:val="828"/>
              </w:trPr>
              <w:tc>
                <w:tcPr>
                  <w:tcW w:w="8825" w:type="dxa"/>
                  <w:tcBorders>
                    <w:top w:val="nil"/>
                    <w:left w:val="nil"/>
                    <w:bottom w:val="nil"/>
                    <w:right w:val="nil"/>
                  </w:tcBorders>
                  <w:shd w:val="clear" w:color="auto" w:fill="auto"/>
                  <w:vAlign w:val="center"/>
                  <w:hideMark/>
                </w:tcPr>
                <w:p w14:paraId="053417BA"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rPr>
                    <w:t>Starling Arts, 2021. Choir and Mental Health: A Guide for Community Choir Leaders. [online] Available at: https://www.starlingarts.com/blog/choir-leadrers-and-mental-health [Accessed 22 Jul. 2025].</w:t>
                  </w:r>
                </w:p>
              </w:tc>
            </w:tr>
            <w:tr w:rsidR="00AE2CC3" w:rsidRPr="00AE2CC3" w14:paraId="77330A6D" w14:textId="77777777" w:rsidTr="00AE2CC3">
              <w:trPr>
                <w:trHeight w:val="552"/>
              </w:trPr>
              <w:tc>
                <w:tcPr>
                  <w:tcW w:w="8825" w:type="dxa"/>
                  <w:tcBorders>
                    <w:top w:val="nil"/>
                    <w:left w:val="nil"/>
                    <w:bottom w:val="nil"/>
                    <w:right w:val="nil"/>
                  </w:tcBorders>
                  <w:shd w:val="clear" w:color="auto" w:fill="auto"/>
                  <w:vAlign w:val="center"/>
                  <w:hideMark/>
                </w:tcPr>
                <w:p w14:paraId="34BDFA2B"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lang w:val="de-DE"/>
                    </w:rPr>
                    <w:t xml:space="preserve">Tepe, E. S., Deutsch, E. S., Sampson, Q., et al. </w:t>
                  </w:r>
                  <w:r w:rsidRPr="00AE2CC3">
                    <w:rPr>
                      <w:rFonts w:eastAsia="Times New Roman"/>
                      <w:color w:val="auto"/>
                      <w:sz w:val="22"/>
                      <w:szCs w:val="22"/>
                      <w:highlight w:val="none"/>
                    </w:rPr>
                    <w:t>(2002). A pilot survey of vocal health in young singers. Journal of Voice, 16(2), 244–250.</w:t>
                  </w:r>
                </w:p>
              </w:tc>
            </w:tr>
            <w:tr w:rsidR="00AE2CC3" w:rsidRPr="00AE2CC3" w14:paraId="08E3BC4C" w14:textId="77777777" w:rsidTr="00AE2CC3">
              <w:trPr>
                <w:trHeight w:val="1152"/>
              </w:trPr>
              <w:tc>
                <w:tcPr>
                  <w:tcW w:w="8825" w:type="dxa"/>
                  <w:tcBorders>
                    <w:top w:val="nil"/>
                    <w:left w:val="nil"/>
                    <w:bottom w:val="nil"/>
                    <w:right w:val="nil"/>
                  </w:tcBorders>
                  <w:shd w:val="clear" w:color="auto" w:fill="auto"/>
                  <w:vAlign w:val="bottom"/>
                  <w:hideMark/>
                </w:tcPr>
                <w:p w14:paraId="7C23EA62"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lang w:val="en-GB"/>
                    </w:rPr>
                    <w:t xml:space="preserve">Ter, W.S. and Wong, K.Y., 2022. </w:t>
                  </w:r>
                  <w:r w:rsidRPr="00AE2CC3">
                    <w:rPr>
                      <w:rFonts w:eastAsia="Times New Roman"/>
                      <w:i/>
                      <w:iCs/>
                      <w:color w:val="auto"/>
                      <w:sz w:val="22"/>
                      <w:szCs w:val="22"/>
                      <w:highlight w:val="none"/>
                      <w:lang w:val="en-GB"/>
                    </w:rPr>
                    <w:t>The effect of semi-occluded vocal tract exercise and traditional vocal warm-up on the vocal quality of untrained female singers in Malaysia: A comparison</w:t>
                  </w:r>
                  <w:r w:rsidRPr="00AE2CC3">
                    <w:rPr>
                      <w:rFonts w:eastAsia="Times New Roman"/>
                      <w:color w:val="auto"/>
                      <w:sz w:val="22"/>
                      <w:szCs w:val="22"/>
                      <w:highlight w:val="none"/>
                      <w:lang w:val="en-GB"/>
                    </w:rPr>
                    <w:t xml:space="preserve">. </w:t>
                  </w:r>
                  <w:proofErr w:type="spellStart"/>
                  <w:r w:rsidRPr="00AE2CC3">
                    <w:rPr>
                      <w:rFonts w:eastAsia="Times New Roman"/>
                      <w:color w:val="auto"/>
                      <w:sz w:val="22"/>
                      <w:szCs w:val="22"/>
                      <w:highlight w:val="none"/>
                      <w:lang w:val="en-GB"/>
                    </w:rPr>
                    <w:t>Pertanika</w:t>
                  </w:r>
                  <w:proofErr w:type="spellEnd"/>
                  <w:r w:rsidRPr="00AE2CC3">
                    <w:rPr>
                      <w:rFonts w:eastAsia="Times New Roman"/>
                      <w:color w:val="auto"/>
                      <w:sz w:val="22"/>
                      <w:szCs w:val="22"/>
                      <w:highlight w:val="none"/>
                      <w:lang w:val="en-GB"/>
                    </w:rPr>
                    <w:t xml:space="preserve"> Journal of Social Sciences &amp; Humanities, 30(2), pp.557–577</w:t>
                  </w:r>
                </w:p>
              </w:tc>
            </w:tr>
            <w:tr w:rsidR="00AE2CC3" w:rsidRPr="00AE2CC3" w14:paraId="6817062D" w14:textId="77777777" w:rsidTr="00AE2CC3">
              <w:trPr>
                <w:trHeight w:val="552"/>
              </w:trPr>
              <w:tc>
                <w:tcPr>
                  <w:tcW w:w="8825" w:type="dxa"/>
                  <w:tcBorders>
                    <w:top w:val="nil"/>
                    <w:left w:val="nil"/>
                    <w:bottom w:val="nil"/>
                    <w:right w:val="nil"/>
                  </w:tcBorders>
                  <w:shd w:val="clear" w:color="auto" w:fill="auto"/>
                  <w:vAlign w:val="center"/>
                  <w:hideMark/>
                </w:tcPr>
                <w:p w14:paraId="23BB6B7B"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rPr>
                    <w:t xml:space="preserve">van </w:t>
                  </w:r>
                  <w:proofErr w:type="spellStart"/>
                  <w:r w:rsidRPr="00AE2CC3">
                    <w:rPr>
                      <w:rFonts w:eastAsia="Times New Roman"/>
                      <w:color w:val="auto"/>
                      <w:sz w:val="22"/>
                      <w:szCs w:val="22"/>
                      <w:highlight w:val="none"/>
                    </w:rPr>
                    <w:t>Manen</w:t>
                  </w:r>
                  <w:proofErr w:type="spellEnd"/>
                  <w:r w:rsidRPr="00AE2CC3">
                    <w:rPr>
                      <w:rFonts w:eastAsia="Times New Roman"/>
                      <w:color w:val="auto"/>
                      <w:sz w:val="22"/>
                      <w:szCs w:val="22"/>
                      <w:highlight w:val="none"/>
                    </w:rPr>
                    <w:t>, M., 1977. Linking ways of knowing with ways of being practical. Curriculum Inquiry, 6(3), pp.205–228.</w:t>
                  </w:r>
                </w:p>
              </w:tc>
            </w:tr>
            <w:tr w:rsidR="00AE2CC3" w:rsidRPr="00AE2CC3" w14:paraId="12C471BE" w14:textId="77777777" w:rsidTr="00AE2CC3">
              <w:trPr>
                <w:trHeight w:val="552"/>
              </w:trPr>
              <w:tc>
                <w:tcPr>
                  <w:tcW w:w="8825" w:type="dxa"/>
                  <w:tcBorders>
                    <w:top w:val="nil"/>
                    <w:left w:val="nil"/>
                    <w:bottom w:val="nil"/>
                    <w:right w:val="nil"/>
                  </w:tcBorders>
                  <w:shd w:val="clear" w:color="auto" w:fill="auto"/>
                  <w:vAlign w:val="center"/>
                  <w:hideMark/>
                </w:tcPr>
                <w:p w14:paraId="5654EAE7"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proofErr w:type="spellStart"/>
                  <w:r w:rsidRPr="00AE2CC3">
                    <w:rPr>
                      <w:rFonts w:eastAsia="Times New Roman"/>
                      <w:color w:val="auto"/>
                      <w:sz w:val="22"/>
                      <w:szCs w:val="22"/>
                      <w:highlight w:val="none"/>
                      <w:lang w:val="pl-PL"/>
                    </w:rPr>
                    <w:t>Verdolini</w:t>
                  </w:r>
                  <w:proofErr w:type="spellEnd"/>
                  <w:r w:rsidRPr="00AE2CC3">
                    <w:rPr>
                      <w:rFonts w:eastAsia="Times New Roman"/>
                      <w:color w:val="auto"/>
                      <w:sz w:val="22"/>
                      <w:szCs w:val="22"/>
                      <w:highlight w:val="none"/>
                      <w:lang w:val="pl-PL"/>
                    </w:rPr>
                    <w:t xml:space="preserve">, K., &amp; </w:t>
                  </w:r>
                  <w:proofErr w:type="spellStart"/>
                  <w:r w:rsidRPr="00AE2CC3">
                    <w:rPr>
                      <w:rFonts w:eastAsia="Times New Roman"/>
                      <w:color w:val="auto"/>
                      <w:sz w:val="22"/>
                      <w:szCs w:val="22"/>
                      <w:highlight w:val="none"/>
                      <w:lang w:val="pl-PL"/>
                    </w:rPr>
                    <w:t>Ramig</w:t>
                  </w:r>
                  <w:proofErr w:type="spellEnd"/>
                  <w:r w:rsidRPr="00AE2CC3">
                    <w:rPr>
                      <w:rFonts w:eastAsia="Times New Roman"/>
                      <w:color w:val="auto"/>
                      <w:sz w:val="22"/>
                      <w:szCs w:val="22"/>
                      <w:highlight w:val="none"/>
                      <w:lang w:val="pl-PL"/>
                    </w:rPr>
                    <w:t xml:space="preserve">, L. O. (2001). </w:t>
                  </w:r>
                  <w:r w:rsidRPr="00AE2CC3">
                    <w:rPr>
                      <w:rFonts w:eastAsia="Times New Roman"/>
                      <w:color w:val="auto"/>
                      <w:sz w:val="22"/>
                      <w:szCs w:val="22"/>
                      <w:highlight w:val="none"/>
                    </w:rPr>
                    <w:t>Review: occupational risks for voice problems. Logopedics Phoniatrics Vocology, 26(1), 37–46.</w:t>
                  </w:r>
                </w:p>
              </w:tc>
            </w:tr>
            <w:tr w:rsidR="00AE2CC3" w:rsidRPr="00AE2CC3" w14:paraId="2A4C1DE5" w14:textId="77777777" w:rsidTr="00AE2CC3">
              <w:trPr>
                <w:trHeight w:val="864"/>
              </w:trPr>
              <w:tc>
                <w:tcPr>
                  <w:tcW w:w="8825" w:type="dxa"/>
                  <w:tcBorders>
                    <w:top w:val="nil"/>
                    <w:left w:val="nil"/>
                    <w:bottom w:val="nil"/>
                    <w:right w:val="nil"/>
                  </w:tcBorders>
                  <w:shd w:val="clear" w:color="auto" w:fill="auto"/>
                  <w:vAlign w:val="bottom"/>
                  <w:hideMark/>
                </w:tcPr>
                <w:p w14:paraId="154C46FD" w14:textId="77777777" w:rsidR="00AE2CC3" w:rsidRPr="00AE2CC3" w:rsidRDefault="00AE2CC3" w:rsidP="00AE2CC3">
                  <w:pPr>
                    <w:shd w:val="clear" w:color="auto" w:fill="auto"/>
                    <w:spacing w:before="0" w:after="0" w:line="240" w:lineRule="auto"/>
                    <w:rPr>
                      <w:rFonts w:eastAsia="Times New Roman"/>
                      <w:i/>
                      <w:iCs/>
                      <w:color w:val="auto"/>
                      <w:sz w:val="22"/>
                      <w:szCs w:val="22"/>
                      <w:highlight w:val="none"/>
                      <w:lang w:val="en-GB"/>
                    </w:rPr>
                  </w:pPr>
                  <w:r w:rsidRPr="00AE2CC3">
                    <w:rPr>
                      <w:rFonts w:eastAsia="Times New Roman"/>
                      <w:i/>
                      <w:iCs/>
                      <w:color w:val="auto"/>
                      <w:sz w:val="22"/>
                      <w:szCs w:val="22"/>
                      <w:highlight w:val="none"/>
                      <w:lang w:val="en-GB"/>
                    </w:rPr>
                    <w:t xml:space="preserve">Voices Now Report (2017) The Big Choral Census. </w:t>
                  </w:r>
                  <w:proofErr w:type="spellStart"/>
                  <w:r w:rsidRPr="00AE2CC3">
                    <w:rPr>
                      <w:rFonts w:eastAsia="Times New Roman"/>
                      <w:i/>
                      <w:iCs/>
                      <w:color w:val="auto"/>
                      <w:sz w:val="22"/>
                      <w:szCs w:val="22"/>
                      <w:highlight w:val="none"/>
                      <w:lang w:val="en-GB"/>
                    </w:rPr>
                    <w:t>Avaliable</w:t>
                  </w:r>
                  <w:proofErr w:type="spellEnd"/>
                  <w:r w:rsidRPr="00AE2CC3">
                    <w:rPr>
                      <w:rFonts w:eastAsia="Times New Roman"/>
                      <w:i/>
                      <w:iCs/>
                      <w:color w:val="auto"/>
                      <w:sz w:val="22"/>
                      <w:szCs w:val="22"/>
                      <w:highlight w:val="none"/>
                      <w:lang w:val="en-GB"/>
                    </w:rPr>
                    <w:t xml:space="preserve"> at: http://voicesnow.org.uk/wp-content/uploads/2017/07/Voices-Now-Big-Choral-Census-July-2017-1.pdf (Accessed on 30th May 2025)</w:t>
                  </w:r>
                </w:p>
              </w:tc>
            </w:tr>
            <w:tr w:rsidR="00AE2CC3" w:rsidRPr="00AE2CC3" w14:paraId="03BEBF9A" w14:textId="77777777" w:rsidTr="00AE2CC3">
              <w:trPr>
                <w:trHeight w:val="1692"/>
              </w:trPr>
              <w:tc>
                <w:tcPr>
                  <w:tcW w:w="8825" w:type="dxa"/>
                  <w:tcBorders>
                    <w:top w:val="nil"/>
                    <w:left w:val="nil"/>
                    <w:bottom w:val="nil"/>
                    <w:right w:val="nil"/>
                  </w:tcBorders>
                  <w:shd w:val="clear" w:color="auto" w:fill="auto"/>
                  <w:vAlign w:val="bottom"/>
                  <w:hideMark/>
                </w:tcPr>
                <w:p w14:paraId="4523A6B1" w14:textId="77777777" w:rsidR="00AE2CC3" w:rsidRPr="00AE2CC3" w:rsidRDefault="00AE2CC3" w:rsidP="00AE2CC3">
                  <w:pPr>
                    <w:shd w:val="clear" w:color="auto" w:fill="auto"/>
                    <w:spacing w:before="0" w:after="0" w:line="240" w:lineRule="auto"/>
                    <w:rPr>
                      <w:rFonts w:eastAsia="Times New Roman"/>
                      <w:color w:val="auto"/>
                      <w:sz w:val="22"/>
                      <w:szCs w:val="22"/>
                      <w:highlight w:val="none"/>
                      <w:lang w:val="en-GB"/>
                    </w:rPr>
                  </w:pPr>
                  <w:r w:rsidRPr="00AE2CC3">
                    <w:rPr>
                      <w:rFonts w:eastAsia="Times New Roman"/>
                      <w:color w:val="auto"/>
                      <w:sz w:val="22"/>
                      <w:szCs w:val="22"/>
                      <w:highlight w:val="none"/>
                      <w:lang w:val="en-GB"/>
                    </w:rPr>
                    <w:t xml:space="preserve">Yilmaz, C., </w:t>
                  </w:r>
                  <w:proofErr w:type="spellStart"/>
                  <w:r w:rsidRPr="00AE2CC3">
                    <w:rPr>
                      <w:rFonts w:eastAsia="Times New Roman"/>
                      <w:color w:val="auto"/>
                      <w:sz w:val="22"/>
                      <w:szCs w:val="22"/>
                      <w:highlight w:val="none"/>
                      <w:lang w:val="en-GB"/>
                    </w:rPr>
                    <w:t>Bostanci</w:t>
                  </w:r>
                  <w:proofErr w:type="spellEnd"/>
                  <w:r w:rsidRPr="00AE2CC3">
                    <w:rPr>
                      <w:rFonts w:eastAsia="Times New Roman"/>
                      <w:color w:val="auto"/>
                      <w:sz w:val="22"/>
                      <w:szCs w:val="22"/>
                      <w:highlight w:val="none"/>
                      <w:lang w:val="en-GB"/>
                    </w:rPr>
                    <w:t xml:space="preserve">, Ö., </w:t>
                  </w:r>
                  <w:proofErr w:type="spellStart"/>
                  <w:r w:rsidRPr="00AE2CC3">
                    <w:rPr>
                      <w:rFonts w:eastAsia="Times New Roman"/>
                      <w:color w:val="auto"/>
                      <w:sz w:val="22"/>
                      <w:szCs w:val="22"/>
                      <w:highlight w:val="none"/>
                      <w:lang w:val="en-GB"/>
                    </w:rPr>
                    <w:t>Eken</w:t>
                  </w:r>
                  <w:proofErr w:type="spellEnd"/>
                  <w:r w:rsidRPr="00AE2CC3">
                    <w:rPr>
                      <w:rFonts w:eastAsia="Times New Roman"/>
                      <w:color w:val="auto"/>
                      <w:sz w:val="22"/>
                      <w:szCs w:val="22"/>
                      <w:highlight w:val="none"/>
                      <w:lang w:val="en-GB"/>
                    </w:rPr>
                    <w:t xml:space="preserve">, Ö., </w:t>
                  </w:r>
                  <w:proofErr w:type="spellStart"/>
                  <w:r w:rsidRPr="00AE2CC3">
                    <w:rPr>
                      <w:rFonts w:eastAsia="Times New Roman"/>
                      <w:color w:val="auto"/>
                      <w:sz w:val="22"/>
                      <w:szCs w:val="22"/>
                      <w:highlight w:val="none"/>
                      <w:lang w:val="en-GB"/>
                    </w:rPr>
                    <w:t>Alkahtani</w:t>
                  </w:r>
                  <w:proofErr w:type="spellEnd"/>
                  <w:r w:rsidRPr="00AE2CC3">
                    <w:rPr>
                      <w:rFonts w:eastAsia="Times New Roman"/>
                      <w:color w:val="auto"/>
                      <w:sz w:val="22"/>
                      <w:szCs w:val="22"/>
                      <w:highlight w:val="none"/>
                      <w:lang w:val="en-GB"/>
                    </w:rPr>
                    <w:t xml:space="preserve">, R. and </w:t>
                  </w:r>
                  <w:proofErr w:type="spellStart"/>
                  <w:r w:rsidRPr="00AE2CC3">
                    <w:rPr>
                      <w:rFonts w:eastAsia="Times New Roman"/>
                      <w:color w:val="auto"/>
                      <w:sz w:val="22"/>
                      <w:szCs w:val="22"/>
                      <w:highlight w:val="none"/>
                      <w:lang w:val="en-GB"/>
                    </w:rPr>
                    <w:t>Aldhahi</w:t>
                  </w:r>
                  <w:proofErr w:type="spellEnd"/>
                  <w:r w:rsidRPr="00AE2CC3">
                    <w:rPr>
                      <w:rFonts w:eastAsia="Times New Roman"/>
                      <w:color w:val="auto"/>
                      <w:sz w:val="22"/>
                      <w:szCs w:val="22"/>
                      <w:highlight w:val="none"/>
                      <w:lang w:val="en-GB"/>
                    </w:rPr>
                    <w:t xml:space="preserve">, M.I., 2025. </w:t>
                  </w:r>
                  <w:r w:rsidRPr="00AE2CC3">
                    <w:rPr>
                      <w:rFonts w:eastAsia="Times New Roman"/>
                      <w:i/>
                      <w:iCs/>
                      <w:color w:val="auto"/>
                      <w:sz w:val="22"/>
                      <w:szCs w:val="22"/>
                      <w:highlight w:val="none"/>
                      <w:lang w:val="en-GB"/>
                    </w:rPr>
                    <w:t>Maximizing phonation: impact of inspiratory muscle strengthening on vocal durations and pitch range</w:t>
                  </w:r>
                  <w:r w:rsidRPr="00AE2CC3">
                    <w:rPr>
                      <w:rFonts w:eastAsia="Times New Roman"/>
                      <w:color w:val="auto"/>
                      <w:sz w:val="22"/>
                      <w:szCs w:val="22"/>
                      <w:highlight w:val="none"/>
                      <w:lang w:val="en-GB"/>
                    </w:rPr>
                    <w:t>. BMC Pulmonary Medicine, 25(15). [online] Available at: https://bmcpulmmed.biomedcentral.com/articles/10.1186/s12890-024-03471-2 [Accessed 20 Jul. 2025].</w:t>
                  </w:r>
                </w:p>
              </w:tc>
            </w:tr>
          </w:tbl>
          <w:p w14:paraId="0CAA34C5" w14:textId="2D4CA399" w:rsidR="00AE2CC3" w:rsidRPr="00AE2CC3" w:rsidRDefault="00AE2CC3" w:rsidP="00AE2CC3">
            <w:pPr>
              <w:shd w:val="clear" w:color="auto" w:fill="auto"/>
              <w:spacing w:before="0" w:after="0" w:line="240" w:lineRule="auto"/>
              <w:rPr>
                <w:rFonts w:eastAsia="Times New Roman"/>
                <w:lang w:val="en-GB"/>
              </w:rPr>
            </w:pPr>
          </w:p>
        </w:tc>
      </w:tr>
      <w:tr w:rsidR="00AE2CC3" w:rsidRPr="00AE2CC3" w14:paraId="2DDD212C" w14:textId="77777777" w:rsidTr="00AE2CC3">
        <w:trPr>
          <w:trHeight w:val="564"/>
        </w:trPr>
        <w:tc>
          <w:tcPr>
            <w:tcW w:w="11180" w:type="dxa"/>
            <w:tcBorders>
              <w:top w:val="nil"/>
              <w:left w:val="nil"/>
              <w:bottom w:val="nil"/>
              <w:right w:val="nil"/>
            </w:tcBorders>
            <w:shd w:val="clear" w:color="auto" w:fill="auto"/>
            <w:vAlign w:val="bottom"/>
          </w:tcPr>
          <w:p w14:paraId="2665E3B3" w14:textId="702CE205" w:rsidR="00AE2CC3" w:rsidRPr="00AE2CC3" w:rsidRDefault="00AE2CC3" w:rsidP="00AE2CC3">
            <w:pPr>
              <w:shd w:val="clear" w:color="auto" w:fill="auto"/>
              <w:spacing w:before="0" w:after="0" w:line="240" w:lineRule="auto"/>
              <w:rPr>
                <w:rFonts w:eastAsia="Times New Roman"/>
                <w:color w:val="FF0000"/>
                <w:sz w:val="21"/>
                <w:szCs w:val="21"/>
                <w:lang w:val="en-GB"/>
              </w:rPr>
            </w:pPr>
          </w:p>
        </w:tc>
      </w:tr>
      <w:tr w:rsidR="00AE2CC3" w:rsidRPr="00AE2CC3" w14:paraId="32ABB81E" w14:textId="77777777" w:rsidTr="00AE2CC3">
        <w:trPr>
          <w:trHeight w:val="624"/>
        </w:trPr>
        <w:tc>
          <w:tcPr>
            <w:tcW w:w="11180" w:type="dxa"/>
            <w:tcBorders>
              <w:top w:val="nil"/>
              <w:left w:val="nil"/>
              <w:bottom w:val="nil"/>
              <w:right w:val="nil"/>
            </w:tcBorders>
            <w:shd w:val="clear" w:color="auto" w:fill="auto"/>
            <w:vAlign w:val="bottom"/>
          </w:tcPr>
          <w:p w14:paraId="174E51FB" w14:textId="04E7D7ED" w:rsidR="00AE2CC3" w:rsidRPr="00AE2CC3" w:rsidRDefault="00AE2CC3" w:rsidP="00AE2CC3">
            <w:pPr>
              <w:shd w:val="clear" w:color="auto" w:fill="auto"/>
              <w:spacing w:before="0" w:after="0" w:line="240" w:lineRule="auto"/>
              <w:rPr>
                <w:rFonts w:eastAsia="Times New Roman"/>
                <w:color w:val="FF0000"/>
                <w:lang w:val="en-GB"/>
              </w:rPr>
            </w:pPr>
          </w:p>
        </w:tc>
      </w:tr>
      <w:tr w:rsidR="00AE2CC3" w:rsidRPr="00AE2CC3" w14:paraId="576E9FA8" w14:textId="77777777" w:rsidTr="00AE2CC3">
        <w:trPr>
          <w:trHeight w:val="624"/>
        </w:trPr>
        <w:tc>
          <w:tcPr>
            <w:tcW w:w="11180" w:type="dxa"/>
            <w:tcBorders>
              <w:top w:val="nil"/>
              <w:left w:val="nil"/>
              <w:bottom w:val="nil"/>
              <w:right w:val="nil"/>
            </w:tcBorders>
            <w:shd w:val="clear" w:color="auto" w:fill="auto"/>
            <w:vAlign w:val="bottom"/>
          </w:tcPr>
          <w:p w14:paraId="00C317A4" w14:textId="4D53472F" w:rsidR="00AE2CC3" w:rsidRPr="00AE2CC3" w:rsidRDefault="00AE2CC3" w:rsidP="00AE2CC3">
            <w:pPr>
              <w:shd w:val="clear" w:color="auto" w:fill="auto"/>
              <w:spacing w:before="0" w:after="0" w:line="240" w:lineRule="auto"/>
              <w:rPr>
                <w:rFonts w:eastAsia="Times New Roman"/>
                <w:color w:val="FF0000"/>
                <w:lang w:val="en-GB"/>
              </w:rPr>
            </w:pPr>
          </w:p>
        </w:tc>
      </w:tr>
      <w:tr w:rsidR="00AE2CC3" w:rsidRPr="00AE2CC3" w14:paraId="0EFAEED5" w14:textId="77777777" w:rsidTr="00AE2CC3">
        <w:trPr>
          <w:trHeight w:val="288"/>
        </w:trPr>
        <w:tc>
          <w:tcPr>
            <w:tcW w:w="11180" w:type="dxa"/>
            <w:tcBorders>
              <w:top w:val="nil"/>
              <w:left w:val="nil"/>
              <w:bottom w:val="nil"/>
              <w:right w:val="nil"/>
            </w:tcBorders>
            <w:shd w:val="clear" w:color="auto" w:fill="auto"/>
            <w:vAlign w:val="bottom"/>
          </w:tcPr>
          <w:p w14:paraId="49EFC8E6" w14:textId="0EDEB6BC" w:rsidR="00AE2CC3" w:rsidRPr="00AE2CC3" w:rsidRDefault="00AE2CC3" w:rsidP="00AE2CC3">
            <w:pPr>
              <w:shd w:val="clear" w:color="auto" w:fill="auto"/>
              <w:spacing w:before="0" w:after="0" w:line="240" w:lineRule="auto"/>
              <w:rPr>
                <w:rFonts w:ascii="Aptos Narrow" w:eastAsia="Times New Roman" w:hAnsi="Aptos Narrow" w:cs="Times New Roman"/>
                <w:color w:val="FF0000"/>
                <w:sz w:val="22"/>
                <w:szCs w:val="22"/>
                <w:lang w:val="en-GB"/>
              </w:rPr>
            </w:pPr>
          </w:p>
        </w:tc>
      </w:tr>
      <w:tr w:rsidR="00AE2CC3" w:rsidRPr="00AE2CC3" w14:paraId="31949B98" w14:textId="77777777" w:rsidTr="00AE2CC3">
        <w:trPr>
          <w:trHeight w:val="600"/>
        </w:trPr>
        <w:tc>
          <w:tcPr>
            <w:tcW w:w="11180" w:type="dxa"/>
            <w:tcBorders>
              <w:top w:val="nil"/>
              <w:left w:val="nil"/>
              <w:bottom w:val="nil"/>
              <w:right w:val="nil"/>
            </w:tcBorders>
            <w:shd w:val="clear" w:color="auto" w:fill="auto"/>
            <w:vAlign w:val="center"/>
          </w:tcPr>
          <w:p w14:paraId="4BA91B99" w14:textId="111509EA" w:rsidR="00AE2CC3" w:rsidRPr="00AE2CC3" w:rsidRDefault="00AE2CC3" w:rsidP="00AE2CC3">
            <w:pPr>
              <w:shd w:val="clear" w:color="auto" w:fill="auto"/>
              <w:spacing w:before="0" w:after="0" w:line="240" w:lineRule="auto"/>
              <w:rPr>
                <w:rFonts w:eastAsia="Times New Roman"/>
                <w:color w:val="FF0000"/>
                <w:lang w:val="en-GB"/>
              </w:rPr>
            </w:pPr>
          </w:p>
        </w:tc>
      </w:tr>
      <w:tr w:rsidR="00AE2CC3" w:rsidRPr="00AE2CC3" w14:paraId="061AEE21" w14:textId="77777777" w:rsidTr="00AE2CC3">
        <w:trPr>
          <w:trHeight w:val="564"/>
        </w:trPr>
        <w:tc>
          <w:tcPr>
            <w:tcW w:w="11180" w:type="dxa"/>
            <w:tcBorders>
              <w:top w:val="nil"/>
              <w:left w:val="nil"/>
              <w:bottom w:val="nil"/>
              <w:right w:val="nil"/>
            </w:tcBorders>
            <w:shd w:val="clear" w:color="auto" w:fill="auto"/>
            <w:vAlign w:val="bottom"/>
          </w:tcPr>
          <w:p w14:paraId="2D21D5FC" w14:textId="6F2A11A6" w:rsidR="00AE2CC3" w:rsidRPr="00AE2CC3" w:rsidRDefault="00AE2CC3" w:rsidP="00AE2CC3">
            <w:pPr>
              <w:shd w:val="clear" w:color="auto" w:fill="auto"/>
              <w:spacing w:before="0" w:after="0" w:line="240" w:lineRule="auto"/>
              <w:rPr>
                <w:rFonts w:eastAsia="Times New Roman"/>
                <w:color w:val="FF0000"/>
                <w:sz w:val="21"/>
                <w:szCs w:val="21"/>
                <w:lang w:val="en-GB"/>
              </w:rPr>
            </w:pPr>
          </w:p>
        </w:tc>
      </w:tr>
      <w:tr w:rsidR="00AE2CC3" w:rsidRPr="00AE2CC3" w14:paraId="50029D54" w14:textId="77777777" w:rsidTr="00AE2CC3">
        <w:trPr>
          <w:trHeight w:val="288"/>
        </w:trPr>
        <w:tc>
          <w:tcPr>
            <w:tcW w:w="11180" w:type="dxa"/>
            <w:tcBorders>
              <w:top w:val="nil"/>
              <w:left w:val="nil"/>
              <w:bottom w:val="nil"/>
              <w:right w:val="nil"/>
            </w:tcBorders>
            <w:shd w:val="clear" w:color="auto" w:fill="auto"/>
            <w:vAlign w:val="center"/>
          </w:tcPr>
          <w:p w14:paraId="522E29B3" w14:textId="3BF3FD9F" w:rsidR="00AE2CC3" w:rsidRPr="00AE2CC3" w:rsidRDefault="00AE2CC3" w:rsidP="00AE2CC3">
            <w:pPr>
              <w:shd w:val="clear" w:color="auto" w:fill="auto"/>
              <w:spacing w:before="0" w:after="0" w:line="240" w:lineRule="auto"/>
              <w:rPr>
                <w:rFonts w:eastAsia="Times New Roman"/>
                <w:color w:val="FF0000"/>
                <w:sz w:val="22"/>
                <w:szCs w:val="22"/>
                <w:lang w:val="en-GB"/>
              </w:rPr>
            </w:pPr>
          </w:p>
        </w:tc>
      </w:tr>
      <w:tr w:rsidR="00AE2CC3" w:rsidRPr="00AE2CC3" w14:paraId="20414374" w14:textId="77777777" w:rsidTr="00AE2CC3">
        <w:trPr>
          <w:trHeight w:val="552"/>
        </w:trPr>
        <w:tc>
          <w:tcPr>
            <w:tcW w:w="11180" w:type="dxa"/>
            <w:tcBorders>
              <w:top w:val="nil"/>
              <w:left w:val="nil"/>
              <w:bottom w:val="nil"/>
              <w:right w:val="nil"/>
            </w:tcBorders>
            <w:shd w:val="clear" w:color="auto" w:fill="auto"/>
            <w:vAlign w:val="center"/>
          </w:tcPr>
          <w:p w14:paraId="0F5A8F89" w14:textId="1A55A165" w:rsidR="00AE2CC3" w:rsidRPr="00AE2CC3" w:rsidRDefault="00AE2CC3" w:rsidP="00AE2CC3">
            <w:pPr>
              <w:shd w:val="clear" w:color="auto" w:fill="auto"/>
              <w:spacing w:before="0" w:after="0" w:line="240" w:lineRule="auto"/>
              <w:rPr>
                <w:rFonts w:eastAsia="Times New Roman"/>
                <w:color w:val="FF0000"/>
                <w:sz w:val="22"/>
                <w:szCs w:val="22"/>
                <w:lang w:val="en-GB"/>
              </w:rPr>
            </w:pPr>
          </w:p>
        </w:tc>
      </w:tr>
      <w:tr w:rsidR="00AE2CC3" w:rsidRPr="00AE2CC3" w14:paraId="6BFE6E65" w14:textId="77777777" w:rsidTr="00AE2CC3">
        <w:trPr>
          <w:trHeight w:val="624"/>
        </w:trPr>
        <w:tc>
          <w:tcPr>
            <w:tcW w:w="11180" w:type="dxa"/>
            <w:tcBorders>
              <w:top w:val="nil"/>
              <w:left w:val="nil"/>
              <w:bottom w:val="nil"/>
              <w:right w:val="nil"/>
            </w:tcBorders>
            <w:shd w:val="clear" w:color="auto" w:fill="auto"/>
            <w:vAlign w:val="bottom"/>
          </w:tcPr>
          <w:p w14:paraId="02C573F7" w14:textId="621D50FE" w:rsidR="00AE2CC3" w:rsidRPr="00AE2CC3" w:rsidRDefault="00AE2CC3" w:rsidP="00AE2CC3">
            <w:pPr>
              <w:shd w:val="clear" w:color="auto" w:fill="auto"/>
              <w:spacing w:before="0" w:after="0" w:line="240" w:lineRule="auto"/>
              <w:rPr>
                <w:rFonts w:eastAsia="Times New Roman"/>
                <w:color w:val="FF0000"/>
                <w:lang w:val="en-GB"/>
              </w:rPr>
            </w:pPr>
          </w:p>
        </w:tc>
      </w:tr>
      <w:tr w:rsidR="00AE2CC3" w:rsidRPr="00AE2CC3" w14:paraId="5254958F" w14:textId="77777777" w:rsidTr="00AE2CC3">
        <w:trPr>
          <w:trHeight w:val="300"/>
        </w:trPr>
        <w:tc>
          <w:tcPr>
            <w:tcW w:w="11180" w:type="dxa"/>
            <w:tcBorders>
              <w:top w:val="nil"/>
              <w:left w:val="nil"/>
              <w:bottom w:val="nil"/>
              <w:right w:val="nil"/>
            </w:tcBorders>
            <w:shd w:val="clear" w:color="auto" w:fill="auto"/>
            <w:vAlign w:val="center"/>
          </w:tcPr>
          <w:p w14:paraId="1ADE0438" w14:textId="19B90E0C" w:rsidR="00AE2CC3" w:rsidRPr="00AE2CC3" w:rsidRDefault="00AE2CC3" w:rsidP="00AE2CC3">
            <w:pPr>
              <w:shd w:val="clear" w:color="auto" w:fill="auto"/>
              <w:spacing w:before="0" w:after="0" w:line="240" w:lineRule="auto"/>
              <w:rPr>
                <w:rFonts w:eastAsia="Times New Roman"/>
                <w:color w:val="FF0000"/>
                <w:lang w:val="en-GB"/>
              </w:rPr>
            </w:pPr>
          </w:p>
        </w:tc>
      </w:tr>
      <w:tr w:rsidR="00AE2CC3" w:rsidRPr="00AE2CC3" w14:paraId="50E0248B" w14:textId="77777777" w:rsidTr="00AE2CC3">
        <w:trPr>
          <w:trHeight w:val="300"/>
        </w:trPr>
        <w:tc>
          <w:tcPr>
            <w:tcW w:w="11180" w:type="dxa"/>
            <w:tcBorders>
              <w:top w:val="nil"/>
              <w:left w:val="nil"/>
              <w:bottom w:val="nil"/>
              <w:right w:val="nil"/>
            </w:tcBorders>
            <w:shd w:val="clear" w:color="auto" w:fill="auto"/>
            <w:vAlign w:val="center"/>
          </w:tcPr>
          <w:p w14:paraId="11FA7827" w14:textId="6B5C99CE" w:rsidR="00AE2CC3" w:rsidRPr="00AE2CC3" w:rsidRDefault="00AE2CC3" w:rsidP="00AE2CC3">
            <w:pPr>
              <w:shd w:val="clear" w:color="auto" w:fill="auto"/>
              <w:spacing w:before="0" w:after="0" w:line="240" w:lineRule="auto"/>
              <w:rPr>
                <w:rFonts w:eastAsia="Times New Roman"/>
                <w:color w:val="FF0000"/>
                <w:lang w:val="en-GB"/>
              </w:rPr>
            </w:pPr>
          </w:p>
        </w:tc>
      </w:tr>
    </w:tbl>
    <w:p w14:paraId="6D4510CB" w14:textId="77777777" w:rsidR="00EF6272" w:rsidRPr="00AE2CC3" w:rsidRDefault="00000000" w:rsidP="00F12485">
      <w:pPr>
        <w:shd w:val="clear" w:color="auto" w:fill="auto"/>
        <w:spacing w:line="360" w:lineRule="auto"/>
        <w:rPr>
          <w:b/>
          <w:bCs/>
          <w:sz w:val="22"/>
          <w:szCs w:val="22"/>
          <w:highlight w:val="none"/>
        </w:rPr>
      </w:pPr>
      <w:r w:rsidRPr="00AE2CC3">
        <w:rPr>
          <w:b/>
          <w:bCs/>
          <w:sz w:val="22"/>
          <w:szCs w:val="22"/>
          <w:highlight w:val="none"/>
        </w:rPr>
        <w:lastRenderedPageBreak/>
        <w:t xml:space="preserve">Appendix </w:t>
      </w:r>
    </w:p>
    <w:p w14:paraId="3362053D" w14:textId="5E98C54D" w:rsidR="00AE2CC3" w:rsidRDefault="00AE2CC3" w:rsidP="00F12485">
      <w:pPr>
        <w:shd w:val="clear" w:color="auto" w:fill="auto"/>
        <w:spacing w:line="360" w:lineRule="auto"/>
        <w:rPr>
          <w:sz w:val="22"/>
          <w:szCs w:val="22"/>
          <w:highlight w:val="none"/>
        </w:rPr>
      </w:pPr>
      <w:r>
        <w:rPr>
          <w:sz w:val="22"/>
          <w:szCs w:val="22"/>
          <w:highlight w:val="none"/>
        </w:rPr>
        <w:t>Appendix 2: Gant Chart to Show</w:t>
      </w:r>
      <w:r w:rsidR="00BC3D2D">
        <w:rPr>
          <w:sz w:val="22"/>
          <w:szCs w:val="22"/>
          <w:highlight w:val="none"/>
        </w:rPr>
        <w:t xml:space="preserve"> Module 4 Plan of Study </w:t>
      </w:r>
    </w:p>
    <w:p w14:paraId="4C595919" w14:textId="25147F5E" w:rsidR="00F71052" w:rsidRDefault="00BC3D2D" w:rsidP="00F12485">
      <w:pPr>
        <w:shd w:val="clear" w:color="auto" w:fill="auto"/>
        <w:spacing w:line="360" w:lineRule="auto"/>
        <w:rPr>
          <w:sz w:val="22"/>
          <w:szCs w:val="22"/>
          <w:highlight w:val="none"/>
        </w:rPr>
      </w:pPr>
      <w:r w:rsidRPr="00BC3D2D">
        <w:rPr>
          <w:sz w:val="22"/>
          <w:szCs w:val="22"/>
        </w:rPr>
        <w:drawing>
          <wp:inline distT="0" distB="0" distL="0" distR="0" wp14:anchorId="1E66FE29" wp14:editId="4E97998A">
            <wp:extent cx="5943600" cy="1965325"/>
            <wp:effectExtent l="0" t="0" r="0" b="0"/>
            <wp:docPr id="2129784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784613" name=""/>
                    <pic:cNvPicPr/>
                  </pic:nvPicPr>
                  <pic:blipFill>
                    <a:blip r:embed="rId10"/>
                    <a:stretch>
                      <a:fillRect/>
                    </a:stretch>
                  </pic:blipFill>
                  <pic:spPr>
                    <a:xfrm>
                      <a:off x="0" y="0"/>
                      <a:ext cx="5943600" cy="1965325"/>
                    </a:xfrm>
                    <a:prstGeom prst="rect">
                      <a:avLst/>
                    </a:prstGeom>
                  </pic:spPr>
                </pic:pic>
              </a:graphicData>
            </a:graphic>
          </wp:inline>
        </w:drawing>
      </w:r>
    </w:p>
    <w:p w14:paraId="18DAA5B5" w14:textId="77777777" w:rsidR="00AE2CC3" w:rsidRPr="00F12485" w:rsidRDefault="00AE2CC3" w:rsidP="00F12485">
      <w:pPr>
        <w:shd w:val="clear" w:color="auto" w:fill="auto"/>
        <w:spacing w:line="360" w:lineRule="auto"/>
        <w:rPr>
          <w:sz w:val="22"/>
          <w:szCs w:val="22"/>
          <w:highlight w:val="none"/>
        </w:rPr>
      </w:pPr>
    </w:p>
    <w:p w14:paraId="1FF4984A" w14:textId="3CD4BAC7" w:rsidR="00EF6272" w:rsidRPr="00F12485" w:rsidRDefault="00000000" w:rsidP="00F12485">
      <w:pPr>
        <w:shd w:val="clear" w:color="auto" w:fill="auto"/>
        <w:spacing w:line="360" w:lineRule="auto"/>
        <w:rPr>
          <w:sz w:val="22"/>
          <w:szCs w:val="22"/>
          <w:highlight w:val="none"/>
        </w:rPr>
      </w:pPr>
      <w:r w:rsidRPr="00F12485">
        <w:rPr>
          <w:sz w:val="22"/>
          <w:szCs w:val="22"/>
          <w:highlight w:val="none"/>
        </w:rPr>
        <w:t xml:space="preserve">Appendix </w:t>
      </w:r>
      <w:r w:rsidR="00AE2CC3">
        <w:rPr>
          <w:sz w:val="22"/>
          <w:szCs w:val="22"/>
          <w:highlight w:val="none"/>
        </w:rPr>
        <w:t>2</w:t>
      </w:r>
      <w:r w:rsidRPr="00F12485">
        <w:rPr>
          <w:sz w:val="22"/>
          <w:szCs w:val="22"/>
          <w:highlight w:val="none"/>
        </w:rPr>
        <w:t xml:space="preserve">: Venn Diagram representing the  intersections of key search terms </w:t>
      </w:r>
    </w:p>
    <w:p w14:paraId="05831FCF" w14:textId="77777777" w:rsidR="00EF6272" w:rsidRPr="00F12485" w:rsidRDefault="00EF6272" w:rsidP="00F12485">
      <w:pPr>
        <w:shd w:val="clear" w:color="auto" w:fill="auto"/>
        <w:spacing w:line="360" w:lineRule="auto"/>
        <w:rPr>
          <w:sz w:val="22"/>
          <w:szCs w:val="22"/>
          <w:highlight w:val="none"/>
        </w:rPr>
      </w:pPr>
    </w:p>
    <w:p w14:paraId="12680246" w14:textId="77777777" w:rsidR="00EF6272" w:rsidRPr="00F12485" w:rsidRDefault="00000000" w:rsidP="00F12485">
      <w:pPr>
        <w:shd w:val="clear" w:color="auto" w:fill="auto"/>
        <w:spacing w:line="360" w:lineRule="auto"/>
        <w:rPr>
          <w:sz w:val="22"/>
          <w:szCs w:val="22"/>
          <w:highlight w:val="none"/>
        </w:rPr>
      </w:pPr>
      <w:r w:rsidRPr="00F12485">
        <w:rPr>
          <w:sz w:val="22"/>
          <w:szCs w:val="22"/>
          <w:highlight w:val="none"/>
        </w:rPr>
        <w:drawing>
          <wp:inline distT="114300" distB="114300" distL="114300" distR="114300" wp14:anchorId="607A39BB" wp14:editId="4C05A6D4">
            <wp:extent cx="5943600" cy="39370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3937000"/>
                    </a:xfrm>
                    <a:prstGeom prst="rect">
                      <a:avLst/>
                    </a:prstGeom>
                    <a:ln/>
                  </pic:spPr>
                </pic:pic>
              </a:graphicData>
            </a:graphic>
          </wp:inline>
        </w:drawing>
      </w:r>
    </w:p>
    <w:p w14:paraId="3B2BE224" w14:textId="77777777" w:rsidR="00EF6272" w:rsidRPr="00F12485" w:rsidRDefault="00EF6272" w:rsidP="00F12485">
      <w:pPr>
        <w:shd w:val="clear" w:color="auto" w:fill="auto"/>
        <w:spacing w:line="360" w:lineRule="auto"/>
        <w:rPr>
          <w:sz w:val="22"/>
          <w:szCs w:val="22"/>
          <w:highlight w:val="none"/>
        </w:rPr>
      </w:pPr>
    </w:p>
    <w:sectPr w:rsidR="00EF6272" w:rsidRPr="00F12485">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AFFBC0" w14:textId="77777777" w:rsidR="00147EB3" w:rsidRDefault="00147EB3" w:rsidP="00F12485">
      <w:pPr>
        <w:spacing w:before="0" w:after="0" w:line="240" w:lineRule="auto"/>
      </w:pPr>
      <w:r>
        <w:separator/>
      </w:r>
    </w:p>
  </w:endnote>
  <w:endnote w:type="continuationSeparator" w:id="0">
    <w:p w14:paraId="698BDFBF" w14:textId="77777777" w:rsidR="00147EB3" w:rsidRDefault="00147EB3" w:rsidP="00F1248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embedRegular r:id="rId1" w:fontKey="{F3F206A5-4F1F-487A-9090-52CF47D83A3E}"/>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embedRegular r:id="rId2" w:fontKey="{B0039B5A-6FC3-43D1-BB8C-0B5779D02FFE}"/>
  </w:font>
  <w:font w:name="Cambria">
    <w:panose1 w:val="02040503050406030204"/>
    <w:charset w:val="00"/>
    <w:family w:val="roman"/>
    <w:pitch w:val="variable"/>
    <w:sig w:usb0="E00006FF" w:usb1="420024FF" w:usb2="02000000" w:usb3="00000000" w:csb0="0000019F" w:csb1="00000000"/>
    <w:embedRegular r:id="rId3" w:fontKey="{DE51BE14-62A2-44F0-BA48-DFA4CC69C30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6575238"/>
      <w:docPartObj>
        <w:docPartGallery w:val="Page Numbers (Bottom of Page)"/>
        <w:docPartUnique/>
      </w:docPartObj>
    </w:sdtPr>
    <w:sdtEndPr>
      <w:rPr>
        <w:noProof/>
      </w:rPr>
    </w:sdtEndPr>
    <w:sdtContent>
      <w:p w14:paraId="31034D79" w14:textId="1D2F48AA" w:rsidR="00F12485" w:rsidRDefault="00F124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5B4B2B" w14:textId="77777777" w:rsidR="00F12485" w:rsidRDefault="00F124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683B9B" w14:textId="77777777" w:rsidR="00147EB3" w:rsidRDefault="00147EB3" w:rsidP="00F12485">
      <w:pPr>
        <w:spacing w:before="0" w:after="0" w:line="240" w:lineRule="auto"/>
      </w:pPr>
      <w:r>
        <w:separator/>
      </w:r>
    </w:p>
  </w:footnote>
  <w:footnote w:type="continuationSeparator" w:id="0">
    <w:p w14:paraId="259BABAA" w14:textId="77777777" w:rsidR="00147EB3" w:rsidRDefault="00147EB3" w:rsidP="00F1248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AB72E5"/>
    <w:multiLevelType w:val="multilevel"/>
    <w:tmpl w:val="20D6056E"/>
    <w:lvl w:ilvl="0">
      <w:start w:val="1"/>
      <w:numFmt w:val="bullet"/>
      <w:lvlText w:val="●"/>
      <w:lvlJc w:val="left"/>
      <w:pPr>
        <w:ind w:left="720" w:hanging="360"/>
      </w:pPr>
      <w:rPr>
        <w:rFonts w:ascii="Arial" w:eastAsia="Arial" w:hAnsi="Arial" w:cs="Arial"/>
        <w:color w:val="424242"/>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CDA707C"/>
    <w:multiLevelType w:val="multilevel"/>
    <w:tmpl w:val="0D7465D4"/>
    <w:lvl w:ilvl="0">
      <w:start w:val="1"/>
      <w:numFmt w:val="decimal"/>
      <w:lvlText w:val="%1."/>
      <w:lvlJc w:val="left"/>
      <w:pPr>
        <w:ind w:left="720" w:hanging="360"/>
      </w:pPr>
      <w:rPr>
        <w:rFonts w:ascii="Arial" w:eastAsia="Arial" w:hAnsi="Arial" w:cs="Arial"/>
        <w:color w:val="424242"/>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5B837A57"/>
    <w:multiLevelType w:val="multilevel"/>
    <w:tmpl w:val="583C7384"/>
    <w:lvl w:ilvl="0">
      <w:start w:val="1"/>
      <w:numFmt w:val="bullet"/>
      <w:lvlText w:val="●"/>
      <w:lvlJc w:val="left"/>
      <w:pPr>
        <w:ind w:left="720" w:hanging="360"/>
      </w:pPr>
      <w:rPr>
        <w:rFonts w:ascii="Arial" w:eastAsia="Arial" w:hAnsi="Arial" w:cs="Arial"/>
        <w:color w:val="424242"/>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9367039"/>
    <w:multiLevelType w:val="multilevel"/>
    <w:tmpl w:val="38A0C5BC"/>
    <w:lvl w:ilvl="0">
      <w:start w:val="1"/>
      <w:numFmt w:val="decimal"/>
      <w:lvlText w:val="%1."/>
      <w:lvlJc w:val="left"/>
      <w:pPr>
        <w:ind w:left="720" w:hanging="360"/>
      </w:pPr>
      <w:rPr>
        <w:rFonts w:ascii="Arial" w:eastAsia="Arial" w:hAnsi="Arial" w:cs="Arial"/>
        <w:color w:val="424242"/>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79D36E7D"/>
    <w:multiLevelType w:val="multilevel"/>
    <w:tmpl w:val="0948833E"/>
    <w:lvl w:ilvl="0">
      <w:start w:val="1"/>
      <w:numFmt w:val="bullet"/>
      <w:lvlText w:val="●"/>
      <w:lvlJc w:val="left"/>
      <w:pPr>
        <w:ind w:left="720" w:hanging="360"/>
      </w:pPr>
      <w:rPr>
        <w:rFonts w:ascii="Arial" w:eastAsia="Arial" w:hAnsi="Arial" w:cs="Arial"/>
        <w:color w:val="424242"/>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CA87D0D"/>
    <w:multiLevelType w:val="multilevel"/>
    <w:tmpl w:val="7444C1EA"/>
    <w:lvl w:ilvl="0">
      <w:start w:val="1"/>
      <w:numFmt w:val="bullet"/>
      <w:lvlText w:val="●"/>
      <w:lvlJc w:val="left"/>
      <w:pPr>
        <w:ind w:left="720" w:hanging="360"/>
      </w:pPr>
      <w:rPr>
        <w:rFonts w:ascii="Arial" w:eastAsia="Arial" w:hAnsi="Arial" w:cs="Arial"/>
        <w:color w:val="424242"/>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DE50D9D"/>
    <w:multiLevelType w:val="multilevel"/>
    <w:tmpl w:val="E5C089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53557330">
    <w:abstractNumId w:val="2"/>
  </w:num>
  <w:num w:numId="2" w16cid:durableId="1077627362">
    <w:abstractNumId w:val="5"/>
  </w:num>
  <w:num w:numId="3" w16cid:durableId="1992127043">
    <w:abstractNumId w:val="4"/>
  </w:num>
  <w:num w:numId="4" w16cid:durableId="1964380882">
    <w:abstractNumId w:val="1"/>
  </w:num>
  <w:num w:numId="5" w16cid:durableId="1031809344">
    <w:abstractNumId w:val="3"/>
  </w:num>
  <w:num w:numId="6" w16cid:durableId="10448738">
    <w:abstractNumId w:val="6"/>
  </w:num>
  <w:num w:numId="7" w16cid:durableId="1258561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6272"/>
    <w:rsid w:val="00111643"/>
    <w:rsid w:val="00147EB3"/>
    <w:rsid w:val="00190C8B"/>
    <w:rsid w:val="00194C96"/>
    <w:rsid w:val="002D305B"/>
    <w:rsid w:val="00351AB8"/>
    <w:rsid w:val="0041050E"/>
    <w:rsid w:val="005E06FF"/>
    <w:rsid w:val="006A2EAD"/>
    <w:rsid w:val="007E7551"/>
    <w:rsid w:val="008020F9"/>
    <w:rsid w:val="00896295"/>
    <w:rsid w:val="008A4F79"/>
    <w:rsid w:val="008B4FB2"/>
    <w:rsid w:val="00913AC1"/>
    <w:rsid w:val="00AE2CC3"/>
    <w:rsid w:val="00BC3D2D"/>
    <w:rsid w:val="00CD168C"/>
    <w:rsid w:val="00D75063"/>
    <w:rsid w:val="00DC712E"/>
    <w:rsid w:val="00E36925"/>
    <w:rsid w:val="00EE6921"/>
    <w:rsid w:val="00EF6272"/>
    <w:rsid w:val="00F12485"/>
    <w:rsid w:val="00F710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D5456"/>
  <w15:docId w15:val="{FF29B93C-CD6C-46E0-B874-8331E25A2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color w:val="424242"/>
        <w:sz w:val="24"/>
        <w:szCs w:val="24"/>
        <w:highlight w:val="yellow"/>
        <w:lang w:val="en" w:eastAsia="en-GB" w:bidi="ar-SA"/>
      </w:rPr>
    </w:rPrDefault>
    <w:pPrDefault>
      <w:pPr>
        <w:shd w:val="clear" w:color="auto" w:fill="FAFAFA"/>
        <w:spacing w:before="120" w:after="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character" w:styleId="Hyperlink">
    <w:name w:val="Hyperlink"/>
    <w:basedOn w:val="DefaultParagraphFont"/>
    <w:uiPriority w:val="99"/>
    <w:unhideWhenUsed/>
    <w:rsid w:val="00F12485"/>
    <w:rPr>
      <w:color w:val="0000FF" w:themeColor="hyperlink"/>
      <w:u w:val="single"/>
    </w:rPr>
  </w:style>
  <w:style w:type="paragraph" w:styleId="Header">
    <w:name w:val="header"/>
    <w:basedOn w:val="Normal"/>
    <w:link w:val="HeaderChar"/>
    <w:uiPriority w:val="99"/>
    <w:unhideWhenUsed/>
    <w:rsid w:val="00F1248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12485"/>
    <w:rPr>
      <w:shd w:val="clear" w:color="auto" w:fill="FAFAFA"/>
    </w:rPr>
  </w:style>
  <w:style w:type="paragraph" w:styleId="Footer">
    <w:name w:val="footer"/>
    <w:basedOn w:val="Normal"/>
    <w:link w:val="FooterChar"/>
    <w:uiPriority w:val="99"/>
    <w:unhideWhenUsed/>
    <w:rsid w:val="00F1248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12485"/>
    <w:rPr>
      <w:shd w:val="clear" w:color="auto" w:fill="FAFAF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194228">
      <w:bodyDiv w:val="1"/>
      <w:marLeft w:val="0"/>
      <w:marRight w:val="0"/>
      <w:marTop w:val="0"/>
      <w:marBottom w:val="0"/>
      <w:divBdr>
        <w:top w:val="none" w:sz="0" w:space="0" w:color="auto"/>
        <w:left w:val="none" w:sz="0" w:space="0" w:color="auto"/>
        <w:bottom w:val="none" w:sz="0" w:space="0" w:color="auto"/>
        <w:right w:val="none" w:sz="0" w:space="0" w:color="auto"/>
      </w:divBdr>
    </w:div>
    <w:div w:id="345257333">
      <w:bodyDiv w:val="1"/>
      <w:marLeft w:val="0"/>
      <w:marRight w:val="0"/>
      <w:marTop w:val="0"/>
      <w:marBottom w:val="0"/>
      <w:divBdr>
        <w:top w:val="none" w:sz="0" w:space="0" w:color="auto"/>
        <w:left w:val="none" w:sz="0" w:space="0" w:color="auto"/>
        <w:bottom w:val="none" w:sz="0" w:space="0" w:color="auto"/>
        <w:right w:val="none" w:sz="0" w:space="0" w:color="auto"/>
      </w:divBdr>
    </w:div>
    <w:div w:id="429937473">
      <w:bodyDiv w:val="1"/>
      <w:marLeft w:val="0"/>
      <w:marRight w:val="0"/>
      <w:marTop w:val="0"/>
      <w:marBottom w:val="0"/>
      <w:divBdr>
        <w:top w:val="none" w:sz="0" w:space="0" w:color="auto"/>
        <w:left w:val="none" w:sz="0" w:space="0" w:color="auto"/>
        <w:bottom w:val="none" w:sz="0" w:space="0" w:color="auto"/>
        <w:right w:val="none" w:sz="0" w:space="0" w:color="auto"/>
      </w:divBdr>
    </w:div>
    <w:div w:id="1210999445">
      <w:bodyDiv w:val="1"/>
      <w:marLeft w:val="0"/>
      <w:marRight w:val="0"/>
      <w:marTop w:val="0"/>
      <w:marBottom w:val="0"/>
      <w:divBdr>
        <w:top w:val="none" w:sz="0" w:space="0" w:color="auto"/>
        <w:left w:val="none" w:sz="0" w:space="0" w:color="auto"/>
        <w:bottom w:val="none" w:sz="0" w:space="0" w:color="auto"/>
        <w:right w:val="none" w:sz="0" w:space="0" w:color="auto"/>
      </w:divBdr>
    </w:div>
    <w:div w:id="1672221991">
      <w:bodyDiv w:val="1"/>
      <w:marLeft w:val="0"/>
      <w:marRight w:val="0"/>
      <w:marTop w:val="0"/>
      <w:marBottom w:val="0"/>
      <w:divBdr>
        <w:top w:val="none" w:sz="0" w:space="0" w:color="auto"/>
        <w:left w:val="none" w:sz="0" w:space="0" w:color="auto"/>
        <w:bottom w:val="none" w:sz="0" w:space="0" w:color="auto"/>
        <w:right w:val="none" w:sz="0" w:space="0" w:color="auto"/>
      </w:divBdr>
    </w:div>
    <w:div w:id="16845492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doi.org/10.1177/1094428112452760"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29FA9B-E637-49B7-83B5-A01F598FA8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9953</Words>
  <Characters>56737</Characters>
  <Application>Microsoft Office Word</Application>
  <DocSecurity>0</DocSecurity>
  <Lines>472</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Jessica bray (sanchez) 2317330</dc:creator>
  <cp:lastModifiedBy>Jess Sanchez</cp:lastModifiedBy>
  <cp:revision>3</cp:revision>
  <dcterms:created xsi:type="dcterms:W3CDTF">2025-07-22T23:05:00Z</dcterms:created>
  <dcterms:modified xsi:type="dcterms:W3CDTF">2025-07-22T23:09:00Z</dcterms:modified>
</cp:coreProperties>
</file>