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ADECD" w14:textId="77777777" w:rsidR="00E12A11" w:rsidRDefault="00E12A11" w:rsidP="0097159D">
      <w:pPr>
        <w:spacing w:after="0"/>
        <w:jc w:val="center"/>
        <w:rPr>
          <w:rFonts w:eastAsia="Times New Roman" w:cs="Arial"/>
          <w:b/>
          <w:bCs/>
          <w:color w:val="000000"/>
          <w:sz w:val="36"/>
          <w:szCs w:val="36"/>
          <w:lang w:val="en-IN" w:eastAsia="en-IN"/>
        </w:rPr>
      </w:pPr>
    </w:p>
    <w:p w14:paraId="2A426B02" w14:textId="77777777" w:rsidR="00E12A11" w:rsidRDefault="00E12A11" w:rsidP="0097159D">
      <w:pPr>
        <w:spacing w:after="0"/>
        <w:jc w:val="center"/>
        <w:rPr>
          <w:rFonts w:eastAsia="Times New Roman" w:cs="Arial"/>
          <w:b/>
          <w:bCs/>
          <w:color w:val="000000"/>
          <w:sz w:val="36"/>
          <w:szCs w:val="36"/>
          <w:lang w:val="en-IN" w:eastAsia="en-IN"/>
        </w:rPr>
      </w:pPr>
    </w:p>
    <w:p w14:paraId="6BAD2022" w14:textId="18C42818" w:rsidR="00E12A11" w:rsidRPr="00261327" w:rsidRDefault="0097159D" w:rsidP="0097159D">
      <w:pPr>
        <w:jc w:val="center"/>
        <w:rPr>
          <w:b/>
          <w:bCs/>
          <w:sz w:val="40"/>
          <w:szCs w:val="40"/>
          <w:u w:val="single"/>
          <w:lang w:val="en-IN" w:eastAsia="en-IN"/>
        </w:rPr>
      </w:pPr>
      <w:r w:rsidRPr="00261327">
        <w:rPr>
          <w:b/>
          <w:bCs/>
          <w:sz w:val="40"/>
          <w:szCs w:val="40"/>
          <w:u w:val="single"/>
          <w:lang w:val="en-IN" w:eastAsia="en-IN"/>
        </w:rPr>
        <w:t>How to engage employees throughout the employee lifecycle</w:t>
      </w:r>
    </w:p>
    <w:p w14:paraId="3842CD01" w14:textId="6CFEEC6C" w:rsidR="00E418C6" w:rsidRDefault="00C061C2" w:rsidP="00C061C2">
      <w:pPr>
        <w:spacing w:after="0"/>
        <w:rPr>
          <w:rFonts w:eastAsia="Times New Roman" w:cs="Arial"/>
          <w:b/>
          <w:bCs/>
          <w:color w:val="000000"/>
          <w:sz w:val="36"/>
          <w:szCs w:val="36"/>
          <w:lang w:val="en-IN" w:eastAsia="en-IN"/>
        </w:rPr>
      </w:pPr>
      <w:r>
        <w:rPr>
          <w:rFonts w:eastAsia="Times New Roman" w:cs="Arial"/>
          <w:b/>
          <w:bCs/>
          <w:color w:val="000000"/>
          <w:sz w:val="36"/>
          <w:szCs w:val="36"/>
          <w:lang w:val="en-IN" w:eastAsia="en-IN"/>
        </w:rPr>
        <w:t>Student names: Marina Branza</w:t>
      </w:r>
    </w:p>
    <w:p w14:paraId="1FF48A55" w14:textId="21DFED1A" w:rsidR="00C061C2" w:rsidRDefault="00C061C2" w:rsidP="00C061C2">
      <w:pPr>
        <w:spacing w:after="0"/>
        <w:rPr>
          <w:rFonts w:eastAsia="Times New Roman" w:cs="Arial"/>
          <w:b/>
          <w:bCs/>
          <w:color w:val="000000"/>
          <w:sz w:val="36"/>
          <w:szCs w:val="36"/>
          <w:lang w:val="en-IN" w:eastAsia="en-IN"/>
        </w:rPr>
      </w:pPr>
      <w:r>
        <w:rPr>
          <w:rFonts w:eastAsia="Times New Roman" w:cs="Arial"/>
          <w:b/>
          <w:bCs/>
          <w:color w:val="000000"/>
          <w:sz w:val="36"/>
          <w:szCs w:val="36"/>
          <w:lang w:val="en-IN" w:eastAsia="en-IN"/>
        </w:rPr>
        <w:t>Student number :2027760</w:t>
      </w:r>
    </w:p>
    <w:p w14:paraId="2697BAD7" w14:textId="1BF0AC47" w:rsidR="00C061C2" w:rsidRDefault="00C061C2" w:rsidP="00C061C2">
      <w:pPr>
        <w:spacing w:after="0"/>
        <w:rPr>
          <w:rFonts w:eastAsia="Times New Roman" w:cs="Arial"/>
          <w:b/>
          <w:bCs/>
          <w:color w:val="000000"/>
          <w:sz w:val="36"/>
          <w:szCs w:val="36"/>
          <w:lang w:val="en-IN" w:eastAsia="en-IN"/>
        </w:rPr>
      </w:pPr>
      <w:r>
        <w:rPr>
          <w:rFonts w:eastAsia="Times New Roman" w:cs="Arial"/>
          <w:b/>
          <w:bCs/>
          <w:color w:val="000000"/>
          <w:sz w:val="36"/>
          <w:szCs w:val="36"/>
          <w:lang w:val="en-IN" w:eastAsia="en-IN"/>
        </w:rPr>
        <w:t xml:space="preserve">Modul: </w:t>
      </w:r>
      <w:r w:rsidRPr="00C061C2">
        <w:rPr>
          <w:rFonts w:eastAsia="Times New Roman" w:cs="Arial"/>
          <w:b/>
          <w:bCs/>
          <w:color w:val="000000"/>
          <w:sz w:val="36"/>
          <w:szCs w:val="36"/>
          <w:lang w:val="en-IN" w:eastAsia="en-IN"/>
        </w:rPr>
        <w:t>Personnel Resourcing &amp; Development BMIH5005</w:t>
      </w:r>
    </w:p>
    <w:p w14:paraId="7B0DE70C" w14:textId="5ED6FE4F" w:rsidR="00C061C2" w:rsidRDefault="00C061C2" w:rsidP="00C061C2">
      <w:pPr>
        <w:spacing w:after="0"/>
        <w:rPr>
          <w:rFonts w:eastAsia="Times New Roman" w:cs="Arial"/>
          <w:b/>
          <w:bCs/>
          <w:color w:val="000000"/>
          <w:sz w:val="36"/>
          <w:szCs w:val="36"/>
          <w:lang w:val="en-IN" w:eastAsia="en-IN"/>
        </w:rPr>
      </w:pPr>
      <w:r>
        <w:rPr>
          <w:rFonts w:eastAsia="Times New Roman" w:cs="Arial"/>
          <w:b/>
          <w:bCs/>
          <w:color w:val="000000"/>
          <w:sz w:val="36"/>
          <w:szCs w:val="36"/>
          <w:lang w:val="en-IN" w:eastAsia="en-IN"/>
        </w:rPr>
        <w:t>Lecture:</w:t>
      </w:r>
      <w:r w:rsidRPr="00C061C2">
        <w:t xml:space="preserve"> </w:t>
      </w:r>
      <w:r w:rsidRPr="00C061C2">
        <w:rPr>
          <w:rFonts w:eastAsia="Times New Roman" w:cs="Arial"/>
          <w:b/>
          <w:bCs/>
          <w:color w:val="000000"/>
          <w:sz w:val="36"/>
          <w:szCs w:val="36"/>
          <w:lang w:val="en-IN" w:eastAsia="en-IN"/>
        </w:rPr>
        <w:t>Emma Roberts</w:t>
      </w:r>
    </w:p>
    <w:p w14:paraId="44C24CCE" w14:textId="77777777" w:rsidR="00C061C2" w:rsidRDefault="00C061C2" w:rsidP="00C061C2">
      <w:pPr>
        <w:spacing w:after="0"/>
        <w:rPr>
          <w:rFonts w:eastAsia="Times New Roman" w:cs="Arial"/>
          <w:b/>
          <w:bCs/>
          <w:color w:val="000000"/>
          <w:sz w:val="36"/>
          <w:szCs w:val="36"/>
          <w:lang w:val="en-IN" w:eastAsia="en-IN"/>
        </w:rPr>
      </w:pPr>
    </w:p>
    <w:p w14:paraId="3605857B" w14:textId="77777777" w:rsidR="00C061C2" w:rsidRDefault="00C061C2" w:rsidP="00C061C2">
      <w:pPr>
        <w:spacing w:after="0"/>
        <w:rPr>
          <w:rFonts w:eastAsia="Times New Roman" w:cs="Arial"/>
          <w:b/>
          <w:bCs/>
          <w:color w:val="000000"/>
          <w:sz w:val="36"/>
          <w:szCs w:val="36"/>
          <w:lang w:val="en-IN" w:eastAsia="en-IN"/>
        </w:rPr>
      </w:pPr>
    </w:p>
    <w:p w14:paraId="7A273D3A" w14:textId="77777777" w:rsidR="00C061C2" w:rsidRPr="00E418C6" w:rsidRDefault="00C061C2" w:rsidP="00C061C2">
      <w:pPr>
        <w:spacing w:after="0"/>
        <w:rPr>
          <w:rFonts w:eastAsia="Times New Roman" w:cs="Arial"/>
          <w:b/>
          <w:bCs/>
          <w:color w:val="000000"/>
          <w:sz w:val="36"/>
          <w:szCs w:val="36"/>
          <w:lang w:val="en-IN" w:eastAsia="en-IN"/>
        </w:rPr>
      </w:pPr>
    </w:p>
    <w:p w14:paraId="0DD6F266" w14:textId="3E67B3D4" w:rsidR="003C0942" w:rsidRDefault="003C0942" w:rsidP="00E12A11">
      <w:pPr>
        <w:pBdr>
          <w:bottom w:val="single" w:sz="4" w:space="1" w:color="auto"/>
        </w:pBdr>
      </w:pPr>
      <w:r>
        <w:br w:type="page"/>
      </w:r>
    </w:p>
    <w:p w14:paraId="7CF5117D"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lastRenderedPageBreak/>
        <w:t>Introduction</w:t>
      </w:r>
    </w:p>
    <w:p w14:paraId="60ACECBB" w14:textId="56A96D06" w:rsidR="005E25DD" w:rsidRDefault="003C0942" w:rsidP="003C0942">
      <w:pPr>
        <w:spacing w:after="0"/>
        <w:rPr>
          <w:rFonts w:eastAsia="Times New Roman" w:cs="Arial"/>
          <w:color w:val="000000"/>
          <w:szCs w:val="24"/>
          <w:lang w:val="en-IN" w:eastAsia="en-IN"/>
        </w:rPr>
      </w:pPr>
      <w:r w:rsidRPr="003C0942">
        <w:rPr>
          <w:rFonts w:eastAsia="Times New Roman" w:cs="Arial"/>
          <w:color w:val="000000"/>
          <w:szCs w:val="24"/>
          <w:lang w:val="en-IN" w:eastAsia="en-IN"/>
        </w:rPr>
        <w:t xml:space="preserve">This study is going to discuss the direction of the employee engagement process throughout the employee lifecycle within a large hotel organisation in order to achieve the employee engagement process that the human resource department must employ. This case study will consider different areas of the overall employee engagement process. It will elaborate on the role of human resources in engaging the employee and how to engage a team and what are the advantages of an engaging team. The employee lifecycle and its processes will be </w:t>
      </w:r>
      <w:proofErr w:type="gramStart"/>
      <w:r w:rsidRPr="003C0942">
        <w:rPr>
          <w:rFonts w:eastAsia="Times New Roman" w:cs="Arial"/>
          <w:color w:val="000000"/>
          <w:szCs w:val="24"/>
          <w:lang w:val="en-IN" w:eastAsia="en-IN"/>
        </w:rPr>
        <w:t>discussed</w:t>
      </w:r>
      <w:proofErr w:type="gramEnd"/>
      <w:r w:rsidRPr="003C0942">
        <w:rPr>
          <w:rFonts w:eastAsia="Times New Roman" w:cs="Arial"/>
          <w:color w:val="000000"/>
          <w:szCs w:val="24"/>
          <w:lang w:val="en-IN" w:eastAsia="en-IN"/>
        </w:rPr>
        <w:t xml:space="preserve"> and some examples will be provided of how a team can be engaged. Furthermore, an employee engagement model and its implementation will be discussed. In the end, some industrial examples would be provided. </w:t>
      </w:r>
    </w:p>
    <w:p w14:paraId="3CC85F3D" w14:textId="77777777" w:rsidR="005E25DD" w:rsidRDefault="005E25DD">
      <w:pPr>
        <w:spacing w:after="160" w:line="259" w:lineRule="auto"/>
        <w:jc w:val="left"/>
        <w:rPr>
          <w:rFonts w:eastAsia="Times New Roman" w:cs="Arial"/>
          <w:color w:val="000000"/>
          <w:szCs w:val="24"/>
          <w:lang w:val="en-IN" w:eastAsia="en-IN"/>
        </w:rPr>
      </w:pPr>
      <w:r>
        <w:rPr>
          <w:rFonts w:eastAsia="Times New Roman" w:cs="Arial"/>
          <w:color w:val="000000"/>
          <w:szCs w:val="24"/>
          <w:lang w:val="en-IN" w:eastAsia="en-IN"/>
        </w:rPr>
        <w:br w:type="page"/>
      </w:r>
    </w:p>
    <w:p w14:paraId="6502B9BE" w14:textId="41D6B2E5"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lastRenderedPageBreak/>
        <w:t xml:space="preserve">Employee engagement </w:t>
      </w:r>
      <w:r w:rsidRPr="003C0942">
        <w:rPr>
          <w:rFonts w:eastAsia="Times New Roman" w:cs="Arial"/>
          <w:color w:val="000000"/>
          <w:szCs w:val="24"/>
          <w:lang w:val="en-IN" w:eastAsia="en-IN"/>
        </w:rPr>
        <w:t>is one of the larger aspects of an organisation since the organisational performance depends on this element. Higher employee engagement in a hotel can better guest experiences. For every stakeholder, leader and manager, employee engagement should be the key responsibility. Human resources cover multiple areas in the employee engagement process</w:t>
      </w:r>
      <w:r w:rsidR="00315D5D">
        <w:rPr>
          <w:rFonts w:eastAsia="Times New Roman" w:cs="Arial"/>
          <w:color w:val="000000"/>
          <w:szCs w:val="24"/>
          <w:lang w:val="en-IN" w:eastAsia="en-IN"/>
        </w:rPr>
        <w:t xml:space="preserve"> </w:t>
      </w:r>
      <w:sdt>
        <w:sdtPr>
          <w:rPr>
            <w:rFonts w:eastAsia="Times New Roman" w:cs="Arial"/>
            <w:color w:val="000000"/>
            <w:szCs w:val="24"/>
            <w:lang w:val="en-IN" w:eastAsia="en-IN"/>
          </w:rPr>
          <w:id w:val="795036656"/>
          <w:citation/>
        </w:sdtPr>
        <w:sdtEndPr/>
        <w:sdtContent>
          <w:r w:rsidR="00315D5D">
            <w:rPr>
              <w:rFonts w:eastAsia="Times New Roman" w:cs="Arial"/>
              <w:color w:val="000000"/>
              <w:szCs w:val="24"/>
              <w:lang w:val="en-IN" w:eastAsia="en-IN"/>
            </w:rPr>
            <w:fldChar w:fldCharType="begin"/>
          </w:r>
          <w:r w:rsidR="00315D5D">
            <w:rPr>
              <w:rFonts w:eastAsia="Times New Roman" w:cs="Arial"/>
              <w:color w:val="000000"/>
              <w:szCs w:val="24"/>
              <w:lang w:val="en-IN" w:eastAsia="en-IN"/>
            </w:rPr>
            <w:instrText xml:space="preserve"> CITATION Sun19 \l 16393 </w:instrText>
          </w:r>
          <w:r w:rsidR="00315D5D">
            <w:rPr>
              <w:rFonts w:eastAsia="Times New Roman" w:cs="Arial"/>
              <w:color w:val="000000"/>
              <w:szCs w:val="24"/>
              <w:lang w:val="en-IN" w:eastAsia="en-IN"/>
            </w:rPr>
            <w:fldChar w:fldCharType="separate"/>
          </w:r>
          <w:r w:rsidR="00315D5D" w:rsidRPr="00315D5D">
            <w:rPr>
              <w:rFonts w:eastAsia="Times New Roman" w:cs="Arial"/>
              <w:noProof/>
              <w:color w:val="000000"/>
              <w:szCs w:val="24"/>
              <w:lang w:val="en-IN" w:eastAsia="en-IN"/>
            </w:rPr>
            <w:t>(Sun &amp; Bunchapattanasakda, 2019)</w:t>
          </w:r>
          <w:r w:rsidR="00315D5D">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The roles of human resources in the employee engagement process are-</w:t>
      </w:r>
    </w:p>
    <w:p w14:paraId="349C98DF" w14:textId="64B88486"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Human resources can motivate and inspire employees using different tools and resources. HR can initiate an onboarding program </w:t>
      </w:r>
      <w:r w:rsidR="007638DF">
        <w:rPr>
          <w:rFonts w:eastAsia="Times New Roman" w:cs="Arial"/>
          <w:color w:val="000000"/>
          <w:szCs w:val="24"/>
          <w:lang w:val="en-IN" w:eastAsia="en-IN"/>
        </w:rPr>
        <w:t>that</w:t>
      </w:r>
      <w:r w:rsidRPr="003C0942">
        <w:rPr>
          <w:rFonts w:eastAsia="Times New Roman" w:cs="Arial"/>
          <w:color w:val="000000"/>
          <w:szCs w:val="24"/>
          <w:lang w:val="en-IN" w:eastAsia="en-IN"/>
        </w:rPr>
        <w:t xml:space="preserve"> creates a company culture that supports and promotes employee engagement. This process helps managers to know how to motivate and inspire their team members. HR manages staff performance in the hotel. The HR of Marriott International provides training and development and conducts a performance review process. Another important role of HR in employee engagement is safeguarding company culture</w:t>
      </w:r>
      <w:r w:rsidR="00DA0903">
        <w:rPr>
          <w:rFonts w:eastAsia="Times New Roman" w:cs="Arial"/>
          <w:color w:val="000000"/>
          <w:szCs w:val="24"/>
          <w:lang w:val="en-IN" w:eastAsia="en-IN"/>
        </w:rPr>
        <w:t xml:space="preserve"> </w:t>
      </w:r>
      <w:sdt>
        <w:sdtPr>
          <w:rPr>
            <w:rFonts w:eastAsia="Times New Roman" w:cs="Arial"/>
            <w:color w:val="000000"/>
            <w:szCs w:val="24"/>
            <w:lang w:val="en-IN" w:eastAsia="en-IN"/>
          </w:rPr>
          <w:id w:val="-2074187059"/>
          <w:citation/>
        </w:sdtPr>
        <w:sdtEndPr/>
        <w:sdtContent>
          <w:r w:rsidR="00DA0903">
            <w:rPr>
              <w:rFonts w:eastAsia="Times New Roman" w:cs="Arial"/>
              <w:color w:val="000000"/>
              <w:szCs w:val="24"/>
              <w:lang w:val="en-IN" w:eastAsia="en-IN"/>
            </w:rPr>
            <w:fldChar w:fldCharType="begin"/>
          </w:r>
          <w:r w:rsidR="00DA0903">
            <w:rPr>
              <w:rFonts w:eastAsia="Times New Roman" w:cs="Arial"/>
              <w:color w:val="000000"/>
              <w:szCs w:val="24"/>
              <w:lang w:val="en-IN" w:eastAsia="en-IN"/>
            </w:rPr>
            <w:instrText xml:space="preserve"> CITATION Hoq18 \l 16393 </w:instrText>
          </w:r>
          <w:r w:rsidR="00DA0903">
            <w:rPr>
              <w:rFonts w:eastAsia="Times New Roman" w:cs="Arial"/>
              <w:color w:val="000000"/>
              <w:szCs w:val="24"/>
              <w:lang w:val="en-IN" w:eastAsia="en-IN"/>
            </w:rPr>
            <w:fldChar w:fldCharType="separate"/>
          </w:r>
          <w:r w:rsidR="00DA0903" w:rsidRPr="00DA0903">
            <w:rPr>
              <w:rFonts w:eastAsia="Times New Roman" w:cs="Arial"/>
              <w:noProof/>
              <w:color w:val="000000"/>
              <w:szCs w:val="24"/>
              <w:lang w:val="en-IN" w:eastAsia="en-IN"/>
            </w:rPr>
            <w:t>(Hoque, et al., 2018)</w:t>
          </w:r>
          <w:r w:rsidR="00DA0903">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The HR managers of Marriott safeguard the culture on two levels. First, ensures the newly recruited employees can make them fit into the culture and secondly, communicate with the staff members regarding the value and objective of the organisation. The HR time and again does the staff recognition process to drive employee engagement and commitment. A corporate formal employee recognition scheme has been introduced by HR which recognises the employees who put their best effort into the work</w:t>
      </w:r>
      <w:r w:rsidR="002F62EB">
        <w:rPr>
          <w:rFonts w:eastAsia="Times New Roman" w:cs="Arial"/>
          <w:color w:val="000000"/>
          <w:szCs w:val="24"/>
          <w:lang w:val="en-IN" w:eastAsia="en-IN"/>
        </w:rPr>
        <w:t xml:space="preserve"> </w:t>
      </w:r>
      <w:sdt>
        <w:sdtPr>
          <w:rPr>
            <w:rFonts w:eastAsia="Times New Roman" w:cs="Arial"/>
            <w:color w:val="000000"/>
            <w:szCs w:val="24"/>
            <w:lang w:val="en-IN" w:eastAsia="en-IN"/>
          </w:rPr>
          <w:id w:val="979268616"/>
          <w:citation/>
        </w:sdtPr>
        <w:sdtEndPr/>
        <w:sdtContent>
          <w:r w:rsidR="002F62EB">
            <w:rPr>
              <w:rFonts w:eastAsia="Times New Roman" w:cs="Arial"/>
              <w:color w:val="000000"/>
              <w:szCs w:val="24"/>
              <w:lang w:val="en-IN" w:eastAsia="en-IN"/>
            </w:rPr>
            <w:fldChar w:fldCharType="begin"/>
          </w:r>
          <w:r w:rsidR="002F62EB">
            <w:rPr>
              <w:rFonts w:eastAsia="Times New Roman" w:cs="Arial"/>
              <w:color w:val="000000"/>
              <w:szCs w:val="24"/>
              <w:lang w:val="en-IN" w:eastAsia="en-IN"/>
            </w:rPr>
            <w:instrText xml:space="preserve"> CITATION Sak22 \l 16393 </w:instrText>
          </w:r>
          <w:r w:rsidR="002F62EB">
            <w:rPr>
              <w:rFonts w:eastAsia="Times New Roman" w:cs="Arial"/>
              <w:color w:val="000000"/>
              <w:szCs w:val="24"/>
              <w:lang w:val="en-IN" w:eastAsia="en-IN"/>
            </w:rPr>
            <w:fldChar w:fldCharType="separate"/>
          </w:r>
          <w:r w:rsidR="002F62EB" w:rsidRPr="002F62EB">
            <w:rPr>
              <w:rFonts w:eastAsia="Times New Roman" w:cs="Arial"/>
              <w:noProof/>
              <w:color w:val="000000"/>
              <w:szCs w:val="24"/>
              <w:lang w:val="en-IN" w:eastAsia="en-IN"/>
            </w:rPr>
            <w:t>(Saks, 2022)</w:t>
          </w:r>
          <w:r w:rsidR="002F62EB">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76A17D99" w14:textId="7CB89764"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There are different </w:t>
      </w:r>
      <w:r w:rsidRPr="003C0942">
        <w:rPr>
          <w:rFonts w:eastAsia="Times New Roman" w:cs="Arial"/>
          <w:b/>
          <w:bCs/>
          <w:color w:val="000000"/>
          <w:szCs w:val="24"/>
          <w:lang w:val="en-IN" w:eastAsia="en-IN"/>
        </w:rPr>
        <w:t>ways to</w:t>
      </w:r>
      <w:r w:rsidRPr="003C0942">
        <w:rPr>
          <w:rFonts w:eastAsia="Times New Roman" w:cs="Arial"/>
          <w:color w:val="000000"/>
          <w:szCs w:val="24"/>
          <w:lang w:val="en-IN" w:eastAsia="en-IN"/>
        </w:rPr>
        <w:t xml:space="preserve"> </w:t>
      </w:r>
      <w:r w:rsidRPr="003C0942">
        <w:rPr>
          <w:rFonts w:eastAsia="Times New Roman" w:cs="Arial"/>
          <w:b/>
          <w:bCs/>
          <w:color w:val="000000"/>
          <w:szCs w:val="24"/>
          <w:lang w:val="en-IN" w:eastAsia="en-IN"/>
        </w:rPr>
        <w:t>engage a team</w:t>
      </w:r>
      <w:r w:rsidRPr="003C0942">
        <w:rPr>
          <w:rFonts w:eastAsia="Times New Roman" w:cs="Arial"/>
          <w:color w:val="000000"/>
          <w:szCs w:val="24"/>
          <w:lang w:val="en-IN" w:eastAsia="en-IN"/>
        </w:rPr>
        <w:t>. Managers of hotels use different techniques to ensure the engagement of every team member of a team. The managers or leaders should give updates on the organisational performance and set long-term along short-term team goals to make them connected to the organisation</w:t>
      </w:r>
      <w:r w:rsidR="00E53B8C">
        <w:rPr>
          <w:rFonts w:eastAsia="Times New Roman" w:cs="Arial"/>
          <w:color w:val="000000"/>
          <w:szCs w:val="24"/>
          <w:lang w:val="en-IN" w:eastAsia="en-IN"/>
        </w:rPr>
        <w:t xml:space="preserve"> </w:t>
      </w:r>
      <w:sdt>
        <w:sdtPr>
          <w:rPr>
            <w:rFonts w:eastAsia="Times New Roman" w:cs="Arial"/>
            <w:color w:val="000000"/>
            <w:szCs w:val="24"/>
            <w:lang w:val="en-IN" w:eastAsia="en-IN"/>
          </w:rPr>
          <w:id w:val="-1855954187"/>
          <w:citation/>
        </w:sdtPr>
        <w:sdtEndPr/>
        <w:sdtContent>
          <w:r w:rsidR="00E53B8C">
            <w:rPr>
              <w:rFonts w:eastAsia="Times New Roman" w:cs="Arial"/>
              <w:color w:val="000000"/>
              <w:szCs w:val="24"/>
              <w:lang w:val="en-IN" w:eastAsia="en-IN"/>
            </w:rPr>
            <w:fldChar w:fldCharType="begin"/>
          </w:r>
          <w:r w:rsidR="00E53B8C">
            <w:rPr>
              <w:rFonts w:eastAsia="Times New Roman" w:cs="Arial"/>
              <w:color w:val="000000"/>
              <w:szCs w:val="24"/>
              <w:lang w:val="en-IN" w:eastAsia="en-IN"/>
            </w:rPr>
            <w:instrText xml:space="preserve"> CITATION Wis19 \l 16393 </w:instrText>
          </w:r>
          <w:r w:rsidR="00E53B8C">
            <w:rPr>
              <w:rFonts w:eastAsia="Times New Roman" w:cs="Arial"/>
              <w:color w:val="000000"/>
              <w:szCs w:val="24"/>
              <w:lang w:val="en-IN" w:eastAsia="en-IN"/>
            </w:rPr>
            <w:fldChar w:fldCharType="separate"/>
          </w:r>
          <w:r w:rsidR="00E53B8C" w:rsidRPr="00E53B8C">
            <w:rPr>
              <w:rFonts w:eastAsia="Times New Roman" w:cs="Arial"/>
              <w:noProof/>
              <w:color w:val="000000"/>
              <w:szCs w:val="24"/>
              <w:lang w:val="en-IN" w:eastAsia="en-IN"/>
            </w:rPr>
            <w:t>(Wise &amp; Jolles, 2019)</w:t>
          </w:r>
          <w:r w:rsidR="00E53B8C">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xml:space="preserve">. Seasonality put immense pressure on the hospitality sector when hotel staff needs to visit multiple guests and provide satisfactory services, the managers should keep motivating and appreciating the team and create team bonding activities so that they could look forward to performing with their colleagues and achieving the best results for the organisation. Team bonding can increase employee satisfaction </w:t>
      </w:r>
      <w:r w:rsidR="00E53B8C">
        <w:rPr>
          <w:rFonts w:eastAsia="Times New Roman" w:cs="Arial"/>
          <w:color w:val="000000"/>
          <w:szCs w:val="24"/>
          <w:lang w:val="en-IN" w:eastAsia="en-IN"/>
        </w:rPr>
        <w:t>levels</w:t>
      </w:r>
      <w:r w:rsidRPr="003C0942">
        <w:rPr>
          <w:rFonts w:eastAsia="Times New Roman" w:cs="Arial"/>
          <w:color w:val="000000"/>
          <w:szCs w:val="24"/>
          <w:lang w:val="en-IN" w:eastAsia="en-IN"/>
        </w:rPr>
        <w:t xml:space="preserve"> by 50%</w:t>
      </w:r>
      <w:r w:rsidR="003F445E">
        <w:rPr>
          <w:rFonts w:eastAsia="Times New Roman" w:cs="Arial"/>
          <w:color w:val="000000"/>
          <w:szCs w:val="24"/>
          <w:lang w:val="en-IN" w:eastAsia="en-IN"/>
        </w:rPr>
        <w:t xml:space="preserve"> </w:t>
      </w:r>
      <w:sdt>
        <w:sdtPr>
          <w:rPr>
            <w:rFonts w:eastAsia="Times New Roman" w:cs="Arial"/>
            <w:color w:val="000000"/>
            <w:szCs w:val="24"/>
            <w:lang w:val="en-IN" w:eastAsia="en-IN"/>
          </w:rPr>
          <w:id w:val="-1068260208"/>
          <w:citation/>
        </w:sdtPr>
        <w:sdtEndPr/>
        <w:sdtContent>
          <w:r w:rsidR="003F445E">
            <w:rPr>
              <w:rFonts w:eastAsia="Times New Roman" w:cs="Arial"/>
              <w:color w:val="000000"/>
              <w:szCs w:val="24"/>
              <w:lang w:val="en-IN" w:eastAsia="en-IN"/>
            </w:rPr>
            <w:fldChar w:fldCharType="begin"/>
          </w:r>
          <w:r w:rsidR="003F445E">
            <w:rPr>
              <w:rFonts w:eastAsia="Times New Roman" w:cs="Arial"/>
              <w:color w:val="000000"/>
              <w:szCs w:val="24"/>
              <w:lang w:val="en-IN" w:eastAsia="en-IN"/>
            </w:rPr>
            <w:instrText xml:space="preserve"> CITATION Dus20 \l 16393 </w:instrText>
          </w:r>
          <w:r w:rsidR="003F445E">
            <w:rPr>
              <w:rFonts w:eastAsia="Times New Roman" w:cs="Arial"/>
              <w:color w:val="000000"/>
              <w:szCs w:val="24"/>
              <w:lang w:val="en-IN" w:eastAsia="en-IN"/>
            </w:rPr>
            <w:fldChar w:fldCharType="separate"/>
          </w:r>
          <w:r w:rsidR="003F445E" w:rsidRPr="003F445E">
            <w:rPr>
              <w:rFonts w:eastAsia="Times New Roman" w:cs="Arial"/>
              <w:noProof/>
              <w:color w:val="000000"/>
              <w:szCs w:val="24"/>
              <w:lang w:val="en-IN" w:eastAsia="en-IN"/>
            </w:rPr>
            <w:t>(Dusenberry &amp; Robinson, 2020)</w:t>
          </w:r>
          <w:r w:rsidR="003F445E">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2C5C4793" w14:textId="5A5F4B0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Learning and developing new skills can increase employee engagement. In order to attain team engagement, managers can build teams where new staff and experienced staff can work together and experienced team members serve as mentors. In the hospitality industry, employees visit guests and deliver services </w:t>
      </w:r>
      <w:proofErr w:type="gramStart"/>
      <w:r w:rsidRPr="003C0942">
        <w:rPr>
          <w:rFonts w:eastAsia="Times New Roman" w:cs="Arial"/>
          <w:color w:val="000000"/>
          <w:szCs w:val="24"/>
          <w:lang w:val="en-IN" w:eastAsia="en-IN"/>
        </w:rPr>
        <w:t>directly</w:t>
      </w:r>
      <w:proofErr w:type="gramEnd"/>
      <w:r w:rsidRPr="003C0942">
        <w:rPr>
          <w:rFonts w:eastAsia="Times New Roman" w:cs="Arial"/>
          <w:color w:val="000000"/>
          <w:szCs w:val="24"/>
          <w:lang w:val="en-IN" w:eastAsia="en-IN"/>
        </w:rPr>
        <w:t xml:space="preserve"> so they need </w:t>
      </w:r>
      <w:r w:rsidRPr="003C0942">
        <w:rPr>
          <w:rFonts w:eastAsia="Times New Roman" w:cs="Arial"/>
          <w:color w:val="000000"/>
          <w:szCs w:val="24"/>
          <w:lang w:val="en-IN" w:eastAsia="en-IN"/>
        </w:rPr>
        <w:lastRenderedPageBreak/>
        <w:t xml:space="preserve">professional training to serve them with their best effort. The organisation needs to invest in the team collaboration process and professional development processes to attain the best outcomes. Organisations should use a collaborative process to enable employee communication within the team. Collaborative work is very important in every sector and due to covid-19 pandemic collaboration become </w:t>
      </w:r>
      <w:proofErr w:type="gramStart"/>
      <w:r w:rsidRPr="003C0942">
        <w:rPr>
          <w:rFonts w:eastAsia="Times New Roman" w:cs="Arial"/>
          <w:color w:val="000000"/>
          <w:szCs w:val="24"/>
          <w:lang w:val="en-IN" w:eastAsia="en-IN"/>
        </w:rPr>
        <w:t>difficult</w:t>
      </w:r>
      <w:proofErr w:type="gramEnd"/>
      <w:r w:rsidRPr="003C0942">
        <w:rPr>
          <w:rFonts w:eastAsia="Times New Roman" w:cs="Arial"/>
          <w:color w:val="000000"/>
          <w:szCs w:val="24"/>
          <w:lang w:val="en-IN" w:eastAsia="en-IN"/>
        </w:rPr>
        <w:t xml:space="preserve"> but organisations should use online tools to continue the team collaboration process</w:t>
      </w:r>
      <w:r w:rsidR="00174536">
        <w:rPr>
          <w:rFonts w:eastAsia="Times New Roman" w:cs="Arial"/>
          <w:color w:val="000000"/>
          <w:szCs w:val="24"/>
          <w:lang w:val="en-IN" w:eastAsia="en-IN"/>
        </w:rPr>
        <w:t xml:space="preserve"> </w:t>
      </w:r>
      <w:sdt>
        <w:sdtPr>
          <w:rPr>
            <w:rFonts w:eastAsia="Times New Roman" w:cs="Arial"/>
            <w:color w:val="000000"/>
            <w:szCs w:val="24"/>
            <w:lang w:val="en-IN" w:eastAsia="en-IN"/>
          </w:rPr>
          <w:id w:val="566613991"/>
          <w:citation/>
        </w:sdtPr>
        <w:sdtEndPr/>
        <w:sdtContent>
          <w:r w:rsidR="00174536">
            <w:rPr>
              <w:rFonts w:eastAsia="Times New Roman" w:cs="Arial"/>
              <w:color w:val="000000"/>
              <w:szCs w:val="24"/>
              <w:lang w:val="en-IN" w:eastAsia="en-IN"/>
            </w:rPr>
            <w:fldChar w:fldCharType="begin"/>
          </w:r>
          <w:r w:rsidR="00174536">
            <w:rPr>
              <w:rFonts w:eastAsia="Times New Roman" w:cs="Arial"/>
              <w:color w:val="000000"/>
              <w:szCs w:val="24"/>
              <w:lang w:val="en-IN" w:eastAsia="en-IN"/>
            </w:rPr>
            <w:instrText xml:space="preserve"> CITATION Sid19 \l 16393 </w:instrText>
          </w:r>
          <w:r w:rsidR="00174536">
            <w:rPr>
              <w:rFonts w:eastAsia="Times New Roman" w:cs="Arial"/>
              <w:color w:val="000000"/>
              <w:szCs w:val="24"/>
              <w:lang w:val="en-IN" w:eastAsia="en-IN"/>
            </w:rPr>
            <w:fldChar w:fldCharType="separate"/>
          </w:r>
          <w:r w:rsidR="00174536" w:rsidRPr="00174536">
            <w:rPr>
              <w:rFonts w:eastAsia="Times New Roman" w:cs="Arial"/>
              <w:noProof/>
              <w:color w:val="000000"/>
              <w:szCs w:val="24"/>
              <w:lang w:val="en-IN" w:eastAsia="en-IN"/>
            </w:rPr>
            <w:t>(Siddiqui &amp; Sahar, 2019)</w:t>
          </w:r>
          <w:r w:rsidR="00174536">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6B32A8F1" w14:textId="677C3682"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There are several </w:t>
      </w:r>
      <w:r w:rsidRPr="003C0942">
        <w:rPr>
          <w:rFonts w:eastAsia="Times New Roman" w:cs="Arial"/>
          <w:b/>
          <w:bCs/>
          <w:color w:val="000000"/>
          <w:szCs w:val="24"/>
          <w:lang w:val="en-IN" w:eastAsia="en-IN"/>
        </w:rPr>
        <w:t>advantages of engaging a team</w:t>
      </w:r>
      <w:r w:rsidRPr="003C0942">
        <w:rPr>
          <w:rFonts w:eastAsia="Times New Roman" w:cs="Arial"/>
          <w:color w:val="000000"/>
          <w:szCs w:val="24"/>
          <w:lang w:val="en-IN" w:eastAsia="en-IN"/>
        </w:rPr>
        <w:t xml:space="preserve"> such as increasing overall productivity, reducing turnover and increasing revenue. An engaging team defines the bonding between the team member as good. The engaging team generally establishes effective communication between every team member where every team participates in the decision-making and shares their point of view. This process helps to engage every team member and commit to their work</w:t>
      </w:r>
      <w:r w:rsidR="00331C50">
        <w:rPr>
          <w:rFonts w:eastAsia="Times New Roman" w:cs="Arial"/>
          <w:color w:val="000000"/>
          <w:szCs w:val="24"/>
          <w:lang w:val="en-IN" w:eastAsia="en-IN"/>
        </w:rPr>
        <w:t xml:space="preserve"> </w:t>
      </w:r>
      <w:sdt>
        <w:sdtPr>
          <w:rPr>
            <w:rFonts w:eastAsia="Times New Roman" w:cs="Arial"/>
            <w:color w:val="000000"/>
            <w:szCs w:val="24"/>
            <w:lang w:val="en-IN" w:eastAsia="en-IN"/>
          </w:rPr>
          <w:id w:val="484213040"/>
          <w:citation/>
        </w:sdtPr>
        <w:sdtEndPr/>
        <w:sdtContent>
          <w:r w:rsidR="00331C50">
            <w:rPr>
              <w:rFonts w:eastAsia="Times New Roman" w:cs="Arial"/>
              <w:color w:val="000000"/>
              <w:szCs w:val="24"/>
              <w:lang w:val="en-IN" w:eastAsia="en-IN"/>
            </w:rPr>
            <w:fldChar w:fldCharType="begin"/>
          </w:r>
          <w:r w:rsidR="00331C50">
            <w:rPr>
              <w:rFonts w:eastAsia="Times New Roman" w:cs="Arial"/>
              <w:color w:val="000000"/>
              <w:szCs w:val="24"/>
              <w:lang w:val="en-IN" w:eastAsia="en-IN"/>
            </w:rPr>
            <w:instrText xml:space="preserve"> CITATION nib211 \l 16393 </w:instrText>
          </w:r>
          <w:r w:rsidR="00331C50">
            <w:rPr>
              <w:rFonts w:eastAsia="Times New Roman" w:cs="Arial"/>
              <w:color w:val="000000"/>
              <w:szCs w:val="24"/>
              <w:lang w:val="en-IN" w:eastAsia="en-IN"/>
            </w:rPr>
            <w:fldChar w:fldCharType="separate"/>
          </w:r>
          <w:r w:rsidR="00331C50" w:rsidRPr="00331C50">
            <w:rPr>
              <w:rFonts w:eastAsia="Times New Roman" w:cs="Arial"/>
              <w:noProof/>
              <w:color w:val="000000"/>
              <w:szCs w:val="24"/>
              <w:lang w:val="en-IN" w:eastAsia="en-IN"/>
            </w:rPr>
            <w:t>(nibusinessinfo.co.uk, 2021)</w:t>
          </w:r>
          <w:r w:rsidR="00331C50">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Employee morale increases which positively impacts organisational productivity. An engaging team can be able to solve complex problems as each member tends to attain problem-solving ability. In the hospitality sector employee engagement is very essential since it makes guests feel welcome, cared and comfortable. The services and products can be improved by fostering improvement through teamwork. In order to handle pressure and difficult situations, engaged teams are stronger and better equipped</w:t>
      </w:r>
      <w:r w:rsidR="00E07D0C">
        <w:rPr>
          <w:rFonts w:eastAsia="Times New Roman" w:cs="Arial"/>
          <w:color w:val="000000"/>
          <w:szCs w:val="24"/>
          <w:lang w:val="en-IN" w:eastAsia="en-IN"/>
        </w:rPr>
        <w:t xml:space="preserve"> </w:t>
      </w:r>
      <w:sdt>
        <w:sdtPr>
          <w:rPr>
            <w:rFonts w:eastAsia="Times New Roman" w:cs="Arial"/>
            <w:color w:val="000000"/>
            <w:szCs w:val="24"/>
            <w:lang w:val="en-IN" w:eastAsia="en-IN"/>
          </w:rPr>
          <w:id w:val="-2112116545"/>
          <w:citation/>
        </w:sdtPr>
        <w:sdtEndPr/>
        <w:sdtContent>
          <w:r w:rsidR="00E07D0C">
            <w:rPr>
              <w:rFonts w:eastAsia="Times New Roman" w:cs="Arial"/>
              <w:color w:val="000000"/>
              <w:szCs w:val="24"/>
              <w:lang w:val="en-IN" w:eastAsia="en-IN"/>
            </w:rPr>
            <w:fldChar w:fldCharType="begin"/>
          </w:r>
          <w:r w:rsidR="00E07D0C">
            <w:rPr>
              <w:rFonts w:eastAsia="Times New Roman" w:cs="Arial"/>
              <w:color w:val="000000"/>
              <w:szCs w:val="24"/>
              <w:lang w:val="en-IN" w:eastAsia="en-IN"/>
            </w:rPr>
            <w:instrText xml:space="preserve"> CITATION Ant181 \l 16393 </w:instrText>
          </w:r>
          <w:r w:rsidR="00E07D0C">
            <w:rPr>
              <w:rFonts w:eastAsia="Times New Roman" w:cs="Arial"/>
              <w:color w:val="000000"/>
              <w:szCs w:val="24"/>
              <w:lang w:val="en-IN" w:eastAsia="en-IN"/>
            </w:rPr>
            <w:fldChar w:fldCharType="separate"/>
          </w:r>
          <w:r w:rsidR="00E07D0C" w:rsidRPr="00E07D0C">
            <w:rPr>
              <w:rFonts w:eastAsia="Times New Roman" w:cs="Arial"/>
              <w:noProof/>
              <w:color w:val="000000"/>
              <w:szCs w:val="24"/>
              <w:lang w:val="en-IN" w:eastAsia="en-IN"/>
            </w:rPr>
            <w:t>(Antony, 2018)</w:t>
          </w:r>
          <w:r w:rsidR="00E07D0C">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11881DE4" w14:textId="5D5EA6BF"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An engaging team can commit to continuous improvement which increases the organisational revenue. Having engaging teams Marriott has formed a culture of transparency and integrity</w:t>
      </w:r>
      <w:r w:rsidR="00034773">
        <w:rPr>
          <w:rFonts w:eastAsia="Times New Roman" w:cs="Arial"/>
          <w:color w:val="000000"/>
          <w:szCs w:val="24"/>
          <w:lang w:val="en-IN" w:eastAsia="en-IN"/>
        </w:rPr>
        <w:t xml:space="preserve"> </w:t>
      </w:r>
      <w:sdt>
        <w:sdtPr>
          <w:rPr>
            <w:rFonts w:eastAsia="Times New Roman" w:cs="Arial"/>
            <w:color w:val="000000"/>
            <w:szCs w:val="24"/>
            <w:lang w:val="en-IN" w:eastAsia="en-IN"/>
          </w:rPr>
          <w:id w:val="1970006768"/>
          <w:citation/>
        </w:sdtPr>
        <w:sdtEndPr/>
        <w:sdtContent>
          <w:r w:rsidR="00034773">
            <w:rPr>
              <w:rFonts w:eastAsia="Times New Roman" w:cs="Arial"/>
              <w:color w:val="000000"/>
              <w:szCs w:val="24"/>
              <w:lang w:val="en-IN" w:eastAsia="en-IN"/>
            </w:rPr>
            <w:fldChar w:fldCharType="begin"/>
          </w:r>
          <w:r w:rsidR="00034773">
            <w:rPr>
              <w:rFonts w:eastAsia="Times New Roman" w:cs="Arial"/>
              <w:color w:val="000000"/>
              <w:szCs w:val="24"/>
              <w:lang w:val="en-IN" w:eastAsia="en-IN"/>
            </w:rPr>
            <w:instrText xml:space="preserve"> CITATION Sim18 \l 16393 </w:instrText>
          </w:r>
          <w:r w:rsidR="00034773">
            <w:rPr>
              <w:rFonts w:eastAsia="Times New Roman" w:cs="Arial"/>
              <w:color w:val="000000"/>
              <w:szCs w:val="24"/>
              <w:lang w:val="en-IN" w:eastAsia="en-IN"/>
            </w:rPr>
            <w:fldChar w:fldCharType="separate"/>
          </w:r>
          <w:r w:rsidR="00034773" w:rsidRPr="00034773">
            <w:rPr>
              <w:rFonts w:eastAsia="Times New Roman" w:cs="Arial"/>
              <w:noProof/>
              <w:color w:val="000000"/>
              <w:szCs w:val="24"/>
              <w:lang w:val="en-IN" w:eastAsia="en-IN"/>
            </w:rPr>
            <w:t>(Simatupang &amp; Saroyeni, 2018)</w:t>
          </w:r>
          <w:r w:rsidR="00034773">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xml:space="preserve">. This culture values </w:t>
      </w:r>
      <w:r w:rsidR="000D0598" w:rsidRPr="003C0942">
        <w:rPr>
          <w:rFonts w:eastAsia="Times New Roman" w:cs="Arial"/>
          <w:color w:val="000000"/>
          <w:szCs w:val="24"/>
          <w:lang w:val="en-IN" w:eastAsia="en-IN"/>
        </w:rPr>
        <w:t>Marriott</w:t>
      </w:r>
      <w:r w:rsidRPr="003C0942">
        <w:rPr>
          <w:rFonts w:eastAsia="Times New Roman" w:cs="Arial"/>
          <w:color w:val="000000"/>
          <w:szCs w:val="24"/>
          <w:lang w:val="en-IN" w:eastAsia="en-IN"/>
        </w:rPr>
        <w:t xml:space="preserve"> staff members and 70% of them are proud of being part of the organisation. Engagement of the employees helps the organisation to increase its productivity by 11% and reduce guest problems and turnover by 16% and 28% respectively. Marriott’s team engagement process helps to achieve a higher level of innovation. The organisation </w:t>
      </w:r>
      <w:proofErr w:type="gramStart"/>
      <w:r w:rsidRPr="003C0942">
        <w:rPr>
          <w:rFonts w:eastAsia="Times New Roman" w:cs="Arial"/>
          <w:color w:val="000000"/>
          <w:szCs w:val="24"/>
          <w:lang w:val="en-IN" w:eastAsia="en-IN"/>
        </w:rPr>
        <w:t>is able to</w:t>
      </w:r>
      <w:proofErr w:type="gramEnd"/>
      <w:r w:rsidRPr="003C0942">
        <w:rPr>
          <w:rFonts w:eastAsia="Times New Roman" w:cs="Arial"/>
          <w:color w:val="000000"/>
          <w:szCs w:val="24"/>
          <w:lang w:val="en-IN" w:eastAsia="en-IN"/>
        </w:rPr>
        <w:t xml:space="preserve"> build a loyal employee base. Hence, it can better focus on enhanced customer service. Employees feel empowered and get opinions from other experienced team members about their future direction</w:t>
      </w:r>
      <w:r w:rsidR="0099097B">
        <w:rPr>
          <w:rFonts w:eastAsia="Times New Roman" w:cs="Arial"/>
          <w:color w:val="000000"/>
          <w:szCs w:val="24"/>
          <w:lang w:val="en-IN" w:eastAsia="en-IN"/>
        </w:rPr>
        <w:t xml:space="preserve"> </w:t>
      </w:r>
      <w:sdt>
        <w:sdtPr>
          <w:rPr>
            <w:rFonts w:eastAsia="Times New Roman" w:cs="Arial"/>
            <w:color w:val="000000"/>
            <w:szCs w:val="24"/>
            <w:lang w:val="en-IN" w:eastAsia="en-IN"/>
          </w:rPr>
          <w:id w:val="447278872"/>
          <w:citation/>
        </w:sdtPr>
        <w:sdtEndPr/>
        <w:sdtContent>
          <w:r w:rsidR="0099097B">
            <w:rPr>
              <w:rFonts w:eastAsia="Times New Roman" w:cs="Arial"/>
              <w:color w:val="000000"/>
              <w:szCs w:val="24"/>
              <w:lang w:val="en-IN" w:eastAsia="en-IN"/>
            </w:rPr>
            <w:fldChar w:fldCharType="begin"/>
          </w:r>
          <w:r w:rsidR="0099097B">
            <w:rPr>
              <w:rFonts w:eastAsia="Times New Roman" w:cs="Arial"/>
              <w:color w:val="000000"/>
              <w:szCs w:val="24"/>
              <w:lang w:val="en-IN" w:eastAsia="en-IN"/>
            </w:rPr>
            <w:instrText xml:space="preserve"> CITATION com20 \l 16393 </w:instrText>
          </w:r>
          <w:r w:rsidR="0099097B">
            <w:rPr>
              <w:rFonts w:eastAsia="Times New Roman" w:cs="Arial"/>
              <w:color w:val="000000"/>
              <w:szCs w:val="24"/>
              <w:lang w:val="en-IN" w:eastAsia="en-IN"/>
            </w:rPr>
            <w:fldChar w:fldCharType="separate"/>
          </w:r>
          <w:r w:rsidR="0099097B" w:rsidRPr="0099097B">
            <w:rPr>
              <w:rFonts w:eastAsia="Times New Roman" w:cs="Arial"/>
              <w:noProof/>
              <w:color w:val="000000"/>
              <w:szCs w:val="24"/>
              <w:lang w:val="en-IN" w:eastAsia="en-IN"/>
            </w:rPr>
            <w:t>(comparably, 2020)</w:t>
          </w:r>
          <w:r w:rsidR="0099097B">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2DEF5C84"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The </w:t>
      </w:r>
      <w:r w:rsidRPr="003C0942">
        <w:rPr>
          <w:rFonts w:eastAsia="Times New Roman" w:cs="Arial"/>
          <w:b/>
          <w:bCs/>
          <w:color w:val="000000"/>
          <w:szCs w:val="24"/>
          <w:lang w:val="en-IN" w:eastAsia="en-IN"/>
        </w:rPr>
        <w:t>employee lifecycle</w:t>
      </w:r>
      <w:r w:rsidRPr="003C0942">
        <w:rPr>
          <w:rFonts w:eastAsia="Times New Roman" w:cs="Arial"/>
          <w:color w:val="000000"/>
          <w:szCs w:val="24"/>
          <w:lang w:val="en-IN" w:eastAsia="en-IN"/>
        </w:rPr>
        <w:t xml:space="preserve"> goes through different stages- attraction, recruitment, onboarding, development, retention and separation. </w:t>
      </w:r>
    </w:p>
    <w:p w14:paraId="52BCFFA1" w14:textId="2444FFB1" w:rsidR="003C0942" w:rsidRPr="003C0942" w:rsidRDefault="003C0942" w:rsidP="003C0942">
      <w:pPr>
        <w:spacing w:after="0"/>
        <w:jc w:val="center"/>
        <w:rPr>
          <w:rFonts w:ascii="Times New Roman" w:eastAsia="Times New Roman" w:hAnsi="Times New Roman" w:cs="Times New Roman"/>
          <w:szCs w:val="24"/>
          <w:lang w:val="en-IN" w:eastAsia="en-IN"/>
        </w:rPr>
      </w:pPr>
      <w:r w:rsidRPr="003C0942">
        <w:rPr>
          <w:rFonts w:eastAsia="Times New Roman" w:cs="Arial"/>
          <w:noProof/>
          <w:color w:val="000000"/>
          <w:szCs w:val="24"/>
          <w:bdr w:val="none" w:sz="0" w:space="0" w:color="auto" w:frame="1"/>
          <w:lang w:val="en-IN" w:eastAsia="en-IN"/>
        </w:rPr>
        <w:lastRenderedPageBreak/>
        <w:drawing>
          <wp:inline distT="0" distB="0" distL="0" distR="0" wp14:anchorId="6865D024" wp14:editId="76F80782">
            <wp:extent cx="5731510" cy="35344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34410"/>
                    </a:xfrm>
                    <a:prstGeom prst="rect">
                      <a:avLst/>
                    </a:prstGeom>
                    <a:noFill/>
                    <a:ln>
                      <a:noFill/>
                    </a:ln>
                  </pic:spPr>
                </pic:pic>
              </a:graphicData>
            </a:graphic>
          </wp:inline>
        </w:drawing>
      </w:r>
    </w:p>
    <w:p w14:paraId="37A7AEDD" w14:textId="77777777" w:rsidR="003C0942" w:rsidRPr="003C0942" w:rsidRDefault="003C0942" w:rsidP="003C0942">
      <w:pPr>
        <w:spacing w:after="0"/>
        <w:jc w:val="center"/>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Source: https://www.techtarget.com/searchhrsoftware/definition/employee-life-cycle</w:t>
      </w:r>
    </w:p>
    <w:p w14:paraId="36EC12ED" w14:textId="3205C536"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Attraction</w:t>
      </w:r>
      <w:r w:rsidRPr="003C0942">
        <w:rPr>
          <w:rFonts w:eastAsia="Times New Roman" w:cs="Arial"/>
          <w:color w:val="000000"/>
          <w:szCs w:val="24"/>
          <w:lang w:val="en-IN" w:eastAsia="en-IN"/>
        </w:rPr>
        <w:t xml:space="preserve"> is the first stage where employees get to know about the job or employers identify potential candidates for the job. Employees get attracted by the employer brand. In the hospitality industry, HR managers tend to instil the right corporate culture</w:t>
      </w:r>
      <w:r w:rsidR="007D022C">
        <w:rPr>
          <w:rFonts w:eastAsia="Times New Roman" w:cs="Arial"/>
          <w:color w:val="000000"/>
          <w:szCs w:val="24"/>
          <w:lang w:val="en-IN" w:eastAsia="en-IN"/>
        </w:rPr>
        <w:t xml:space="preserve"> </w:t>
      </w:r>
      <w:sdt>
        <w:sdtPr>
          <w:rPr>
            <w:rFonts w:eastAsia="Times New Roman" w:cs="Arial"/>
            <w:color w:val="000000"/>
            <w:szCs w:val="24"/>
            <w:lang w:val="en-IN" w:eastAsia="en-IN"/>
          </w:rPr>
          <w:id w:val="1661572601"/>
          <w:citation/>
        </w:sdtPr>
        <w:sdtEndPr/>
        <w:sdtContent>
          <w:r w:rsidR="007D022C">
            <w:rPr>
              <w:rFonts w:eastAsia="Times New Roman" w:cs="Arial"/>
              <w:color w:val="000000"/>
              <w:szCs w:val="24"/>
              <w:lang w:val="en-IN" w:eastAsia="en-IN"/>
            </w:rPr>
            <w:fldChar w:fldCharType="begin"/>
          </w:r>
          <w:r w:rsidR="007D022C">
            <w:rPr>
              <w:rFonts w:eastAsia="Times New Roman" w:cs="Arial"/>
              <w:color w:val="000000"/>
              <w:szCs w:val="24"/>
              <w:lang w:val="en-IN" w:eastAsia="en-IN"/>
            </w:rPr>
            <w:instrText xml:space="preserve"> CITATION Cat19 \l 16393 </w:instrText>
          </w:r>
          <w:r w:rsidR="007D022C">
            <w:rPr>
              <w:rFonts w:eastAsia="Times New Roman" w:cs="Arial"/>
              <w:color w:val="000000"/>
              <w:szCs w:val="24"/>
              <w:lang w:val="en-IN" w:eastAsia="en-IN"/>
            </w:rPr>
            <w:fldChar w:fldCharType="separate"/>
          </w:r>
          <w:r w:rsidR="007D022C" w:rsidRPr="007D022C">
            <w:rPr>
              <w:rFonts w:eastAsia="Times New Roman" w:cs="Arial"/>
              <w:noProof/>
              <w:color w:val="000000"/>
              <w:szCs w:val="24"/>
              <w:lang w:val="en-IN" w:eastAsia="en-IN"/>
            </w:rPr>
            <w:t>(Cattermole, 2019)</w:t>
          </w:r>
          <w:r w:rsidR="007D022C">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Then show the organisation's structure and culture to the outside world so that employees get reasons including job title, job fit and most importantly salary to choose the organisation. Also, employees choose the organisation for its brand value. For instance, the hospitality industry attracts talent by showing its positive workplace culture to the people. The organisations provide a lot of facilities to the staff members like freebies, free food, maternity leave, reset and relaxation, flexible vacation plans etc</w:t>
      </w:r>
      <w:r w:rsidR="00D94831">
        <w:rPr>
          <w:rFonts w:eastAsia="Times New Roman" w:cs="Arial"/>
          <w:color w:val="000000"/>
          <w:szCs w:val="24"/>
          <w:lang w:val="en-IN" w:eastAsia="en-IN"/>
        </w:rPr>
        <w:t xml:space="preserve"> </w:t>
      </w:r>
      <w:sdt>
        <w:sdtPr>
          <w:rPr>
            <w:rFonts w:eastAsia="Times New Roman" w:cs="Arial"/>
            <w:color w:val="000000"/>
            <w:szCs w:val="24"/>
            <w:lang w:val="en-IN" w:eastAsia="en-IN"/>
          </w:rPr>
          <w:id w:val="1491444086"/>
          <w:citation/>
        </w:sdtPr>
        <w:sdtEndPr/>
        <w:sdtContent>
          <w:r w:rsidR="00D94831">
            <w:rPr>
              <w:rFonts w:eastAsia="Times New Roman" w:cs="Arial"/>
              <w:color w:val="000000"/>
              <w:szCs w:val="24"/>
              <w:lang w:val="en-IN" w:eastAsia="en-IN"/>
            </w:rPr>
            <w:fldChar w:fldCharType="begin"/>
          </w:r>
          <w:r w:rsidR="00D94831">
            <w:rPr>
              <w:rFonts w:eastAsia="Times New Roman" w:cs="Arial"/>
              <w:color w:val="000000"/>
              <w:szCs w:val="24"/>
              <w:lang w:val="en-IN" w:eastAsia="en-IN"/>
            </w:rPr>
            <w:instrText xml:space="preserve"> CITATION Koc20 \l 16393 </w:instrText>
          </w:r>
          <w:r w:rsidR="00D94831">
            <w:rPr>
              <w:rFonts w:eastAsia="Times New Roman" w:cs="Arial"/>
              <w:color w:val="000000"/>
              <w:szCs w:val="24"/>
              <w:lang w:val="en-IN" w:eastAsia="en-IN"/>
            </w:rPr>
            <w:fldChar w:fldCharType="separate"/>
          </w:r>
          <w:r w:rsidR="00D94831" w:rsidRPr="00D94831">
            <w:rPr>
              <w:rFonts w:eastAsia="Times New Roman" w:cs="Arial"/>
              <w:noProof/>
              <w:color w:val="000000"/>
              <w:szCs w:val="24"/>
              <w:lang w:val="en-IN" w:eastAsia="en-IN"/>
            </w:rPr>
            <w:t>(Koch, 2020)</w:t>
          </w:r>
          <w:r w:rsidR="00D94831">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199EE23F" w14:textId="3B48DD2A"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Recruitment</w:t>
      </w:r>
      <w:r w:rsidRPr="003C0942">
        <w:rPr>
          <w:rFonts w:eastAsia="Times New Roman" w:cs="Arial"/>
          <w:color w:val="000000"/>
          <w:szCs w:val="24"/>
          <w:lang w:val="en-IN" w:eastAsia="en-IN"/>
        </w:rPr>
        <w:t xml:space="preserve"> is the next stage of the employee lifecycle. In this process, an organisation </w:t>
      </w:r>
      <w:proofErr w:type="gramStart"/>
      <w:r w:rsidRPr="003C0942">
        <w:rPr>
          <w:rFonts w:eastAsia="Times New Roman" w:cs="Arial"/>
          <w:color w:val="000000"/>
          <w:szCs w:val="24"/>
          <w:lang w:val="en-IN" w:eastAsia="en-IN"/>
        </w:rPr>
        <w:t>recruit</w:t>
      </w:r>
      <w:proofErr w:type="gramEnd"/>
      <w:r w:rsidRPr="003C0942">
        <w:rPr>
          <w:rFonts w:eastAsia="Times New Roman" w:cs="Arial"/>
          <w:color w:val="000000"/>
          <w:szCs w:val="24"/>
          <w:lang w:val="en-IN" w:eastAsia="en-IN"/>
        </w:rPr>
        <w:t xml:space="preserve"> suitable candidates using the traditional method or using tools. This process describes how the organisation teat prospective employees during their overall employee journey. In the hospitality industry attaining great talent is quite difficult since the competition is intense. </w:t>
      </w:r>
      <w:proofErr w:type="gramStart"/>
      <w:r w:rsidRPr="003C0942">
        <w:rPr>
          <w:rFonts w:eastAsia="Times New Roman" w:cs="Arial"/>
          <w:color w:val="000000"/>
          <w:szCs w:val="24"/>
          <w:lang w:val="en-IN" w:eastAsia="en-IN"/>
        </w:rPr>
        <w:t>So</w:t>
      </w:r>
      <w:proofErr w:type="gramEnd"/>
      <w:r w:rsidRPr="003C0942">
        <w:rPr>
          <w:rFonts w:eastAsia="Times New Roman" w:cs="Arial"/>
          <w:color w:val="000000"/>
          <w:szCs w:val="24"/>
          <w:lang w:val="en-IN" w:eastAsia="en-IN"/>
        </w:rPr>
        <w:t xml:space="preserve"> an organisation needs to search for talented candidates from wider talent pools. It is necessary for the organisation to value its internal talent pool as well. For instance, the hospitality industry uses talent acquisition software to recruit employees. The HR </w:t>
      </w:r>
      <w:proofErr w:type="gramStart"/>
      <w:r w:rsidRPr="003C0942">
        <w:rPr>
          <w:rFonts w:eastAsia="Times New Roman" w:cs="Arial"/>
          <w:color w:val="000000"/>
          <w:szCs w:val="24"/>
          <w:lang w:val="en-IN" w:eastAsia="en-IN"/>
        </w:rPr>
        <w:t>is able to</w:t>
      </w:r>
      <w:proofErr w:type="gramEnd"/>
      <w:r w:rsidRPr="003C0942">
        <w:rPr>
          <w:rFonts w:eastAsia="Times New Roman" w:cs="Arial"/>
          <w:color w:val="000000"/>
          <w:szCs w:val="24"/>
          <w:lang w:val="en-IN" w:eastAsia="en-IN"/>
        </w:rPr>
        <w:t xml:space="preserve"> track candidates, pre-</w:t>
      </w:r>
      <w:r w:rsidRPr="003C0942">
        <w:rPr>
          <w:rFonts w:eastAsia="Times New Roman" w:cs="Arial"/>
          <w:color w:val="000000"/>
          <w:szCs w:val="24"/>
          <w:lang w:val="en-IN" w:eastAsia="en-IN"/>
        </w:rPr>
        <w:lastRenderedPageBreak/>
        <w:t>employment screening and schedule interviews using the applicant tracking system</w:t>
      </w:r>
      <w:r w:rsidR="00EC57E3">
        <w:rPr>
          <w:rFonts w:eastAsia="Times New Roman" w:cs="Arial"/>
          <w:color w:val="000000"/>
          <w:szCs w:val="24"/>
          <w:lang w:val="en-IN" w:eastAsia="en-IN"/>
        </w:rPr>
        <w:t xml:space="preserve"> </w:t>
      </w:r>
      <w:sdt>
        <w:sdtPr>
          <w:rPr>
            <w:rFonts w:eastAsia="Times New Roman" w:cs="Arial"/>
            <w:color w:val="000000"/>
            <w:szCs w:val="24"/>
            <w:lang w:val="en-IN" w:eastAsia="en-IN"/>
          </w:rPr>
          <w:id w:val="-1985693014"/>
          <w:citation/>
        </w:sdtPr>
        <w:sdtEndPr/>
        <w:sdtContent>
          <w:r w:rsidR="00EC57E3">
            <w:rPr>
              <w:rFonts w:eastAsia="Times New Roman" w:cs="Arial"/>
              <w:color w:val="000000"/>
              <w:szCs w:val="24"/>
              <w:lang w:val="en-IN" w:eastAsia="en-IN"/>
            </w:rPr>
            <w:fldChar w:fldCharType="begin"/>
          </w:r>
          <w:r w:rsidR="00EC57E3">
            <w:rPr>
              <w:rFonts w:eastAsia="Times New Roman" w:cs="Arial"/>
              <w:color w:val="000000"/>
              <w:szCs w:val="24"/>
              <w:lang w:val="en-IN" w:eastAsia="en-IN"/>
            </w:rPr>
            <w:instrText xml:space="preserve"> CITATION Pei19 \l 16393 </w:instrText>
          </w:r>
          <w:r w:rsidR="00EC57E3">
            <w:rPr>
              <w:rFonts w:eastAsia="Times New Roman" w:cs="Arial"/>
              <w:color w:val="000000"/>
              <w:szCs w:val="24"/>
              <w:lang w:val="en-IN" w:eastAsia="en-IN"/>
            </w:rPr>
            <w:fldChar w:fldCharType="separate"/>
          </w:r>
          <w:r w:rsidR="00EC57E3" w:rsidRPr="00EC57E3">
            <w:rPr>
              <w:rFonts w:eastAsia="Times New Roman" w:cs="Arial"/>
              <w:noProof/>
              <w:color w:val="000000"/>
              <w:szCs w:val="24"/>
              <w:lang w:val="en-IN" w:eastAsia="en-IN"/>
            </w:rPr>
            <w:t>(Peisl &amp; Shah, 2019)</w:t>
          </w:r>
          <w:r w:rsidR="00EC57E3">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7F5A3DAF" w14:textId="68C6EDFB"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Onboarding </w:t>
      </w:r>
      <w:r w:rsidRPr="003C0942">
        <w:rPr>
          <w:rFonts w:eastAsia="Times New Roman" w:cs="Arial"/>
          <w:color w:val="000000"/>
          <w:szCs w:val="24"/>
          <w:lang w:val="en-IN" w:eastAsia="en-IN"/>
        </w:rPr>
        <w:t>is the next stage of the employee lifecycle. In this stage, newly recruited employees blend themselves with the organisational culture and work process to become a part of the team. Organisations provide tools and information to work effectively and explain the working process of the organisation. The onboarding of the hospitality industry goes through a long process where the HR explains the organisation’s policies, roles and responsibilities and the employees undergo training</w:t>
      </w:r>
      <w:r w:rsidR="00B953C1">
        <w:rPr>
          <w:rFonts w:eastAsia="Times New Roman" w:cs="Arial"/>
          <w:color w:val="000000"/>
          <w:szCs w:val="24"/>
          <w:lang w:val="en-IN" w:eastAsia="en-IN"/>
        </w:rPr>
        <w:t xml:space="preserve"> </w:t>
      </w:r>
      <w:sdt>
        <w:sdtPr>
          <w:rPr>
            <w:rFonts w:eastAsia="Times New Roman" w:cs="Arial"/>
            <w:color w:val="000000"/>
            <w:szCs w:val="24"/>
            <w:lang w:val="en-IN" w:eastAsia="en-IN"/>
          </w:rPr>
          <w:id w:val="-418795485"/>
          <w:citation/>
        </w:sdtPr>
        <w:sdtEndPr/>
        <w:sdtContent>
          <w:r w:rsidR="00B953C1">
            <w:rPr>
              <w:rFonts w:eastAsia="Times New Roman" w:cs="Arial"/>
              <w:color w:val="000000"/>
              <w:szCs w:val="24"/>
              <w:lang w:val="en-IN" w:eastAsia="en-IN"/>
            </w:rPr>
            <w:fldChar w:fldCharType="begin"/>
          </w:r>
          <w:r w:rsidR="00B953C1">
            <w:rPr>
              <w:rFonts w:eastAsia="Times New Roman" w:cs="Arial"/>
              <w:color w:val="000000"/>
              <w:szCs w:val="24"/>
              <w:lang w:val="en-IN" w:eastAsia="en-IN"/>
            </w:rPr>
            <w:instrText xml:space="preserve"> CITATION Hal18 \l 16393 </w:instrText>
          </w:r>
          <w:r w:rsidR="00B953C1">
            <w:rPr>
              <w:rFonts w:eastAsia="Times New Roman" w:cs="Arial"/>
              <w:color w:val="000000"/>
              <w:szCs w:val="24"/>
              <w:lang w:val="en-IN" w:eastAsia="en-IN"/>
            </w:rPr>
            <w:fldChar w:fldCharType="separate"/>
          </w:r>
          <w:r w:rsidR="00B953C1" w:rsidRPr="00B953C1">
            <w:rPr>
              <w:rFonts w:eastAsia="Times New Roman" w:cs="Arial"/>
              <w:noProof/>
              <w:color w:val="000000"/>
              <w:szCs w:val="24"/>
              <w:lang w:val="en-IN" w:eastAsia="en-IN"/>
            </w:rPr>
            <w:t>(Hall-Jones, et al., 2018)</w:t>
          </w:r>
          <w:r w:rsidR="00B953C1">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43FD689F" w14:textId="3F4AA82A"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The next stage is </w:t>
      </w:r>
      <w:r w:rsidRPr="003C0942">
        <w:rPr>
          <w:rFonts w:eastAsia="Times New Roman" w:cs="Arial"/>
          <w:b/>
          <w:bCs/>
          <w:color w:val="000000"/>
          <w:szCs w:val="24"/>
          <w:lang w:val="en-IN" w:eastAsia="en-IN"/>
        </w:rPr>
        <w:t>development</w:t>
      </w:r>
      <w:r w:rsidRPr="003C0942">
        <w:rPr>
          <w:rFonts w:eastAsia="Times New Roman" w:cs="Arial"/>
          <w:color w:val="000000"/>
          <w:szCs w:val="24"/>
          <w:lang w:val="en-IN" w:eastAsia="en-IN"/>
        </w:rPr>
        <w:t>. Once newly recruited employees get settled into the job the HR focuses on how a strategic professional development process helps those employees to put their best effort into the work. In the hospitality industry, a buddy system is used where the experienced staff share their knowledge and help the new candidates to learn and adopt the organisational culture. A regular feedback system is used in the industry where the employees gain insight into work and get motivated to perform to achieve goals. For example, Marriott uses frequent feedback to boost employee engagement</w:t>
      </w:r>
      <w:r w:rsidR="00B609D7">
        <w:rPr>
          <w:rFonts w:eastAsia="Times New Roman" w:cs="Arial"/>
          <w:color w:val="000000"/>
          <w:szCs w:val="24"/>
          <w:lang w:val="en-IN" w:eastAsia="en-IN"/>
        </w:rPr>
        <w:t xml:space="preserve"> </w:t>
      </w:r>
      <w:sdt>
        <w:sdtPr>
          <w:rPr>
            <w:rFonts w:eastAsia="Times New Roman" w:cs="Arial"/>
            <w:color w:val="000000"/>
            <w:szCs w:val="24"/>
            <w:lang w:val="en-IN" w:eastAsia="en-IN"/>
          </w:rPr>
          <w:id w:val="-1569950539"/>
          <w:citation/>
        </w:sdtPr>
        <w:sdtEndPr/>
        <w:sdtContent>
          <w:r w:rsidR="00B609D7">
            <w:rPr>
              <w:rFonts w:eastAsia="Times New Roman" w:cs="Arial"/>
              <w:color w:val="000000"/>
              <w:szCs w:val="24"/>
              <w:lang w:val="en-IN" w:eastAsia="en-IN"/>
            </w:rPr>
            <w:fldChar w:fldCharType="begin"/>
          </w:r>
          <w:r w:rsidR="00B609D7">
            <w:rPr>
              <w:rFonts w:eastAsia="Times New Roman" w:cs="Arial"/>
              <w:color w:val="000000"/>
              <w:szCs w:val="24"/>
              <w:lang w:val="en-IN" w:eastAsia="en-IN"/>
            </w:rPr>
            <w:instrText xml:space="preserve"> CITATION Sat202 \l 16393 </w:instrText>
          </w:r>
          <w:r w:rsidR="00B609D7">
            <w:rPr>
              <w:rFonts w:eastAsia="Times New Roman" w:cs="Arial"/>
              <w:color w:val="000000"/>
              <w:szCs w:val="24"/>
              <w:lang w:val="en-IN" w:eastAsia="en-IN"/>
            </w:rPr>
            <w:fldChar w:fldCharType="separate"/>
          </w:r>
          <w:r w:rsidR="00B609D7" w:rsidRPr="00B609D7">
            <w:rPr>
              <w:rFonts w:eastAsia="Times New Roman" w:cs="Arial"/>
              <w:noProof/>
              <w:color w:val="000000"/>
              <w:szCs w:val="24"/>
              <w:lang w:val="en-IN" w:eastAsia="en-IN"/>
            </w:rPr>
            <w:t>(Sato, et al., 2020)</w:t>
          </w:r>
          <w:r w:rsidR="00B609D7">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6BA373F3" w14:textId="52688A98"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The</w:t>
      </w:r>
      <w:r w:rsidRPr="003C0942">
        <w:rPr>
          <w:rFonts w:eastAsia="Times New Roman" w:cs="Arial"/>
          <w:b/>
          <w:bCs/>
          <w:color w:val="000000"/>
          <w:szCs w:val="24"/>
          <w:lang w:val="en-IN" w:eastAsia="en-IN"/>
        </w:rPr>
        <w:t xml:space="preserve"> retention </w:t>
      </w:r>
      <w:r w:rsidRPr="003C0942">
        <w:rPr>
          <w:rFonts w:eastAsia="Times New Roman" w:cs="Arial"/>
          <w:color w:val="000000"/>
          <w:szCs w:val="24"/>
          <w:lang w:val="en-IN" w:eastAsia="en-IN"/>
        </w:rPr>
        <w:t xml:space="preserve">stage defines employees are retained in the organisation who are relevant and top performers for the organisation. Employee retention is a problem in the hospitality industry because the staff </w:t>
      </w:r>
      <w:proofErr w:type="gramStart"/>
      <w:r w:rsidRPr="003C0942">
        <w:rPr>
          <w:rFonts w:eastAsia="Times New Roman" w:cs="Arial"/>
          <w:color w:val="000000"/>
          <w:szCs w:val="24"/>
          <w:lang w:val="en-IN" w:eastAsia="en-IN"/>
        </w:rPr>
        <w:t>has to</w:t>
      </w:r>
      <w:proofErr w:type="gramEnd"/>
      <w:r w:rsidRPr="003C0942">
        <w:rPr>
          <w:rFonts w:eastAsia="Times New Roman" w:cs="Arial"/>
          <w:color w:val="000000"/>
          <w:szCs w:val="24"/>
          <w:lang w:val="en-IN" w:eastAsia="en-IN"/>
        </w:rPr>
        <w:t xml:space="preserve"> spend 12 months which results in high attrition rates. In order to overcome this challenge HR </w:t>
      </w:r>
      <w:proofErr w:type="gramStart"/>
      <w:r w:rsidRPr="003C0942">
        <w:rPr>
          <w:rFonts w:eastAsia="Times New Roman" w:cs="Arial"/>
          <w:color w:val="000000"/>
          <w:szCs w:val="24"/>
          <w:lang w:val="en-IN" w:eastAsia="en-IN"/>
        </w:rPr>
        <w:t>professionals</w:t>
      </w:r>
      <w:proofErr w:type="gramEnd"/>
      <w:r w:rsidRPr="003C0942">
        <w:rPr>
          <w:rFonts w:eastAsia="Times New Roman" w:cs="Arial"/>
          <w:color w:val="000000"/>
          <w:szCs w:val="24"/>
          <w:lang w:val="en-IN" w:eastAsia="en-IN"/>
        </w:rPr>
        <w:t xml:space="preserve"> use the talent management process to monitor employee performance and their continuous learning process. They also conduct recognition and continuous training programmes to sustain employee engagement and retain employees</w:t>
      </w:r>
      <w:r w:rsidR="004F18B4">
        <w:rPr>
          <w:rFonts w:eastAsia="Times New Roman" w:cs="Arial"/>
          <w:color w:val="000000"/>
          <w:szCs w:val="24"/>
          <w:lang w:val="en-IN" w:eastAsia="en-IN"/>
        </w:rPr>
        <w:t xml:space="preserve"> </w:t>
      </w:r>
      <w:sdt>
        <w:sdtPr>
          <w:rPr>
            <w:rFonts w:eastAsia="Times New Roman" w:cs="Arial"/>
            <w:color w:val="000000"/>
            <w:szCs w:val="24"/>
            <w:lang w:val="en-IN" w:eastAsia="en-IN"/>
          </w:rPr>
          <w:id w:val="1157654118"/>
          <w:citation/>
        </w:sdtPr>
        <w:sdtEndPr/>
        <w:sdtContent>
          <w:r w:rsidR="004F18B4">
            <w:rPr>
              <w:rFonts w:eastAsia="Times New Roman" w:cs="Arial"/>
              <w:color w:val="000000"/>
              <w:szCs w:val="24"/>
              <w:lang w:val="en-IN" w:eastAsia="en-IN"/>
            </w:rPr>
            <w:fldChar w:fldCharType="begin"/>
          </w:r>
          <w:r w:rsidR="004F18B4">
            <w:rPr>
              <w:rFonts w:eastAsia="Times New Roman" w:cs="Arial"/>
              <w:color w:val="000000"/>
              <w:szCs w:val="24"/>
              <w:lang w:val="en-IN" w:eastAsia="en-IN"/>
            </w:rPr>
            <w:instrText xml:space="preserve"> CITATION Sin19 \l 16393 </w:instrText>
          </w:r>
          <w:r w:rsidR="004F18B4">
            <w:rPr>
              <w:rFonts w:eastAsia="Times New Roman" w:cs="Arial"/>
              <w:color w:val="000000"/>
              <w:szCs w:val="24"/>
              <w:lang w:val="en-IN" w:eastAsia="en-IN"/>
            </w:rPr>
            <w:fldChar w:fldCharType="separate"/>
          </w:r>
          <w:r w:rsidR="004F18B4" w:rsidRPr="004F18B4">
            <w:rPr>
              <w:rFonts w:eastAsia="Times New Roman" w:cs="Arial"/>
              <w:noProof/>
              <w:color w:val="000000"/>
              <w:szCs w:val="24"/>
              <w:lang w:val="en-IN" w:eastAsia="en-IN"/>
            </w:rPr>
            <w:t>(Singh, 2019)</w:t>
          </w:r>
          <w:r w:rsidR="004F18B4">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w:t>
      </w:r>
    </w:p>
    <w:p w14:paraId="78A42976" w14:textId="141A4510"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Separation </w:t>
      </w:r>
      <w:r w:rsidRPr="003C0942">
        <w:rPr>
          <w:rFonts w:eastAsia="Times New Roman" w:cs="Arial"/>
          <w:color w:val="000000"/>
          <w:szCs w:val="24"/>
          <w:lang w:val="en-IN" w:eastAsia="en-IN"/>
        </w:rPr>
        <w:t xml:space="preserve">is the last stage in the employee lifecycle. In this stage, an employee leaves the organisation for different reasons such as retirement, layoffs, a new job, termination for violating or not performing up to the mark and personal reasons. In the hospitality industry attrition is already quite high so HR professionals generally avoid separation due to a lack of </w:t>
      </w:r>
      <w:proofErr w:type="gramStart"/>
      <w:r w:rsidRPr="003C0942">
        <w:rPr>
          <w:rFonts w:eastAsia="Times New Roman" w:cs="Arial"/>
          <w:color w:val="000000"/>
          <w:szCs w:val="24"/>
          <w:lang w:val="en-IN" w:eastAsia="en-IN"/>
        </w:rPr>
        <w:t>staff</w:t>
      </w:r>
      <w:proofErr w:type="gramEnd"/>
      <w:r w:rsidRPr="003C0942">
        <w:rPr>
          <w:rFonts w:eastAsia="Times New Roman" w:cs="Arial"/>
          <w:color w:val="000000"/>
          <w:szCs w:val="24"/>
          <w:lang w:val="en-IN" w:eastAsia="en-IN"/>
        </w:rPr>
        <w:t xml:space="preserve"> but they try to follow a proper procedure and documentation in the separation process and provide valuable opinions as well</w:t>
      </w:r>
      <w:r w:rsidR="003B66A2">
        <w:rPr>
          <w:rFonts w:eastAsia="Times New Roman" w:cs="Arial"/>
          <w:color w:val="000000"/>
          <w:szCs w:val="24"/>
          <w:lang w:val="en-IN" w:eastAsia="en-IN"/>
        </w:rPr>
        <w:t xml:space="preserve"> </w:t>
      </w:r>
      <w:sdt>
        <w:sdtPr>
          <w:rPr>
            <w:rFonts w:eastAsia="Times New Roman" w:cs="Arial"/>
            <w:color w:val="000000"/>
            <w:szCs w:val="24"/>
            <w:lang w:val="en-IN" w:eastAsia="en-IN"/>
          </w:rPr>
          <w:id w:val="-532115196"/>
          <w:citation/>
        </w:sdtPr>
        <w:sdtEndPr/>
        <w:sdtContent>
          <w:r w:rsidR="003B66A2">
            <w:rPr>
              <w:rFonts w:eastAsia="Times New Roman" w:cs="Arial"/>
              <w:color w:val="000000"/>
              <w:szCs w:val="24"/>
              <w:lang w:val="en-IN" w:eastAsia="en-IN"/>
            </w:rPr>
            <w:fldChar w:fldCharType="begin"/>
          </w:r>
          <w:r w:rsidR="003B66A2">
            <w:rPr>
              <w:rFonts w:eastAsia="Times New Roman" w:cs="Arial"/>
              <w:color w:val="000000"/>
              <w:szCs w:val="24"/>
              <w:lang w:val="en-IN" w:eastAsia="en-IN"/>
            </w:rPr>
            <w:instrText xml:space="preserve"> CITATION Mar203 \l 16393 </w:instrText>
          </w:r>
          <w:r w:rsidR="003B66A2">
            <w:rPr>
              <w:rFonts w:eastAsia="Times New Roman" w:cs="Arial"/>
              <w:color w:val="000000"/>
              <w:szCs w:val="24"/>
              <w:lang w:val="en-IN" w:eastAsia="en-IN"/>
            </w:rPr>
            <w:fldChar w:fldCharType="separate"/>
          </w:r>
          <w:r w:rsidR="003B66A2" w:rsidRPr="003B66A2">
            <w:rPr>
              <w:rFonts w:eastAsia="Times New Roman" w:cs="Arial"/>
              <w:noProof/>
              <w:color w:val="000000"/>
              <w:szCs w:val="24"/>
              <w:lang w:val="en-IN" w:eastAsia="en-IN"/>
            </w:rPr>
            <w:t>(Mardanov, 2020)</w:t>
          </w:r>
          <w:r w:rsidR="003B66A2">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w:t>
      </w:r>
    </w:p>
    <w:p w14:paraId="4CD77B31" w14:textId="2D2AEF83"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As a team leader or HR professional, it is very important to ensure the </w:t>
      </w:r>
      <w:r w:rsidRPr="003C0942">
        <w:rPr>
          <w:rFonts w:eastAsia="Times New Roman" w:cs="Arial"/>
          <w:b/>
          <w:bCs/>
          <w:color w:val="000000"/>
          <w:szCs w:val="24"/>
          <w:lang w:val="en-IN" w:eastAsia="en-IN"/>
        </w:rPr>
        <w:t>engagement of the team</w:t>
      </w:r>
      <w:r w:rsidRPr="003C0942">
        <w:rPr>
          <w:rFonts w:eastAsia="Times New Roman" w:cs="Arial"/>
          <w:color w:val="000000"/>
          <w:szCs w:val="24"/>
          <w:lang w:val="en-IN" w:eastAsia="en-IN"/>
        </w:rPr>
        <w:t xml:space="preserve"> in the work at the highest level at any point in time. A leader should always communicate with the team members to understand their point-of-views regarding the </w:t>
      </w:r>
      <w:r w:rsidRPr="003C0942">
        <w:rPr>
          <w:rFonts w:eastAsia="Times New Roman" w:cs="Arial"/>
          <w:color w:val="000000"/>
          <w:szCs w:val="24"/>
          <w:lang w:val="en-IN" w:eastAsia="en-IN"/>
        </w:rPr>
        <w:lastRenderedPageBreak/>
        <w:t xml:space="preserve">work culture, decision-making and problem-solving. Some examples of how </w:t>
      </w:r>
      <w:proofErr w:type="gramStart"/>
      <w:r w:rsidRPr="003C0942">
        <w:rPr>
          <w:rFonts w:eastAsia="Times New Roman" w:cs="Arial"/>
          <w:color w:val="000000"/>
          <w:szCs w:val="24"/>
          <w:lang w:val="en-IN" w:eastAsia="en-IN"/>
        </w:rPr>
        <w:t>could an HR</w:t>
      </w:r>
      <w:proofErr w:type="gramEnd"/>
      <w:r w:rsidRPr="003C0942">
        <w:rPr>
          <w:rFonts w:eastAsia="Times New Roman" w:cs="Arial"/>
          <w:color w:val="000000"/>
          <w:szCs w:val="24"/>
          <w:lang w:val="en-IN" w:eastAsia="en-IN"/>
        </w:rPr>
        <w:t xml:space="preserve"> professional or team leader can engage a team- keeping the team member connected to the organisation, defining organisational objectives and goals, providing valuable feedback clearly, being consistent and recognising and rewarding the best performers. Training and development programmes are necessary to attain team engagement</w:t>
      </w:r>
      <w:r w:rsidR="00A10491">
        <w:rPr>
          <w:rFonts w:eastAsia="Times New Roman" w:cs="Arial"/>
          <w:color w:val="000000"/>
          <w:szCs w:val="24"/>
          <w:lang w:val="en-IN" w:eastAsia="en-IN"/>
        </w:rPr>
        <w:t xml:space="preserve"> </w:t>
      </w:r>
      <w:sdt>
        <w:sdtPr>
          <w:rPr>
            <w:rFonts w:eastAsia="Times New Roman" w:cs="Arial"/>
            <w:color w:val="000000"/>
            <w:szCs w:val="24"/>
            <w:lang w:val="en-IN" w:eastAsia="en-IN"/>
          </w:rPr>
          <w:id w:val="418610250"/>
          <w:citation/>
        </w:sdtPr>
        <w:sdtEndPr/>
        <w:sdtContent>
          <w:r w:rsidR="00A10491">
            <w:rPr>
              <w:rFonts w:eastAsia="Times New Roman" w:cs="Arial"/>
              <w:color w:val="000000"/>
              <w:szCs w:val="24"/>
              <w:lang w:val="en-IN" w:eastAsia="en-IN"/>
            </w:rPr>
            <w:fldChar w:fldCharType="begin"/>
          </w:r>
          <w:r w:rsidR="00A10491">
            <w:rPr>
              <w:rFonts w:eastAsia="Times New Roman" w:cs="Arial"/>
              <w:color w:val="000000"/>
              <w:szCs w:val="24"/>
              <w:lang w:val="en-IN" w:eastAsia="en-IN"/>
            </w:rPr>
            <w:instrText xml:space="preserve"> CITATION Zap21 \l 16393 </w:instrText>
          </w:r>
          <w:r w:rsidR="00A10491">
            <w:rPr>
              <w:rFonts w:eastAsia="Times New Roman" w:cs="Arial"/>
              <w:color w:val="000000"/>
              <w:szCs w:val="24"/>
              <w:lang w:val="en-IN" w:eastAsia="en-IN"/>
            </w:rPr>
            <w:fldChar w:fldCharType="separate"/>
          </w:r>
          <w:r w:rsidR="00A10491" w:rsidRPr="00A10491">
            <w:rPr>
              <w:rFonts w:eastAsia="Times New Roman" w:cs="Arial"/>
              <w:noProof/>
              <w:color w:val="000000"/>
              <w:szCs w:val="24"/>
              <w:lang w:val="en-IN" w:eastAsia="en-IN"/>
            </w:rPr>
            <w:t>(Zappalą &amp; Mattera, 2021)</w:t>
          </w:r>
          <w:r w:rsidR="00A10491">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019DF33A" w14:textId="778C5308"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There are different </w:t>
      </w:r>
      <w:r w:rsidRPr="003C0942">
        <w:rPr>
          <w:rFonts w:eastAsia="Times New Roman" w:cs="Arial"/>
          <w:b/>
          <w:bCs/>
          <w:color w:val="000000"/>
          <w:szCs w:val="24"/>
          <w:lang w:val="en-IN" w:eastAsia="en-IN"/>
        </w:rPr>
        <w:t>employee engagement models</w:t>
      </w:r>
      <w:r w:rsidRPr="003C0942">
        <w:rPr>
          <w:rFonts w:eastAsia="Times New Roman" w:cs="Arial"/>
          <w:color w:val="000000"/>
          <w:szCs w:val="24"/>
          <w:lang w:val="en-IN" w:eastAsia="en-IN"/>
        </w:rPr>
        <w:t xml:space="preserve"> are present in the industry. The </w:t>
      </w:r>
      <w:r w:rsidRPr="003C0942">
        <w:rPr>
          <w:rFonts w:eastAsia="Times New Roman" w:cs="Arial"/>
          <w:b/>
          <w:bCs/>
          <w:color w:val="000000"/>
          <w:szCs w:val="24"/>
          <w:lang w:val="en-IN" w:eastAsia="en-IN"/>
        </w:rPr>
        <w:t>Zinger Model</w:t>
      </w:r>
      <w:r w:rsidRPr="003C0942">
        <w:rPr>
          <w:rFonts w:eastAsia="Times New Roman" w:cs="Arial"/>
          <w:color w:val="000000"/>
          <w:szCs w:val="24"/>
          <w:lang w:val="en-IN" w:eastAsia="en-IN"/>
        </w:rPr>
        <w:t xml:space="preserve"> is an employee engagement model that managers of the hospitality industry use to engage their employees. This model follows a pyramid structure that the importance of employee engagement. The HR professionals in the hospitality industry need to follow some key steps to implement the employee engagement mode</w:t>
      </w:r>
      <w:r w:rsidR="00B436BF">
        <w:rPr>
          <w:rFonts w:eastAsia="Times New Roman" w:cs="Arial"/>
          <w:color w:val="000000"/>
          <w:szCs w:val="24"/>
          <w:lang w:val="en-IN" w:eastAsia="en-IN"/>
        </w:rPr>
        <w:t xml:space="preserve"> </w:t>
      </w:r>
      <w:sdt>
        <w:sdtPr>
          <w:rPr>
            <w:rFonts w:eastAsia="Times New Roman" w:cs="Arial"/>
            <w:color w:val="000000"/>
            <w:szCs w:val="24"/>
            <w:lang w:val="en-IN" w:eastAsia="en-IN"/>
          </w:rPr>
          <w:id w:val="-333001508"/>
          <w:citation/>
        </w:sdtPr>
        <w:sdtEndPr/>
        <w:sdtContent>
          <w:r w:rsidR="00B436BF">
            <w:rPr>
              <w:rFonts w:eastAsia="Times New Roman" w:cs="Arial"/>
              <w:color w:val="000000"/>
              <w:szCs w:val="24"/>
              <w:lang w:val="en-IN" w:eastAsia="en-IN"/>
            </w:rPr>
            <w:fldChar w:fldCharType="begin"/>
          </w:r>
          <w:r w:rsidR="00B436BF">
            <w:rPr>
              <w:rFonts w:eastAsia="Times New Roman" w:cs="Arial"/>
              <w:color w:val="000000"/>
              <w:szCs w:val="24"/>
              <w:lang w:val="en-IN" w:eastAsia="en-IN"/>
            </w:rPr>
            <w:instrText xml:space="preserve"> CITATION dav21 \l 16393 </w:instrText>
          </w:r>
          <w:r w:rsidR="00B436BF">
            <w:rPr>
              <w:rFonts w:eastAsia="Times New Roman" w:cs="Arial"/>
              <w:color w:val="000000"/>
              <w:szCs w:val="24"/>
              <w:lang w:val="en-IN" w:eastAsia="en-IN"/>
            </w:rPr>
            <w:fldChar w:fldCharType="separate"/>
          </w:r>
          <w:r w:rsidR="00B436BF" w:rsidRPr="00B436BF">
            <w:rPr>
              <w:rFonts w:eastAsia="Times New Roman" w:cs="Arial"/>
              <w:noProof/>
              <w:color w:val="000000"/>
              <w:szCs w:val="24"/>
              <w:lang w:val="en-IN" w:eastAsia="en-IN"/>
            </w:rPr>
            <w:t>(davidzinger, 2021)</w:t>
          </w:r>
          <w:r w:rsidR="00B436BF">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l. </w:t>
      </w:r>
    </w:p>
    <w:p w14:paraId="2388A52E" w14:textId="20F04D61" w:rsidR="003C0942" w:rsidRPr="003C0942" w:rsidRDefault="003C0942" w:rsidP="003C0942">
      <w:pPr>
        <w:spacing w:after="0"/>
        <w:jc w:val="center"/>
        <w:rPr>
          <w:rFonts w:ascii="Times New Roman" w:eastAsia="Times New Roman" w:hAnsi="Times New Roman" w:cs="Times New Roman"/>
          <w:szCs w:val="24"/>
          <w:lang w:val="en-IN" w:eastAsia="en-IN"/>
        </w:rPr>
      </w:pPr>
      <w:r w:rsidRPr="003C0942">
        <w:rPr>
          <w:rFonts w:eastAsia="Times New Roman" w:cs="Arial"/>
          <w:noProof/>
          <w:color w:val="000000"/>
          <w:szCs w:val="24"/>
          <w:bdr w:val="none" w:sz="0" w:space="0" w:color="auto" w:frame="1"/>
          <w:lang w:val="en-IN" w:eastAsia="en-IN"/>
        </w:rPr>
        <w:drawing>
          <wp:inline distT="0" distB="0" distL="0" distR="0" wp14:anchorId="24EEF38F" wp14:editId="127801F8">
            <wp:extent cx="2674620" cy="1950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4620" cy="1950720"/>
                    </a:xfrm>
                    <a:prstGeom prst="rect">
                      <a:avLst/>
                    </a:prstGeom>
                    <a:noFill/>
                    <a:ln>
                      <a:noFill/>
                    </a:ln>
                  </pic:spPr>
                </pic:pic>
              </a:graphicData>
            </a:graphic>
          </wp:inline>
        </w:drawing>
      </w:r>
    </w:p>
    <w:p w14:paraId="4C359686" w14:textId="77777777" w:rsidR="003C0942" w:rsidRPr="003C0942" w:rsidRDefault="003C0942" w:rsidP="003C0942">
      <w:pPr>
        <w:spacing w:after="0"/>
        <w:jc w:val="center"/>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Source: http://www.davidzinger.com/zinger-model/</w:t>
      </w:r>
    </w:p>
    <w:p w14:paraId="3EDC7C97"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The Zinger employee engagement model has 14 symbols and elements for employee engagement. The elements are-</w:t>
      </w:r>
    </w:p>
    <w:p w14:paraId="2BA49036"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Achieve results- </w:t>
      </w:r>
      <w:r w:rsidRPr="003C0942">
        <w:rPr>
          <w:rFonts w:eastAsia="Times New Roman" w:cs="Arial"/>
          <w:color w:val="000000"/>
          <w:szCs w:val="24"/>
          <w:lang w:val="en-IN" w:eastAsia="en-IN"/>
        </w:rPr>
        <w:t>Towards achieving results employee engagement is directed.</w:t>
      </w:r>
    </w:p>
    <w:p w14:paraId="633D3BE9"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Craft strategy- </w:t>
      </w:r>
      <w:r w:rsidRPr="003C0942">
        <w:rPr>
          <w:rFonts w:eastAsia="Times New Roman" w:cs="Arial"/>
          <w:color w:val="000000"/>
          <w:szCs w:val="24"/>
          <w:lang w:val="en-IN" w:eastAsia="en-IN"/>
        </w:rPr>
        <w:t>This strategy is designed to achieve the planned result by the organisation. </w:t>
      </w:r>
    </w:p>
    <w:p w14:paraId="3F3040BF"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Connect- </w:t>
      </w:r>
      <w:r w:rsidRPr="003C0942">
        <w:rPr>
          <w:rFonts w:eastAsia="Times New Roman" w:cs="Arial"/>
          <w:color w:val="000000"/>
          <w:szCs w:val="24"/>
          <w:lang w:val="en-IN" w:eastAsia="en-IN"/>
        </w:rPr>
        <w:t xml:space="preserve">It defines how the employees </w:t>
      </w:r>
      <w:proofErr w:type="gramStart"/>
      <w:r w:rsidRPr="003C0942">
        <w:rPr>
          <w:rFonts w:eastAsia="Times New Roman" w:cs="Arial"/>
          <w:color w:val="000000"/>
          <w:szCs w:val="24"/>
          <w:lang w:val="en-IN" w:eastAsia="en-IN"/>
        </w:rPr>
        <w:t>are connected with</w:t>
      </w:r>
      <w:proofErr w:type="gramEnd"/>
      <w:r w:rsidRPr="003C0942">
        <w:rPr>
          <w:rFonts w:eastAsia="Times New Roman" w:cs="Arial"/>
          <w:color w:val="000000"/>
          <w:szCs w:val="24"/>
          <w:lang w:val="en-IN" w:eastAsia="en-IN"/>
        </w:rPr>
        <w:t xml:space="preserve"> the organisation. </w:t>
      </w:r>
    </w:p>
    <w:p w14:paraId="3930B6D4"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Authentic- </w:t>
      </w:r>
      <w:r w:rsidRPr="003C0942">
        <w:rPr>
          <w:rFonts w:eastAsia="Times New Roman" w:cs="Arial"/>
          <w:color w:val="000000"/>
          <w:szCs w:val="24"/>
          <w:lang w:val="en-IN" w:eastAsia="en-IN"/>
        </w:rPr>
        <w:t>employee engagement should be authentic.</w:t>
      </w:r>
    </w:p>
    <w:p w14:paraId="1CE2BBE2"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Recognition- </w:t>
      </w:r>
      <w:r w:rsidRPr="003C0942">
        <w:rPr>
          <w:rFonts w:eastAsia="Times New Roman" w:cs="Arial"/>
          <w:color w:val="000000"/>
          <w:szCs w:val="24"/>
          <w:lang w:val="en-IN" w:eastAsia="en-IN"/>
        </w:rPr>
        <w:t>powerful recognition can play a big role in employee engagement. </w:t>
      </w:r>
    </w:p>
    <w:p w14:paraId="414E90E9"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Engage- </w:t>
      </w:r>
      <w:r w:rsidRPr="003C0942">
        <w:rPr>
          <w:rFonts w:eastAsia="Times New Roman" w:cs="Arial"/>
          <w:color w:val="000000"/>
          <w:szCs w:val="24"/>
          <w:lang w:val="en-IN" w:eastAsia="en-IN"/>
        </w:rPr>
        <w:t>it focuses on the actions of the engagement process.  </w:t>
      </w:r>
    </w:p>
    <w:p w14:paraId="7E1A233E"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Enliven work roles- </w:t>
      </w:r>
      <w:r w:rsidRPr="003C0942">
        <w:rPr>
          <w:rFonts w:eastAsia="Times New Roman" w:cs="Arial"/>
          <w:color w:val="000000"/>
          <w:szCs w:val="24"/>
          <w:lang w:val="en-IN" w:eastAsia="en-IN"/>
        </w:rPr>
        <w:t>it includes rights, behaviours and obligations at work. </w:t>
      </w:r>
    </w:p>
    <w:p w14:paraId="4BC6F13E"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Excel at performance- </w:t>
      </w:r>
      <w:r w:rsidRPr="003C0942">
        <w:rPr>
          <w:rFonts w:eastAsia="Times New Roman" w:cs="Arial"/>
          <w:color w:val="000000"/>
          <w:szCs w:val="24"/>
          <w:lang w:val="en-IN" w:eastAsia="en-IN"/>
        </w:rPr>
        <w:t>it demonstrates that engagement can help to excel at performance. </w:t>
      </w:r>
    </w:p>
    <w:p w14:paraId="2A21AAC5"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Esteem organisation- </w:t>
      </w:r>
      <w:r w:rsidRPr="003C0942">
        <w:rPr>
          <w:rFonts w:eastAsia="Times New Roman" w:cs="Arial"/>
          <w:color w:val="000000"/>
          <w:szCs w:val="24"/>
          <w:lang w:val="en-IN" w:eastAsia="en-IN"/>
        </w:rPr>
        <w:t>the employees feel they are part of the organisation. </w:t>
      </w:r>
    </w:p>
    <w:p w14:paraId="68A119D6"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lastRenderedPageBreak/>
        <w:t xml:space="preserve">Foster community- </w:t>
      </w:r>
      <w:r w:rsidRPr="003C0942">
        <w:rPr>
          <w:rFonts w:eastAsia="Times New Roman" w:cs="Arial"/>
          <w:color w:val="000000"/>
          <w:szCs w:val="24"/>
          <w:lang w:val="en-IN" w:eastAsia="en-IN"/>
        </w:rPr>
        <w:t>it defines the organisation fostering relationships with the wider community. </w:t>
      </w:r>
    </w:p>
    <w:p w14:paraId="07691185"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Serve customer</w:t>
      </w:r>
      <w:r w:rsidRPr="003C0942">
        <w:rPr>
          <w:rFonts w:eastAsia="Times New Roman" w:cs="Arial"/>
          <w:color w:val="000000"/>
          <w:szCs w:val="24"/>
          <w:lang w:val="en-IN" w:eastAsia="en-IN"/>
        </w:rPr>
        <w:t>- organisation establish a relationship between employee engagement and customer engagement.  </w:t>
      </w:r>
    </w:p>
    <w:p w14:paraId="64D1C892"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Develop career- </w:t>
      </w:r>
      <w:r w:rsidRPr="003C0942">
        <w:rPr>
          <w:rFonts w:eastAsia="Times New Roman" w:cs="Arial"/>
          <w:color w:val="000000"/>
          <w:szCs w:val="24"/>
          <w:lang w:val="en-IN" w:eastAsia="en-IN"/>
        </w:rPr>
        <w:t>organisations should offer benefits to the employee through work.</w:t>
      </w:r>
    </w:p>
    <w:p w14:paraId="5F087E27"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Leverage energies- </w:t>
      </w:r>
      <w:r w:rsidRPr="003C0942">
        <w:rPr>
          <w:rFonts w:eastAsia="Times New Roman" w:cs="Arial"/>
          <w:color w:val="000000"/>
          <w:szCs w:val="24"/>
          <w:lang w:val="en-IN" w:eastAsia="en-IN"/>
        </w:rPr>
        <w:t>it ensures whether the employees get energy or not.</w:t>
      </w:r>
    </w:p>
    <w:p w14:paraId="63DC7455"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t xml:space="preserve">Experience well-being- </w:t>
      </w:r>
      <w:r w:rsidRPr="003C0942">
        <w:rPr>
          <w:rFonts w:eastAsia="Times New Roman" w:cs="Arial"/>
          <w:color w:val="000000"/>
          <w:szCs w:val="24"/>
          <w:lang w:val="en-IN" w:eastAsia="en-IN"/>
        </w:rPr>
        <w:t xml:space="preserve">the work needs to contribute to employee well–being.  </w:t>
      </w:r>
      <w:r w:rsidRPr="003C0942">
        <w:rPr>
          <w:rFonts w:eastAsia="Times New Roman" w:cs="Arial"/>
          <w:b/>
          <w:bCs/>
          <w:color w:val="000000"/>
          <w:szCs w:val="24"/>
          <w:lang w:val="en-IN" w:eastAsia="en-IN"/>
        </w:rPr>
        <w:t> </w:t>
      </w:r>
      <w:r w:rsidRPr="003C0942">
        <w:rPr>
          <w:rFonts w:eastAsia="Times New Roman" w:cs="Arial"/>
          <w:color w:val="000000"/>
          <w:szCs w:val="24"/>
          <w:lang w:val="en-IN" w:eastAsia="en-IN"/>
        </w:rPr>
        <w:t> </w:t>
      </w:r>
    </w:p>
    <w:p w14:paraId="6747C9B4" w14:textId="23DA5278"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xml:space="preserve">The first row of the pyramid describes, the HR should ensure that employees are cared for and stimulated. </w:t>
      </w:r>
      <w:proofErr w:type="gramStart"/>
      <w:r w:rsidRPr="003C0942">
        <w:rPr>
          <w:rFonts w:eastAsia="Times New Roman" w:cs="Arial"/>
          <w:color w:val="000000"/>
          <w:szCs w:val="24"/>
          <w:lang w:val="en-IN" w:eastAsia="en-IN"/>
        </w:rPr>
        <w:t>So</w:t>
      </w:r>
      <w:proofErr w:type="gramEnd"/>
      <w:r w:rsidRPr="003C0942">
        <w:rPr>
          <w:rFonts w:eastAsia="Times New Roman" w:cs="Arial"/>
          <w:color w:val="000000"/>
          <w:szCs w:val="24"/>
          <w:lang w:val="en-IN" w:eastAsia="en-IN"/>
        </w:rPr>
        <w:t xml:space="preserve"> HR needs to give meaningful work and opportunities to the employees to showcase their abilities. The second row describes the leaders must unite the organisation. This row has three blocks build relationships, foster recognition and master moments. The HR </w:t>
      </w:r>
      <w:proofErr w:type="gramStart"/>
      <w:r w:rsidRPr="003C0942">
        <w:rPr>
          <w:rFonts w:eastAsia="Times New Roman" w:cs="Arial"/>
          <w:color w:val="000000"/>
          <w:szCs w:val="24"/>
          <w:lang w:val="en-IN" w:eastAsia="en-IN"/>
        </w:rPr>
        <w:t>has to</w:t>
      </w:r>
      <w:proofErr w:type="gramEnd"/>
      <w:r w:rsidRPr="003C0942">
        <w:rPr>
          <w:rFonts w:eastAsia="Times New Roman" w:cs="Arial"/>
          <w:color w:val="000000"/>
          <w:szCs w:val="24"/>
          <w:lang w:val="en-IN" w:eastAsia="en-IN"/>
        </w:rPr>
        <w:t xml:space="preserve"> develop a bond with the employees and provide an environment where they can invent themselves into work.</w:t>
      </w:r>
      <w:r w:rsidR="005A38E7">
        <w:rPr>
          <w:rFonts w:eastAsia="Times New Roman" w:cs="Arial"/>
          <w:color w:val="000000"/>
          <w:szCs w:val="24"/>
          <w:lang w:val="en-IN" w:eastAsia="en-IN"/>
        </w:rPr>
        <w:t xml:space="preserve"> </w:t>
      </w:r>
      <w:r w:rsidRPr="003C0942">
        <w:rPr>
          <w:rFonts w:eastAsia="Times New Roman" w:cs="Arial"/>
          <w:color w:val="000000"/>
          <w:szCs w:val="24"/>
          <w:lang w:val="en-IN" w:eastAsia="en-IN"/>
        </w:rPr>
        <w:t>The third row defines that HR needs to boost the performance of the employees. This row consists of two blocks to maximise the performance and path progress</w:t>
      </w:r>
      <w:r w:rsidR="005A38E7">
        <w:rPr>
          <w:rFonts w:eastAsia="Times New Roman" w:cs="Arial"/>
          <w:color w:val="000000"/>
          <w:szCs w:val="24"/>
          <w:lang w:val="en-IN" w:eastAsia="en-IN"/>
        </w:rPr>
        <w:t xml:space="preserve"> </w:t>
      </w:r>
      <w:sdt>
        <w:sdtPr>
          <w:rPr>
            <w:rFonts w:eastAsia="Times New Roman" w:cs="Arial"/>
            <w:color w:val="000000"/>
            <w:szCs w:val="24"/>
            <w:lang w:val="en-IN" w:eastAsia="en-IN"/>
          </w:rPr>
          <w:id w:val="-846094570"/>
          <w:citation/>
        </w:sdtPr>
        <w:sdtEndPr/>
        <w:sdtContent>
          <w:r w:rsidR="005A38E7">
            <w:rPr>
              <w:rFonts w:eastAsia="Times New Roman" w:cs="Arial"/>
              <w:color w:val="000000"/>
              <w:szCs w:val="24"/>
              <w:lang w:val="en-IN" w:eastAsia="en-IN"/>
            </w:rPr>
            <w:fldChar w:fldCharType="begin"/>
          </w:r>
          <w:r w:rsidR="005A38E7">
            <w:rPr>
              <w:rFonts w:eastAsia="Times New Roman" w:cs="Arial"/>
              <w:color w:val="000000"/>
              <w:szCs w:val="24"/>
              <w:lang w:val="en-IN" w:eastAsia="en-IN"/>
            </w:rPr>
            <w:instrText xml:space="preserve"> CITATION Sam18 \l 16393 </w:instrText>
          </w:r>
          <w:r w:rsidR="005A38E7">
            <w:rPr>
              <w:rFonts w:eastAsia="Times New Roman" w:cs="Arial"/>
              <w:color w:val="000000"/>
              <w:szCs w:val="24"/>
              <w:lang w:val="en-IN" w:eastAsia="en-IN"/>
            </w:rPr>
            <w:fldChar w:fldCharType="separate"/>
          </w:r>
          <w:r w:rsidR="005A38E7" w:rsidRPr="005A38E7">
            <w:rPr>
              <w:rFonts w:eastAsia="Times New Roman" w:cs="Arial"/>
              <w:noProof/>
              <w:color w:val="000000"/>
              <w:szCs w:val="24"/>
              <w:lang w:val="en-IN" w:eastAsia="en-IN"/>
            </w:rPr>
            <w:t>(Samantaray &amp; Sahu, 2018)</w:t>
          </w:r>
          <w:r w:rsidR="005A38E7">
            <w:rPr>
              <w:rFonts w:eastAsia="Times New Roman" w:cs="Arial"/>
              <w:color w:val="000000"/>
              <w:szCs w:val="24"/>
              <w:lang w:val="en-IN" w:eastAsia="en-IN"/>
            </w:rPr>
            <w:fldChar w:fldCharType="end"/>
          </w:r>
        </w:sdtContent>
      </w:sdt>
      <w:r w:rsidRPr="003C0942">
        <w:rPr>
          <w:rFonts w:eastAsia="Times New Roman" w:cs="Arial"/>
          <w:color w:val="000000"/>
          <w:szCs w:val="24"/>
          <w:lang w:val="en-IN" w:eastAsia="en-IN"/>
        </w:rPr>
        <w:t>.            </w:t>
      </w:r>
    </w:p>
    <w:p w14:paraId="4811DD53" w14:textId="77777777"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The hospitality sector uses this model since it covers all the aspects of employee engagement. </w:t>
      </w:r>
    </w:p>
    <w:p w14:paraId="24CB1327" w14:textId="77777777" w:rsidR="005E25DD" w:rsidRDefault="005E25DD">
      <w:pPr>
        <w:spacing w:after="160" w:line="259" w:lineRule="auto"/>
        <w:jc w:val="left"/>
        <w:rPr>
          <w:rFonts w:eastAsia="Times New Roman" w:cs="Arial"/>
          <w:b/>
          <w:bCs/>
          <w:color w:val="000000"/>
          <w:szCs w:val="24"/>
          <w:lang w:val="en-IN" w:eastAsia="en-IN"/>
        </w:rPr>
      </w:pPr>
      <w:r>
        <w:rPr>
          <w:rFonts w:eastAsia="Times New Roman" w:cs="Arial"/>
          <w:b/>
          <w:bCs/>
          <w:color w:val="000000"/>
          <w:szCs w:val="24"/>
          <w:lang w:val="en-IN" w:eastAsia="en-IN"/>
        </w:rPr>
        <w:br w:type="page"/>
      </w:r>
    </w:p>
    <w:p w14:paraId="7064984F" w14:textId="7639DC73" w:rsidR="003C0942" w:rsidRPr="003C0942" w:rsidRDefault="003C0942" w:rsidP="003C0942">
      <w:pPr>
        <w:spacing w:after="0"/>
        <w:rPr>
          <w:rFonts w:ascii="Times New Roman" w:eastAsia="Times New Roman" w:hAnsi="Times New Roman" w:cs="Times New Roman"/>
          <w:szCs w:val="24"/>
          <w:lang w:val="en-IN" w:eastAsia="en-IN"/>
        </w:rPr>
      </w:pPr>
      <w:r w:rsidRPr="003C0942">
        <w:rPr>
          <w:rFonts w:eastAsia="Times New Roman" w:cs="Arial"/>
          <w:b/>
          <w:bCs/>
          <w:color w:val="000000"/>
          <w:szCs w:val="24"/>
          <w:lang w:val="en-IN" w:eastAsia="en-IN"/>
        </w:rPr>
        <w:lastRenderedPageBreak/>
        <w:t>Conclusion</w:t>
      </w:r>
    </w:p>
    <w:p w14:paraId="213FFD26" w14:textId="3BC36653" w:rsidR="004455D6" w:rsidRDefault="003C0942" w:rsidP="003C0942">
      <w:pPr>
        <w:spacing w:after="0"/>
        <w:rPr>
          <w:rFonts w:eastAsia="Times New Roman" w:cs="Arial"/>
          <w:color w:val="000000"/>
          <w:szCs w:val="24"/>
          <w:lang w:val="en-IN" w:eastAsia="en-IN"/>
        </w:rPr>
      </w:pPr>
      <w:r w:rsidRPr="003C0942">
        <w:rPr>
          <w:rFonts w:eastAsia="Times New Roman" w:cs="Arial"/>
          <w:color w:val="000000"/>
          <w:szCs w:val="24"/>
          <w:lang w:val="en-IN" w:eastAsia="en-IN"/>
        </w:rPr>
        <w:t xml:space="preserve">Based on the above report it can be concluded that employee engagement is an essential aspect of organisations in any sector. Organisations in the hospitality sector use different tools and techniques to attain employee engagement since it helps to retain their employees and increase their revenues. Employee turnover is a big problem in the hospitality industry. Employee engagement and engaging teams help to reduce the employee turnover rate. In the overall employee engagement process, employees get training and development which help them to serve the guest efficiently. </w:t>
      </w:r>
      <w:r w:rsidR="00414FB0">
        <w:rPr>
          <w:rFonts w:eastAsia="Times New Roman" w:cs="Arial"/>
          <w:color w:val="000000"/>
          <w:szCs w:val="24"/>
          <w:lang w:val="en-IN" w:eastAsia="en-IN"/>
        </w:rPr>
        <w:t xml:space="preserve">The roles of human resources in employee engagement have been discussed. The process of engaging a team and its advantage have been discussed. </w:t>
      </w:r>
      <w:r w:rsidRPr="003C0942">
        <w:rPr>
          <w:rFonts w:eastAsia="Times New Roman" w:cs="Arial"/>
          <w:color w:val="000000"/>
          <w:szCs w:val="24"/>
          <w:lang w:val="en-IN" w:eastAsia="en-IN"/>
        </w:rPr>
        <w:t>The employee lifecycle has been discussed</w:t>
      </w:r>
      <w:r w:rsidR="00414FB0">
        <w:rPr>
          <w:rFonts w:eastAsia="Times New Roman" w:cs="Arial"/>
          <w:color w:val="000000"/>
          <w:szCs w:val="24"/>
          <w:lang w:val="en-IN" w:eastAsia="en-IN"/>
        </w:rPr>
        <w:t xml:space="preserve"> related to the hospitality sector</w:t>
      </w:r>
      <w:r w:rsidRPr="003C0942">
        <w:rPr>
          <w:rFonts w:eastAsia="Times New Roman" w:cs="Arial"/>
          <w:color w:val="000000"/>
          <w:szCs w:val="24"/>
          <w:lang w:val="en-IN" w:eastAsia="en-IN"/>
        </w:rPr>
        <w:t xml:space="preserve">. </w:t>
      </w:r>
      <w:r w:rsidR="00C84121">
        <w:rPr>
          <w:rFonts w:eastAsia="Times New Roman" w:cs="Arial"/>
          <w:color w:val="000000"/>
          <w:szCs w:val="24"/>
          <w:lang w:val="en-IN" w:eastAsia="en-IN"/>
        </w:rPr>
        <w:t xml:space="preserve">It has described how a team can be engaged. </w:t>
      </w:r>
      <w:r w:rsidRPr="003C0942">
        <w:rPr>
          <w:rFonts w:eastAsia="Times New Roman" w:cs="Arial"/>
          <w:color w:val="000000"/>
          <w:szCs w:val="24"/>
          <w:lang w:val="en-IN" w:eastAsia="en-IN"/>
        </w:rPr>
        <w:t xml:space="preserve">The Zinger model of employee engagement has been discussed. </w:t>
      </w:r>
      <w:r w:rsidR="00C84121">
        <w:rPr>
          <w:rFonts w:eastAsia="Times New Roman" w:cs="Arial"/>
          <w:color w:val="000000"/>
          <w:szCs w:val="24"/>
          <w:lang w:val="en-IN" w:eastAsia="en-IN"/>
        </w:rPr>
        <w:t>Furthermore, t</w:t>
      </w:r>
      <w:r w:rsidRPr="003C0942">
        <w:rPr>
          <w:rFonts w:eastAsia="Times New Roman" w:cs="Arial"/>
          <w:color w:val="000000"/>
          <w:szCs w:val="24"/>
          <w:lang w:val="en-IN" w:eastAsia="en-IN"/>
        </w:rPr>
        <w:t>he implementation of the employee engagement model has been described.   </w:t>
      </w:r>
    </w:p>
    <w:p w14:paraId="49210270" w14:textId="77777777" w:rsidR="004455D6" w:rsidRDefault="004455D6">
      <w:pPr>
        <w:spacing w:after="160" w:line="259" w:lineRule="auto"/>
        <w:jc w:val="left"/>
        <w:rPr>
          <w:rFonts w:eastAsia="Times New Roman" w:cs="Arial"/>
          <w:color w:val="000000"/>
          <w:szCs w:val="24"/>
          <w:lang w:val="en-IN" w:eastAsia="en-IN"/>
        </w:rPr>
      </w:pPr>
      <w:r>
        <w:rPr>
          <w:rFonts w:eastAsia="Times New Roman" w:cs="Arial"/>
          <w:color w:val="000000"/>
          <w:szCs w:val="24"/>
          <w:lang w:val="en-IN" w:eastAsia="en-IN"/>
        </w:rPr>
        <w:br w:type="page"/>
      </w:r>
    </w:p>
    <w:sdt>
      <w:sdtPr>
        <w:rPr>
          <w:rFonts w:eastAsiaTheme="minorHAnsi" w:cstheme="minorBidi"/>
          <w:b w:val="0"/>
          <w:color w:val="auto"/>
          <w:sz w:val="24"/>
          <w:szCs w:val="22"/>
        </w:rPr>
        <w:id w:val="-2107646028"/>
        <w:docPartObj>
          <w:docPartGallery w:val="Bibliographies"/>
          <w:docPartUnique/>
        </w:docPartObj>
      </w:sdtPr>
      <w:sdtEndPr/>
      <w:sdtContent>
        <w:p w14:paraId="488D03F4" w14:textId="2F0DD84F" w:rsidR="004455D6" w:rsidRDefault="004455D6">
          <w:pPr>
            <w:pStyle w:val="Heading1"/>
          </w:pPr>
          <w:r>
            <w:t>References</w:t>
          </w:r>
        </w:p>
        <w:sdt>
          <w:sdtPr>
            <w:id w:val="-573587230"/>
            <w:bibliography/>
          </w:sdtPr>
          <w:sdtEndPr/>
          <w:sdtContent>
            <w:p w14:paraId="10E69F06" w14:textId="77777777" w:rsidR="004455D6" w:rsidRDefault="004455D6" w:rsidP="004455D6">
              <w:pPr>
                <w:pStyle w:val="Bibliography"/>
                <w:rPr>
                  <w:noProof/>
                  <w:szCs w:val="24"/>
                </w:rPr>
              </w:pPr>
              <w:r>
                <w:fldChar w:fldCharType="begin"/>
              </w:r>
              <w:r>
                <w:instrText xml:space="preserve"> BIBLIOGRAPHY </w:instrText>
              </w:r>
              <w:r>
                <w:fldChar w:fldCharType="separate"/>
              </w:r>
              <w:r>
                <w:rPr>
                  <w:noProof/>
                </w:rPr>
                <w:t xml:space="preserve">Antony, M., 2018. Paradigm shift in employee engagement–A critical analysis on the drivers of employee engagement. </w:t>
              </w:r>
              <w:r>
                <w:rPr>
                  <w:i/>
                  <w:iCs/>
                  <w:noProof/>
                </w:rPr>
                <w:t xml:space="preserve">International Journal of Information, Business and Management, </w:t>
              </w:r>
              <w:r>
                <w:rPr>
                  <w:noProof/>
                </w:rPr>
                <w:t>10(2), pp. 32-46.</w:t>
              </w:r>
            </w:p>
            <w:p w14:paraId="7A6F6831" w14:textId="34204ABB" w:rsidR="004455D6" w:rsidRDefault="004455D6" w:rsidP="004455D6">
              <w:pPr>
                <w:pStyle w:val="Bibliography"/>
                <w:rPr>
                  <w:noProof/>
                </w:rPr>
              </w:pPr>
              <w:r>
                <w:rPr>
                  <w:noProof/>
                </w:rPr>
                <w:t xml:space="preserve">Cattermole, G., 2019. Developing the employee lifecycle to keep top talent. </w:t>
              </w:r>
              <w:r>
                <w:rPr>
                  <w:i/>
                  <w:iCs/>
                  <w:noProof/>
                </w:rPr>
                <w:t>Strategic HR review.</w:t>
              </w:r>
            </w:p>
            <w:p w14:paraId="1EFD16CA" w14:textId="77777777" w:rsidR="004455D6" w:rsidRDefault="004455D6" w:rsidP="004455D6">
              <w:pPr>
                <w:pStyle w:val="Bibliography"/>
                <w:rPr>
                  <w:noProof/>
                </w:rPr>
              </w:pPr>
              <w:r>
                <w:rPr>
                  <w:noProof/>
                </w:rPr>
                <w:t xml:space="preserve">comparably, 2020. </w:t>
              </w:r>
              <w:r>
                <w:rPr>
                  <w:i/>
                  <w:iCs/>
                  <w:noProof/>
                </w:rPr>
                <w:t xml:space="preserve">Marriott Employee Engagement. </w:t>
              </w:r>
              <w:r>
                <w:rPr>
                  <w:noProof/>
                </w:rPr>
                <w:t xml:space="preserve">[Online] </w:t>
              </w:r>
              <w:r>
                <w:rPr>
                  <w:noProof/>
                </w:rPr>
                <w:br/>
                <w:t xml:space="preserve">Available at: </w:t>
              </w:r>
              <w:r>
                <w:rPr>
                  <w:noProof/>
                  <w:u w:val="single"/>
                </w:rPr>
                <w:t>https://www.comparably.com/companies/marriott/employee-engagement</w:t>
              </w:r>
              <w:r>
                <w:rPr>
                  <w:noProof/>
                </w:rPr>
                <w:br/>
                <w:t>[Accessed 2022].</w:t>
              </w:r>
            </w:p>
            <w:p w14:paraId="6E6007F1" w14:textId="77777777" w:rsidR="004455D6" w:rsidRDefault="004455D6" w:rsidP="004455D6">
              <w:pPr>
                <w:pStyle w:val="Bibliography"/>
                <w:rPr>
                  <w:noProof/>
                </w:rPr>
              </w:pPr>
              <w:r>
                <w:rPr>
                  <w:noProof/>
                </w:rPr>
                <w:t xml:space="preserve">davidzinger, 2021. </w:t>
              </w:r>
              <w:r>
                <w:rPr>
                  <w:i/>
                  <w:iCs/>
                  <w:noProof/>
                </w:rPr>
                <w:t xml:space="preserve">Zinger Model. </w:t>
              </w:r>
              <w:r>
                <w:rPr>
                  <w:noProof/>
                </w:rPr>
                <w:t xml:space="preserve">[Online] </w:t>
              </w:r>
              <w:r>
                <w:rPr>
                  <w:noProof/>
                </w:rPr>
                <w:br/>
                <w:t xml:space="preserve">Available at: </w:t>
              </w:r>
              <w:r>
                <w:rPr>
                  <w:noProof/>
                  <w:u w:val="single"/>
                </w:rPr>
                <w:t>http://www.davidzinger.com/zinger-model/</w:t>
              </w:r>
              <w:r>
                <w:rPr>
                  <w:noProof/>
                </w:rPr>
                <w:br/>
                <w:t>[Accessed 2022].</w:t>
              </w:r>
            </w:p>
            <w:p w14:paraId="751D8A1B" w14:textId="77777777" w:rsidR="004455D6" w:rsidRDefault="004455D6" w:rsidP="004455D6">
              <w:pPr>
                <w:pStyle w:val="Bibliography"/>
                <w:rPr>
                  <w:noProof/>
                </w:rPr>
              </w:pPr>
              <w:r>
                <w:rPr>
                  <w:noProof/>
                </w:rPr>
                <w:t xml:space="preserve">Dusenberry, L. &amp; Robinson, J., 2020. Building Psychological Safety Through Training Interventions: Manage the Team, Not Just the Project. </w:t>
              </w:r>
              <w:r>
                <w:rPr>
                  <w:i/>
                  <w:iCs/>
                  <w:noProof/>
                </w:rPr>
                <w:t xml:space="preserve">IEEE Transactions on Professional Communication, </w:t>
              </w:r>
              <w:r>
                <w:rPr>
                  <w:noProof/>
                </w:rPr>
                <w:t>63(3), pp. 207-226.</w:t>
              </w:r>
            </w:p>
            <w:p w14:paraId="09481AD5" w14:textId="77777777" w:rsidR="004455D6" w:rsidRDefault="004455D6" w:rsidP="004455D6">
              <w:pPr>
                <w:pStyle w:val="Bibliography"/>
                <w:rPr>
                  <w:noProof/>
                </w:rPr>
              </w:pPr>
              <w:r>
                <w:rPr>
                  <w:noProof/>
                </w:rPr>
                <w:t xml:space="preserve">Hall-Jones, J. et al., 2018. Onboarding employees through shared values. </w:t>
              </w:r>
              <w:r>
                <w:rPr>
                  <w:i/>
                  <w:iCs/>
                  <w:noProof/>
                </w:rPr>
                <w:t xml:space="preserve">Journal of Research, Assessment, and Practice in Higher Education, </w:t>
              </w:r>
              <w:r>
                <w:rPr>
                  <w:noProof/>
                </w:rPr>
                <w:t>3(1), p. 9.</w:t>
              </w:r>
            </w:p>
            <w:p w14:paraId="2E3A1BF2" w14:textId="77777777" w:rsidR="004455D6" w:rsidRDefault="004455D6" w:rsidP="004455D6">
              <w:pPr>
                <w:pStyle w:val="Bibliography"/>
                <w:rPr>
                  <w:noProof/>
                </w:rPr>
              </w:pPr>
              <w:r>
                <w:rPr>
                  <w:noProof/>
                </w:rPr>
                <w:t xml:space="preserve">Hoque, A., Awang, Z., Siddiqui, B. &amp; Sabiu, M., 2018. Role of employee engagement on compensation system and employee performance relationship among telecommunication service providers in Bangladesh. </w:t>
              </w:r>
              <w:r>
                <w:rPr>
                  <w:i/>
                  <w:iCs/>
                  <w:noProof/>
                </w:rPr>
                <w:t xml:space="preserve">International Journal of Human Resource Studies, </w:t>
              </w:r>
              <w:r>
                <w:rPr>
                  <w:noProof/>
                </w:rPr>
                <w:t>8(3), pp. 19-37.</w:t>
              </w:r>
            </w:p>
            <w:p w14:paraId="064EE018" w14:textId="77777777" w:rsidR="004455D6" w:rsidRDefault="004455D6" w:rsidP="004455D6">
              <w:pPr>
                <w:pStyle w:val="Bibliography"/>
                <w:rPr>
                  <w:noProof/>
                </w:rPr>
              </w:pPr>
              <w:r>
                <w:rPr>
                  <w:noProof/>
                </w:rPr>
                <w:t xml:space="preserve">Koch, J. a. S. C., 2020. Who is attracted and why? How agile project management influences employee's attraction and commitment. </w:t>
              </w:r>
              <w:r>
                <w:rPr>
                  <w:i/>
                  <w:iCs/>
                  <w:noProof/>
                </w:rPr>
                <w:t>International Journal of Managing Projects in Business.</w:t>
              </w:r>
            </w:p>
            <w:p w14:paraId="1AF7AFA5" w14:textId="77777777" w:rsidR="004455D6" w:rsidRDefault="004455D6" w:rsidP="004455D6">
              <w:pPr>
                <w:pStyle w:val="Bibliography"/>
                <w:rPr>
                  <w:noProof/>
                </w:rPr>
              </w:pPr>
              <w:r>
                <w:rPr>
                  <w:noProof/>
                </w:rPr>
                <w:t xml:space="preserve">Mardanov, I., 2020. Intrinsic and extrinsic motivation, organizational context, employee contentment, job satisfaction, performance and intention to stay. </w:t>
              </w:r>
              <w:r>
                <w:rPr>
                  <w:i/>
                  <w:iCs/>
                  <w:noProof/>
                </w:rPr>
                <w:t>Evidence-based HRM: a Global Forum for Empirical Scholarship.</w:t>
              </w:r>
            </w:p>
            <w:p w14:paraId="2B1A05E3" w14:textId="77777777" w:rsidR="004455D6" w:rsidRDefault="004455D6" w:rsidP="004455D6">
              <w:pPr>
                <w:pStyle w:val="Bibliography"/>
                <w:rPr>
                  <w:noProof/>
                </w:rPr>
              </w:pPr>
              <w:r>
                <w:rPr>
                  <w:noProof/>
                </w:rPr>
                <w:t xml:space="preserve">nibusinessinfo.co.uk, 2021. </w:t>
              </w:r>
              <w:r>
                <w:rPr>
                  <w:i/>
                  <w:iCs/>
                  <w:noProof/>
                </w:rPr>
                <w:t xml:space="preserve">Employee engagement. </w:t>
              </w:r>
              <w:r>
                <w:rPr>
                  <w:noProof/>
                </w:rPr>
                <w:t xml:space="preserve">[Online] </w:t>
              </w:r>
              <w:r>
                <w:rPr>
                  <w:noProof/>
                </w:rPr>
                <w:br/>
                <w:t xml:space="preserve">Available at: </w:t>
              </w:r>
              <w:r>
                <w:rPr>
                  <w:noProof/>
                  <w:u w:val="single"/>
                </w:rPr>
                <w:t>https://www.nibusinessinfo.co.uk/content/advantages-employee-engagement</w:t>
              </w:r>
              <w:r>
                <w:rPr>
                  <w:noProof/>
                </w:rPr>
                <w:br/>
                <w:t>[Accessed 2022].</w:t>
              </w:r>
            </w:p>
            <w:p w14:paraId="2060B11B" w14:textId="77777777" w:rsidR="004455D6" w:rsidRDefault="004455D6" w:rsidP="004455D6">
              <w:pPr>
                <w:pStyle w:val="Bibliography"/>
                <w:rPr>
                  <w:noProof/>
                </w:rPr>
              </w:pPr>
              <w:r>
                <w:rPr>
                  <w:noProof/>
                </w:rPr>
                <w:lastRenderedPageBreak/>
                <w:t xml:space="preserve">Peisl, T. &amp; Shah, B., 2019. The impact of blockchain technologies on recruitment influencing the employee lifecycle. </w:t>
              </w:r>
              <w:r>
                <w:rPr>
                  <w:i/>
                  <w:iCs/>
                  <w:noProof/>
                </w:rPr>
                <w:t xml:space="preserve">European Conference on Software Process Improvement, </w:t>
              </w:r>
              <w:r>
                <w:rPr>
                  <w:noProof/>
                </w:rPr>
                <w:t>pp. 695-705.</w:t>
              </w:r>
            </w:p>
            <w:p w14:paraId="387711E8" w14:textId="77777777" w:rsidR="004455D6" w:rsidRDefault="004455D6" w:rsidP="004455D6">
              <w:pPr>
                <w:pStyle w:val="Bibliography"/>
                <w:rPr>
                  <w:noProof/>
                </w:rPr>
              </w:pPr>
              <w:r>
                <w:rPr>
                  <w:noProof/>
                </w:rPr>
                <w:t xml:space="preserve">Saks, A., 2022. Caring human resources management and employee engagement. </w:t>
              </w:r>
              <w:r>
                <w:rPr>
                  <w:i/>
                  <w:iCs/>
                  <w:noProof/>
                </w:rPr>
                <w:t xml:space="preserve">Human Resource Management Review, </w:t>
              </w:r>
              <w:r>
                <w:rPr>
                  <w:noProof/>
                </w:rPr>
                <w:t>32(3), p. 100835.</w:t>
              </w:r>
            </w:p>
            <w:p w14:paraId="4AF6B47E" w14:textId="77777777" w:rsidR="004455D6" w:rsidRDefault="004455D6" w:rsidP="004455D6">
              <w:pPr>
                <w:pStyle w:val="Bibliography"/>
                <w:rPr>
                  <w:noProof/>
                </w:rPr>
              </w:pPr>
              <w:r>
                <w:rPr>
                  <w:noProof/>
                </w:rPr>
                <w:t xml:space="preserve">Samantaray, M. &amp; Sahu, P., 2018. </w:t>
              </w:r>
              <w:r>
                <w:rPr>
                  <w:i/>
                  <w:iCs/>
                  <w:noProof/>
                </w:rPr>
                <w:t xml:space="preserve">Corporate practices in employee engagement. </w:t>
              </w:r>
              <w:r>
                <w:rPr>
                  <w:noProof/>
                </w:rPr>
                <w:t>s.l.:s.n.</w:t>
              </w:r>
            </w:p>
            <w:p w14:paraId="75771CFD" w14:textId="77777777" w:rsidR="004455D6" w:rsidRDefault="004455D6" w:rsidP="004455D6">
              <w:pPr>
                <w:pStyle w:val="Bibliography"/>
                <w:rPr>
                  <w:noProof/>
                </w:rPr>
              </w:pPr>
              <w:r>
                <w:rPr>
                  <w:noProof/>
                </w:rPr>
                <w:t xml:space="preserve">Sato, Y., Kobayashi, N. &amp; Shirasaka, S., 2020. An analysis of human resource management for knowledge workers: Using the three axes of target employee, lifecycle stage, and human resource flow. </w:t>
              </w:r>
              <w:r>
                <w:rPr>
                  <w:i/>
                  <w:iCs/>
                  <w:noProof/>
                </w:rPr>
                <w:t xml:space="preserve">Review of Integrative Business and Economics Research, </w:t>
              </w:r>
              <w:r>
                <w:rPr>
                  <w:noProof/>
                </w:rPr>
                <w:t>9(1), pp. 140-156.</w:t>
              </w:r>
            </w:p>
            <w:p w14:paraId="75A0003B" w14:textId="77777777" w:rsidR="004455D6" w:rsidRDefault="004455D6" w:rsidP="004455D6">
              <w:pPr>
                <w:pStyle w:val="Bibliography"/>
                <w:rPr>
                  <w:noProof/>
                </w:rPr>
              </w:pPr>
              <w:r>
                <w:rPr>
                  <w:noProof/>
                </w:rPr>
                <w:t xml:space="preserve">Siddiqui, D. &amp; Sahar, N., 2019. The impact of training &amp; development and communication on employee engagement–A study of banking sector.. </w:t>
              </w:r>
              <w:r>
                <w:rPr>
                  <w:i/>
                  <w:iCs/>
                  <w:noProof/>
                </w:rPr>
                <w:t xml:space="preserve">Sahar, N. and Siddiqui, DA (2019). The Impact of Training &amp; Development and Communication on Employee Engagement–A Study of Banking Sector. Business Management and Strategy, </w:t>
              </w:r>
              <w:r>
                <w:rPr>
                  <w:noProof/>
                </w:rPr>
                <w:t>10(1), pp. 23-40.</w:t>
              </w:r>
            </w:p>
            <w:p w14:paraId="1635CE0C" w14:textId="77777777" w:rsidR="004455D6" w:rsidRDefault="004455D6" w:rsidP="004455D6">
              <w:pPr>
                <w:pStyle w:val="Bibliography"/>
                <w:rPr>
                  <w:noProof/>
                </w:rPr>
              </w:pPr>
              <w:r>
                <w:rPr>
                  <w:noProof/>
                </w:rPr>
                <w:t xml:space="preserve">Simatupang, A. &amp; Saroyeni, P., 2018. The effect of discipline, motivation and commitment to employee performance. </w:t>
              </w:r>
              <w:r>
                <w:rPr>
                  <w:i/>
                  <w:iCs/>
                  <w:noProof/>
                </w:rPr>
                <w:t xml:space="preserve">IOSR Journal of Business and Management (IOSR-JBM), </w:t>
              </w:r>
              <w:r>
                <w:rPr>
                  <w:noProof/>
                </w:rPr>
                <w:t>20(6), pp. 31-37.</w:t>
              </w:r>
            </w:p>
            <w:p w14:paraId="292E6A84" w14:textId="77777777" w:rsidR="004455D6" w:rsidRDefault="004455D6" w:rsidP="004455D6">
              <w:pPr>
                <w:pStyle w:val="Bibliography"/>
                <w:rPr>
                  <w:noProof/>
                </w:rPr>
              </w:pPr>
              <w:r>
                <w:rPr>
                  <w:noProof/>
                </w:rPr>
                <w:t xml:space="preserve">Singh, D., 2019. A literature review on employee retention with focus on recent trends. </w:t>
              </w:r>
              <w:r>
                <w:rPr>
                  <w:i/>
                  <w:iCs/>
                  <w:noProof/>
                </w:rPr>
                <w:t xml:space="preserve">International Journal of Scientific Research in Science and Technology, </w:t>
              </w:r>
              <w:r>
                <w:rPr>
                  <w:noProof/>
                </w:rPr>
                <w:t>6(1), pp. 425-431.</w:t>
              </w:r>
            </w:p>
            <w:p w14:paraId="74B920B8" w14:textId="77777777" w:rsidR="004455D6" w:rsidRDefault="004455D6" w:rsidP="004455D6">
              <w:pPr>
                <w:pStyle w:val="Bibliography"/>
                <w:rPr>
                  <w:noProof/>
                </w:rPr>
              </w:pPr>
              <w:r>
                <w:rPr>
                  <w:noProof/>
                </w:rPr>
                <w:t xml:space="preserve">Sun, L. &amp; Bunchapattanasakda, C., 2019. Employee engagement: A literature review. </w:t>
              </w:r>
              <w:r>
                <w:rPr>
                  <w:i/>
                  <w:iCs/>
                  <w:noProof/>
                </w:rPr>
                <w:t xml:space="preserve">International Journal of Human Resource Studies, </w:t>
              </w:r>
              <w:r>
                <w:rPr>
                  <w:noProof/>
                </w:rPr>
                <w:t>9(1), pp. 63-80.</w:t>
              </w:r>
            </w:p>
            <w:p w14:paraId="7D2919B8" w14:textId="77777777" w:rsidR="004455D6" w:rsidRDefault="004455D6" w:rsidP="004455D6">
              <w:pPr>
                <w:pStyle w:val="Bibliography"/>
                <w:rPr>
                  <w:noProof/>
                </w:rPr>
              </w:pPr>
              <w:r>
                <w:rPr>
                  <w:noProof/>
                </w:rPr>
                <w:t xml:space="preserve">Wise, G. &amp; Jolles, D., 2019. Promoting effective care: Reducing primary cesarean births through team engagement and standardization of care at a community hospital. </w:t>
              </w:r>
              <w:r>
                <w:rPr>
                  <w:i/>
                  <w:iCs/>
                  <w:noProof/>
                </w:rPr>
                <w:t xml:space="preserve">Nursing Forum, </w:t>
              </w:r>
              <w:r>
                <w:rPr>
                  <w:noProof/>
                </w:rPr>
                <w:t>54(4), pp. 601-610.</w:t>
              </w:r>
            </w:p>
            <w:p w14:paraId="2CCC90D2" w14:textId="77777777" w:rsidR="004455D6" w:rsidRDefault="004455D6" w:rsidP="004455D6">
              <w:pPr>
                <w:pStyle w:val="Bibliography"/>
                <w:rPr>
                  <w:noProof/>
                </w:rPr>
              </w:pPr>
              <w:r>
                <w:rPr>
                  <w:noProof/>
                </w:rPr>
                <w:t xml:space="preserve">Zappalą, S. &amp; Mattera, L., 2021. Ethical leadership and service orientation in social care workers: Team engagement and service climate as sequential mediators. </w:t>
              </w:r>
              <w:r>
                <w:rPr>
                  <w:i/>
                  <w:iCs/>
                  <w:noProof/>
                </w:rPr>
                <w:t xml:space="preserve">Psicologia sociale, </w:t>
              </w:r>
              <w:r>
                <w:rPr>
                  <w:noProof/>
                </w:rPr>
                <w:t>16(1), pp. 75-97.</w:t>
              </w:r>
            </w:p>
            <w:p w14:paraId="64DD7723" w14:textId="1B372EDF" w:rsidR="004455D6" w:rsidRDefault="004455D6" w:rsidP="004455D6">
              <w:r>
                <w:rPr>
                  <w:b/>
                  <w:bCs/>
                  <w:noProof/>
                </w:rPr>
                <w:fldChar w:fldCharType="end"/>
              </w:r>
            </w:p>
          </w:sdtContent>
        </w:sdt>
      </w:sdtContent>
    </w:sdt>
    <w:p w14:paraId="0C5ADA9E" w14:textId="76780A8E" w:rsidR="003C0942" w:rsidRPr="003C0942" w:rsidRDefault="003C0942" w:rsidP="005E25DD">
      <w:pPr>
        <w:spacing w:after="0"/>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w:t>
      </w:r>
    </w:p>
    <w:p w14:paraId="1481A8D5" w14:textId="77777777" w:rsidR="003C0942" w:rsidRPr="003C0942" w:rsidRDefault="003C0942" w:rsidP="003C0942">
      <w:pPr>
        <w:spacing w:after="0" w:line="240" w:lineRule="auto"/>
        <w:rPr>
          <w:rFonts w:ascii="Times New Roman" w:eastAsia="Times New Roman" w:hAnsi="Times New Roman" w:cs="Times New Roman"/>
          <w:szCs w:val="24"/>
          <w:lang w:val="en-IN" w:eastAsia="en-IN"/>
        </w:rPr>
      </w:pPr>
    </w:p>
    <w:p w14:paraId="4D36A727" w14:textId="77777777" w:rsidR="003C0942" w:rsidRPr="003C0942" w:rsidRDefault="003C0942" w:rsidP="003C0942">
      <w:pPr>
        <w:spacing w:after="0" w:line="240" w:lineRule="auto"/>
        <w:rPr>
          <w:rFonts w:ascii="Times New Roman" w:eastAsia="Times New Roman" w:hAnsi="Times New Roman" w:cs="Times New Roman"/>
          <w:szCs w:val="24"/>
          <w:lang w:val="en-IN" w:eastAsia="en-IN"/>
        </w:rPr>
      </w:pPr>
      <w:r w:rsidRPr="003C0942">
        <w:rPr>
          <w:rFonts w:eastAsia="Times New Roman" w:cs="Arial"/>
          <w:color w:val="000000"/>
          <w:szCs w:val="24"/>
          <w:lang w:val="en-IN" w:eastAsia="en-IN"/>
        </w:rPr>
        <w:t>          </w:t>
      </w:r>
    </w:p>
    <w:p w14:paraId="2B6A9718" w14:textId="77777777" w:rsidR="00EA4C56" w:rsidRDefault="00EA4C56"/>
    <w:sectPr w:rsidR="00EA4C5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37E92" w14:textId="77777777" w:rsidR="00033E1A" w:rsidRDefault="00033E1A" w:rsidP="00B436BF">
      <w:pPr>
        <w:spacing w:after="0" w:line="240" w:lineRule="auto"/>
      </w:pPr>
      <w:r>
        <w:separator/>
      </w:r>
    </w:p>
  </w:endnote>
  <w:endnote w:type="continuationSeparator" w:id="0">
    <w:p w14:paraId="6D38BDB6" w14:textId="77777777" w:rsidR="00033E1A" w:rsidRDefault="00033E1A" w:rsidP="00B436BF">
      <w:pPr>
        <w:spacing w:after="0" w:line="240" w:lineRule="auto"/>
      </w:pPr>
      <w:r>
        <w:continuationSeparator/>
      </w:r>
    </w:p>
  </w:endnote>
  <w:endnote w:type="continuationNotice" w:id="1">
    <w:p w14:paraId="5A08C792" w14:textId="77777777" w:rsidR="00152789" w:rsidRDefault="001527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953290"/>
      <w:docPartObj>
        <w:docPartGallery w:val="Page Numbers (Bottom of Page)"/>
        <w:docPartUnique/>
      </w:docPartObj>
    </w:sdtPr>
    <w:sdtEndPr>
      <w:rPr>
        <w:noProof/>
      </w:rPr>
    </w:sdtEndPr>
    <w:sdtContent>
      <w:p w14:paraId="510E02CD" w14:textId="69B97A40" w:rsidR="00B436BF" w:rsidRDefault="00B436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82D01B" w14:textId="77777777" w:rsidR="00B436BF" w:rsidRDefault="00B43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8E720" w14:textId="77777777" w:rsidR="00033E1A" w:rsidRDefault="00033E1A" w:rsidP="00B436BF">
      <w:pPr>
        <w:spacing w:after="0" w:line="240" w:lineRule="auto"/>
      </w:pPr>
      <w:r>
        <w:separator/>
      </w:r>
    </w:p>
  </w:footnote>
  <w:footnote w:type="continuationSeparator" w:id="0">
    <w:p w14:paraId="6F1D3A35" w14:textId="77777777" w:rsidR="00033E1A" w:rsidRDefault="00033E1A" w:rsidP="00B436BF">
      <w:pPr>
        <w:spacing w:after="0" w:line="240" w:lineRule="auto"/>
      </w:pPr>
      <w:r>
        <w:continuationSeparator/>
      </w:r>
    </w:p>
  </w:footnote>
  <w:footnote w:type="continuationNotice" w:id="1">
    <w:p w14:paraId="23C28F74" w14:textId="77777777" w:rsidR="00152789" w:rsidRDefault="0015278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942"/>
    <w:rsid w:val="00033E1A"/>
    <w:rsid w:val="00034773"/>
    <w:rsid w:val="00035016"/>
    <w:rsid w:val="000D0598"/>
    <w:rsid w:val="00152789"/>
    <w:rsid w:val="00174536"/>
    <w:rsid w:val="00261327"/>
    <w:rsid w:val="002F62EB"/>
    <w:rsid w:val="00315D5D"/>
    <w:rsid w:val="00331C50"/>
    <w:rsid w:val="003B66A2"/>
    <w:rsid w:val="003C0942"/>
    <w:rsid w:val="003F445E"/>
    <w:rsid w:val="00414FB0"/>
    <w:rsid w:val="004455D6"/>
    <w:rsid w:val="004F18B4"/>
    <w:rsid w:val="005A38E7"/>
    <w:rsid w:val="005E25DD"/>
    <w:rsid w:val="00713802"/>
    <w:rsid w:val="007638DF"/>
    <w:rsid w:val="007D022C"/>
    <w:rsid w:val="0097159D"/>
    <w:rsid w:val="0099097B"/>
    <w:rsid w:val="00A10491"/>
    <w:rsid w:val="00B436BF"/>
    <w:rsid w:val="00B609D7"/>
    <w:rsid w:val="00B953C1"/>
    <w:rsid w:val="00C061C2"/>
    <w:rsid w:val="00C22BE1"/>
    <w:rsid w:val="00C84121"/>
    <w:rsid w:val="00D94831"/>
    <w:rsid w:val="00DA0903"/>
    <w:rsid w:val="00E07D0C"/>
    <w:rsid w:val="00E12A11"/>
    <w:rsid w:val="00E418C6"/>
    <w:rsid w:val="00E53B8C"/>
    <w:rsid w:val="00EA4C56"/>
    <w:rsid w:val="00EC57E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B2DF0"/>
  <w15:chartTrackingRefBased/>
  <w15:docId w15:val="{E3E12566-CF6D-4EF6-B2A7-2291D525E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942"/>
    <w:pPr>
      <w:spacing w:after="40" w:line="360" w:lineRule="auto"/>
      <w:jc w:val="both"/>
    </w:pPr>
    <w:rPr>
      <w:rFonts w:ascii="Arial" w:hAnsi="Arial"/>
      <w:sz w:val="24"/>
      <w:lang w:val="en-GB"/>
    </w:rPr>
  </w:style>
  <w:style w:type="paragraph" w:styleId="Heading1">
    <w:name w:val="heading 1"/>
    <w:basedOn w:val="Normal"/>
    <w:next w:val="Normal"/>
    <w:link w:val="Heading1Char"/>
    <w:uiPriority w:val="9"/>
    <w:qFormat/>
    <w:rsid w:val="003C0942"/>
    <w:pPr>
      <w:keepNext/>
      <w:keepLines/>
      <w:spacing w:before="120" w:after="0"/>
      <w:outlineLvl w:val="0"/>
    </w:pPr>
    <w:rPr>
      <w:rFonts w:eastAsiaTheme="majorEastAsia"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0942"/>
    <w:pPr>
      <w:spacing w:before="100" w:beforeAutospacing="1" w:after="100" w:afterAutospacing="1" w:line="240" w:lineRule="auto"/>
    </w:pPr>
    <w:rPr>
      <w:rFonts w:ascii="Times New Roman" w:eastAsia="Times New Roman" w:hAnsi="Times New Roman" w:cs="Times New Roman"/>
      <w:szCs w:val="24"/>
      <w:lang w:val="en-IN" w:eastAsia="en-IN"/>
    </w:rPr>
  </w:style>
  <w:style w:type="character" w:customStyle="1" w:styleId="Heading1Char">
    <w:name w:val="Heading 1 Char"/>
    <w:basedOn w:val="DefaultParagraphFont"/>
    <w:link w:val="Heading1"/>
    <w:uiPriority w:val="9"/>
    <w:rsid w:val="003C0942"/>
    <w:rPr>
      <w:rFonts w:ascii="Arial" w:eastAsiaTheme="majorEastAsia" w:hAnsi="Arial" w:cstheme="majorBidi"/>
      <w:b/>
      <w:color w:val="2F5496" w:themeColor="accent1" w:themeShade="BF"/>
      <w:sz w:val="28"/>
      <w:szCs w:val="32"/>
      <w:lang w:val="en-GB"/>
    </w:rPr>
  </w:style>
  <w:style w:type="paragraph" w:styleId="Header">
    <w:name w:val="header"/>
    <w:basedOn w:val="Normal"/>
    <w:link w:val="HeaderChar"/>
    <w:uiPriority w:val="99"/>
    <w:unhideWhenUsed/>
    <w:rsid w:val="00B436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6BF"/>
    <w:rPr>
      <w:rFonts w:ascii="Arial" w:hAnsi="Arial"/>
      <w:sz w:val="24"/>
      <w:lang w:val="en-GB"/>
    </w:rPr>
  </w:style>
  <w:style w:type="paragraph" w:styleId="Footer">
    <w:name w:val="footer"/>
    <w:basedOn w:val="Normal"/>
    <w:link w:val="FooterChar"/>
    <w:uiPriority w:val="99"/>
    <w:unhideWhenUsed/>
    <w:rsid w:val="00B436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6BF"/>
    <w:rPr>
      <w:rFonts w:ascii="Arial" w:hAnsi="Arial"/>
      <w:sz w:val="24"/>
      <w:lang w:val="en-GB"/>
    </w:rPr>
  </w:style>
  <w:style w:type="paragraph" w:styleId="Bibliography">
    <w:name w:val="Bibliography"/>
    <w:basedOn w:val="Normal"/>
    <w:next w:val="Normal"/>
    <w:uiPriority w:val="37"/>
    <w:unhideWhenUsed/>
    <w:rsid w:val="004455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36">
      <w:bodyDiv w:val="1"/>
      <w:marLeft w:val="0"/>
      <w:marRight w:val="0"/>
      <w:marTop w:val="0"/>
      <w:marBottom w:val="0"/>
      <w:divBdr>
        <w:top w:val="none" w:sz="0" w:space="0" w:color="auto"/>
        <w:left w:val="none" w:sz="0" w:space="0" w:color="auto"/>
        <w:bottom w:val="none" w:sz="0" w:space="0" w:color="auto"/>
        <w:right w:val="none" w:sz="0" w:space="0" w:color="auto"/>
      </w:divBdr>
    </w:div>
    <w:div w:id="97916433">
      <w:bodyDiv w:val="1"/>
      <w:marLeft w:val="0"/>
      <w:marRight w:val="0"/>
      <w:marTop w:val="0"/>
      <w:marBottom w:val="0"/>
      <w:divBdr>
        <w:top w:val="none" w:sz="0" w:space="0" w:color="auto"/>
        <w:left w:val="none" w:sz="0" w:space="0" w:color="auto"/>
        <w:bottom w:val="none" w:sz="0" w:space="0" w:color="auto"/>
        <w:right w:val="none" w:sz="0" w:space="0" w:color="auto"/>
      </w:divBdr>
    </w:div>
    <w:div w:id="201286345">
      <w:bodyDiv w:val="1"/>
      <w:marLeft w:val="0"/>
      <w:marRight w:val="0"/>
      <w:marTop w:val="0"/>
      <w:marBottom w:val="0"/>
      <w:divBdr>
        <w:top w:val="none" w:sz="0" w:space="0" w:color="auto"/>
        <w:left w:val="none" w:sz="0" w:space="0" w:color="auto"/>
        <w:bottom w:val="none" w:sz="0" w:space="0" w:color="auto"/>
        <w:right w:val="none" w:sz="0" w:space="0" w:color="auto"/>
      </w:divBdr>
    </w:div>
    <w:div w:id="304897993">
      <w:bodyDiv w:val="1"/>
      <w:marLeft w:val="0"/>
      <w:marRight w:val="0"/>
      <w:marTop w:val="0"/>
      <w:marBottom w:val="0"/>
      <w:divBdr>
        <w:top w:val="none" w:sz="0" w:space="0" w:color="auto"/>
        <w:left w:val="none" w:sz="0" w:space="0" w:color="auto"/>
        <w:bottom w:val="none" w:sz="0" w:space="0" w:color="auto"/>
        <w:right w:val="none" w:sz="0" w:space="0" w:color="auto"/>
      </w:divBdr>
    </w:div>
    <w:div w:id="389353353">
      <w:bodyDiv w:val="1"/>
      <w:marLeft w:val="0"/>
      <w:marRight w:val="0"/>
      <w:marTop w:val="0"/>
      <w:marBottom w:val="0"/>
      <w:divBdr>
        <w:top w:val="none" w:sz="0" w:space="0" w:color="auto"/>
        <w:left w:val="none" w:sz="0" w:space="0" w:color="auto"/>
        <w:bottom w:val="none" w:sz="0" w:space="0" w:color="auto"/>
        <w:right w:val="none" w:sz="0" w:space="0" w:color="auto"/>
      </w:divBdr>
    </w:div>
    <w:div w:id="399715410">
      <w:bodyDiv w:val="1"/>
      <w:marLeft w:val="0"/>
      <w:marRight w:val="0"/>
      <w:marTop w:val="0"/>
      <w:marBottom w:val="0"/>
      <w:divBdr>
        <w:top w:val="none" w:sz="0" w:space="0" w:color="auto"/>
        <w:left w:val="none" w:sz="0" w:space="0" w:color="auto"/>
        <w:bottom w:val="none" w:sz="0" w:space="0" w:color="auto"/>
        <w:right w:val="none" w:sz="0" w:space="0" w:color="auto"/>
      </w:divBdr>
    </w:div>
    <w:div w:id="521628200">
      <w:bodyDiv w:val="1"/>
      <w:marLeft w:val="0"/>
      <w:marRight w:val="0"/>
      <w:marTop w:val="0"/>
      <w:marBottom w:val="0"/>
      <w:divBdr>
        <w:top w:val="none" w:sz="0" w:space="0" w:color="auto"/>
        <w:left w:val="none" w:sz="0" w:space="0" w:color="auto"/>
        <w:bottom w:val="none" w:sz="0" w:space="0" w:color="auto"/>
        <w:right w:val="none" w:sz="0" w:space="0" w:color="auto"/>
      </w:divBdr>
    </w:div>
    <w:div w:id="523247655">
      <w:bodyDiv w:val="1"/>
      <w:marLeft w:val="0"/>
      <w:marRight w:val="0"/>
      <w:marTop w:val="0"/>
      <w:marBottom w:val="0"/>
      <w:divBdr>
        <w:top w:val="none" w:sz="0" w:space="0" w:color="auto"/>
        <w:left w:val="none" w:sz="0" w:space="0" w:color="auto"/>
        <w:bottom w:val="none" w:sz="0" w:space="0" w:color="auto"/>
        <w:right w:val="none" w:sz="0" w:space="0" w:color="auto"/>
      </w:divBdr>
    </w:div>
    <w:div w:id="588388812">
      <w:bodyDiv w:val="1"/>
      <w:marLeft w:val="0"/>
      <w:marRight w:val="0"/>
      <w:marTop w:val="0"/>
      <w:marBottom w:val="0"/>
      <w:divBdr>
        <w:top w:val="none" w:sz="0" w:space="0" w:color="auto"/>
        <w:left w:val="none" w:sz="0" w:space="0" w:color="auto"/>
        <w:bottom w:val="none" w:sz="0" w:space="0" w:color="auto"/>
        <w:right w:val="none" w:sz="0" w:space="0" w:color="auto"/>
      </w:divBdr>
    </w:div>
    <w:div w:id="594943241">
      <w:bodyDiv w:val="1"/>
      <w:marLeft w:val="0"/>
      <w:marRight w:val="0"/>
      <w:marTop w:val="0"/>
      <w:marBottom w:val="0"/>
      <w:divBdr>
        <w:top w:val="none" w:sz="0" w:space="0" w:color="auto"/>
        <w:left w:val="none" w:sz="0" w:space="0" w:color="auto"/>
        <w:bottom w:val="none" w:sz="0" w:space="0" w:color="auto"/>
        <w:right w:val="none" w:sz="0" w:space="0" w:color="auto"/>
      </w:divBdr>
    </w:div>
    <w:div w:id="633297915">
      <w:bodyDiv w:val="1"/>
      <w:marLeft w:val="0"/>
      <w:marRight w:val="0"/>
      <w:marTop w:val="0"/>
      <w:marBottom w:val="0"/>
      <w:divBdr>
        <w:top w:val="none" w:sz="0" w:space="0" w:color="auto"/>
        <w:left w:val="none" w:sz="0" w:space="0" w:color="auto"/>
        <w:bottom w:val="none" w:sz="0" w:space="0" w:color="auto"/>
        <w:right w:val="none" w:sz="0" w:space="0" w:color="auto"/>
      </w:divBdr>
    </w:div>
    <w:div w:id="681902348">
      <w:bodyDiv w:val="1"/>
      <w:marLeft w:val="0"/>
      <w:marRight w:val="0"/>
      <w:marTop w:val="0"/>
      <w:marBottom w:val="0"/>
      <w:divBdr>
        <w:top w:val="none" w:sz="0" w:space="0" w:color="auto"/>
        <w:left w:val="none" w:sz="0" w:space="0" w:color="auto"/>
        <w:bottom w:val="none" w:sz="0" w:space="0" w:color="auto"/>
        <w:right w:val="none" w:sz="0" w:space="0" w:color="auto"/>
      </w:divBdr>
    </w:div>
    <w:div w:id="759912096">
      <w:bodyDiv w:val="1"/>
      <w:marLeft w:val="0"/>
      <w:marRight w:val="0"/>
      <w:marTop w:val="0"/>
      <w:marBottom w:val="0"/>
      <w:divBdr>
        <w:top w:val="none" w:sz="0" w:space="0" w:color="auto"/>
        <w:left w:val="none" w:sz="0" w:space="0" w:color="auto"/>
        <w:bottom w:val="none" w:sz="0" w:space="0" w:color="auto"/>
        <w:right w:val="none" w:sz="0" w:space="0" w:color="auto"/>
      </w:divBdr>
    </w:div>
    <w:div w:id="761418299">
      <w:bodyDiv w:val="1"/>
      <w:marLeft w:val="0"/>
      <w:marRight w:val="0"/>
      <w:marTop w:val="0"/>
      <w:marBottom w:val="0"/>
      <w:divBdr>
        <w:top w:val="none" w:sz="0" w:space="0" w:color="auto"/>
        <w:left w:val="none" w:sz="0" w:space="0" w:color="auto"/>
        <w:bottom w:val="none" w:sz="0" w:space="0" w:color="auto"/>
        <w:right w:val="none" w:sz="0" w:space="0" w:color="auto"/>
      </w:divBdr>
    </w:div>
    <w:div w:id="1130442243">
      <w:bodyDiv w:val="1"/>
      <w:marLeft w:val="0"/>
      <w:marRight w:val="0"/>
      <w:marTop w:val="0"/>
      <w:marBottom w:val="0"/>
      <w:divBdr>
        <w:top w:val="none" w:sz="0" w:space="0" w:color="auto"/>
        <w:left w:val="none" w:sz="0" w:space="0" w:color="auto"/>
        <w:bottom w:val="none" w:sz="0" w:space="0" w:color="auto"/>
        <w:right w:val="none" w:sz="0" w:space="0" w:color="auto"/>
      </w:divBdr>
    </w:div>
    <w:div w:id="1612202692">
      <w:bodyDiv w:val="1"/>
      <w:marLeft w:val="0"/>
      <w:marRight w:val="0"/>
      <w:marTop w:val="0"/>
      <w:marBottom w:val="0"/>
      <w:divBdr>
        <w:top w:val="none" w:sz="0" w:space="0" w:color="auto"/>
        <w:left w:val="none" w:sz="0" w:space="0" w:color="auto"/>
        <w:bottom w:val="none" w:sz="0" w:space="0" w:color="auto"/>
        <w:right w:val="none" w:sz="0" w:space="0" w:color="auto"/>
      </w:divBdr>
    </w:div>
    <w:div w:id="1629772630">
      <w:bodyDiv w:val="1"/>
      <w:marLeft w:val="0"/>
      <w:marRight w:val="0"/>
      <w:marTop w:val="0"/>
      <w:marBottom w:val="0"/>
      <w:divBdr>
        <w:top w:val="none" w:sz="0" w:space="0" w:color="auto"/>
        <w:left w:val="none" w:sz="0" w:space="0" w:color="auto"/>
        <w:bottom w:val="none" w:sz="0" w:space="0" w:color="auto"/>
        <w:right w:val="none" w:sz="0" w:space="0" w:color="auto"/>
      </w:divBdr>
    </w:div>
    <w:div w:id="1665694827">
      <w:bodyDiv w:val="1"/>
      <w:marLeft w:val="0"/>
      <w:marRight w:val="0"/>
      <w:marTop w:val="0"/>
      <w:marBottom w:val="0"/>
      <w:divBdr>
        <w:top w:val="none" w:sz="0" w:space="0" w:color="auto"/>
        <w:left w:val="none" w:sz="0" w:space="0" w:color="auto"/>
        <w:bottom w:val="none" w:sz="0" w:space="0" w:color="auto"/>
        <w:right w:val="none" w:sz="0" w:space="0" w:color="auto"/>
      </w:divBdr>
    </w:div>
    <w:div w:id="1719162892">
      <w:bodyDiv w:val="1"/>
      <w:marLeft w:val="0"/>
      <w:marRight w:val="0"/>
      <w:marTop w:val="0"/>
      <w:marBottom w:val="0"/>
      <w:divBdr>
        <w:top w:val="none" w:sz="0" w:space="0" w:color="auto"/>
        <w:left w:val="none" w:sz="0" w:space="0" w:color="auto"/>
        <w:bottom w:val="none" w:sz="0" w:space="0" w:color="auto"/>
        <w:right w:val="none" w:sz="0" w:space="0" w:color="auto"/>
      </w:divBdr>
    </w:div>
    <w:div w:id="1812289711">
      <w:bodyDiv w:val="1"/>
      <w:marLeft w:val="0"/>
      <w:marRight w:val="0"/>
      <w:marTop w:val="0"/>
      <w:marBottom w:val="0"/>
      <w:divBdr>
        <w:top w:val="none" w:sz="0" w:space="0" w:color="auto"/>
        <w:left w:val="none" w:sz="0" w:space="0" w:color="auto"/>
        <w:bottom w:val="none" w:sz="0" w:space="0" w:color="auto"/>
        <w:right w:val="none" w:sz="0" w:space="0" w:color="auto"/>
      </w:divBdr>
    </w:div>
    <w:div w:id="1963226801">
      <w:bodyDiv w:val="1"/>
      <w:marLeft w:val="0"/>
      <w:marRight w:val="0"/>
      <w:marTop w:val="0"/>
      <w:marBottom w:val="0"/>
      <w:divBdr>
        <w:top w:val="none" w:sz="0" w:space="0" w:color="auto"/>
        <w:left w:val="none" w:sz="0" w:space="0" w:color="auto"/>
        <w:bottom w:val="none" w:sz="0" w:space="0" w:color="auto"/>
        <w:right w:val="none" w:sz="0" w:space="0" w:color="auto"/>
      </w:divBdr>
    </w:div>
    <w:div w:id="213983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dav21</b:Tag>
    <b:SourceType>InternetSite</b:SourceType>
    <b:Guid>{163B5AA6-AF8E-4495-93A8-0A67BAA359E2}</b:Guid>
    <b:Author>
      <b:Author>
        <b:Corporate>davidzinger</b:Corporate>
      </b:Author>
    </b:Author>
    <b:Title>Zinger Model</b:Title>
    <b:Year>2021</b:Year>
    <b:YearAccessed>2022</b:YearAccessed>
    <b:URL>http://www.davidzinger.com/zinger-model/</b:URL>
    <b:RefOrder>19</b:RefOrder>
  </b:Source>
  <b:Source>
    <b:Tag>Sam18</b:Tag>
    <b:SourceType>Book</b:SourceType>
    <b:Guid>{7EE10F3D-BC9E-43D1-AD12-12EA62887CD2}</b:Guid>
    <b:Title>Corporate practices in employee engagement</b:Title>
    <b:Year>2018</b:Year>
    <b:Author>
      <b:Author>
        <b:NameList>
          <b:Person>
            <b:Last>Samantaray</b:Last>
            <b:First>M.R.</b:First>
          </b:Person>
          <b:Person>
            <b:Last>Sahu</b:Last>
            <b:First>P.K.</b:First>
          </b:Person>
        </b:NameList>
      </b:Author>
    </b:Author>
    <b:RefOrder>20</b:RefOrder>
  </b:Source>
  <b:Source>
    <b:Tag>Sun19</b:Tag>
    <b:SourceType>JournalArticle</b:SourceType>
    <b:Guid>{4156F72F-76FE-4C4F-BBA4-595C25F51FB3}</b:Guid>
    <b:Title>Employee engagement: A literature review</b:Title>
    <b:Year>2019</b:Year>
    <b:Author>
      <b:Author>
        <b:NameList>
          <b:Person>
            <b:Last>Sun</b:Last>
            <b:First>L.</b:First>
          </b:Person>
          <b:Person>
            <b:Last>Bunchapattanasakda</b:Last>
            <b:First>C.</b:First>
          </b:Person>
        </b:NameList>
      </b:Author>
    </b:Author>
    <b:JournalName>International Journal of Human Resource Studies</b:JournalName>
    <b:Pages>63-80</b:Pages>
    <b:Volume>9</b:Volume>
    <b:Issue>1</b:Issue>
    <b:RefOrder>1</b:RefOrder>
  </b:Source>
  <b:Source>
    <b:Tag>Sak22</b:Tag>
    <b:SourceType>JournalArticle</b:SourceType>
    <b:Guid>{FB6B02F6-4E82-4E31-A01F-21128A0CE127}</b:Guid>
    <b:Author>
      <b:Author>
        <b:NameList>
          <b:Person>
            <b:Last>Saks</b:Last>
            <b:First>A.M.</b:First>
          </b:Person>
        </b:NameList>
      </b:Author>
    </b:Author>
    <b:Title>Caring human resources management and employee engagement</b:Title>
    <b:JournalName>Human Resource Management Review</b:JournalName>
    <b:Year>2022</b:Year>
    <b:Pages>100835</b:Pages>
    <b:Volume>32</b:Volume>
    <b:Issue>3</b:Issue>
    <b:RefOrder>3</b:RefOrder>
  </b:Source>
  <b:Source>
    <b:Tag>Dus20</b:Tag>
    <b:SourceType>JournalArticle</b:SourceType>
    <b:Guid>{DD0352BA-FC4B-487E-8305-6EAFD493DED4}</b:Guid>
    <b:Author>
      <b:Author>
        <b:NameList>
          <b:Person>
            <b:Last>Dusenberry</b:Last>
            <b:First>L.</b:First>
          </b:Person>
          <b:Person>
            <b:Last>Robinson</b:Last>
            <b:First>J.</b:First>
          </b:Person>
        </b:NameList>
      </b:Author>
    </b:Author>
    <b:Title>Building Psychological Safety Through Training Interventions: Manage the Team, Not Just the Project</b:Title>
    <b:JournalName>IEEE Transactions on Professional Communication</b:JournalName>
    <b:Year>2020</b:Year>
    <b:Pages>207-226</b:Pages>
    <b:Volume>63</b:Volume>
    <b:Issue>3</b:Issue>
    <b:RefOrder>5</b:RefOrder>
  </b:Source>
  <b:Source>
    <b:Tag>nib211</b:Tag>
    <b:SourceType>InternetSite</b:SourceType>
    <b:Guid>{32355C19-17C6-48FD-837E-17A01D3CF6F8}</b:Guid>
    <b:Title>Employee engagement</b:Title>
    <b:Year>2021</b:Year>
    <b:Author>
      <b:Author>
        <b:Corporate>nibusinessinfo.co.uk</b:Corporate>
      </b:Author>
    </b:Author>
    <b:YearAccessed>2022</b:YearAccessed>
    <b:URL>https://www.nibusinessinfo.co.uk/content/advantages-employee-engagement</b:URL>
    <b:RefOrder>7</b:RefOrder>
  </b:Source>
  <b:Source>
    <b:Tag>Ant181</b:Tag>
    <b:SourceType>JournalArticle</b:SourceType>
    <b:Guid>{A5448268-02B3-46F8-B7C1-7BC0B216CCAF}</b:Guid>
    <b:Title>Paradigm shift in employee engagement–A critical analysis on the drivers of employee engagement</b:Title>
    <b:Year>2018</b:Year>
    <b:Author>
      <b:Author>
        <b:NameList>
          <b:Person>
            <b:Last>Antony</b:Last>
            <b:First>M.R.</b:First>
          </b:Person>
        </b:NameList>
      </b:Author>
    </b:Author>
    <b:JournalName>International Journal of Information, Business and Management</b:JournalName>
    <b:Pages>32-46</b:Pages>
    <b:Volume>10</b:Volume>
    <b:Issue>2</b:Issue>
    <b:RefOrder>8</b:RefOrder>
  </b:Source>
  <b:Source>
    <b:Tag>com20</b:Tag>
    <b:SourceType>InternetSite</b:SourceType>
    <b:Guid>{EA2F61C5-DC6B-41B8-80C1-AE6B40F9C37E}</b:Guid>
    <b:Title>Marriott Employee Engagement</b:Title>
    <b:Year>2020</b:Year>
    <b:Author>
      <b:Author>
        <b:Corporate>comparably</b:Corporate>
      </b:Author>
    </b:Author>
    <b:YearAccessed>2022</b:YearAccessed>
    <b:URL>https://www.comparably.com/companies/marriott/employee-engagement</b:URL>
    <b:RefOrder>10</b:RefOrder>
  </b:Source>
  <b:Source>
    <b:Tag>Cat19</b:Tag>
    <b:SourceType>JournalArticle</b:SourceType>
    <b:Guid>{E17DB0F6-7716-45F9-9469-57E18A12658E}</b:Guid>
    <b:Title>Developing the employee lifecycle to keep top talent</b:Title>
    <b:Year>2019</b:Year>
    <b:Author>
      <b:Author>
        <b:NameList>
          <b:Person>
            <b:Last>Cattermole</b:Last>
            <b:First>G.</b:First>
          </b:Person>
        </b:NameList>
      </b:Author>
    </b:Author>
    <b:JournalName>Strategic HR review</b:JournalName>
    <b:RefOrder>11</b:RefOrder>
  </b:Source>
  <b:Source>
    <b:Tag>Koc20</b:Tag>
    <b:SourceType>JournalArticle</b:SourceType>
    <b:Guid>{E641947E-EBCE-469C-8CE2-59F886A4B195}</b:Guid>
    <b:Author>
      <b:Author>
        <b:NameList>
          <b:Person>
            <b:Last>Koch</b:Last>
            <b:First>J.</b:First>
            <b:Middle>and Schermuly, C.C.</b:Middle>
          </b:Person>
        </b:NameList>
      </b:Author>
    </b:Author>
    <b:Title>Who is attracted and why? How agile project management influences employee's attraction and commitment</b:Title>
    <b:JournalName>International Journal of Managing Projects in Business</b:JournalName>
    <b:Year> 2020</b:Year>
    <b:RefOrder>12</b:RefOrder>
  </b:Source>
  <b:Source>
    <b:Tag>Pei19</b:Tag>
    <b:SourceType>JournalArticle</b:SourceType>
    <b:Guid>{C15A2EC1-3362-49FD-8A9E-6F7F5C9D99D2}</b:Guid>
    <b:Author>
      <b:Author>
        <b:NameList>
          <b:Person>
            <b:Last>Peisl</b:Last>
            <b:First>T.</b:First>
          </b:Person>
          <b:Person>
            <b:Last>Shah</b:Last>
            <b:First>B.</b:First>
          </b:Person>
        </b:NameList>
      </b:Author>
    </b:Author>
    <b:Title>The impact of blockchain technologies on recruitment influencing the employee lifecycle</b:Title>
    <b:JournalName>European Conference on Software Process Improvement</b:JournalName>
    <b:Year>2019</b:Year>
    <b:Pages>695-705</b:Pages>
    <b:RefOrder>13</b:RefOrder>
  </b:Source>
  <b:Source>
    <b:Tag>Hal18</b:Tag>
    <b:SourceType>JournalArticle</b:SourceType>
    <b:Guid>{717EDA45-A7E2-4BE8-AF48-5998886FBE30}</b:Guid>
    <b:Author>
      <b:Author>
        <b:NameList>
          <b:Person>
            <b:Last>Hall-Jones</b:Last>
            <b:First>J.</b:First>
          </b:Person>
          <b:Person>
            <b:Last>Simmons</b:Last>
            <b:First>T.</b:First>
          </b:Person>
          <b:Person>
            <b:Last>Stermer</b:Last>
            <b:First>E.</b:First>
          </b:Person>
          <b:Person>
            <b:Last>van Hemert</b:Last>
            <b:First>J.P.</b:First>
          </b:Person>
          <b:Person>
            <b:Last>Vogel</b:Last>
            <b:First>M.</b:First>
          </b:Person>
        </b:NameList>
      </b:Author>
    </b:Author>
    <b:Title>Onboarding employees through shared values</b:Title>
    <b:JournalName>Journal of Research, Assessment, and Practice in Higher Education</b:JournalName>
    <b:Year>2018</b:Year>
    <b:Pages>9</b:Pages>
    <b:Volume>3</b:Volume>
    <b:Issue>1</b:Issue>
    <b:RefOrder>14</b:RefOrder>
  </b:Source>
  <b:Source>
    <b:Tag>Sat202</b:Tag>
    <b:SourceType>JournalArticle</b:SourceType>
    <b:Guid>{6FB512EE-DE0C-4202-819E-0035741E0BBC}</b:Guid>
    <b:Author>
      <b:Author>
        <b:NameList>
          <b:Person>
            <b:Last>Sato</b:Last>
            <b:First>Y.</b:First>
          </b:Person>
          <b:Person>
            <b:Last>Kobayashi</b:Last>
            <b:First>N.</b:First>
          </b:Person>
          <b:Person>
            <b:Last>Shirasaka</b:Last>
            <b:First>S.</b:First>
          </b:Person>
        </b:NameList>
      </b:Author>
    </b:Author>
    <b:Title>An analysis of human resource management for knowledge workers: Using the three axes of target employee, lifecycle stage, and human resource flow</b:Title>
    <b:JournalName>Review of Integrative Business and Economics Research</b:JournalName>
    <b:Year>2020</b:Year>
    <b:Pages>140-156</b:Pages>
    <b:Volume>9</b:Volume>
    <b:Issue>1</b:Issue>
    <b:RefOrder>15</b:RefOrder>
  </b:Source>
  <b:Source>
    <b:Tag>Sin19</b:Tag>
    <b:SourceType>JournalArticle</b:SourceType>
    <b:Guid>{6062C592-B331-48A8-AA69-20173E7386F9}</b:Guid>
    <b:Author>
      <b:Author>
        <b:NameList>
          <b:Person>
            <b:Last>Singh</b:Last>
            <b:First>D.</b:First>
          </b:Person>
        </b:NameList>
      </b:Author>
    </b:Author>
    <b:Title>A literature review on employee retention with focus on recent trends</b:Title>
    <b:JournalName>International Journal of Scientific Research in Science and Technology</b:JournalName>
    <b:Year>2019</b:Year>
    <b:Pages>425-431</b:Pages>
    <b:Volume>6</b:Volume>
    <b:Issue>1</b:Issue>
    <b:RefOrder>16</b:RefOrder>
  </b:Source>
  <b:Source>
    <b:Tag>Mar203</b:Tag>
    <b:SourceType>JournalArticle</b:SourceType>
    <b:Guid>{D570B912-BB19-4E1D-B33B-A23F76BB9013}</b:Guid>
    <b:Author>
      <b:Author>
        <b:NameList>
          <b:Person>
            <b:Last>Mardanov</b:Last>
            <b:First>I.</b:First>
          </b:Person>
        </b:NameList>
      </b:Author>
    </b:Author>
    <b:Title>Intrinsic and extrinsic motivation, organizational context, employee contentment, job satisfaction, performance and intention to stay</b:Title>
    <b:JournalName>Evidence-based HRM: a Global Forum for Empirical Scholarship</b:JournalName>
    <b:Year>2020</b:Year>
    <b:RefOrder>17</b:RefOrder>
  </b:Source>
  <b:Source>
    <b:Tag>Zap21</b:Tag>
    <b:SourceType>JournalArticle</b:SourceType>
    <b:Guid>{3E7930F4-499B-414A-80E4-A71D3FF44541}</b:Guid>
    <b:Author>
      <b:Author>
        <b:NameList>
          <b:Person>
            <b:Last>Zappalą</b:Last>
            <b:First>S.</b:First>
          </b:Person>
          <b:Person>
            <b:Last>Mattera</b:Last>
            <b:First>L.</b:First>
          </b:Person>
        </b:NameList>
      </b:Author>
    </b:Author>
    <b:Title>Ethical leadership and service orientation in social care workers: Team engagement and service climate as sequential mediators</b:Title>
    <b:JournalName>Psicologia sociale</b:JournalName>
    <b:Year>2021</b:Year>
    <b:Pages>75-97</b:Pages>
    <b:Volume>16</b:Volume>
    <b:Issue>1</b:Issue>
    <b:RefOrder>18</b:RefOrder>
  </b:Source>
  <b:Source>
    <b:Tag>Sim18</b:Tag>
    <b:SourceType>JournalArticle</b:SourceType>
    <b:Guid>{0C2F0C7E-4566-4501-B9A2-24F6A707A2BE}</b:Guid>
    <b:Author>
      <b:Author>
        <b:NameList>
          <b:Person>
            <b:Last>Simatupang</b:Last>
            <b:First>A.</b:First>
          </b:Person>
          <b:Person>
            <b:Last>Saroyeni</b:Last>
            <b:First>P.</b:First>
          </b:Person>
        </b:NameList>
      </b:Author>
    </b:Author>
    <b:Title>The effect of discipline, motivation and commitment to employee performance</b:Title>
    <b:JournalName>IOSR Journal of Business and Management (IOSR-JBM)</b:JournalName>
    <b:Year>2018</b:Year>
    <b:Pages>31-37</b:Pages>
    <b:Volume>20</b:Volume>
    <b:Issue>6</b:Issue>
    <b:RefOrder>9</b:RefOrder>
  </b:Source>
  <b:Source>
    <b:Tag>Sid19</b:Tag>
    <b:SourceType>JournalArticle</b:SourceType>
    <b:Guid>{3A965900-6F10-4DEB-9D5C-9696D14AB096}</b:Guid>
    <b:Author>
      <b:Author>
        <b:NameList>
          <b:Person>
            <b:Last>Siddiqui</b:Last>
            <b:First>D.A.</b:First>
          </b:Person>
          <b:Person>
            <b:Last>Sahar</b:Last>
            <b:First>N.</b:First>
          </b:Person>
        </b:NameList>
      </b:Author>
    </b:Author>
    <b:Title>The impact of training &amp; development and communication on employee engagement–A study of banking sector.</b:Title>
    <b:JournalName>Sahar, N. and Siddiqui, DA (2019). The Impact of Training &amp; Development and Communication on Employee Engagement–A Study of Banking Sector. Business Management and Strategy</b:JournalName>
    <b:Year>2019</b:Year>
    <b:Pages>23-40</b:Pages>
    <b:Volume>10</b:Volume>
    <b:Issue>1</b:Issue>
    <b:RefOrder>6</b:RefOrder>
  </b:Source>
  <b:Source>
    <b:Tag>Hoq18</b:Tag>
    <b:SourceType>JournalArticle</b:SourceType>
    <b:Guid>{D221823B-E526-4D52-B48A-69FCCFD70B43}</b:Guid>
    <b:Author>
      <b:Author>
        <b:NameList>
          <b:Person>
            <b:Last>Hoque</b:Last>
            <b:First>A.S.M.M.</b:First>
          </b:Person>
          <b:Person>
            <b:Last>Awang</b:Last>
            <b:First>Z.</b:First>
          </b:Person>
          <b:Person>
            <b:Last>Siddiqui</b:Last>
            <b:First>B.A.</b:First>
          </b:Person>
          <b:Person>
            <b:Last>Sabiu</b:Last>
            <b:First>M.S.</b:First>
          </b:Person>
        </b:NameList>
      </b:Author>
    </b:Author>
    <b:Title>Role of employee engagement on compensation system and employee performance relationship among telecommunication service providers in Bangladesh</b:Title>
    <b:JournalName>International Journal of Human Resource Studies</b:JournalName>
    <b:Year>2018</b:Year>
    <b:Pages>19-37</b:Pages>
    <b:Volume>8</b:Volume>
    <b:Issue>3</b:Issue>
    <b:RefOrder>2</b:RefOrder>
  </b:Source>
  <b:Source>
    <b:Tag>Wis19</b:Tag>
    <b:SourceType>JournalArticle</b:SourceType>
    <b:Guid>{C07A74E1-B00A-4F2E-973D-550B2E7434A0}</b:Guid>
    <b:Author>
      <b:Author>
        <b:NameList>
          <b:Person>
            <b:Last>Wise</b:Last>
            <b:First>G.</b:First>
          </b:Person>
          <b:Person>
            <b:Last>Jolles</b:Last>
            <b:First>D.</b:First>
          </b:Person>
        </b:NameList>
      </b:Author>
    </b:Author>
    <b:Title>Promoting effective care: Reducing primary cesarean births through team engagement and standardization of care at a community hospital</b:Title>
    <b:JournalName>Nursing Forum</b:JournalName>
    <b:Year>2019</b:Year>
    <b:Pages>601-610</b:Pages>
    <b:Volume>54</b:Volume>
    <b:Issue>4</b:Issue>
    <b:RefOrder>4</b:RefOrder>
  </b:Source>
</b:Sources>
</file>

<file path=customXml/itemProps1.xml><?xml version="1.0" encoding="utf-8"?>
<ds:datastoreItem xmlns:ds="http://schemas.openxmlformats.org/officeDocument/2006/customXml" ds:itemID="{2508AD9D-79B0-4846-93F3-D523CD408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2754</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Soumallya Roy</dc:creator>
  <cp:keywords/>
  <dc:description/>
  <cp:lastModifiedBy>Marina Branza (2027760)</cp:lastModifiedBy>
  <cp:revision>2</cp:revision>
  <dcterms:created xsi:type="dcterms:W3CDTF">2022-10-25T13:04:00Z</dcterms:created>
  <dcterms:modified xsi:type="dcterms:W3CDTF">2022-10-25T13:04:00Z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a1b2cd47-b163-4dd3-a2d2-899f7bff3a53</vt:lpwstr>
  </property>
</Properties>
</file>