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89AE7" w14:textId="22571536" w:rsidR="00780966" w:rsidRDefault="00AE758F" w:rsidP="00780966">
      <w:pPr>
        <w:jc w:val="center"/>
        <w:rPr>
          <w:rFonts w:ascii="Calibri" w:hAnsi="Calibri" w:cs="Calibri"/>
        </w:rPr>
      </w:pPr>
      <w:r>
        <w:rPr>
          <w:rFonts w:ascii="Calibri" w:hAnsi="Calibri" w:cs="Calibri"/>
        </w:rPr>
        <w:t>22</w:t>
      </w:r>
      <w:r w:rsidR="00780966">
        <w:rPr>
          <w:rFonts w:ascii="Times New Roman"/>
          <w:noProof/>
          <w:sz w:val="20"/>
        </w:rPr>
        <w:drawing>
          <wp:inline distT="0" distB="0" distL="0" distR="0" wp14:anchorId="33603DB9" wp14:editId="0E2CA592">
            <wp:extent cx="1816100" cy="9144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25425" cy="919095"/>
                    </a:xfrm>
                    <a:prstGeom prst="rect">
                      <a:avLst/>
                    </a:prstGeom>
                  </pic:spPr>
                </pic:pic>
              </a:graphicData>
            </a:graphic>
          </wp:inline>
        </w:drawing>
      </w:r>
    </w:p>
    <w:p w14:paraId="3595DACC" w14:textId="77777777" w:rsidR="00780966" w:rsidRDefault="00780966" w:rsidP="00780966">
      <w:pPr>
        <w:rPr>
          <w:b/>
          <w:sz w:val="21"/>
        </w:rPr>
      </w:pPr>
    </w:p>
    <w:p w14:paraId="474ADB40" w14:textId="502526BF" w:rsidR="00780966" w:rsidRPr="00FD0090" w:rsidRDefault="00780966" w:rsidP="00FD0090">
      <w:pPr>
        <w:jc w:val="center"/>
        <w:rPr>
          <w:rFonts w:ascii="Calibri" w:hAnsi="Calibri" w:cs="Calibri"/>
          <w:b/>
          <w:spacing w:val="-2"/>
          <w:sz w:val="36"/>
          <w:szCs w:val="36"/>
        </w:rPr>
      </w:pPr>
      <w:r w:rsidRPr="00FD0090">
        <w:rPr>
          <w:rFonts w:ascii="Calibri" w:hAnsi="Calibri" w:cs="Calibri"/>
          <w:b/>
          <w:sz w:val="36"/>
          <w:szCs w:val="36"/>
        </w:rPr>
        <w:t>BA</w:t>
      </w:r>
      <w:r w:rsidRPr="00FD0090">
        <w:rPr>
          <w:rFonts w:ascii="Calibri" w:hAnsi="Calibri" w:cs="Calibri"/>
          <w:b/>
          <w:spacing w:val="-7"/>
          <w:sz w:val="36"/>
          <w:szCs w:val="36"/>
        </w:rPr>
        <w:t xml:space="preserve"> </w:t>
      </w:r>
      <w:r w:rsidRPr="00FD0090">
        <w:rPr>
          <w:rFonts w:ascii="Calibri" w:hAnsi="Calibri" w:cs="Calibri"/>
          <w:b/>
          <w:sz w:val="36"/>
          <w:szCs w:val="36"/>
        </w:rPr>
        <w:t>(Hons)</w:t>
      </w:r>
      <w:r w:rsidRPr="00FD0090">
        <w:rPr>
          <w:rFonts w:ascii="Calibri" w:hAnsi="Calibri" w:cs="Calibri"/>
          <w:b/>
          <w:spacing w:val="-7"/>
          <w:sz w:val="36"/>
          <w:szCs w:val="36"/>
        </w:rPr>
        <w:t xml:space="preserve"> </w:t>
      </w:r>
      <w:r w:rsidRPr="00FD0090">
        <w:rPr>
          <w:rFonts w:ascii="Calibri" w:hAnsi="Calibri" w:cs="Calibri"/>
          <w:b/>
          <w:sz w:val="36"/>
          <w:szCs w:val="36"/>
        </w:rPr>
        <w:t>Leadership</w:t>
      </w:r>
      <w:r w:rsidRPr="00FD0090">
        <w:rPr>
          <w:rFonts w:ascii="Calibri" w:hAnsi="Calibri" w:cs="Calibri"/>
          <w:b/>
          <w:spacing w:val="-6"/>
          <w:sz w:val="36"/>
          <w:szCs w:val="36"/>
        </w:rPr>
        <w:t xml:space="preserve"> </w:t>
      </w:r>
      <w:r w:rsidRPr="00FD0090">
        <w:rPr>
          <w:rFonts w:ascii="Calibri" w:hAnsi="Calibri" w:cs="Calibri"/>
          <w:b/>
          <w:sz w:val="36"/>
          <w:szCs w:val="36"/>
        </w:rPr>
        <w:t>and</w:t>
      </w:r>
      <w:r w:rsidRPr="00FD0090">
        <w:rPr>
          <w:rFonts w:ascii="Calibri" w:hAnsi="Calibri" w:cs="Calibri"/>
          <w:b/>
          <w:spacing w:val="-5"/>
          <w:sz w:val="36"/>
          <w:szCs w:val="36"/>
        </w:rPr>
        <w:t xml:space="preserve"> </w:t>
      </w:r>
      <w:r w:rsidRPr="00FD0090">
        <w:rPr>
          <w:rFonts w:ascii="Calibri" w:hAnsi="Calibri" w:cs="Calibri"/>
          <w:b/>
          <w:sz w:val="36"/>
          <w:szCs w:val="36"/>
        </w:rPr>
        <w:t>Management</w:t>
      </w:r>
      <w:r w:rsidRPr="00FD0090">
        <w:rPr>
          <w:rFonts w:ascii="Calibri" w:hAnsi="Calibri" w:cs="Calibri"/>
          <w:b/>
          <w:spacing w:val="-7"/>
          <w:sz w:val="36"/>
          <w:szCs w:val="36"/>
        </w:rPr>
        <w:t xml:space="preserve"> </w:t>
      </w:r>
      <w:r w:rsidRPr="00FD0090">
        <w:rPr>
          <w:rFonts w:ascii="Calibri" w:hAnsi="Calibri" w:cs="Calibri"/>
          <w:b/>
          <w:sz w:val="36"/>
          <w:szCs w:val="36"/>
        </w:rPr>
        <w:t>Skills</w:t>
      </w:r>
      <w:r w:rsidRPr="00FD0090">
        <w:rPr>
          <w:rFonts w:ascii="Calibri" w:hAnsi="Calibri" w:cs="Calibri"/>
          <w:b/>
          <w:spacing w:val="-6"/>
          <w:sz w:val="36"/>
          <w:szCs w:val="36"/>
        </w:rPr>
        <w:t xml:space="preserve"> </w:t>
      </w:r>
      <w:r w:rsidRPr="00FD0090">
        <w:rPr>
          <w:rFonts w:ascii="Calibri" w:hAnsi="Calibri" w:cs="Calibri"/>
          <w:b/>
          <w:sz w:val="36"/>
          <w:szCs w:val="36"/>
        </w:rPr>
        <w:t>for</w:t>
      </w:r>
      <w:r w:rsidRPr="00FD0090">
        <w:rPr>
          <w:rFonts w:ascii="Calibri" w:hAnsi="Calibri" w:cs="Calibri"/>
          <w:b/>
          <w:spacing w:val="-6"/>
          <w:sz w:val="36"/>
          <w:szCs w:val="36"/>
        </w:rPr>
        <w:t xml:space="preserve"> </w:t>
      </w:r>
      <w:r w:rsidRPr="00FD0090">
        <w:rPr>
          <w:rFonts w:ascii="Calibri" w:hAnsi="Calibri" w:cs="Calibri"/>
          <w:b/>
          <w:sz w:val="36"/>
          <w:szCs w:val="36"/>
        </w:rPr>
        <w:t>the</w:t>
      </w:r>
      <w:r w:rsidRPr="00FD0090">
        <w:rPr>
          <w:rFonts w:ascii="Calibri" w:hAnsi="Calibri" w:cs="Calibri"/>
          <w:b/>
          <w:spacing w:val="-5"/>
          <w:sz w:val="36"/>
          <w:szCs w:val="36"/>
        </w:rPr>
        <w:t xml:space="preserve"> </w:t>
      </w:r>
      <w:r w:rsidRPr="00FD0090">
        <w:rPr>
          <w:rFonts w:ascii="Calibri" w:hAnsi="Calibri" w:cs="Calibri"/>
          <w:b/>
          <w:spacing w:val="-2"/>
          <w:sz w:val="36"/>
          <w:szCs w:val="36"/>
        </w:rPr>
        <w:t>Workplace</w:t>
      </w:r>
    </w:p>
    <w:p w14:paraId="1DC9FD78" w14:textId="77777777" w:rsidR="00780966" w:rsidRPr="00683C89" w:rsidRDefault="00780966" w:rsidP="00780966">
      <w:pPr>
        <w:jc w:val="center"/>
        <w:rPr>
          <w:rFonts w:ascii="Calibri" w:hAnsi="Calibri" w:cs="Calibri"/>
          <w:sz w:val="36"/>
          <w:szCs w:val="36"/>
        </w:rPr>
      </w:pPr>
      <w:r w:rsidRPr="00683C89">
        <w:rPr>
          <w:rFonts w:ascii="Calibri" w:hAnsi="Calibri" w:cs="Calibri"/>
          <w:b/>
          <w:bCs/>
          <w:sz w:val="36"/>
          <w:szCs w:val="36"/>
        </w:rPr>
        <w:t>Module:</w:t>
      </w:r>
      <w:r w:rsidRPr="00683C89">
        <w:rPr>
          <w:rFonts w:ascii="Calibri" w:hAnsi="Calibri" w:cs="Calibri"/>
          <w:sz w:val="36"/>
          <w:szCs w:val="36"/>
        </w:rPr>
        <w:t xml:space="preserve"> </w:t>
      </w:r>
      <w:r w:rsidRPr="00683C89">
        <w:rPr>
          <w:rFonts w:ascii="Calibri" w:hAnsi="Calibri" w:cs="Calibri"/>
          <w:b/>
          <w:bCs/>
          <w:sz w:val="36"/>
          <w:szCs w:val="36"/>
        </w:rPr>
        <w:t>Organisational Culture</w:t>
      </w:r>
    </w:p>
    <w:p w14:paraId="4C081FC2" w14:textId="700F7093" w:rsidR="00780966" w:rsidRPr="00683C89" w:rsidRDefault="00780966" w:rsidP="00683C89">
      <w:pPr>
        <w:jc w:val="center"/>
        <w:rPr>
          <w:rFonts w:ascii="Calibri" w:hAnsi="Calibri" w:cs="Calibri"/>
          <w:sz w:val="36"/>
          <w:szCs w:val="36"/>
        </w:rPr>
      </w:pPr>
      <w:r w:rsidRPr="00683C89">
        <w:rPr>
          <w:rFonts w:ascii="Calibri" w:hAnsi="Calibri" w:cs="Calibri"/>
          <w:b/>
          <w:bCs/>
          <w:sz w:val="36"/>
          <w:szCs w:val="36"/>
        </w:rPr>
        <w:t>Module Code:</w:t>
      </w:r>
      <w:r w:rsidRPr="00683C89">
        <w:rPr>
          <w:rFonts w:ascii="Calibri" w:hAnsi="Calibri" w:cs="Calibri"/>
          <w:sz w:val="36"/>
          <w:szCs w:val="36"/>
        </w:rPr>
        <w:t xml:space="preserve"> LCLM </w:t>
      </w:r>
      <w:r w:rsidR="00683C89" w:rsidRPr="00683C89">
        <w:rPr>
          <w:rFonts w:ascii="Calibri" w:hAnsi="Calibri" w:cs="Calibri"/>
          <w:sz w:val="36"/>
          <w:szCs w:val="36"/>
        </w:rPr>
        <w:t>6</w:t>
      </w:r>
      <w:r w:rsidRPr="00683C89">
        <w:rPr>
          <w:rFonts w:ascii="Calibri" w:hAnsi="Calibri" w:cs="Calibri"/>
          <w:sz w:val="36"/>
          <w:szCs w:val="36"/>
        </w:rPr>
        <w:t>00</w:t>
      </w:r>
      <w:r w:rsidR="00FD0090" w:rsidRPr="00683C89">
        <w:rPr>
          <w:rFonts w:ascii="Calibri" w:hAnsi="Calibri" w:cs="Calibri"/>
          <w:sz w:val="36"/>
          <w:szCs w:val="36"/>
        </w:rPr>
        <w:t>1</w:t>
      </w:r>
    </w:p>
    <w:p w14:paraId="4A15C892" w14:textId="79BBE66C" w:rsidR="00780966" w:rsidRDefault="00780966" w:rsidP="00F461B8">
      <w:pPr>
        <w:spacing w:line="360" w:lineRule="auto"/>
        <w:jc w:val="center"/>
        <w:rPr>
          <w:rFonts w:ascii="Calibri" w:hAnsi="Calibri" w:cs="Calibri"/>
          <w:b/>
          <w:bCs/>
          <w:sz w:val="44"/>
          <w:szCs w:val="44"/>
        </w:rPr>
      </w:pPr>
      <w:r>
        <w:rPr>
          <w:rFonts w:ascii="Calibri" w:hAnsi="Calibri" w:cs="Calibri"/>
          <w:b/>
          <w:bCs/>
          <w:sz w:val="44"/>
          <w:szCs w:val="44"/>
        </w:rPr>
        <w:t>“</w:t>
      </w:r>
      <w:r w:rsidR="0008740B" w:rsidRPr="0008740B">
        <w:rPr>
          <w:rFonts w:ascii="Calibri" w:hAnsi="Calibri" w:cs="Calibri"/>
          <w:b/>
          <w:bCs/>
          <w:sz w:val="36"/>
          <w:szCs w:val="36"/>
          <w:u w:val="single"/>
        </w:rPr>
        <w:t>Embedding Sustainable Growth in Bloom &amp; Wild Ltd: A Strategic Development Report</w:t>
      </w:r>
      <w:r w:rsidRPr="0008740B">
        <w:rPr>
          <w:rFonts w:ascii="Calibri" w:hAnsi="Calibri" w:cs="Calibri"/>
          <w:b/>
          <w:bCs/>
          <w:sz w:val="36"/>
          <w:szCs w:val="36"/>
          <w:u w:val="single"/>
        </w:rPr>
        <w:t>”</w:t>
      </w:r>
    </w:p>
    <w:p w14:paraId="31C7DAD8" w14:textId="77777777" w:rsidR="00F461B8" w:rsidRDefault="00F461B8" w:rsidP="00F461B8">
      <w:pPr>
        <w:spacing w:line="360" w:lineRule="auto"/>
        <w:jc w:val="center"/>
        <w:rPr>
          <w:rFonts w:ascii="Calibri" w:hAnsi="Calibri" w:cs="Calibri"/>
          <w:b/>
          <w:bCs/>
          <w:sz w:val="44"/>
          <w:szCs w:val="44"/>
        </w:rPr>
      </w:pPr>
    </w:p>
    <w:p w14:paraId="40BC7516" w14:textId="77777777" w:rsidR="00780966" w:rsidRPr="0008740B" w:rsidRDefault="00780966" w:rsidP="00780966">
      <w:pPr>
        <w:rPr>
          <w:rFonts w:ascii="Calibri" w:hAnsi="Calibri" w:cs="Calibri"/>
          <w:b/>
          <w:bCs/>
          <w:sz w:val="28"/>
          <w:szCs w:val="28"/>
        </w:rPr>
      </w:pPr>
      <w:r w:rsidRPr="0008740B">
        <w:rPr>
          <w:rFonts w:ascii="Calibri" w:hAnsi="Calibri" w:cs="Calibri"/>
          <w:b/>
          <w:bCs/>
          <w:sz w:val="28"/>
          <w:szCs w:val="28"/>
        </w:rPr>
        <w:t xml:space="preserve">Name: </w:t>
      </w:r>
      <w:r w:rsidRPr="0008740B">
        <w:rPr>
          <w:rFonts w:ascii="Calibri" w:hAnsi="Calibri" w:cs="Calibri"/>
          <w:sz w:val="28"/>
          <w:szCs w:val="28"/>
        </w:rPr>
        <w:t>Georgia Smikle</w:t>
      </w:r>
    </w:p>
    <w:p w14:paraId="73FE1344" w14:textId="3F6A8B05" w:rsidR="00780966" w:rsidRPr="00F461B8" w:rsidRDefault="00780966" w:rsidP="00780966">
      <w:pPr>
        <w:rPr>
          <w:rFonts w:ascii="Calibri" w:hAnsi="Calibri" w:cs="Calibri"/>
          <w:sz w:val="28"/>
          <w:szCs w:val="28"/>
        </w:rPr>
      </w:pPr>
      <w:r w:rsidRPr="0008740B">
        <w:rPr>
          <w:rFonts w:ascii="Calibri" w:hAnsi="Calibri" w:cs="Calibri"/>
          <w:b/>
          <w:bCs/>
          <w:sz w:val="28"/>
          <w:szCs w:val="28"/>
        </w:rPr>
        <w:t>Student Id</w:t>
      </w:r>
      <w:r w:rsidRPr="0008740B">
        <w:rPr>
          <w:rFonts w:ascii="Calibri" w:hAnsi="Calibri" w:cs="Calibri"/>
          <w:sz w:val="28"/>
          <w:szCs w:val="28"/>
        </w:rPr>
        <w:t>: 2311748</w:t>
      </w:r>
    </w:p>
    <w:p w14:paraId="364E4013" w14:textId="46616A06" w:rsidR="00F461B8" w:rsidRPr="00AE758F" w:rsidRDefault="00780966" w:rsidP="00F461B8">
      <w:pPr>
        <w:spacing w:line="360" w:lineRule="auto"/>
        <w:rPr>
          <w:rFonts w:ascii="Calibri" w:hAnsi="Calibri" w:cs="Calibri"/>
          <w:b/>
          <w:bCs/>
          <w:sz w:val="24"/>
          <w:szCs w:val="24"/>
        </w:rPr>
      </w:pPr>
      <w:r w:rsidRPr="0008740B">
        <w:rPr>
          <w:rFonts w:ascii="Calibri" w:hAnsi="Calibri" w:cs="Calibri"/>
          <w:b/>
          <w:bCs/>
          <w:sz w:val="24"/>
          <w:szCs w:val="24"/>
        </w:rPr>
        <w:t>Lecturer Na</w:t>
      </w:r>
      <w:r w:rsidR="00AE758F">
        <w:rPr>
          <w:rFonts w:ascii="Calibri" w:hAnsi="Calibri" w:cs="Calibri"/>
          <w:b/>
          <w:bCs/>
          <w:sz w:val="24"/>
          <w:szCs w:val="24"/>
        </w:rPr>
        <w:t>me</w:t>
      </w:r>
    </w:p>
    <w:p w14:paraId="56B49D75" w14:textId="6296DC05" w:rsidR="00F461B8" w:rsidRPr="00F461B8" w:rsidRDefault="00AE758F" w:rsidP="00F461B8">
      <w:pPr>
        <w:spacing w:line="360" w:lineRule="auto"/>
        <w:rPr>
          <w:rFonts w:ascii="Calibri" w:hAnsi="Calibri" w:cs="Calibri"/>
          <w:b/>
          <w:bCs/>
          <w:sz w:val="24"/>
          <w:szCs w:val="24"/>
        </w:rPr>
      </w:pPr>
      <w:proofErr w:type="spellStart"/>
      <w:r>
        <w:rPr>
          <w:rFonts w:ascii="Calibri" w:hAnsi="Calibri" w:cs="Calibri"/>
          <w:sz w:val="24"/>
          <w:szCs w:val="24"/>
        </w:rPr>
        <w:t>Ibraim</w:t>
      </w:r>
      <w:proofErr w:type="spellEnd"/>
      <w:r>
        <w:rPr>
          <w:rFonts w:ascii="Calibri" w:hAnsi="Calibri" w:cs="Calibri"/>
          <w:sz w:val="24"/>
          <w:szCs w:val="24"/>
        </w:rPr>
        <w:t xml:space="preserve"> Rufai</w:t>
      </w:r>
      <w:r w:rsidR="00F461B8" w:rsidRPr="00F461B8">
        <w:rPr>
          <w:rFonts w:ascii="Calibri" w:hAnsi="Calibri" w:cs="Calibri"/>
          <w:b/>
          <w:bCs/>
          <w:sz w:val="24"/>
          <w:szCs w:val="24"/>
        </w:rPr>
        <w:t xml:space="preserve"> </w:t>
      </w:r>
      <w:r w:rsidR="00780966" w:rsidRPr="0008740B">
        <w:rPr>
          <w:rFonts w:ascii="Calibri" w:hAnsi="Calibri" w:cs="Calibri"/>
          <w:b/>
          <w:bCs/>
          <w:sz w:val="24"/>
          <w:szCs w:val="24"/>
        </w:rPr>
        <w:br w:type="page"/>
      </w:r>
    </w:p>
    <w:sdt>
      <w:sdtPr>
        <w:rPr>
          <w:rFonts w:ascii="Arial" w:eastAsiaTheme="minorHAnsi" w:hAnsi="Arial" w:cstheme="minorBidi"/>
          <w:color w:val="auto"/>
          <w:kern w:val="2"/>
          <w:sz w:val="22"/>
          <w:szCs w:val="22"/>
          <w:lang w:val="en-GB"/>
        </w:rPr>
        <w:id w:val="-163328473"/>
        <w:docPartObj>
          <w:docPartGallery w:val="Table of Contents"/>
          <w:docPartUnique/>
        </w:docPartObj>
      </w:sdtPr>
      <w:sdtEndPr>
        <w:rPr>
          <w:b/>
          <w:bCs/>
          <w:noProof/>
        </w:rPr>
      </w:sdtEndPr>
      <w:sdtContent>
        <w:p w14:paraId="6A0978C1" w14:textId="037D5B3F" w:rsidR="00F461B8" w:rsidRPr="00F461B8" w:rsidRDefault="00F461B8">
          <w:pPr>
            <w:pStyle w:val="TOCHeading"/>
            <w:rPr>
              <w:color w:val="auto"/>
            </w:rPr>
          </w:pPr>
          <w:r w:rsidRPr="00F461B8">
            <w:rPr>
              <w:color w:val="auto"/>
            </w:rPr>
            <w:t>Table of Contents</w:t>
          </w:r>
        </w:p>
        <w:p w14:paraId="1EB2BA86" w14:textId="68124EA2" w:rsidR="00F461B8" w:rsidRPr="00F461B8" w:rsidRDefault="00F461B8" w:rsidP="00F461B8">
          <w:pPr>
            <w:pStyle w:val="TOC1"/>
            <w:tabs>
              <w:tab w:val="right" w:leader="dot" w:pos="9016"/>
            </w:tabs>
            <w:spacing w:line="360" w:lineRule="auto"/>
            <w:rPr>
              <w:noProof/>
            </w:rPr>
          </w:pPr>
          <w:r w:rsidRPr="00F461B8">
            <w:fldChar w:fldCharType="begin"/>
          </w:r>
          <w:r w:rsidRPr="00F461B8">
            <w:instrText xml:space="preserve"> TOC \o "1-3" \h \z \u </w:instrText>
          </w:r>
          <w:r w:rsidRPr="00F461B8">
            <w:fldChar w:fldCharType="separate"/>
          </w:r>
          <w:hyperlink w:anchor="_Toc213722077" w:history="1">
            <w:r w:rsidRPr="00F461B8">
              <w:rPr>
                <w:rStyle w:val="Hyperlink"/>
                <w:noProof/>
              </w:rPr>
              <w:t>Executive Summary</w:t>
            </w:r>
            <w:r w:rsidRPr="00F461B8">
              <w:rPr>
                <w:noProof/>
                <w:webHidden/>
              </w:rPr>
              <w:tab/>
            </w:r>
            <w:r w:rsidRPr="00F461B8">
              <w:rPr>
                <w:noProof/>
                <w:webHidden/>
              </w:rPr>
              <w:fldChar w:fldCharType="begin"/>
            </w:r>
            <w:r w:rsidRPr="00F461B8">
              <w:rPr>
                <w:noProof/>
                <w:webHidden/>
              </w:rPr>
              <w:instrText xml:space="preserve"> PAGEREF _Toc213722077 \h </w:instrText>
            </w:r>
            <w:r w:rsidRPr="00F461B8">
              <w:rPr>
                <w:noProof/>
                <w:webHidden/>
              </w:rPr>
            </w:r>
            <w:r w:rsidRPr="00F461B8">
              <w:rPr>
                <w:noProof/>
                <w:webHidden/>
              </w:rPr>
              <w:fldChar w:fldCharType="separate"/>
            </w:r>
            <w:r w:rsidRPr="00F461B8">
              <w:rPr>
                <w:noProof/>
                <w:webHidden/>
              </w:rPr>
              <w:t>4</w:t>
            </w:r>
            <w:r w:rsidRPr="00F461B8">
              <w:rPr>
                <w:noProof/>
                <w:webHidden/>
              </w:rPr>
              <w:fldChar w:fldCharType="end"/>
            </w:r>
          </w:hyperlink>
        </w:p>
        <w:p w14:paraId="49AA6458" w14:textId="66E04FE4" w:rsidR="00F461B8" w:rsidRPr="00F461B8" w:rsidRDefault="00F461B8" w:rsidP="00F461B8">
          <w:pPr>
            <w:pStyle w:val="TOC1"/>
            <w:tabs>
              <w:tab w:val="left" w:pos="480"/>
              <w:tab w:val="right" w:leader="dot" w:pos="9016"/>
            </w:tabs>
            <w:spacing w:line="360" w:lineRule="auto"/>
            <w:rPr>
              <w:noProof/>
            </w:rPr>
          </w:pPr>
          <w:hyperlink w:anchor="_Toc213722078" w:history="1">
            <w:r w:rsidRPr="00F461B8">
              <w:rPr>
                <w:rStyle w:val="Hyperlink"/>
                <w:noProof/>
              </w:rPr>
              <w:t>1.</w:t>
            </w:r>
            <w:r w:rsidRPr="00F461B8">
              <w:rPr>
                <w:noProof/>
              </w:rPr>
              <w:tab/>
            </w:r>
            <w:r w:rsidRPr="00F461B8">
              <w:rPr>
                <w:rStyle w:val="Hyperlink"/>
                <w:noProof/>
              </w:rPr>
              <w:t>Introduction</w:t>
            </w:r>
            <w:r w:rsidRPr="00F461B8">
              <w:rPr>
                <w:noProof/>
                <w:webHidden/>
              </w:rPr>
              <w:tab/>
            </w:r>
            <w:r w:rsidRPr="00F461B8">
              <w:rPr>
                <w:noProof/>
                <w:webHidden/>
              </w:rPr>
              <w:fldChar w:fldCharType="begin"/>
            </w:r>
            <w:r w:rsidRPr="00F461B8">
              <w:rPr>
                <w:noProof/>
                <w:webHidden/>
              </w:rPr>
              <w:instrText xml:space="preserve"> PAGEREF _Toc213722078 \h </w:instrText>
            </w:r>
            <w:r w:rsidRPr="00F461B8">
              <w:rPr>
                <w:noProof/>
                <w:webHidden/>
              </w:rPr>
            </w:r>
            <w:r w:rsidRPr="00F461B8">
              <w:rPr>
                <w:noProof/>
                <w:webHidden/>
              </w:rPr>
              <w:fldChar w:fldCharType="separate"/>
            </w:r>
            <w:r w:rsidRPr="00F461B8">
              <w:rPr>
                <w:noProof/>
                <w:webHidden/>
              </w:rPr>
              <w:t>4</w:t>
            </w:r>
            <w:r w:rsidRPr="00F461B8">
              <w:rPr>
                <w:noProof/>
                <w:webHidden/>
              </w:rPr>
              <w:fldChar w:fldCharType="end"/>
            </w:r>
          </w:hyperlink>
        </w:p>
        <w:p w14:paraId="28D8709E" w14:textId="4CAA8E96" w:rsidR="00F461B8" w:rsidRPr="00F461B8" w:rsidRDefault="00F461B8" w:rsidP="00F461B8">
          <w:pPr>
            <w:pStyle w:val="TOC1"/>
            <w:tabs>
              <w:tab w:val="left" w:pos="480"/>
              <w:tab w:val="right" w:leader="dot" w:pos="9016"/>
            </w:tabs>
            <w:spacing w:line="360" w:lineRule="auto"/>
            <w:rPr>
              <w:noProof/>
            </w:rPr>
          </w:pPr>
          <w:hyperlink w:anchor="_Toc213722079" w:history="1">
            <w:r w:rsidRPr="00F461B8">
              <w:rPr>
                <w:rStyle w:val="Hyperlink"/>
                <w:noProof/>
              </w:rPr>
              <w:t>2.</w:t>
            </w:r>
            <w:r w:rsidRPr="00F461B8">
              <w:rPr>
                <w:noProof/>
              </w:rPr>
              <w:tab/>
            </w:r>
            <w:r w:rsidRPr="00F461B8">
              <w:rPr>
                <w:rStyle w:val="Hyperlink"/>
                <w:noProof/>
              </w:rPr>
              <w:t>Appraisal of Strategic Direction (Vision, Mission and Objectives)</w:t>
            </w:r>
            <w:r w:rsidRPr="00F461B8">
              <w:rPr>
                <w:noProof/>
                <w:webHidden/>
              </w:rPr>
              <w:tab/>
            </w:r>
            <w:r w:rsidRPr="00F461B8">
              <w:rPr>
                <w:noProof/>
                <w:webHidden/>
              </w:rPr>
              <w:fldChar w:fldCharType="begin"/>
            </w:r>
            <w:r w:rsidRPr="00F461B8">
              <w:rPr>
                <w:noProof/>
                <w:webHidden/>
              </w:rPr>
              <w:instrText xml:space="preserve"> PAGEREF _Toc213722079 \h </w:instrText>
            </w:r>
            <w:r w:rsidRPr="00F461B8">
              <w:rPr>
                <w:noProof/>
                <w:webHidden/>
              </w:rPr>
            </w:r>
            <w:r w:rsidRPr="00F461B8">
              <w:rPr>
                <w:noProof/>
                <w:webHidden/>
              </w:rPr>
              <w:fldChar w:fldCharType="separate"/>
            </w:r>
            <w:r w:rsidRPr="00F461B8">
              <w:rPr>
                <w:noProof/>
                <w:webHidden/>
              </w:rPr>
              <w:t>5</w:t>
            </w:r>
            <w:r w:rsidRPr="00F461B8">
              <w:rPr>
                <w:noProof/>
                <w:webHidden/>
              </w:rPr>
              <w:fldChar w:fldCharType="end"/>
            </w:r>
          </w:hyperlink>
        </w:p>
        <w:p w14:paraId="12651F6A" w14:textId="45FB1B78" w:rsidR="00F461B8" w:rsidRPr="00F461B8" w:rsidRDefault="00F461B8" w:rsidP="00F461B8">
          <w:pPr>
            <w:pStyle w:val="TOC1"/>
            <w:tabs>
              <w:tab w:val="left" w:pos="480"/>
              <w:tab w:val="right" w:leader="dot" w:pos="9016"/>
            </w:tabs>
            <w:spacing w:line="360" w:lineRule="auto"/>
            <w:rPr>
              <w:noProof/>
            </w:rPr>
          </w:pPr>
          <w:hyperlink w:anchor="_Toc213722080" w:history="1">
            <w:r w:rsidRPr="00F461B8">
              <w:rPr>
                <w:rStyle w:val="Hyperlink"/>
                <w:noProof/>
              </w:rPr>
              <w:t>3.</w:t>
            </w:r>
            <w:r w:rsidRPr="00F461B8">
              <w:rPr>
                <w:noProof/>
              </w:rPr>
              <w:tab/>
            </w:r>
            <w:r w:rsidRPr="00F461B8">
              <w:rPr>
                <w:rStyle w:val="Hyperlink"/>
                <w:noProof/>
              </w:rPr>
              <w:t>Environmental Scan and Competitive Positioning</w:t>
            </w:r>
            <w:r w:rsidRPr="00F461B8">
              <w:rPr>
                <w:noProof/>
                <w:webHidden/>
              </w:rPr>
              <w:tab/>
            </w:r>
            <w:r w:rsidRPr="00F461B8">
              <w:rPr>
                <w:noProof/>
                <w:webHidden/>
              </w:rPr>
              <w:fldChar w:fldCharType="begin"/>
            </w:r>
            <w:r w:rsidRPr="00F461B8">
              <w:rPr>
                <w:noProof/>
                <w:webHidden/>
              </w:rPr>
              <w:instrText xml:space="preserve"> PAGEREF _Toc213722080 \h </w:instrText>
            </w:r>
            <w:r w:rsidRPr="00F461B8">
              <w:rPr>
                <w:noProof/>
                <w:webHidden/>
              </w:rPr>
            </w:r>
            <w:r w:rsidRPr="00F461B8">
              <w:rPr>
                <w:noProof/>
                <w:webHidden/>
              </w:rPr>
              <w:fldChar w:fldCharType="separate"/>
            </w:r>
            <w:r w:rsidRPr="00F461B8">
              <w:rPr>
                <w:noProof/>
                <w:webHidden/>
              </w:rPr>
              <w:t>6</w:t>
            </w:r>
            <w:r w:rsidRPr="00F461B8">
              <w:rPr>
                <w:noProof/>
                <w:webHidden/>
              </w:rPr>
              <w:fldChar w:fldCharType="end"/>
            </w:r>
          </w:hyperlink>
        </w:p>
        <w:p w14:paraId="4C72D9F5" w14:textId="05C64851" w:rsidR="00F461B8" w:rsidRPr="00F461B8" w:rsidRDefault="00F461B8" w:rsidP="00F461B8">
          <w:pPr>
            <w:pStyle w:val="TOC1"/>
            <w:tabs>
              <w:tab w:val="left" w:pos="720"/>
              <w:tab w:val="right" w:leader="dot" w:pos="9016"/>
            </w:tabs>
            <w:spacing w:line="360" w:lineRule="auto"/>
            <w:rPr>
              <w:noProof/>
            </w:rPr>
          </w:pPr>
          <w:hyperlink w:anchor="_Toc213722081" w:history="1">
            <w:r w:rsidRPr="00F461B8">
              <w:rPr>
                <w:rStyle w:val="Hyperlink"/>
                <w:noProof/>
              </w:rPr>
              <w:t>3.1.</w:t>
            </w:r>
            <w:r w:rsidRPr="00F461B8">
              <w:rPr>
                <w:noProof/>
              </w:rPr>
              <w:tab/>
            </w:r>
            <w:r w:rsidRPr="00F461B8">
              <w:rPr>
                <w:rStyle w:val="Hyperlink"/>
                <w:noProof/>
              </w:rPr>
              <w:t>External Environment — PESTEL</w:t>
            </w:r>
            <w:r w:rsidRPr="00F461B8">
              <w:rPr>
                <w:noProof/>
                <w:webHidden/>
              </w:rPr>
              <w:tab/>
            </w:r>
            <w:r w:rsidRPr="00F461B8">
              <w:rPr>
                <w:noProof/>
                <w:webHidden/>
              </w:rPr>
              <w:fldChar w:fldCharType="begin"/>
            </w:r>
            <w:r w:rsidRPr="00F461B8">
              <w:rPr>
                <w:noProof/>
                <w:webHidden/>
              </w:rPr>
              <w:instrText xml:space="preserve"> PAGEREF _Toc213722081 \h </w:instrText>
            </w:r>
            <w:r w:rsidRPr="00F461B8">
              <w:rPr>
                <w:noProof/>
                <w:webHidden/>
              </w:rPr>
            </w:r>
            <w:r w:rsidRPr="00F461B8">
              <w:rPr>
                <w:noProof/>
                <w:webHidden/>
              </w:rPr>
              <w:fldChar w:fldCharType="separate"/>
            </w:r>
            <w:r w:rsidRPr="00F461B8">
              <w:rPr>
                <w:noProof/>
                <w:webHidden/>
              </w:rPr>
              <w:t>6</w:t>
            </w:r>
            <w:r w:rsidRPr="00F461B8">
              <w:rPr>
                <w:noProof/>
                <w:webHidden/>
              </w:rPr>
              <w:fldChar w:fldCharType="end"/>
            </w:r>
          </w:hyperlink>
        </w:p>
        <w:p w14:paraId="6D206B89" w14:textId="44E9EB72" w:rsidR="00F461B8" w:rsidRPr="00F461B8" w:rsidRDefault="00F461B8" w:rsidP="00F461B8">
          <w:pPr>
            <w:pStyle w:val="TOC1"/>
            <w:tabs>
              <w:tab w:val="left" w:pos="720"/>
              <w:tab w:val="right" w:leader="dot" w:pos="9016"/>
            </w:tabs>
            <w:spacing w:line="360" w:lineRule="auto"/>
            <w:rPr>
              <w:noProof/>
            </w:rPr>
          </w:pPr>
          <w:hyperlink w:anchor="_Toc213722082" w:history="1">
            <w:r w:rsidRPr="00F461B8">
              <w:rPr>
                <w:rStyle w:val="Hyperlink"/>
                <w:noProof/>
              </w:rPr>
              <w:t>3.2.</w:t>
            </w:r>
            <w:r w:rsidRPr="00F461B8">
              <w:rPr>
                <w:noProof/>
              </w:rPr>
              <w:tab/>
            </w:r>
            <w:r w:rsidRPr="00F461B8">
              <w:rPr>
                <w:rStyle w:val="Hyperlink"/>
                <w:noProof/>
              </w:rPr>
              <w:t>Internal Environment - SWOT Analysis</w:t>
            </w:r>
            <w:r w:rsidRPr="00F461B8">
              <w:rPr>
                <w:noProof/>
                <w:webHidden/>
              </w:rPr>
              <w:tab/>
            </w:r>
            <w:r w:rsidRPr="00F461B8">
              <w:rPr>
                <w:noProof/>
                <w:webHidden/>
              </w:rPr>
              <w:fldChar w:fldCharType="begin"/>
            </w:r>
            <w:r w:rsidRPr="00F461B8">
              <w:rPr>
                <w:noProof/>
                <w:webHidden/>
              </w:rPr>
              <w:instrText xml:space="preserve"> PAGEREF _Toc213722082 \h </w:instrText>
            </w:r>
            <w:r w:rsidRPr="00F461B8">
              <w:rPr>
                <w:noProof/>
                <w:webHidden/>
              </w:rPr>
            </w:r>
            <w:r w:rsidRPr="00F461B8">
              <w:rPr>
                <w:noProof/>
                <w:webHidden/>
              </w:rPr>
              <w:fldChar w:fldCharType="separate"/>
            </w:r>
            <w:r w:rsidRPr="00F461B8">
              <w:rPr>
                <w:noProof/>
                <w:webHidden/>
              </w:rPr>
              <w:t>7</w:t>
            </w:r>
            <w:r w:rsidRPr="00F461B8">
              <w:rPr>
                <w:noProof/>
                <w:webHidden/>
              </w:rPr>
              <w:fldChar w:fldCharType="end"/>
            </w:r>
          </w:hyperlink>
        </w:p>
        <w:p w14:paraId="0FCA5751" w14:textId="0A6ABBD9" w:rsidR="00F461B8" w:rsidRPr="00F461B8" w:rsidRDefault="00F461B8" w:rsidP="00F461B8">
          <w:pPr>
            <w:pStyle w:val="TOC1"/>
            <w:tabs>
              <w:tab w:val="left" w:pos="720"/>
              <w:tab w:val="right" w:leader="dot" w:pos="9016"/>
            </w:tabs>
            <w:spacing w:line="360" w:lineRule="auto"/>
            <w:rPr>
              <w:noProof/>
            </w:rPr>
          </w:pPr>
          <w:hyperlink w:anchor="_Toc213722083" w:history="1">
            <w:r w:rsidRPr="00F461B8">
              <w:rPr>
                <w:rStyle w:val="Hyperlink"/>
                <w:noProof/>
              </w:rPr>
              <w:t>3.3.</w:t>
            </w:r>
            <w:r w:rsidRPr="00F461B8">
              <w:rPr>
                <w:noProof/>
              </w:rPr>
              <w:tab/>
            </w:r>
            <w:r w:rsidRPr="00F461B8">
              <w:rPr>
                <w:rStyle w:val="Hyperlink"/>
                <w:noProof/>
              </w:rPr>
              <w:t>Value Chain Analysis</w:t>
            </w:r>
            <w:r w:rsidRPr="00F461B8">
              <w:rPr>
                <w:noProof/>
                <w:webHidden/>
              </w:rPr>
              <w:tab/>
            </w:r>
            <w:r w:rsidRPr="00F461B8">
              <w:rPr>
                <w:noProof/>
                <w:webHidden/>
              </w:rPr>
              <w:fldChar w:fldCharType="begin"/>
            </w:r>
            <w:r w:rsidRPr="00F461B8">
              <w:rPr>
                <w:noProof/>
                <w:webHidden/>
              </w:rPr>
              <w:instrText xml:space="preserve"> PAGEREF _Toc213722083 \h </w:instrText>
            </w:r>
            <w:r w:rsidRPr="00F461B8">
              <w:rPr>
                <w:noProof/>
                <w:webHidden/>
              </w:rPr>
            </w:r>
            <w:r w:rsidRPr="00F461B8">
              <w:rPr>
                <w:noProof/>
                <w:webHidden/>
              </w:rPr>
              <w:fldChar w:fldCharType="separate"/>
            </w:r>
            <w:r w:rsidRPr="00F461B8">
              <w:rPr>
                <w:noProof/>
                <w:webHidden/>
              </w:rPr>
              <w:t>8</w:t>
            </w:r>
            <w:r w:rsidRPr="00F461B8">
              <w:rPr>
                <w:noProof/>
                <w:webHidden/>
              </w:rPr>
              <w:fldChar w:fldCharType="end"/>
            </w:r>
          </w:hyperlink>
        </w:p>
        <w:p w14:paraId="60846B4E" w14:textId="308969AC" w:rsidR="00F461B8" w:rsidRPr="00F461B8" w:rsidRDefault="00F461B8" w:rsidP="00F461B8">
          <w:pPr>
            <w:pStyle w:val="TOC1"/>
            <w:tabs>
              <w:tab w:val="left" w:pos="720"/>
              <w:tab w:val="right" w:leader="dot" w:pos="9016"/>
            </w:tabs>
            <w:spacing w:line="360" w:lineRule="auto"/>
            <w:rPr>
              <w:noProof/>
            </w:rPr>
          </w:pPr>
          <w:hyperlink w:anchor="_Toc213722084" w:history="1">
            <w:r w:rsidRPr="00F461B8">
              <w:rPr>
                <w:rStyle w:val="Hyperlink"/>
                <w:noProof/>
              </w:rPr>
              <w:t>3.4.</w:t>
            </w:r>
            <w:r w:rsidRPr="00F461B8">
              <w:rPr>
                <w:noProof/>
              </w:rPr>
              <w:tab/>
            </w:r>
            <w:r w:rsidRPr="00F461B8">
              <w:rPr>
                <w:rStyle w:val="Hyperlink"/>
                <w:noProof/>
              </w:rPr>
              <w:t>Porter’s Five Forces</w:t>
            </w:r>
            <w:r w:rsidRPr="00F461B8">
              <w:rPr>
                <w:noProof/>
                <w:webHidden/>
              </w:rPr>
              <w:tab/>
            </w:r>
            <w:r w:rsidRPr="00F461B8">
              <w:rPr>
                <w:noProof/>
                <w:webHidden/>
              </w:rPr>
              <w:fldChar w:fldCharType="begin"/>
            </w:r>
            <w:r w:rsidRPr="00F461B8">
              <w:rPr>
                <w:noProof/>
                <w:webHidden/>
              </w:rPr>
              <w:instrText xml:space="preserve"> PAGEREF _Toc213722084 \h </w:instrText>
            </w:r>
            <w:r w:rsidRPr="00F461B8">
              <w:rPr>
                <w:noProof/>
                <w:webHidden/>
              </w:rPr>
            </w:r>
            <w:r w:rsidRPr="00F461B8">
              <w:rPr>
                <w:noProof/>
                <w:webHidden/>
              </w:rPr>
              <w:fldChar w:fldCharType="separate"/>
            </w:r>
            <w:r w:rsidRPr="00F461B8">
              <w:rPr>
                <w:noProof/>
                <w:webHidden/>
              </w:rPr>
              <w:t>9</w:t>
            </w:r>
            <w:r w:rsidRPr="00F461B8">
              <w:rPr>
                <w:noProof/>
                <w:webHidden/>
              </w:rPr>
              <w:fldChar w:fldCharType="end"/>
            </w:r>
          </w:hyperlink>
        </w:p>
        <w:p w14:paraId="531587F8" w14:textId="18E5375A" w:rsidR="00F461B8" w:rsidRPr="00F461B8" w:rsidRDefault="00F461B8" w:rsidP="00F461B8">
          <w:pPr>
            <w:pStyle w:val="TOC1"/>
            <w:tabs>
              <w:tab w:val="left" w:pos="480"/>
              <w:tab w:val="right" w:leader="dot" w:pos="9016"/>
            </w:tabs>
            <w:spacing w:line="360" w:lineRule="auto"/>
            <w:rPr>
              <w:noProof/>
            </w:rPr>
          </w:pPr>
          <w:hyperlink w:anchor="_Toc213722085" w:history="1">
            <w:r w:rsidRPr="00F461B8">
              <w:rPr>
                <w:rStyle w:val="Hyperlink"/>
                <w:noProof/>
              </w:rPr>
              <w:t>4.</w:t>
            </w:r>
            <w:r w:rsidRPr="00F461B8">
              <w:rPr>
                <w:noProof/>
              </w:rPr>
              <w:tab/>
            </w:r>
            <w:r w:rsidRPr="00F461B8">
              <w:rPr>
                <w:rStyle w:val="Hyperlink"/>
                <w:noProof/>
              </w:rPr>
              <w:t>Strategic Growth Choices and Recommended Sustainable Strategy</w:t>
            </w:r>
            <w:r w:rsidRPr="00F461B8">
              <w:rPr>
                <w:noProof/>
                <w:webHidden/>
              </w:rPr>
              <w:tab/>
            </w:r>
            <w:r w:rsidRPr="00F461B8">
              <w:rPr>
                <w:noProof/>
                <w:webHidden/>
              </w:rPr>
              <w:fldChar w:fldCharType="begin"/>
            </w:r>
            <w:r w:rsidRPr="00F461B8">
              <w:rPr>
                <w:noProof/>
                <w:webHidden/>
              </w:rPr>
              <w:instrText xml:space="preserve"> PAGEREF _Toc213722085 \h </w:instrText>
            </w:r>
            <w:r w:rsidRPr="00F461B8">
              <w:rPr>
                <w:noProof/>
                <w:webHidden/>
              </w:rPr>
            </w:r>
            <w:r w:rsidRPr="00F461B8">
              <w:rPr>
                <w:noProof/>
                <w:webHidden/>
              </w:rPr>
              <w:fldChar w:fldCharType="separate"/>
            </w:r>
            <w:r w:rsidRPr="00F461B8">
              <w:rPr>
                <w:noProof/>
                <w:webHidden/>
              </w:rPr>
              <w:t>10</w:t>
            </w:r>
            <w:r w:rsidRPr="00F461B8">
              <w:rPr>
                <w:noProof/>
                <w:webHidden/>
              </w:rPr>
              <w:fldChar w:fldCharType="end"/>
            </w:r>
          </w:hyperlink>
        </w:p>
        <w:p w14:paraId="7C0E1FDD" w14:textId="2996F720" w:rsidR="00F461B8" w:rsidRPr="00F461B8" w:rsidRDefault="00F461B8" w:rsidP="00F461B8">
          <w:pPr>
            <w:pStyle w:val="TOC1"/>
            <w:tabs>
              <w:tab w:val="right" w:leader="dot" w:pos="9016"/>
            </w:tabs>
            <w:spacing w:line="360" w:lineRule="auto"/>
            <w:rPr>
              <w:noProof/>
            </w:rPr>
          </w:pPr>
          <w:hyperlink w:anchor="_Toc213722086" w:history="1">
            <w:r w:rsidRPr="00F461B8">
              <w:rPr>
                <w:rStyle w:val="Hyperlink"/>
                <w:noProof/>
              </w:rPr>
              <w:t>4.1. Strategic Framework Selection</w:t>
            </w:r>
            <w:r w:rsidRPr="00F461B8">
              <w:rPr>
                <w:noProof/>
                <w:webHidden/>
              </w:rPr>
              <w:tab/>
            </w:r>
            <w:r w:rsidRPr="00F461B8">
              <w:rPr>
                <w:noProof/>
                <w:webHidden/>
              </w:rPr>
              <w:fldChar w:fldCharType="begin"/>
            </w:r>
            <w:r w:rsidRPr="00F461B8">
              <w:rPr>
                <w:noProof/>
                <w:webHidden/>
              </w:rPr>
              <w:instrText xml:space="preserve"> PAGEREF _Toc213722086 \h </w:instrText>
            </w:r>
            <w:r w:rsidRPr="00F461B8">
              <w:rPr>
                <w:noProof/>
                <w:webHidden/>
              </w:rPr>
            </w:r>
            <w:r w:rsidRPr="00F461B8">
              <w:rPr>
                <w:noProof/>
                <w:webHidden/>
              </w:rPr>
              <w:fldChar w:fldCharType="separate"/>
            </w:r>
            <w:r w:rsidRPr="00F461B8">
              <w:rPr>
                <w:noProof/>
                <w:webHidden/>
              </w:rPr>
              <w:t>10</w:t>
            </w:r>
            <w:r w:rsidRPr="00F461B8">
              <w:rPr>
                <w:noProof/>
                <w:webHidden/>
              </w:rPr>
              <w:fldChar w:fldCharType="end"/>
            </w:r>
          </w:hyperlink>
        </w:p>
        <w:p w14:paraId="44E95B45" w14:textId="7305711E" w:rsidR="00F461B8" w:rsidRPr="00F461B8" w:rsidRDefault="00F461B8" w:rsidP="00F461B8">
          <w:pPr>
            <w:pStyle w:val="TOC1"/>
            <w:tabs>
              <w:tab w:val="right" w:leader="dot" w:pos="9016"/>
            </w:tabs>
            <w:spacing w:line="360" w:lineRule="auto"/>
            <w:rPr>
              <w:noProof/>
            </w:rPr>
          </w:pPr>
          <w:hyperlink w:anchor="_Toc213722087" w:history="1">
            <w:r w:rsidRPr="00F461B8">
              <w:rPr>
                <w:rStyle w:val="Hyperlink"/>
                <w:noProof/>
              </w:rPr>
              <w:t>4.2. Considered Options</w:t>
            </w:r>
            <w:r w:rsidRPr="00F461B8">
              <w:rPr>
                <w:noProof/>
                <w:webHidden/>
              </w:rPr>
              <w:tab/>
            </w:r>
            <w:r w:rsidRPr="00F461B8">
              <w:rPr>
                <w:noProof/>
                <w:webHidden/>
              </w:rPr>
              <w:fldChar w:fldCharType="begin"/>
            </w:r>
            <w:r w:rsidRPr="00F461B8">
              <w:rPr>
                <w:noProof/>
                <w:webHidden/>
              </w:rPr>
              <w:instrText xml:space="preserve"> PAGEREF _Toc213722087 \h </w:instrText>
            </w:r>
            <w:r w:rsidRPr="00F461B8">
              <w:rPr>
                <w:noProof/>
                <w:webHidden/>
              </w:rPr>
            </w:r>
            <w:r w:rsidRPr="00F461B8">
              <w:rPr>
                <w:noProof/>
                <w:webHidden/>
              </w:rPr>
              <w:fldChar w:fldCharType="separate"/>
            </w:r>
            <w:r w:rsidRPr="00F461B8">
              <w:rPr>
                <w:noProof/>
                <w:webHidden/>
              </w:rPr>
              <w:t>10</w:t>
            </w:r>
            <w:r w:rsidRPr="00F461B8">
              <w:rPr>
                <w:noProof/>
                <w:webHidden/>
              </w:rPr>
              <w:fldChar w:fldCharType="end"/>
            </w:r>
          </w:hyperlink>
        </w:p>
        <w:p w14:paraId="475F34D1" w14:textId="28F3560F" w:rsidR="00F461B8" w:rsidRPr="00F461B8" w:rsidRDefault="00F461B8" w:rsidP="00F461B8">
          <w:pPr>
            <w:pStyle w:val="TOC1"/>
            <w:tabs>
              <w:tab w:val="right" w:leader="dot" w:pos="9016"/>
            </w:tabs>
            <w:spacing w:line="360" w:lineRule="auto"/>
            <w:rPr>
              <w:noProof/>
            </w:rPr>
          </w:pPr>
          <w:hyperlink w:anchor="_Toc213722088" w:history="1">
            <w:r w:rsidRPr="00F461B8">
              <w:rPr>
                <w:rStyle w:val="Hyperlink"/>
                <w:noProof/>
              </w:rPr>
              <w:t>4.3 Recommended Sustainable Strategy: Sustainable Differentiation Leadership</w:t>
            </w:r>
            <w:r w:rsidRPr="00F461B8">
              <w:rPr>
                <w:noProof/>
                <w:webHidden/>
              </w:rPr>
              <w:tab/>
            </w:r>
            <w:r w:rsidRPr="00F461B8">
              <w:rPr>
                <w:noProof/>
                <w:webHidden/>
              </w:rPr>
              <w:fldChar w:fldCharType="begin"/>
            </w:r>
            <w:r w:rsidRPr="00F461B8">
              <w:rPr>
                <w:noProof/>
                <w:webHidden/>
              </w:rPr>
              <w:instrText xml:space="preserve"> PAGEREF _Toc213722088 \h </w:instrText>
            </w:r>
            <w:r w:rsidRPr="00F461B8">
              <w:rPr>
                <w:noProof/>
                <w:webHidden/>
              </w:rPr>
            </w:r>
            <w:r w:rsidRPr="00F461B8">
              <w:rPr>
                <w:noProof/>
                <w:webHidden/>
              </w:rPr>
              <w:fldChar w:fldCharType="separate"/>
            </w:r>
            <w:r w:rsidRPr="00F461B8">
              <w:rPr>
                <w:noProof/>
                <w:webHidden/>
              </w:rPr>
              <w:t>11</w:t>
            </w:r>
            <w:r w:rsidRPr="00F461B8">
              <w:rPr>
                <w:noProof/>
                <w:webHidden/>
              </w:rPr>
              <w:fldChar w:fldCharType="end"/>
            </w:r>
          </w:hyperlink>
        </w:p>
        <w:p w14:paraId="2A7A0C18" w14:textId="2083D559" w:rsidR="00F461B8" w:rsidRPr="00F461B8" w:rsidRDefault="00F461B8" w:rsidP="00F461B8">
          <w:pPr>
            <w:pStyle w:val="TOC1"/>
            <w:tabs>
              <w:tab w:val="left" w:pos="480"/>
              <w:tab w:val="right" w:leader="dot" w:pos="9016"/>
            </w:tabs>
            <w:spacing w:line="360" w:lineRule="auto"/>
            <w:rPr>
              <w:noProof/>
            </w:rPr>
          </w:pPr>
          <w:hyperlink w:anchor="_Toc213722089" w:history="1">
            <w:r w:rsidRPr="00F461B8">
              <w:rPr>
                <w:rStyle w:val="Hyperlink"/>
                <w:noProof/>
              </w:rPr>
              <w:t>5.</w:t>
            </w:r>
            <w:r w:rsidRPr="00F461B8">
              <w:rPr>
                <w:noProof/>
              </w:rPr>
              <w:tab/>
            </w:r>
            <w:r w:rsidRPr="00F461B8">
              <w:rPr>
                <w:rStyle w:val="Hyperlink"/>
                <w:noProof/>
              </w:rPr>
              <w:t>Stakeholder Analysis</w:t>
            </w:r>
            <w:r w:rsidRPr="00F461B8">
              <w:rPr>
                <w:noProof/>
                <w:webHidden/>
              </w:rPr>
              <w:tab/>
            </w:r>
            <w:r w:rsidRPr="00F461B8">
              <w:rPr>
                <w:noProof/>
                <w:webHidden/>
              </w:rPr>
              <w:fldChar w:fldCharType="begin"/>
            </w:r>
            <w:r w:rsidRPr="00F461B8">
              <w:rPr>
                <w:noProof/>
                <w:webHidden/>
              </w:rPr>
              <w:instrText xml:space="preserve"> PAGEREF _Toc213722089 \h </w:instrText>
            </w:r>
            <w:r w:rsidRPr="00F461B8">
              <w:rPr>
                <w:noProof/>
                <w:webHidden/>
              </w:rPr>
            </w:r>
            <w:r w:rsidRPr="00F461B8">
              <w:rPr>
                <w:noProof/>
                <w:webHidden/>
              </w:rPr>
              <w:fldChar w:fldCharType="separate"/>
            </w:r>
            <w:r w:rsidRPr="00F461B8">
              <w:rPr>
                <w:noProof/>
                <w:webHidden/>
              </w:rPr>
              <w:t>12</w:t>
            </w:r>
            <w:r w:rsidRPr="00F461B8">
              <w:rPr>
                <w:noProof/>
                <w:webHidden/>
              </w:rPr>
              <w:fldChar w:fldCharType="end"/>
            </w:r>
          </w:hyperlink>
        </w:p>
        <w:p w14:paraId="272ECA37" w14:textId="19B721FC" w:rsidR="00F461B8" w:rsidRPr="00F461B8" w:rsidRDefault="00F461B8" w:rsidP="00F461B8">
          <w:pPr>
            <w:pStyle w:val="TOC1"/>
            <w:tabs>
              <w:tab w:val="right" w:leader="dot" w:pos="9016"/>
            </w:tabs>
            <w:spacing w:line="360" w:lineRule="auto"/>
            <w:rPr>
              <w:noProof/>
            </w:rPr>
          </w:pPr>
          <w:hyperlink w:anchor="_Toc213722090" w:history="1">
            <w:r w:rsidRPr="00F461B8">
              <w:rPr>
                <w:rStyle w:val="Hyperlink"/>
                <w:noProof/>
              </w:rPr>
              <w:t>5.1. Stakeholder Identification and Expectations</w:t>
            </w:r>
            <w:r w:rsidRPr="00F461B8">
              <w:rPr>
                <w:noProof/>
                <w:webHidden/>
              </w:rPr>
              <w:tab/>
            </w:r>
            <w:r w:rsidRPr="00F461B8">
              <w:rPr>
                <w:noProof/>
                <w:webHidden/>
              </w:rPr>
              <w:fldChar w:fldCharType="begin"/>
            </w:r>
            <w:r w:rsidRPr="00F461B8">
              <w:rPr>
                <w:noProof/>
                <w:webHidden/>
              </w:rPr>
              <w:instrText xml:space="preserve"> PAGEREF _Toc213722090 \h </w:instrText>
            </w:r>
            <w:r w:rsidRPr="00F461B8">
              <w:rPr>
                <w:noProof/>
                <w:webHidden/>
              </w:rPr>
            </w:r>
            <w:r w:rsidRPr="00F461B8">
              <w:rPr>
                <w:noProof/>
                <w:webHidden/>
              </w:rPr>
              <w:fldChar w:fldCharType="separate"/>
            </w:r>
            <w:r w:rsidRPr="00F461B8">
              <w:rPr>
                <w:noProof/>
                <w:webHidden/>
              </w:rPr>
              <w:t>12</w:t>
            </w:r>
            <w:r w:rsidRPr="00F461B8">
              <w:rPr>
                <w:noProof/>
                <w:webHidden/>
              </w:rPr>
              <w:fldChar w:fldCharType="end"/>
            </w:r>
          </w:hyperlink>
        </w:p>
        <w:p w14:paraId="49105D1F" w14:textId="7D105D66" w:rsidR="00F461B8" w:rsidRPr="00F461B8" w:rsidRDefault="00F461B8" w:rsidP="00F461B8">
          <w:pPr>
            <w:pStyle w:val="TOC1"/>
            <w:tabs>
              <w:tab w:val="left" w:pos="720"/>
              <w:tab w:val="right" w:leader="dot" w:pos="9016"/>
            </w:tabs>
            <w:spacing w:line="360" w:lineRule="auto"/>
            <w:rPr>
              <w:noProof/>
            </w:rPr>
          </w:pPr>
          <w:hyperlink w:anchor="_Toc213722091" w:history="1">
            <w:r w:rsidRPr="00F461B8">
              <w:rPr>
                <w:rStyle w:val="Hyperlink"/>
                <w:noProof/>
              </w:rPr>
              <w:t>5.2.</w:t>
            </w:r>
            <w:r w:rsidRPr="00F461B8">
              <w:rPr>
                <w:noProof/>
              </w:rPr>
              <w:tab/>
            </w:r>
            <w:r w:rsidRPr="00F461B8">
              <w:rPr>
                <w:rStyle w:val="Hyperlink"/>
                <w:noProof/>
              </w:rPr>
              <w:t>RACI Application (Summary)</w:t>
            </w:r>
            <w:r w:rsidRPr="00F461B8">
              <w:rPr>
                <w:noProof/>
                <w:webHidden/>
              </w:rPr>
              <w:tab/>
            </w:r>
            <w:r w:rsidRPr="00F461B8">
              <w:rPr>
                <w:noProof/>
                <w:webHidden/>
              </w:rPr>
              <w:fldChar w:fldCharType="begin"/>
            </w:r>
            <w:r w:rsidRPr="00F461B8">
              <w:rPr>
                <w:noProof/>
                <w:webHidden/>
              </w:rPr>
              <w:instrText xml:space="preserve"> PAGEREF _Toc213722091 \h </w:instrText>
            </w:r>
            <w:r w:rsidRPr="00F461B8">
              <w:rPr>
                <w:noProof/>
                <w:webHidden/>
              </w:rPr>
            </w:r>
            <w:r w:rsidRPr="00F461B8">
              <w:rPr>
                <w:noProof/>
                <w:webHidden/>
              </w:rPr>
              <w:fldChar w:fldCharType="separate"/>
            </w:r>
            <w:r w:rsidRPr="00F461B8">
              <w:rPr>
                <w:noProof/>
                <w:webHidden/>
              </w:rPr>
              <w:t>12</w:t>
            </w:r>
            <w:r w:rsidRPr="00F461B8">
              <w:rPr>
                <w:noProof/>
                <w:webHidden/>
              </w:rPr>
              <w:fldChar w:fldCharType="end"/>
            </w:r>
          </w:hyperlink>
        </w:p>
        <w:p w14:paraId="13D1507F" w14:textId="524D6D5C" w:rsidR="00F461B8" w:rsidRPr="00F461B8" w:rsidRDefault="00F461B8" w:rsidP="00F461B8">
          <w:pPr>
            <w:pStyle w:val="TOC1"/>
            <w:tabs>
              <w:tab w:val="left" w:pos="720"/>
              <w:tab w:val="right" w:leader="dot" w:pos="9016"/>
            </w:tabs>
            <w:spacing w:line="360" w:lineRule="auto"/>
            <w:rPr>
              <w:noProof/>
            </w:rPr>
          </w:pPr>
          <w:hyperlink w:anchor="_Toc213722092" w:history="1">
            <w:r w:rsidRPr="00F461B8">
              <w:rPr>
                <w:rStyle w:val="Hyperlink"/>
                <w:noProof/>
              </w:rPr>
              <w:t>5.3.</w:t>
            </w:r>
            <w:r w:rsidRPr="00F461B8">
              <w:rPr>
                <w:noProof/>
              </w:rPr>
              <w:tab/>
            </w:r>
            <w:r w:rsidRPr="00F461B8">
              <w:rPr>
                <w:rStyle w:val="Hyperlink"/>
                <w:noProof/>
              </w:rPr>
              <w:t>Strategic Recommendations (Prioritised)</w:t>
            </w:r>
            <w:r w:rsidRPr="00F461B8">
              <w:rPr>
                <w:noProof/>
                <w:webHidden/>
              </w:rPr>
              <w:tab/>
            </w:r>
            <w:r w:rsidRPr="00F461B8">
              <w:rPr>
                <w:noProof/>
                <w:webHidden/>
              </w:rPr>
              <w:fldChar w:fldCharType="begin"/>
            </w:r>
            <w:r w:rsidRPr="00F461B8">
              <w:rPr>
                <w:noProof/>
                <w:webHidden/>
              </w:rPr>
              <w:instrText xml:space="preserve"> PAGEREF _Toc213722092 \h </w:instrText>
            </w:r>
            <w:r w:rsidRPr="00F461B8">
              <w:rPr>
                <w:noProof/>
                <w:webHidden/>
              </w:rPr>
            </w:r>
            <w:r w:rsidRPr="00F461B8">
              <w:rPr>
                <w:noProof/>
                <w:webHidden/>
              </w:rPr>
              <w:fldChar w:fldCharType="separate"/>
            </w:r>
            <w:r w:rsidRPr="00F461B8">
              <w:rPr>
                <w:noProof/>
                <w:webHidden/>
              </w:rPr>
              <w:t>14</w:t>
            </w:r>
            <w:r w:rsidRPr="00F461B8">
              <w:rPr>
                <w:noProof/>
                <w:webHidden/>
              </w:rPr>
              <w:fldChar w:fldCharType="end"/>
            </w:r>
          </w:hyperlink>
        </w:p>
        <w:p w14:paraId="6009D0A2" w14:textId="02C0ED73" w:rsidR="00F461B8" w:rsidRPr="00F461B8" w:rsidRDefault="00F461B8" w:rsidP="00F461B8">
          <w:pPr>
            <w:pStyle w:val="TOC1"/>
            <w:tabs>
              <w:tab w:val="right" w:leader="dot" w:pos="9016"/>
            </w:tabs>
            <w:spacing w:line="360" w:lineRule="auto"/>
            <w:rPr>
              <w:noProof/>
            </w:rPr>
          </w:pPr>
          <w:hyperlink w:anchor="_Toc213722093" w:history="1">
            <w:r w:rsidRPr="00F461B8">
              <w:rPr>
                <w:rStyle w:val="Hyperlink"/>
                <w:noProof/>
              </w:rPr>
              <w:t>Short-Term Actions (0–12 months)</w:t>
            </w:r>
            <w:r w:rsidRPr="00F461B8">
              <w:rPr>
                <w:noProof/>
                <w:webHidden/>
              </w:rPr>
              <w:tab/>
            </w:r>
            <w:r w:rsidRPr="00F461B8">
              <w:rPr>
                <w:noProof/>
                <w:webHidden/>
              </w:rPr>
              <w:fldChar w:fldCharType="begin"/>
            </w:r>
            <w:r w:rsidRPr="00F461B8">
              <w:rPr>
                <w:noProof/>
                <w:webHidden/>
              </w:rPr>
              <w:instrText xml:space="preserve"> PAGEREF _Toc213722093 \h </w:instrText>
            </w:r>
            <w:r w:rsidRPr="00F461B8">
              <w:rPr>
                <w:noProof/>
                <w:webHidden/>
              </w:rPr>
            </w:r>
            <w:r w:rsidRPr="00F461B8">
              <w:rPr>
                <w:noProof/>
                <w:webHidden/>
              </w:rPr>
              <w:fldChar w:fldCharType="separate"/>
            </w:r>
            <w:r w:rsidRPr="00F461B8">
              <w:rPr>
                <w:noProof/>
                <w:webHidden/>
              </w:rPr>
              <w:t>14</w:t>
            </w:r>
            <w:r w:rsidRPr="00F461B8">
              <w:rPr>
                <w:noProof/>
                <w:webHidden/>
              </w:rPr>
              <w:fldChar w:fldCharType="end"/>
            </w:r>
          </w:hyperlink>
        </w:p>
        <w:p w14:paraId="7395AF0A" w14:textId="4F039865" w:rsidR="00F461B8" w:rsidRPr="00F461B8" w:rsidRDefault="00F461B8" w:rsidP="00F461B8">
          <w:pPr>
            <w:pStyle w:val="TOC1"/>
            <w:tabs>
              <w:tab w:val="right" w:leader="dot" w:pos="9016"/>
            </w:tabs>
            <w:spacing w:line="360" w:lineRule="auto"/>
            <w:rPr>
              <w:noProof/>
            </w:rPr>
          </w:pPr>
          <w:hyperlink w:anchor="_Toc213722094" w:history="1">
            <w:r w:rsidRPr="00F461B8">
              <w:rPr>
                <w:rStyle w:val="Hyperlink"/>
                <w:noProof/>
              </w:rPr>
              <w:t>A. Establish SMART Sustainability Objectives and Full Emissions Baseline</w:t>
            </w:r>
            <w:r w:rsidRPr="00F461B8">
              <w:rPr>
                <w:noProof/>
                <w:webHidden/>
              </w:rPr>
              <w:tab/>
            </w:r>
            <w:r w:rsidRPr="00F461B8">
              <w:rPr>
                <w:noProof/>
                <w:webHidden/>
              </w:rPr>
              <w:fldChar w:fldCharType="begin"/>
            </w:r>
            <w:r w:rsidRPr="00F461B8">
              <w:rPr>
                <w:noProof/>
                <w:webHidden/>
              </w:rPr>
              <w:instrText xml:space="preserve"> PAGEREF _Toc213722094 \h </w:instrText>
            </w:r>
            <w:r w:rsidRPr="00F461B8">
              <w:rPr>
                <w:noProof/>
                <w:webHidden/>
              </w:rPr>
            </w:r>
            <w:r w:rsidRPr="00F461B8">
              <w:rPr>
                <w:noProof/>
                <w:webHidden/>
              </w:rPr>
              <w:fldChar w:fldCharType="separate"/>
            </w:r>
            <w:r w:rsidRPr="00F461B8">
              <w:rPr>
                <w:noProof/>
                <w:webHidden/>
              </w:rPr>
              <w:t>14</w:t>
            </w:r>
            <w:r w:rsidRPr="00F461B8">
              <w:rPr>
                <w:noProof/>
                <w:webHidden/>
              </w:rPr>
              <w:fldChar w:fldCharType="end"/>
            </w:r>
          </w:hyperlink>
        </w:p>
        <w:p w14:paraId="50690AD1" w14:textId="353F7142" w:rsidR="00F461B8" w:rsidRPr="00F461B8" w:rsidRDefault="00F461B8" w:rsidP="00F461B8">
          <w:pPr>
            <w:pStyle w:val="TOC1"/>
            <w:tabs>
              <w:tab w:val="right" w:leader="dot" w:pos="9016"/>
            </w:tabs>
            <w:spacing w:line="360" w:lineRule="auto"/>
            <w:rPr>
              <w:noProof/>
            </w:rPr>
          </w:pPr>
          <w:hyperlink w:anchor="_Toc213722095" w:history="1">
            <w:r w:rsidRPr="00F461B8">
              <w:rPr>
                <w:rStyle w:val="Hyperlink"/>
                <w:noProof/>
              </w:rPr>
              <w:t>B. Create a Digital Carbon Scoring System</w:t>
            </w:r>
            <w:r w:rsidRPr="00F461B8">
              <w:rPr>
                <w:noProof/>
                <w:webHidden/>
              </w:rPr>
              <w:tab/>
            </w:r>
            <w:r w:rsidRPr="00F461B8">
              <w:rPr>
                <w:noProof/>
                <w:webHidden/>
              </w:rPr>
              <w:fldChar w:fldCharType="begin"/>
            </w:r>
            <w:r w:rsidRPr="00F461B8">
              <w:rPr>
                <w:noProof/>
                <w:webHidden/>
              </w:rPr>
              <w:instrText xml:space="preserve"> PAGEREF _Toc213722095 \h </w:instrText>
            </w:r>
            <w:r w:rsidRPr="00F461B8">
              <w:rPr>
                <w:noProof/>
                <w:webHidden/>
              </w:rPr>
            </w:r>
            <w:r w:rsidRPr="00F461B8">
              <w:rPr>
                <w:noProof/>
                <w:webHidden/>
              </w:rPr>
              <w:fldChar w:fldCharType="separate"/>
            </w:r>
            <w:r w:rsidRPr="00F461B8">
              <w:rPr>
                <w:noProof/>
                <w:webHidden/>
              </w:rPr>
              <w:t>14</w:t>
            </w:r>
            <w:r w:rsidRPr="00F461B8">
              <w:rPr>
                <w:noProof/>
                <w:webHidden/>
              </w:rPr>
              <w:fldChar w:fldCharType="end"/>
            </w:r>
          </w:hyperlink>
        </w:p>
        <w:p w14:paraId="68D0DB40" w14:textId="479C9B61" w:rsidR="00F461B8" w:rsidRPr="00F461B8" w:rsidRDefault="00F461B8" w:rsidP="00F461B8">
          <w:pPr>
            <w:pStyle w:val="TOC1"/>
            <w:tabs>
              <w:tab w:val="right" w:leader="dot" w:pos="9016"/>
            </w:tabs>
            <w:spacing w:line="360" w:lineRule="auto"/>
            <w:rPr>
              <w:noProof/>
            </w:rPr>
          </w:pPr>
          <w:hyperlink w:anchor="_Toc213722096" w:history="1">
            <w:r w:rsidRPr="00F461B8">
              <w:rPr>
                <w:rStyle w:val="Hyperlink"/>
                <w:noProof/>
              </w:rPr>
              <w:t>C. Initiate a pilot program for a “European Seasonal Collection.”</w:t>
            </w:r>
            <w:r w:rsidRPr="00F461B8">
              <w:rPr>
                <w:noProof/>
                <w:webHidden/>
              </w:rPr>
              <w:tab/>
            </w:r>
            <w:r w:rsidRPr="00F461B8">
              <w:rPr>
                <w:noProof/>
                <w:webHidden/>
              </w:rPr>
              <w:fldChar w:fldCharType="begin"/>
            </w:r>
            <w:r w:rsidRPr="00F461B8">
              <w:rPr>
                <w:noProof/>
                <w:webHidden/>
              </w:rPr>
              <w:instrText xml:space="preserve"> PAGEREF _Toc213722096 \h </w:instrText>
            </w:r>
            <w:r w:rsidRPr="00F461B8">
              <w:rPr>
                <w:noProof/>
                <w:webHidden/>
              </w:rPr>
            </w:r>
            <w:r w:rsidRPr="00F461B8">
              <w:rPr>
                <w:noProof/>
                <w:webHidden/>
              </w:rPr>
              <w:fldChar w:fldCharType="separate"/>
            </w:r>
            <w:r w:rsidRPr="00F461B8">
              <w:rPr>
                <w:noProof/>
                <w:webHidden/>
              </w:rPr>
              <w:t>15</w:t>
            </w:r>
            <w:r w:rsidRPr="00F461B8">
              <w:rPr>
                <w:noProof/>
                <w:webHidden/>
              </w:rPr>
              <w:fldChar w:fldCharType="end"/>
            </w:r>
          </w:hyperlink>
        </w:p>
        <w:p w14:paraId="2F781299" w14:textId="04FC39B4" w:rsidR="00F461B8" w:rsidRPr="00F461B8" w:rsidRDefault="00F461B8" w:rsidP="00F461B8">
          <w:pPr>
            <w:pStyle w:val="TOC1"/>
            <w:tabs>
              <w:tab w:val="right" w:leader="dot" w:pos="9016"/>
            </w:tabs>
            <w:spacing w:line="360" w:lineRule="auto"/>
            <w:rPr>
              <w:noProof/>
            </w:rPr>
          </w:pPr>
          <w:hyperlink w:anchor="_Toc213722097" w:history="1">
            <w:r w:rsidRPr="00F461B8">
              <w:rPr>
                <w:rStyle w:val="Hyperlink"/>
                <w:noProof/>
              </w:rPr>
              <w:t>Medium-Term Actions (12–36 months)</w:t>
            </w:r>
            <w:r w:rsidRPr="00F461B8">
              <w:rPr>
                <w:noProof/>
                <w:webHidden/>
              </w:rPr>
              <w:tab/>
            </w:r>
            <w:r w:rsidRPr="00F461B8">
              <w:rPr>
                <w:noProof/>
                <w:webHidden/>
              </w:rPr>
              <w:fldChar w:fldCharType="begin"/>
            </w:r>
            <w:r w:rsidRPr="00F461B8">
              <w:rPr>
                <w:noProof/>
                <w:webHidden/>
              </w:rPr>
              <w:instrText xml:space="preserve"> PAGEREF _Toc213722097 \h </w:instrText>
            </w:r>
            <w:r w:rsidRPr="00F461B8">
              <w:rPr>
                <w:noProof/>
                <w:webHidden/>
              </w:rPr>
            </w:r>
            <w:r w:rsidRPr="00F461B8">
              <w:rPr>
                <w:noProof/>
                <w:webHidden/>
              </w:rPr>
              <w:fldChar w:fldCharType="separate"/>
            </w:r>
            <w:r w:rsidRPr="00F461B8">
              <w:rPr>
                <w:noProof/>
                <w:webHidden/>
              </w:rPr>
              <w:t>15</w:t>
            </w:r>
            <w:r w:rsidRPr="00F461B8">
              <w:rPr>
                <w:noProof/>
                <w:webHidden/>
              </w:rPr>
              <w:fldChar w:fldCharType="end"/>
            </w:r>
          </w:hyperlink>
        </w:p>
        <w:p w14:paraId="2C6E4416" w14:textId="056DDA1B" w:rsidR="00F461B8" w:rsidRPr="00F461B8" w:rsidRDefault="00F461B8" w:rsidP="00F461B8">
          <w:pPr>
            <w:pStyle w:val="TOC1"/>
            <w:tabs>
              <w:tab w:val="right" w:leader="dot" w:pos="9016"/>
            </w:tabs>
            <w:spacing w:line="360" w:lineRule="auto"/>
            <w:rPr>
              <w:noProof/>
            </w:rPr>
          </w:pPr>
          <w:hyperlink w:anchor="_Toc213722098" w:history="1">
            <w:r w:rsidRPr="00F461B8">
              <w:rPr>
                <w:rStyle w:val="Hyperlink"/>
                <w:noProof/>
              </w:rPr>
              <w:t>D. Reduce Air Freight Dependence</w:t>
            </w:r>
            <w:r w:rsidRPr="00F461B8">
              <w:rPr>
                <w:noProof/>
                <w:webHidden/>
              </w:rPr>
              <w:tab/>
            </w:r>
            <w:r w:rsidRPr="00F461B8">
              <w:rPr>
                <w:noProof/>
                <w:webHidden/>
              </w:rPr>
              <w:fldChar w:fldCharType="begin"/>
            </w:r>
            <w:r w:rsidRPr="00F461B8">
              <w:rPr>
                <w:noProof/>
                <w:webHidden/>
              </w:rPr>
              <w:instrText xml:space="preserve"> PAGEREF _Toc213722098 \h </w:instrText>
            </w:r>
            <w:r w:rsidRPr="00F461B8">
              <w:rPr>
                <w:noProof/>
                <w:webHidden/>
              </w:rPr>
            </w:r>
            <w:r w:rsidRPr="00F461B8">
              <w:rPr>
                <w:noProof/>
                <w:webHidden/>
              </w:rPr>
              <w:fldChar w:fldCharType="separate"/>
            </w:r>
            <w:r w:rsidRPr="00F461B8">
              <w:rPr>
                <w:noProof/>
                <w:webHidden/>
              </w:rPr>
              <w:t>15</w:t>
            </w:r>
            <w:r w:rsidRPr="00F461B8">
              <w:rPr>
                <w:noProof/>
                <w:webHidden/>
              </w:rPr>
              <w:fldChar w:fldCharType="end"/>
            </w:r>
          </w:hyperlink>
        </w:p>
        <w:p w14:paraId="1D36C4EE" w14:textId="6FF5AC79" w:rsidR="00F461B8" w:rsidRPr="00F461B8" w:rsidRDefault="00F461B8" w:rsidP="00F461B8">
          <w:pPr>
            <w:pStyle w:val="TOC1"/>
            <w:tabs>
              <w:tab w:val="right" w:leader="dot" w:pos="9016"/>
            </w:tabs>
            <w:spacing w:line="360" w:lineRule="auto"/>
            <w:rPr>
              <w:noProof/>
            </w:rPr>
          </w:pPr>
          <w:hyperlink w:anchor="_Toc213722099" w:history="1">
            <w:r w:rsidRPr="00F461B8">
              <w:rPr>
                <w:rStyle w:val="Hyperlink"/>
                <w:noProof/>
              </w:rPr>
              <w:t>E. Rethinking Packaging for a Circular Economy</w:t>
            </w:r>
            <w:r w:rsidRPr="00F461B8">
              <w:rPr>
                <w:noProof/>
                <w:webHidden/>
              </w:rPr>
              <w:tab/>
            </w:r>
            <w:r w:rsidRPr="00F461B8">
              <w:rPr>
                <w:noProof/>
                <w:webHidden/>
              </w:rPr>
              <w:fldChar w:fldCharType="begin"/>
            </w:r>
            <w:r w:rsidRPr="00F461B8">
              <w:rPr>
                <w:noProof/>
                <w:webHidden/>
              </w:rPr>
              <w:instrText xml:space="preserve"> PAGEREF _Toc213722099 \h </w:instrText>
            </w:r>
            <w:r w:rsidRPr="00F461B8">
              <w:rPr>
                <w:noProof/>
                <w:webHidden/>
              </w:rPr>
            </w:r>
            <w:r w:rsidRPr="00F461B8">
              <w:rPr>
                <w:noProof/>
                <w:webHidden/>
              </w:rPr>
              <w:fldChar w:fldCharType="separate"/>
            </w:r>
            <w:r w:rsidRPr="00F461B8">
              <w:rPr>
                <w:noProof/>
                <w:webHidden/>
              </w:rPr>
              <w:t>15</w:t>
            </w:r>
            <w:r w:rsidRPr="00F461B8">
              <w:rPr>
                <w:noProof/>
                <w:webHidden/>
              </w:rPr>
              <w:fldChar w:fldCharType="end"/>
            </w:r>
          </w:hyperlink>
        </w:p>
        <w:p w14:paraId="592D9622" w14:textId="2EC48E6F" w:rsidR="00F461B8" w:rsidRPr="00F461B8" w:rsidRDefault="00F461B8" w:rsidP="00F461B8">
          <w:pPr>
            <w:pStyle w:val="TOC1"/>
            <w:tabs>
              <w:tab w:val="right" w:leader="dot" w:pos="9016"/>
            </w:tabs>
            <w:spacing w:line="360" w:lineRule="auto"/>
            <w:rPr>
              <w:noProof/>
            </w:rPr>
          </w:pPr>
          <w:hyperlink w:anchor="_Toc213722100" w:history="1">
            <w:r w:rsidRPr="00F461B8">
              <w:rPr>
                <w:rStyle w:val="Hyperlink"/>
                <w:noProof/>
              </w:rPr>
              <w:t>F. Supplier Sustainability Initiative</w:t>
            </w:r>
            <w:r w:rsidRPr="00F461B8">
              <w:rPr>
                <w:noProof/>
                <w:webHidden/>
              </w:rPr>
              <w:tab/>
            </w:r>
            <w:r w:rsidRPr="00F461B8">
              <w:rPr>
                <w:noProof/>
                <w:webHidden/>
              </w:rPr>
              <w:fldChar w:fldCharType="begin"/>
            </w:r>
            <w:r w:rsidRPr="00F461B8">
              <w:rPr>
                <w:noProof/>
                <w:webHidden/>
              </w:rPr>
              <w:instrText xml:space="preserve"> PAGEREF _Toc213722100 \h </w:instrText>
            </w:r>
            <w:r w:rsidRPr="00F461B8">
              <w:rPr>
                <w:noProof/>
                <w:webHidden/>
              </w:rPr>
            </w:r>
            <w:r w:rsidRPr="00F461B8">
              <w:rPr>
                <w:noProof/>
                <w:webHidden/>
              </w:rPr>
              <w:fldChar w:fldCharType="separate"/>
            </w:r>
            <w:r w:rsidRPr="00F461B8">
              <w:rPr>
                <w:noProof/>
                <w:webHidden/>
              </w:rPr>
              <w:t>16</w:t>
            </w:r>
            <w:r w:rsidRPr="00F461B8">
              <w:rPr>
                <w:noProof/>
                <w:webHidden/>
              </w:rPr>
              <w:fldChar w:fldCharType="end"/>
            </w:r>
          </w:hyperlink>
        </w:p>
        <w:p w14:paraId="44E56E9E" w14:textId="1CBF4268" w:rsidR="00F461B8" w:rsidRPr="00F461B8" w:rsidRDefault="00F461B8" w:rsidP="00F461B8">
          <w:pPr>
            <w:pStyle w:val="TOC1"/>
            <w:tabs>
              <w:tab w:val="right" w:leader="dot" w:pos="9016"/>
            </w:tabs>
            <w:spacing w:line="360" w:lineRule="auto"/>
            <w:rPr>
              <w:noProof/>
            </w:rPr>
          </w:pPr>
          <w:hyperlink w:anchor="_Toc213722101" w:history="1">
            <w:r w:rsidRPr="00F461B8">
              <w:rPr>
                <w:rStyle w:val="Hyperlink"/>
                <w:noProof/>
              </w:rPr>
              <w:t>Long-Term Actions (3–8 years)</w:t>
            </w:r>
            <w:r w:rsidRPr="00F461B8">
              <w:rPr>
                <w:noProof/>
                <w:webHidden/>
              </w:rPr>
              <w:tab/>
            </w:r>
            <w:r w:rsidRPr="00F461B8">
              <w:rPr>
                <w:noProof/>
                <w:webHidden/>
              </w:rPr>
              <w:fldChar w:fldCharType="begin"/>
            </w:r>
            <w:r w:rsidRPr="00F461B8">
              <w:rPr>
                <w:noProof/>
                <w:webHidden/>
              </w:rPr>
              <w:instrText xml:space="preserve"> PAGEREF _Toc213722101 \h </w:instrText>
            </w:r>
            <w:r w:rsidRPr="00F461B8">
              <w:rPr>
                <w:noProof/>
                <w:webHidden/>
              </w:rPr>
            </w:r>
            <w:r w:rsidRPr="00F461B8">
              <w:rPr>
                <w:noProof/>
                <w:webHidden/>
              </w:rPr>
              <w:fldChar w:fldCharType="separate"/>
            </w:r>
            <w:r w:rsidRPr="00F461B8">
              <w:rPr>
                <w:noProof/>
                <w:webHidden/>
              </w:rPr>
              <w:t>16</w:t>
            </w:r>
            <w:r w:rsidRPr="00F461B8">
              <w:rPr>
                <w:noProof/>
                <w:webHidden/>
              </w:rPr>
              <w:fldChar w:fldCharType="end"/>
            </w:r>
          </w:hyperlink>
        </w:p>
        <w:p w14:paraId="30D17C31" w14:textId="2C685D85" w:rsidR="00F461B8" w:rsidRPr="00F461B8" w:rsidRDefault="00F461B8" w:rsidP="00F461B8">
          <w:pPr>
            <w:pStyle w:val="TOC1"/>
            <w:tabs>
              <w:tab w:val="right" w:leader="dot" w:pos="9016"/>
            </w:tabs>
            <w:spacing w:line="360" w:lineRule="auto"/>
            <w:rPr>
              <w:noProof/>
            </w:rPr>
          </w:pPr>
          <w:hyperlink w:anchor="_Toc213722102" w:history="1">
            <w:r w:rsidRPr="00F461B8">
              <w:rPr>
                <w:rStyle w:val="Hyperlink"/>
                <w:noProof/>
              </w:rPr>
              <w:t>G. Full Transition to Science-Based Targets</w:t>
            </w:r>
            <w:r w:rsidRPr="00F461B8">
              <w:rPr>
                <w:noProof/>
                <w:webHidden/>
              </w:rPr>
              <w:tab/>
            </w:r>
            <w:r w:rsidRPr="00F461B8">
              <w:rPr>
                <w:noProof/>
                <w:webHidden/>
              </w:rPr>
              <w:fldChar w:fldCharType="begin"/>
            </w:r>
            <w:r w:rsidRPr="00F461B8">
              <w:rPr>
                <w:noProof/>
                <w:webHidden/>
              </w:rPr>
              <w:instrText xml:space="preserve"> PAGEREF _Toc213722102 \h </w:instrText>
            </w:r>
            <w:r w:rsidRPr="00F461B8">
              <w:rPr>
                <w:noProof/>
                <w:webHidden/>
              </w:rPr>
            </w:r>
            <w:r w:rsidRPr="00F461B8">
              <w:rPr>
                <w:noProof/>
                <w:webHidden/>
              </w:rPr>
              <w:fldChar w:fldCharType="separate"/>
            </w:r>
            <w:r w:rsidRPr="00F461B8">
              <w:rPr>
                <w:noProof/>
                <w:webHidden/>
              </w:rPr>
              <w:t>16</w:t>
            </w:r>
            <w:r w:rsidRPr="00F461B8">
              <w:rPr>
                <w:noProof/>
                <w:webHidden/>
              </w:rPr>
              <w:fldChar w:fldCharType="end"/>
            </w:r>
          </w:hyperlink>
        </w:p>
        <w:p w14:paraId="6F9620A4" w14:textId="1DF2A37C" w:rsidR="00F461B8" w:rsidRPr="00F461B8" w:rsidRDefault="00F461B8" w:rsidP="00F461B8">
          <w:pPr>
            <w:pStyle w:val="TOC1"/>
            <w:tabs>
              <w:tab w:val="right" w:leader="dot" w:pos="9016"/>
            </w:tabs>
            <w:spacing w:line="360" w:lineRule="auto"/>
            <w:rPr>
              <w:noProof/>
            </w:rPr>
          </w:pPr>
          <w:hyperlink w:anchor="_Toc213722103" w:history="1">
            <w:r w:rsidRPr="00F461B8">
              <w:rPr>
                <w:rStyle w:val="Hyperlink"/>
                <w:noProof/>
              </w:rPr>
              <w:t>H. Circular Gifting and Reuse Services</w:t>
            </w:r>
            <w:r w:rsidRPr="00F461B8">
              <w:rPr>
                <w:noProof/>
                <w:webHidden/>
              </w:rPr>
              <w:tab/>
            </w:r>
            <w:r w:rsidRPr="00F461B8">
              <w:rPr>
                <w:noProof/>
                <w:webHidden/>
              </w:rPr>
              <w:fldChar w:fldCharType="begin"/>
            </w:r>
            <w:r w:rsidRPr="00F461B8">
              <w:rPr>
                <w:noProof/>
                <w:webHidden/>
              </w:rPr>
              <w:instrText xml:space="preserve"> PAGEREF _Toc213722103 \h </w:instrText>
            </w:r>
            <w:r w:rsidRPr="00F461B8">
              <w:rPr>
                <w:noProof/>
                <w:webHidden/>
              </w:rPr>
            </w:r>
            <w:r w:rsidRPr="00F461B8">
              <w:rPr>
                <w:noProof/>
                <w:webHidden/>
              </w:rPr>
              <w:fldChar w:fldCharType="separate"/>
            </w:r>
            <w:r w:rsidRPr="00F461B8">
              <w:rPr>
                <w:noProof/>
                <w:webHidden/>
              </w:rPr>
              <w:t>16</w:t>
            </w:r>
            <w:r w:rsidRPr="00F461B8">
              <w:rPr>
                <w:noProof/>
                <w:webHidden/>
              </w:rPr>
              <w:fldChar w:fldCharType="end"/>
            </w:r>
          </w:hyperlink>
        </w:p>
        <w:p w14:paraId="6D6F204C" w14:textId="618A955C" w:rsidR="00F461B8" w:rsidRPr="00F461B8" w:rsidRDefault="00F461B8" w:rsidP="00F461B8">
          <w:pPr>
            <w:pStyle w:val="TOC1"/>
            <w:tabs>
              <w:tab w:val="right" w:leader="dot" w:pos="9016"/>
            </w:tabs>
            <w:spacing w:line="360" w:lineRule="auto"/>
            <w:rPr>
              <w:noProof/>
            </w:rPr>
          </w:pPr>
          <w:hyperlink w:anchor="_Toc213722104" w:history="1">
            <w:r w:rsidRPr="00F461B8">
              <w:rPr>
                <w:rStyle w:val="Hyperlink"/>
                <w:noProof/>
              </w:rPr>
              <w:t>Investment in Collaborations for Electric Vehicles</w:t>
            </w:r>
            <w:r w:rsidRPr="00F461B8">
              <w:rPr>
                <w:noProof/>
                <w:webHidden/>
              </w:rPr>
              <w:tab/>
            </w:r>
            <w:r w:rsidRPr="00F461B8">
              <w:rPr>
                <w:noProof/>
                <w:webHidden/>
              </w:rPr>
              <w:fldChar w:fldCharType="begin"/>
            </w:r>
            <w:r w:rsidRPr="00F461B8">
              <w:rPr>
                <w:noProof/>
                <w:webHidden/>
              </w:rPr>
              <w:instrText xml:space="preserve"> PAGEREF _Toc213722104 \h </w:instrText>
            </w:r>
            <w:r w:rsidRPr="00F461B8">
              <w:rPr>
                <w:noProof/>
                <w:webHidden/>
              </w:rPr>
            </w:r>
            <w:r w:rsidRPr="00F461B8">
              <w:rPr>
                <w:noProof/>
                <w:webHidden/>
              </w:rPr>
              <w:fldChar w:fldCharType="separate"/>
            </w:r>
            <w:r w:rsidRPr="00F461B8">
              <w:rPr>
                <w:noProof/>
                <w:webHidden/>
              </w:rPr>
              <w:t>16</w:t>
            </w:r>
            <w:r w:rsidRPr="00F461B8">
              <w:rPr>
                <w:noProof/>
                <w:webHidden/>
              </w:rPr>
              <w:fldChar w:fldCharType="end"/>
            </w:r>
          </w:hyperlink>
        </w:p>
        <w:p w14:paraId="5B36F307" w14:textId="7D666631" w:rsidR="00F461B8" w:rsidRPr="00F461B8" w:rsidRDefault="00F461B8" w:rsidP="00F461B8">
          <w:pPr>
            <w:pStyle w:val="TOC1"/>
            <w:tabs>
              <w:tab w:val="left" w:pos="480"/>
              <w:tab w:val="right" w:leader="dot" w:pos="9016"/>
            </w:tabs>
            <w:spacing w:line="360" w:lineRule="auto"/>
            <w:rPr>
              <w:noProof/>
            </w:rPr>
          </w:pPr>
          <w:hyperlink w:anchor="_Toc213722105" w:history="1">
            <w:r w:rsidRPr="00F461B8">
              <w:rPr>
                <w:rStyle w:val="Hyperlink"/>
                <w:noProof/>
              </w:rPr>
              <w:t>6.</w:t>
            </w:r>
            <w:r w:rsidRPr="00F461B8">
              <w:rPr>
                <w:noProof/>
              </w:rPr>
              <w:tab/>
            </w:r>
            <w:r w:rsidRPr="00F461B8">
              <w:rPr>
                <w:rStyle w:val="Hyperlink"/>
                <w:noProof/>
              </w:rPr>
              <w:t>Implementation Roadmap, KPIs, and Risk Mitigation</w:t>
            </w:r>
            <w:r w:rsidRPr="00F461B8">
              <w:rPr>
                <w:noProof/>
                <w:webHidden/>
              </w:rPr>
              <w:tab/>
            </w:r>
            <w:r w:rsidRPr="00F461B8">
              <w:rPr>
                <w:noProof/>
                <w:webHidden/>
              </w:rPr>
              <w:fldChar w:fldCharType="begin"/>
            </w:r>
            <w:r w:rsidRPr="00F461B8">
              <w:rPr>
                <w:noProof/>
                <w:webHidden/>
              </w:rPr>
              <w:instrText xml:space="preserve"> PAGEREF _Toc213722105 \h </w:instrText>
            </w:r>
            <w:r w:rsidRPr="00F461B8">
              <w:rPr>
                <w:noProof/>
                <w:webHidden/>
              </w:rPr>
            </w:r>
            <w:r w:rsidRPr="00F461B8">
              <w:rPr>
                <w:noProof/>
                <w:webHidden/>
              </w:rPr>
              <w:fldChar w:fldCharType="separate"/>
            </w:r>
            <w:r w:rsidRPr="00F461B8">
              <w:rPr>
                <w:noProof/>
                <w:webHidden/>
              </w:rPr>
              <w:t>17</w:t>
            </w:r>
            <w:r w:rsidRPr="00F461B8">
              <w:rPr>
                <w:noProof/>
                <w:webHidden/>
              </w:rPr>
              <w:fldChar w:fldCharType="end"/>
            </w:r>
          </w:hyperlink>
        </w:p>
        <w:p w14:paraId="66163147" w14:textId="1C74C5DF" w:rsidR="00F461B8" w:rsidRPr="00F461B8" w:rsidRDefault="00F461B8" w:rsidP="00F461B8">
          <w:pPr>
            <w:pStyle w:val="TOC1"/>
            <w:tabs>
              <w:tab w:val="right" w:leader="dot" w:pos="9016"/>
            </w:tabs>
            <w:spacing w:line="360" w:lineRule="auto"/>
            <w:rPr>
              <w:noProof/>
            </w:rPr>
          </w:pPr>
          <w:hyperlink w:anchor="_Toc213722106" w:history="1">
            <w:r w:rsidRPr="00F461B8">
              <w:rPr>
                <w:rStyle w:val="Hyperlink"/>
                <w:noProof/>
              </w:rPr>
              <w:t>6.1. High-Level Roadmap</w:t>
            </w:r>
            <w:r w:rsidRPr="00F461B8">
              <w:rPr>
                <w:noProof/>
                <w:webHidden/>
              </w:rPr>
              <w:tab/>
            </w:r>
            <w:r w:rsidRPr="00F461B8">
              <w:rPr>
                <w:noProof/>
                <w:webHidden/>
              </w:rPr>
              <w:fldChar w:fldCharType="begin"/>
            </w:r>
            <w:r w:rsidRPr="00F461B8">
              <w:rPr>
                <w:noProof/>
                <w:webHidden/>
              </w:rPr>
              <w:instrText xml:space="preserve"> PAGEREF _Toc213722106 \h </w:instrText>
            </w:r>
            <w:r w:rsidRPr="00F461B8">
              <w:rPr>
                <w:noProof/>
                <w:webHidden/>
              </w:rPr>
            </w:r>
            <w:r w:rsidRPr="00F461B8">
              <w:rPr>
                <w:noProof/>
                <w:webHidden/>
              </w:rPr>
              <w:fldChar w:fldCharType="separate"/>
            </w:r>
            <w:r w:rsidRPr="00F461B8">
              <w:rPr>
                <w:noProof/>
                <w:webHidden/>
              </w:rPr>
              <w:t>17</w:t>
            </w:r>
            <w:r w:rsidRPr="00F461B8">
              <w:rPr>
                <w:noProof/>
                <w:webHidden/>
              </w:rPr>
              <w:fldChar w:fldCharType="end"/>
            </w:r>
          </w:hyperlink>
        </w:p>
        <w:p w14:paraId="7C6D538C" w14:textId="5F4E13B9" w:rsidR="00F461B8" w:rsidRPr="00F461B8" w:rsidRDefault="00F461B8" w:rsidP="00F461B8">
          <w:pPr>
            <w:pStyle w:val="TOC1"/>
            <w:tabs>
              <w:tab w:val="left" w:pos="720"/>
              <w:tab w:val="right" w:leader="dot" w:pos="9016"/>
            </w:tabs>
            <w:spacing w:line="360" w:lineRule="auto"/>
            <w:rPr>
              <w:noProof/>
            </w:rPr>
          </w:pPr>
          <w:hyperlink w:anchor="_Toc213722107" w:history="1">
            <w:r w:rsidRPr="00F461B8">
              <w:rPr>
                <w:rStyle w:val="Hyperlink"/>
                <w:noProof/>
              </w:rPr>
              <w:t>6.2.</w:t>
            </w:r>
            <w:r w:rsidRPr="00F461B8">
              <w:rPr>
                <w:noProof/>
              </w:rPr>
              <w:tab/>
            </w:r>
            <w:r w:rsidRPr="00F461B8">
              <w:rPr>
                <w:rStyle w:val="Hyperlink"/>
                <w:noProof/>
              </w:rPr>
              <w:t>Key Performance Indicators</w:t>
            </w:r>
            <w:r w:rsidRPr="00F461B8">
              <w:rPr>
                <w:noProof/>
                <w:webHidden/>
              </w:rPr>
              <w:tab/>
            </w:r>
            <w:r w:rsidRPr="00F461B8">
              <w:rPr>
                <w:noProof/>
                <w:webHidden/>
              </w:rPr>
              <w:fldChar w:fldCharType="begin"/>
            </w:r>
            <w:r w:rsidRPr="00F461B8">
              <w:rPr>
                <w:noProof/>
                <w:webHidden/>
              </w:rPr>
              <w:instrText xml:space="preserve"> PAGEREF _Toc213722107 \h </w:instrText>
            </w:r>
            <w:r w:rsidRPr="00F461B8">
              <w:rPr>
                <w:noProof/>
                <w:webHidden/>
              </w:rPr>
            </w:r>
            <w:r w:rsidRPr="00F461B8">
              <w:rPr>
                <w:noProof/>
                <w:webHidden/>
              </w:rPr>
              <w:fldChar w:fldCharType="separate"/>
            </w:r>
            <w:r w:rsidRPr="00F461B8">
              <w:rPr>
                <w:noProof/>
                <w:webHidden/>
              </w:rPr>
              <w:t>18</w:t>
            </w:r>
            <w:r w:rsidRPr="00F461B8">
              <w:rPr>
                <w:noProof/>
                <w:webHidden/>
              </w:rPr>
              <w:fldChar w:fldCharType="end"/>
            </w:r>
          </w:hyperlink>
        </w:p>
        <w:p w14:paraId="092B0B23" w14:textId="24C3C698" w:rsidR="00F461B8" w:rsidRPr="00F461B8" w:rsidRDefault="00F461B8" w:rsidP="00F461B8">
          <w:pPr>
            <w:pStyle w:val="TOC1"/>
            <w:tabs>
              <w:tab w:val="left" w:pos="720"/>
              <w:tab w:val="right" w:leader="dot" w:pos="9016"/>
            </w:tabs>
            <w:spacing w:line="360" w:lineRule="auto"/>
            <w:rPr>
              <w:noProof/>
            </w:rPr>
          </w:pPr>
          <w:hyperlink w:anchor="_Toc213722108" w:history="1">
            <w:r w:rsidRPr="00F461B8">
              <w:rPr>
                <w:rStyle w:val="Hyperlink"/>
                <w:noProof/>
              </w:rPr>
              <w:t>6.3.</w:t>
            </w:r>
            <w:r w:rsidRPr="00F461B8">
              <w:rPr>
                <w:noProof/>
              </w:rPr>
              <w:tab/>
            </w:r>
            <w:r w:rsidRPr="00F461B8">
              <w:rPr>
                <w:rStyle w:val="Hyperlink"/>
                <w:noProof/>
              </w:rPr>
              <w:t>Risk Mitigation</w:t>
            </w:r>
            <w:r w:rsidRPr="00F461B8">
              <w:rPr>
                <w:noProof/>
                <w:webHidden/>
              </w:rPr>
              <w:tab/>
            </w:r>
            <w:r w:rsidRPr="00F461B8">
              <w:rPr>
                <w:noProof/>
                <w:webHidden/>
              </w:rPr>
              <w:fldChar w:fldCharType="begin"/>
            </w:r>
            <w:r w:rsidRPr="00F461B8">
              <w:rPr>
                <w:noProof/>
                <w:webHidden/>
              </w:rPr>
              <w:instrText xml:space="preserve"> PAGEREF _Toc213722108 \h </w:instrText>
            </w:r>
            <w:r w:rsidRPr="00F461B8">
              <w:rPr>
                <w:noProof/>
                <w:webHidden/>
              </w:rPr>
            </w:r>
            <w:r w:rsidRPr="00F461B8">
              <w:rPr>
                <w:noProof/>
                <w:webHidden/>
              </w:rPr>
              <w:fldChar w:fldCharType="separate"/>
            </w:r>
            <w:r w:rsidRPr="00F461B8">
              <w:rPr>
                <w:noProof/>
                <w:webHidden/>
              </w:rPr>
              <w:t>18</w:t>
            </w:r>
            <w:r w:rsidRPr="00F461B8">
              <w:rPr>
                <w:noProof/>
                <w:webHidden/>
              </w:rPr>
              <w:fldChar w:fldCharType="end"/>
            </w:r>
          </w:hyperlink>
        </w:p>
        <w:p w14:paraId="5356F922" w14:textId="5CE2DCA3" w:rsidR="00F461B8" w:rsidRPr="00F461B8" w:rsidRDefault="00F461B8" w:rsidP="00F461B8">
          <w:pPr>
            <w:pStyle w:val="TOC1"/>
            <w:tabs>
              <w:tab w:val="left" w:pos="480"/>
              <w:tab w:val="right" w:leader="dot" w:pos="9016"/>
            </w:tabs>
            <w:spacing w:line="360" w:lineRule="auto"/>
            <w:rPr>
              <w:noProof/>
            </w:rPr>
          </w:pPr>
          <w:hyperlink w:anchor="_Toc213722109" w:history="1">
            <w:r w:rsidRPr="00F461B8">
              <w:rPr>
                <w:rStyle w:val="Hyperlink"/>
                <w:noProof/>
              </w:rPr>
              <w:t>7.</w:t>
            </w:r>
            <w:r w:rsidRPr="00F461B8">
              <w:rPr>
                <w:noProof/>
              </w:rPr>
              <w:tab/>
            </w:r>
            <w:r w:rsidRPr="00F461B8">
              <w:rPr>
                <w:rStyle w:val="Hyperlink"/>
                <w:noProof/>
              </w:rPr>
              <w:t>Justification with Academic and Industry Evidence</w:t>
            </w:r>
            <w:r w:rsidRPr="00F461B8">
              <w:rPr>
                <w:noProof/>
                <w:webHidden/>
              </w:rPr>
              <w:tab/>
            </w:r>
            <w:r w:rsidRPr="00F461B8">
              <w:rPr>
                <w:noProof/>
                <w:webHidden/>
              </w:rPr>
              <w:fldChar w:fldCharType="begin"/>
            </w:r>
            <w:r w:rsidRPr="00F461B8">
              <w:rPr>
                <w:noProof/>
                <w:webHidden/>
              </w:rPr>
              <w:instrText xml:space="preserve"> PAGEREF _Toc213722109 \h </w:instrText>
            </w:r>
            <w:r w:rsidRPr="00F461B8">
              <w:rPr>
                <w:noProof/>
                <w:webHidden/>
              </w:rPr>
            </w:r>
            <w:r w:rsidRPr="00F461B8">
              <w:rPr>
                <w:noProof/>
                <w:webHidden/>
              </w:rPr>
              <w:fldChar w:fldCharType="separate"/>
            </w:r>
            <w:r w:rsidRPr="00F461B8">
              <w:rPr>
                <w:noProof/>
                <w:webHidden/>
              </w:rPr>
              <w:t>20</w:t>
            </w:r>
            <w:r w:rsidRPr="00F461B8">
              <w:rPr>
                <w:noProof/>
                <w:webHidden/>
              </w:rPr>
              <w:fldChar w:fldCharType="end"/>
            </w:r>
          </w:hyperlink>
        </w:p>
        <w:p w14:paraId="4AA068C4" w14:textId="0E49D64A" w:rsidR="00F461B8" w:rsidRPr="00F461B8" w:rsidRDefault="00F461B8" w:rsidP="00F461B8">
          <w:pPr>
            <w:pStyle w:val="TOC1"/>
            <w:tabs>
              <w:tab w:val="left" w:pos="480"/>
              <w:tab w:val="right" w:leader="dot" w:pos="9016"/>
            </w:tabs>
            <w:spacing w:line="360" w:lineRule="auto"/>
            <w:rPr>
              <w:noProof/>
            </w:rPr>
          </w:pPr>
          <w:hyperlink w:anchor="_Toc213722110" w:history="1">
            <w:r w:rsidRPr="00F461B8">
              <w:rPr>
                <w:rStyle w:val="Hyperlink"/>
                <w:noProof/>
              </w:rPr>
              <w:t>8.</w:t>
            </w:r>
            <w:r w:rsidRPr="00F461B8">
              <w:rPr>
                <w:noProof/>
              </w:rPr>
              <w:tab/>
            </w:r>
            <w:r w:rsidRPr="00F461B8">
              <w:rPr>
                <w:rStyle w:val="Hyperlink"/>
                <w:noProof/>
              </w:rPr>
              <w:t>Conclusion</w:t>
            </w:r>
            <w:r w:rsidRPr="00F461B8">
              <w:rPr>
                <w:noProof/>
                <w:webHidden/>
              </w:rPr>
              <w:tab/>
            </w:r>
            <w:r w:rsidRPr="00F461B8">
              <w:rPr>
                <w:noProof/>
                <w:webHidden/>
              </w:rPr>
              <w:fldChar w:fldCharType="begin"/>
            </w:r>
            <w:r w:rsidRPr="00F461B8">
              <w:rPr>
                <w:noProof/>
                <w:webHidden/>
              </w:rPr>
              <w:instrText xml:space="preserve"> PAGEREF _Toc213722110 \h </w:instrText>
            </w:r>
            <w:r w:rsidRPr="00F461B8">
              <w:rPr>
                <w:noProof/>
                <w:webHidden/>
              </w:rPr>
            </w:r>
            <w:r w:rsidRPr="00F461B8">
              <w:rPr>
                <w:noProof/>
                <w:webHidden/>
              </w:rPr>
              <w:fldChar w:fldCharType="separate"/>
            </w:r>
            <w:r w:rsidRPr="00F461B8">
              <w:rPr>
                <w:noProof/>
                <w:webHidden/>
              </w:rPr>
              <w:t>21</w:t>
            </w:r>
            <w:r w:rsidRPr="00F461B8">
              <w:rPr>
                <w:noProof/>
                <w:webHidden/>
              </w:rPr>
              <w:fldChar w:fldCharType="end"/>
            </w:r>
          </w:hyperlink>
        </w:p>
        <w:p w14:paraId="06DFF1C3" w14:textId="5E3F33C6" w:rsidR="00F461B8" w:rsidRPr="00F461B8" w:rsidRDefault="00F461B8" w:rsidP="00F461B8">
          <w:pPr>
            <w:pStyle w:val="TOC1"/>
            <w:tabs>
              <w:tab w:val="right" w:leader="dot" w:pos="9016"/>
            </w:tabs>
            <w:spacing w:line="360" w:lineRule="auto"/>
            <w:rPr>
              <w:noProof/>
            </w:rPr>
          </w:pPr>
          <w:hyperlink w:anchor="_Toc213722111" w:history="1">
            <w:r w:rsidRPr="00F461B8">
              <w:rPr>
                <w:rStyle w:val="Hyperlink"/>
                <w:noProof/>
              </w:rPr>
              <w:t>References (Harvard Style)</w:t>
            </w:r>
            <w:r w:rsidRPr="00F461B8">
              <w:rPr>
                <w:noProof/>
                <w:webHidden/>
              </w:rPr>
              <w:tab/>
            </w:r>
            <w:r w:rsidRPr="00F461B8">
              <w:rPr>
                <w:noProof/>
                <w:webHidden/>
              </w:rPr>
              <w:fldChar w:fldCharType="begin"/>
            </w:r>
            <w:r w:rsidRPr="00F461B8">
              <w:rPr>
                <w:noProof/>
                <w:webHidden/>
              </w:rPr>
              <w:instrText xml:space="preserve"> PAGEREF _Toc213722111 \h </w:instrText>
            </w:r>
            <w:r w:rsidRPr="00F461B8">
              <w:rPr>
                <w:noProof/>
                <w:webHidden/>
              </w:rPr>
            </w:r>
            <w:r w:rsidRPr="00F461B8">
              <w:rPr>
                <w:noProof/>
                <w:webHidden/>
              </w:rPr>
              <w:fldChar w:fldCharType="separate"/>
            </w:r>
            <w:r w:rsidRPr="00F461B8">
              <w:rPr>
                <w:noProof/>
                <w:webHidden/>
              </w:rPr>
              <w:t>22</w:t>
            </w:r>
            <w:r w:rsidRPr="00F461B8">
              <w:rPr>
                <w:noProof/>
                <w:webHidden/>
              </w:rPr>
              <w:fldChar w:fldCharType="end"/>
            </w:r>
          </w:hyperlink>
        </w:p>
        <w:p w14:paraId="086A697F" w14:textId="39B22D37" w:rsidR="00F461B8" w:rsidRDefault="00F461B8" w:rsidP="00F461B8">
          <w:pPr>
            <w:spacing w:line="360" w:lineRule="auto"/>
          </w:pPr>
          <w:r w:rsidRPr="00F461B8">
            <w:rPr>
              <w:b/>
              <w:bCs/>
              <w:noProof/>
            </w:rPr>
            <w:fldChar w:fldCharType="end"/>
          </w:r>
        </w:p>
      </w:sdtContent>
    </w:sdt>
    <w:p w14:paraId="7B031DB8" w14:textId="227AA910" w:rsidR="00B70526" w:rsidRPr="00F461B8" w:rsidRDefault="00B70526" w:rsidP="00F461B8">
      <w:pPr>
        <w:spacing w:line="360" w:lineRule="auto"/>
        <w:rPr>
          <w:rFonts w:ascii="Calibri" w:hAnsi="Calibri" w:cs="Calibri"/>
          <w:b/>
          <w:bCs/>
          <w:sz w:val="24"/>
          <w:szCs w:val="24"/>
        </w:rPr>
      </w:pPr>
      <w:r>
        <w:br w:type="page"/>
      </w:r>
    </w:p>
    <w:p w14:paraId="668BB2B3" w14:textId="39227C30" w:rsidR="000B7879" w:rsidRPr="00F73069" w:rsidRDefault="000B7879" w:rsidP="004B5D0C">
      <w:pPr>
        <w:pStyle w:val="Heading1"/>
      </w:pPr>
      <w:bookmarkStart w:id="0" w:name="_Toc213722077"/>
      <w:r w:rsidRPr="00F73069">
        <w:lastRenderedPageBreak/>
        <w:t>Executive Summary</w:t>
      </w:r>
      <w:bookmarkEnd w:id="0"/>
    </w:p>
    <w:p w14:paraId="18536807" w14:textId="77A2D180" w:rsidR="000B7879" w:rsidRPr="00F73069" w:rsidRDefault="000B7879" w:rsidP="006474FA">
      <w:pPr>
        <w:rPr>
          <w:rFonts w:cs="Arial"/>
        </w:rPr>
      </w:pPr>
      <w:r w:rsidRPr="00F73069">
        <w:rPr>
          <w:rFonts w:cs="Arial"/>
        </w:rPr>
        <w:t>Founded in 2013 by Aron Gelbard and Ben Stanway, Bloom &amp; Wild Ltd. is an online flower and gift delivery business based in the United Kingdom. Through its creative letterbox flower concept, which combined sustainability, design, and technology to produce fresh, high-quality flowers that fit into typical UK letterboxes, the company transformed the floral industry (Bloom &amp; Wild, 2023). In this research, Bloom &amp; Wild's strategic orientation is critically evaluated, its internal and external business environments are examined, alternative growth plans are assessed, and suggestions for long-term sustainable development are made.</w:t>
      </w:r>
    </w:p>
    <w:p w14:paraId="64C7FD06" w14:textId="342B5D39" w:rsidR="00B43D4D" w:rsidRDefault="000B7879" w:rsidP="006474FA">
      <w:pPr>
        <w:rPr>
          <w:rFonts w:cs="Arial"/>
        </w:rPr>
      </w:pPr>
      <w:r w:rsidRPr="00F73069">
        <w:rPr>
          <w:rFonts w:cs="Arial"/>
        </w:rPr>
        <w:t>According to the research, Bloom &amp; Wild's competitive edge is derived from a strong brand identity, cutting-edge technology, and an effective sustainability plan (Smith, 2021).  Significant strategic challenges are presented by growing market rivalry, rising operating costs, and economic pressures, though (Mintel, 2023). There are chances to grow global marketplaces, improve digital collaborations, and create customised product lines. The report's conclusion is that Bloom &amp; Wild will be able to achieve long-term competitive sustainability and solidify its market leadership by sustained investment in digital innovation and sustainable worldwide growth (Johnson, Scholes, and Whittington, 2020).</w:t>
      </w:r>
    </w:p>
    <w:p w14:paraId="1D8EA867" w14:textId="77777777" w:rsidR="001A1347" w:rsidRDefault="001A1347" w:rsidP="006474FA">
      <w:pPr>
        <w:rPr>
          <w:rFonts w:cs="Arial"/>
        </w:rPr>
      </w:pPr>
    </w:p>
    <w:p w14:paraId="7FD3CC7D" w14:textId="2477F808" w:rsidR="001A1347" w:rsidRDefault="00CF378F" w:rsidP="006474FA">
      <w:pPr>
        <w:rPr>
          <w:rFonts w:cs="Arial"/>
        </w:rPr>
      </w:pPr>
      <w:r w:rsidRPr="00CF378F">
        <w:rPr>
          <w:rFonts w:cs="Arial"/>
          <w:noProof/>
        </w:rPr>
        <w:drawing>
          <wp:inline distT="0" distB="0" distL="0" distR="0" wp14:anchorId="29731191" wp14:editId="0AAF6C0C">
            <wp:extent cx="4157003" cy="2161420"/>
            <wp:effectExtent l="0" t="0" r="0" b="0"/>
            <wp:docPr id="2078526812" name="Picture 1" descr="A bouquet of flowers in a vase next to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26812" name="Picture 1" descr="A bouquet of flowers in a vase next to a box&#10;&#10;AI-generated content may be incorrect."/>
                    <pic:cNvPicPr/>
                  </pic:nvPicPr>
                  <pic:blipFill>
                    <a:blip r:embed="rId8"/>
                    <a:stretch>
                      <a:fillRect/>
                    </a:stretch>
                  </pic:blipFill>
                  <pic:spPr>
                    <a:xfrm>
                      <a:off x="0" y="0"/>
                      <a:ext cx="4185932" cy="2176462"/>
                    </a:xfrm>
                    <a:prstGeom prst="rect">
                      <a:avLst/>
                    </a:prstGeom>
                  </pic:spPr>
                </pic:pic>
              </a:graphicData>
            </a:graphic>
          </wp:inline>
        </w:drawing>
      </w:r>
    </w:p>
    <w:p w14:paraId="0F9DAB1C" w14:textId="228E6261" w:rsidR="00CF378F" w:rsidRPr="00F73069" w:rsidRDefault="00CF378F" w:rsidP="006474FA">
      <w:pPr>
        <w:rPr>
          <w:rFonts w:cs="Arial"/>
        </w:rPr>
      </w:pPr>
      <w:r>
        <w:rPr>
          <w:rFonts w:cs="Arial"/>
        </w:rPr>
        <w:t xml:space="preserve">Fig. Bloom &amp; Wild letter box. </w:t>
      </w:r>
    </w:p>
    <w:p w14:paraId="6FBF1704" w14:textId="77777777" w:rsidR="000B7879" w:rsidRPr="00F73069" w:rsidRDefault="000B7879" w:rsidP="006474FA"/>
    <w:p w14:paraId="0329DDF0" w14:textId="77777777" w:rsidR="001437B3" w:rsidRPr="00123BCB" w:rsidRDefault="001437B3" w:rsidP="004B5D0C">
      <w:pPr>
        <w:pStyle w:val="Heading1"/>
        <w:numPr>
          <w:ilvl w:val="0"/>
          <w:numId w:val="24"/>
        </w:numPr>
      </w:pPr>
      <w:bookmarkStart w:id="1" w:name="_Toc213722078"/>
      <w:r w:rsidRPr="00123BCB">
        <w:lastRenderedPageBreak/>
        <w:t>Introduction</w:t>
      </w:r>
      <w:bookmarkEnd w:id="1"/>
    </w:p>
    <w:p w14:paraId="7833FE13" w14:textId="2E5FCE73" w:rsidR="001437B3" w:rsidRPr="00F73069" w:rsidRDefault="001437B3" w:rsidP="006474FA">
      <w:pPr>
        <w:rPr>
          <w:rFonts w:cs="Arial"/>
        </w:rPr>
      </w:pPr>
      <w:r w:rsidRPr="00F73069">
        <w:rPr>
          <w:rFonts w:cs="Arial"/>
        </w:rPr>
        <w:t>This research aims to critically assess Bloom &amp; Wild Ltd.'s strategy orientation as a top digital florist in the UK and offer long-term growth ideas that are sustainable. SWOT, PESTEL, Porter's Five Forces, Ansoff's Matrix, and Mendelow's Stakeholder Mapping are some of the important strategic management frameworks that are incorporated into the analysis. According to the goals of business strategic management, these instruments provide a thorough evaluation of Bloom &amp; Wild's internal capabilities, external market environment, and future strategic decisions (Johnson, Scholes, and Whittington, 2020).</w:t>
      </w:r>
    </w:p>
    <w:p w14:paraId="7DA72074" w14:textId="77777777" w:rsidR="001437B3" w:rsidRPr="00F73069" w:rsidRDefault="001437B3" w:rsidP="006474FA">
      <w:pPr>
        <w:rPr>
          <w:rFonts w:cs="Arial"/>
        </w:rPr>
      </w:pPr>
    </w:p>
    <w:p w14:paraId="2F4C8334" w14:textId="57334B9F" w:rsidR="001437B3" w:rsidRPr="00F73069" w:rsidRDefault="001437B3" w:rsidP="006474FA">
      <w:pPr>
        <w:rPr>
          <w:rFonts w:cs="Arial"/>
        </w:rPr>
      </w:pPr>
      <w:r w:rsidRPr="00F73069">
        <w:rPr>
          <w:rFonts w:cs="Arial"/>
        </w:rPr>
        <w:t>The report's application of theoretical models to a real-world organisation is in line with the learning objectives of the LCLM6001 module. It seeks to illustrate how Bloom &amp; Wild's innovation-driven business strategy maintains a competitive edge in the ever-changing and difficult world of online shopping. Additionally, it highlights the ways in which digitisation and sustainability support the business's strategy for differentiation and overall organisational performance (Lynch, 2021).</w:t>
      </w:r>
    </w:p>
    <w:p w14:paraId="43C2885A" w14:textId="357C3ADC" w:rsidR="00FB61D7" w:rsidRPr="00F73069" w:rsidRDefault="004B5D0C" w:rsidP="004B5D0C">
      <w:pPr>
        <w:spacing w:line="259" w:lineRule="auto"/>
        <w:rPr>
          <w:rFonts w:cs="Arial"/>
        </w:rPr>
      </w:pPr>
      <w:r>
        <w:rPr>
          <w:rFonts w:cs="Arial"/>
        </w:rPr>
        <w:br w:type="page"/>
      </w:r>
    </w:p>
    <w:p w14:paraId="4D7ACAE0" w14:textId="12EE5150" w:rsidR="00123BCB" w:rsidRPr="00123BCB" w:rsidRDefault="00FB61D7" w:rsidP="004B5D0C">
      <w:pPr>
        <w:pStyle w:val="Heading1"/>
        <w:numPr>
          <w:ilvl w:val="0"/>
          <w:numId w:val="24"/>
        </w:numPr>
      </w:pPr>
      <w:bookmarkStart w:id="2" w:name="_Toc213722079"/>
      <w:r w:rsidRPr="00F73069">
        <w:lastRenderedPageBreak/>
        <w:t>Appraisal of Strategic Direction (Vision, Mission and Objectives)</w:t>
      </w:r>
      <w:bookmarkEnd w:id="2"/>
    </w:p>
    <w:p w14:paraId="30180451" w14:textId="77777777" w:rsidR="00B70526" w:rsidRDefault="004B2A0E" w:rsidP="006474FA">
      <w:pPr>
        <w:rPr>
          <w:rFonts w:cs="Arial"/>
        </w:rPr>
      </w:pPr>
      <w:r w:rsidRPr="004B2A0E">
        <w:rPr>
          <w:rFonts w:cs="Arial"/>
        </w:rPr>
        <w:t xml:space="preserve">Bloom &amp; Wild’s present approach focusses on expanding its market reach, enhancing digital personalisation, strengthening supply chain resilience, and establishing sustainable differentiation. </w:t>
      </w:r>
    </w:p>
    <w:p w14:paraId="6BF6AA04" w14:textId="417E7294" w:rsidR="004B2A0E" w:rsidRPr="004B2A0E" w:rsidRDefault="004B2A0E" w:rsidP="006474FA">
      <w:pPr>
        <w:rPr>
          <w:rFonts w:cs="Arial"/>
        </w:rPr>
      </w:pPr>
      <w:r w:rsidRPr="004B2A0E">
        <w:rPr>
          <w:rFonts w:cs="Arial"/>
        </w:rPr>
        <w:t>The goals outlined are as follows:</w:t>
      </w:r>
    </w:p>
    <w:p w14:paraId="7DA3F221" w14:textId="3E794BF5" w:rsidR="004B2A0E" w:rsidRPr="00B70526" w:rsidRDefault="004B2A0E" w:rsidP="00B70526">
      <w:pPr>
        <w:pStyle w:val="ListParagraph"/>
        <w:numPr>
          <w:ilvl w:val="0"/>
          <w:numId w:val="22"/>
        </w:numPr>
        <w:rPr>
          <w:rFonts w:cs="Arial"/>
        </w:rPr>
      </w:pPr>
      <w:r w:rsidRPr="00B70526">
        <w:rPr>
          <w:rFonts w:cs="Arial"/>
        </w:rPr>
        <w:t>Achieving carbon neutrality for Scope 1 and Scope 2 emissions by the year 2030</w:t>
      </w:r>
    </w:p>
    <w:p w14:paraId="58948DC9" w14:textId="7CDEBAA1" w:rsidR="004B2A0E" w:rsidRPr="00B70526" w:rsidRDefault="004B2A0E" w:rsidP="00B70526">
      <w:pPr>
        <w:pStyle w:val="ListParagraph"/>
        <w:numPr>
          <w:ilvl w:val="0"/>
          <w:numId w:val="22"/>
        </w:numPr>
        <w:rPr>
          <w:rFonts w:cs="Arial"/>
        </w:rPr>
      </w:pPr>
      <w:r w:rsidRPr="00B70526">
        <w:rPr>
          <w:rFonts w:cs="Arial"/>
        </w:rPr>
        <w:t>Minimising air freight by enhancing sourcing from Europe and Britain</w:t>
      </w:r>
    </w:p>
    <w:p w14:paraId="4A80069D" w14:textId="284367D2" w:rsidR="004B2A0E" w:rsidRPr="00B70526" w:rsidRDefault="004B2A0E" w:rsidP="00B70526">
      <w:pPr>
        <w:pStyle w:val="ListParagraph"/>
        <w:numPr>
          <w:ilvl w:val="0"/>
          <w:numId w:val="22"/>
        </w:numPr>
        <w:rPr>
          <w:rFonts w:cs="Arial"/>
        </w:rPr>
      </w:pPr>
      <w:r w:rsidRPr="00B70526">
        <w:rPr>
          <w:rFonts w:cs="Arial"/>
        </w:rPr>
        <w:t xml:space="preserve">Utilising packaging that is fully recyclable </w:t>
      </w:r>
    </w:p>
    <w:p w14:paraId="5B5E501F" w14:textId="19688F3C" w:rsidR="004B2A0E" w:rsidRPr="00B70526" w:rsidRDefault="004B2A0E" w:rsidP="00B70526">
      <w:pPr>
        <w:pStyle w:val="ListParagraph"/>
        <w:numPr>
          <w:ilvl w:val="0"/>
          <w:numId w:val="22"/>
        </w:numPr>
        <w:rPr>
          <w:rFonts w:cs="Arial"/>
        </w:rPr>
      </w:pPr>
      <w:r w:rsidRPr="00B70526">
        <w:rPr>
          <w:rFonts w:cs="Arial"/>
        </w:rPr>
        <w:t xml:space="preserve">Collaborating with Fairtrade farms and certified growers in Europe </w:t>
      </w:r>
    </w:p>
    <w:p w14:paraId="70E54519" w14:textId="7FD4ED57" w:rsidR="004B2A0E" w:rsidRPr="00B70526" w:rsidRDefault="004B2A0E" w:rsidP="00B70526">
      <w:pPr>
        <w:pStyle w:val="ListParagraph"/>
        <w:numPr>
          <w:ilvl w:val="0"/>
          <w:numId w:val="22"/>
        </w:numPr>
        <w:rPr>
          <w:rFonts w:cs="Arial"/>
        </w:rPr>
      </w:pPr>
      <w:r w:rsidRPr="00B70526">
        <w:rPr>
          <w:rFonts w:cs="Arial"/>
        </w:rPr>
        <w:t>Decreasing flower waste by employing predictive algorithms and demand forecasting</w:t>
      </w:r>
    </w:p>
    <w:p w14:paraId="2190AC81" w14:textId="577BFE6E" w:rsidR="004B2A0E" w:rsidRPr="004B2A0E" w:rsidRDefault="004B2A0E" w:rsidP="006474FA">
      <w:pPr>
        <w:rPr>
          <w:rFonts w:cs="Arial"/>
        </w:rPr>
      </w:pPr>
      <w:r w:rsidRPr="004B2A0E">
        <w:rPr>
          <w:rFonts w:cs="Arial"/>
        </w:rPr>
        <w:t>The commit</w:t>
      </w:r>
      <w:r w:rsidR="00895E4C">
        <w:rPr>
          <w:rFonts w:cs="Arial"/>
        </w:rPr>
        <w:t>`4</w:t>
      </w:r>
      <w:r w:rsidR="00895E4C">
        <w:rPr>
          <w:rFonts w:cs="Arial"/>
        </w:rPr>
        <w:tab/>
      </w:r>
      <w:proofErr w:type="spellStart"/>
      <w:r w:rsidR="00895E4C">
        <w:rPr>
          <w:rFonts w:cs="Arial"/>
        </w:rPr>
        <w:t>e</w:t>
      </w:r>
      <w:r w:rsidRPr="004B2A0E">
        <w:rPr>
          <w:rFonts w:cs="Arial"/>
        </w:rPr>
        <w:t>ments</w:t>
      </w:r>
      <w:proofErr w:type="spellEnd"/>
      <w:r w:rsidRPr="004B2A0E">
        <w:rPr>
          <w:rFonts w:cs="Arial"/>
        </w:rPr>
        <w:t xml:space="preserve"> reflect a strong values-driven approach; however, they do not yet fully integrate into a strategic framework that includes measurable metrics. For example, the commitment to decrease air freight lacks a defined percentage reduction or a timeline for implementation.  Although the business reports its annual emissions, the Scope 3 disclosure currently lacks a detailed breakdown of flower production, freight mode, or end-of-life waste.</w:t>
      </w:r>
    </w:p>
    <w:p w14:paraId="358283A4" w14:textId="3057CA15" w:rsidR="004B2A0E" w:rsidRPr="004B2A0E" w:rsidRDefault="004B2A0E" w:rsidP="006474FA">
      <w:pPr>
        <w:rPr>
          <w:rFonts w:cs="Arial"/>
        </w:rPr>
      </w:pPr>
      <w:r w:rsidRPr="004B2A0E">
        <w:rPr>
          <w:rFonts w:cs="Arial"/>
        </w:rPr>
        <w:t xml:space="preserve"> Considering that Scope 3 emissions from flower production and distribution account for over 85 percent of the company’s total footprint (Bloom &amp; Wild Sustainability Report, 2024), the lack of clear reduction targets hinders strategic insight and investment planning.  Additionally, Bloom &amp; Wild depends on third-party logistics providers, and the variability in emissions reporting across different countries and service types makes it challenging for the company to manage its decarbonisation efforts effectively.</w:t>
      </w:r>
    </w:p>
    <w:p w14:paraId="0773EA2C" w14:textId="36694948" w:rsidR="00527AE5" w:rsidRDefault="004B2A0E" w:rsidP="006474FA">
      <w:pPr>
        <w:rPr>
          <w:rFonts w:cs="Arial"/>
        </w:rPr>
      </w:pPr>
      <w:r w:rsidRPr="004B2A0E">
        <w:rPr>
          <w:rFonts w:cs="Arial"/>
        </w:rPr>
        <w:t xml:space="preserve"> Implementing a more comprehensive SMART (specific, measurable, achievable, relevant, time-bound) sustainability framework would enhance accountability and offer clearer guidance. Examples encompass percentage reductions for each bouquet, emission reductions grounded in scientific principles that align with SBTi, and a clearly outlined plan for moving away from air freight in regions significantly affected.</w:t>
      </w:r>
    </w:p>
    <w:p w14:paraId="2C1325F3" w14:textId="77777777" w:rsidR="00527AE5" w:rsidRPr="00527AE5" w:rsidRDefault="00527AE5" w:rsidP="004B5D0C">
      <w:pPr>
        <w:pStyle w:val="Heading1"/>
        <w:numPr>
          <w:ilvl w:val="0"/>
          <w:numId w:val="24"/>
        </w:numPr>
      </w:pPr>
      <w:bookmarkStart w:id="3" w:name="_Toc213722080"/>
      <w:r w:rsidRPr="00527AE5">
        <w:lastRenderedPageBreak/>
        <w:t>Environmental Scan and Competitive Positioning</w:t>
      </w:r>
      <w:bookmarkEnd w:id="3"/>
    </w:p>
    <w:p w14:paraId="229C2644" w14:textId="2874F3AF" w:rsidR="00527AE5" w:rsidRPr="00527AE5" w:rsidRDefault="00527AE5" w:rsidP="00C7721C">
      <w:pPr>
        <w:pStyle w:val="Heading1"/>
        <w:numPr>
          <w:ilvl w:val="1"/>
          <w:numId w:val="24"/>
        </w:numPr>
      </w:pPr>
      <w:bookmarkStart w:id="4" w:name="_Toc213722081"/>
      <w:r w:rsidRPr="00527AE5">
        <w:t>External Environment — PESTEL</w:t>
      </w:r>
      <w:bookmarkEnd w:id="4"/>
    </w:p>
    <w:p w14:paraId="7567C7E9" w14:textId="77777777" w:rsidR="004B5D0C" w:rsidRDefault="00527AE5" w:rsidP="004B5D0C">
      <w:pPr>
        <w:pStyle w:val="ListParagraph"/>
        <w:numPr>
          <w:ilvl w:val="0"/>
          <w:numId w:val="25"/>
        </w:numPr>
        <w:rPr>
          <w:rFonts w:cs="Arial"/>
        </w:rPr>
      </w:pPr>
      <w:r w:rsidRPr="00527AE5">
        <w:t>Political:</w:t>
      </w:r>
      <w:r w:rsidR="004B5D0C">
        <w:t xml:space="preserve"> </w:t>
      </w:r>
      <w:r w:rsidRPr="004B5D0C">
        <w:rPr>
          <w:rFonts w:cs="Arial"/>
        </w:rPr>
        <w:t>Post-Brexit UK-EU, the supply chains within the EU continue to face challenges, including delays in inspections, a rise in paperwork requirements, and seasonal labour shortages in the horticulture sector. The sustainability regulations established by the EU, including the Corporate Sustainability Reporting Directive (CSRD) and the Sustainable Finance Disclosure Regulation (SFDR), will be applicable to Bloom &amp; Wild’s subsidiaries within the EU</w:t>
      </w:r>
      <w:r w:rsidR="00B70526" w:rsidRPr="004B5D0C">
        <w:rPr>
          <w:rFonts w:cs="Arial"/>
        </w:rPr>
        <w:t>.</w:t>
      </w:r>
      <w:r w:rsidRPr="004B5D0C">
        <w:rPr>
          <w:rFonts w:cs="Arial"/>
        </w:rPr>
        <w:t xml:space="preserve"> This necessitates a unified approach to ESG reporting throughout the organisation (European Commission, 2023). Countries like Kenya and Ethiopia experience political changes that affect the consistency of their exports.</w:t>
      </w:r>
    </w:p>
    <w:p w14:paraId="5D4A5C7E" w14:textId="77777777" w:rsidR="004B5D0C" w:rsidRDefault="004B5D0C" w:rsidP="004B5D0C">
      <w:pPr>
        <w:pStyle w:val="ListParagraph"/>
        <w:rPr>
          <w:rFonts w:cs="Arial"/>
        </w:rPr>
      </w:pPr>
    </w:p>
    <w:p w14:paraId="493430A0" w14:textId="77777777" w:rsidR="004B5D0C" w:rsidRDefault="00527AE5" w:rsidP="004B5D0C">
      <w:pPr>
        <w:pStyle w:val="ListParagraph"/>
        <w:numPr>
          <w:ilvl w:val="0"/>
          <w:numId w:val="25"/>
        </w:numPr>
        <w:rPr>
          <w:rFonts w:cs="Arial"/>
        </w:rPr>
      </w:pPr>
      <w:r w:rsidRPr="004B5D0C">
        <w:t>Economic:</w:t>
      </w:r>
      <w:r w:rsidRPr="004B5D0C">
        <w:rPr>
          <w:rFonts w:cs="Arial"/>
        </w:rPr>
        <w:t xml:space="preserve"> The economic landscape is influenced by inflationary pressures, increasing energy costs, and fluctuating international freight rates, all of which have a significant impact on flower prices and profit margins. European consumers have cut back on discretionary spending; however, the gifting sector has shown a notable degree of resilience. The global floriculture industry sees exports surpassing €5.5 billion each year, with fluctuations in prices often tied to changing weather conditions and challenges in logistics (Rabobank, 2023).</w:t>
      </w:r>
    </w:p>
    <w:p w14:paraId="723A51AC" w14:textId="77777777" w:rsidR="004B5D0C" w:rsidRDefault="004B5D0C" w:rsidP="004B5D0C">
      <w:pPr>
        <w:pStyle w:val="ListParagraph"/>
      </w:pPr>
    </w:p>
    <w:p w14:paraId="026FDFD7" w14:textId="77777777" w:rsidR="004B5D0C" w:rsidRDefault="00527AE5" w:rsidP="004B5D0C">
      <w:pPr>
        <w:pStyle w:val="ListParagraph"/>
        <w:numPr>
          <w:ilvl w:val="0"/>
          <w:numId w:val="25"/>
        </w:numPr>
        <w:rPr>
          <w:rFonts w:cs="Arial"/>
        </w:rPr>
      </w:pPr>
      <w:r w:rsidRPr="004B5D0C">
        <w:t>Social:</w:t>
      </w:r>
      <w:r w:rsidRPr="004B5D0C">
        <w:rPr>
          <w:rFonts w:cs="Arial"/>
        </w:rPr>
        <w:t xml:space="preserve"> there is a growing expectation among consumers for products that are sourced ethically and for clear information regarding sustainability practices. According to surveys conducted by the UK’s Ethical Consumer organisation, a significant 45 percent of customers express a preference for locally grown flowers. Additionally, sustainability has emerged as a crucial factor influencing purchasing decisions among millennials and Generation Z (Ethical Consumer, 2023). Cultural </w:t>
      </w:r>
      <w:r w:rsidRPr="004B5D0C">
        <w:rPr>
          <w:rFonts w:cs="Arial"/>
        </w:rPr>
        <w:lastRenderedPageBreak/>
        <w:t>movements, like the “slow flowers” trend, play a significant role in shaping the demand for seasonal bouquets grown in Britain.</w:t>
      </w:r>
    </w:p>
    <w:p w14:paraId="18EADD47" w14:textId="77777777" w:rsidR="004B5D0C" w:rsidRDefault="004B5D0C" w:rsidP="004B5D0C">
      <w:pPr>
        <w:pStyle w:val="ListParagraph"/>
      </w:pPr>
    </w:p>
    <w:p w14:paraId="29D8ED4C" w14:textId="77777777" w:rsidR="004B5D0C" w:rsidRDefault="00527AE5" w:rsidP="004B5D0C">
      <w:pPr>
        <w:pStyle w:val="ListParagraph"/>
        <w:numPr>
          <w:ilvl w:val="0"/>
          <w:numId w:val="25"/>
        </w:numPr>
        <w:rPr>
          <w:rFonts w:cs="Arial"/>
        </w:rPr>
      </w:pPr>
      <w:r w:rsidRPr="004B5D0C">
        <w:t>Technological</w:t>
      </w:r>
      <w:r w:rsidRPr="004B5D0C">
        <w:rPr>
          <w:rFonts w:cs="Arial"/>
        </w:rPr>
        <w:t xml:space="preserve"> advancements such as AI forecasting, digital customer analytics, automated fulfilment, and carbon-tracking technologies provide organisations with a significant competitive edge. The current predictive models utilised by the firm effectively minimise waste by as much as 20 percent. However, to align with evolving regulatory standards, a more comprehensive integration of lifecycle carbon tracking is essential (McKinnon, 2021).</w:t>
      </w:r>
    </w:p>
    <w:p w14:paraId="0214491E" w14:textId="77777777" w:rsidR="004B5D0C" w:rsidRPr="004B5D0C" w:rsidRDefault="004B5D0C" w:rsidP="004B5D0C">
      <w:pPr>
        <w:pStyle w:val="ListParagraph"/>
        <w:rPr>
          <w:rFonts w:cs="Arial"/>
        </w:rPr>
      </w:pPr>
    </w:p>
    <w:p w14:paraId="748109A3" w14:textId="77777777" w:rsidR="004B5D0C" w:rsidRDefault="00527AE5" w:rsidP="004B5D0C">
      <w:pPr>
        <w:pStyle w:val="ListParagraph"/>
        <w:numPr>
          <w:ilvl w:val="0"/>
          <w:numId w:val="25"/>
        </w:numPr>
        <w:rPr>
          <w:rFonts w:cs="Arial"/>
        </w:rPr>
      </w:pPr>
      <w:r w:rsidRPr="004B5D0C">
        <w:rPr>
          <w:rFonts w:cs="Arial"/>
        </w:rPr>
        <w:t xml:space="preserve">Environmental considerations reveal that cut-flower farming requires significant water resources and is vulnerable to fluctuations in climate. The transportation of air-freighted flowers has a notable carbon footprint, with Kenyan roses averaging 2.3 kg </w:t>
      </w:r>
      <w:proofErr w:type="spellStart"/>
      <w:r w:rsidRPr="004B5D0C">
        <w:rPr>
          <w:rFonts w:cs="Arial"/>
        </w:rPr>
        <w:t>CO</w:t>
      </w:r>
      <w:r w:rsidRPr="004B5D0C">
        <w:rPr>
          <w:rFonts w:ascii="Cambria Math" w:hAnsi="Cambria Math" w:cs="Cambria Math"/>
        </w:rPr>
        <w:t>₂</w:t>
      </w:r>
      <w:r w:rsidRPr="004B5D0C">
        <w:rPr>
          <w:rFonts w:cs="Arial"/>
        </w:rPr>
        <w:t>e</w:t>
      </w:r>
      <w:proofErr w:type="spellEnd"/>
      <w:r w:rsidRPr="004B5D0C">
        <w:rPr>
          <w:rFonts w:cs="Arial"/>
        </w:rPr>
        <w:t xml:space="preserve"> for each stem transported by air (Khadka and Pathak, 2022). Recent extreme weather events in Europe have significantly impacted supply chains, highlighting the importance of developing resilient sourcing strategies.</w:t>
      </w:r>
    </w:p>
    <w:p w14:paraId="155B9A85" w14:textId="77777777" w:rsidR="004B5D0C" w:rsidRPr="004B5D0C" w:rsidRDefault="004B5D0C" w:rsidP="004B5D0C">
      <w:pPr>
        <w:pStyle w:val="ListParagraph"/>
        <w:rPr>
          <w:rFonts w:cs="Arial"/>
        </w:rPr>
      </w:pPr>
    </w:p>
    <w:p w14:paraId="14A17A9D" w14:textId="0B3B1428" w:rsidR="004B2A0E" w:rsidRPr="004B5D0C" w:rsidRDefault="00527AE5" w:rsidP="004B5D0C">
      <w:pPr>
        <w:pStyle w:val="ListParagraph"/>
        <w:numPr>
          <w:ilvl w:val="0"/>
          <w:numId w:val="25"/>
        </w:numPr>
        <w:rPr>
          <w:rFonts w:cs="Arial"/>
        </w:rPr>
      </w:pPr>
      <w:r w:rsidRPr="004B5D0C">
        <w:rPr>
          <w:rFonts w:cs="Arial"/>
        </w:rPr>
        <w:t>Legal considerations will increasingly influence operational decisions, particularly in relation to compliance with the Corporate Sustainability Reporting Directive (CSRD), extended producer responsibility (EPR) for packaging, and labour standards on farms. Failure to comply can lead to penalties and damage to one's reputation.</w:t>
      </w:r>
    </w:p>
    <w:p w14:paraId="228D78F5" w14:textId="6D46CE41" w:rsidR="004A48BB" w:rsidRPr="004A48BB" w:rsidRDefault="004A48BB" w:rsidP="00C7721C">
      <w:pPr>
        <w:pStyle w:val="Heading1"/>
        <w:numPr>
          <w:ilvl w:val="1"/>
          <w:numId w:val="24"/>
        </w:numPr>
      </w:pPr>
      <w:bookmarkStart w:id="5" w:name="_Toc213722082"/>
      <w:r w:rsidRPr="004A48BB">
        <w:t xml:space="preserve">Internal Environment </w:t>
      </w:r>
      <w:r w:rsidR="001E1715">
        <w:t xml:space="preserve">- </w:t>
      </w:r>
      <w:r w:rsidRPr="004A48BB">
        <w:t>SWOT Analysis</w:t>
      </w:r>
      <w:bookmarkEnd w:id="5"/>
    </w:p>
    <w:p w14:paraId="28661FC7" w14:textId="53467AAF" w:rsidR="004A48BB" w:rsidRPr="004B5D0C" w:rsidRDefault="004A48BB" w:rsidP="004B5D0C">
      <w:pPr>
        <w:pStyle w:val="ListParagraph"/>
        <w:numPr>
          <w:ilvl w:val="0"/>
          <w:numId w:val="26"/>
        </w:numPr>
        <w:rPr>
          <w:rFonts w:cs="Arial"/>
          <w:b/>
          <w:bCs/>
        </w:rPr>
      </w:pPr>
      <w:r w:rsidRPr="004B5D0C">
        <w:rPr>
          <w:rFonts w:cs="Arial"/>
          <w:b/>
          <w:bCs/>
        </w:rPr>
        <w:t>Strengths</w:t>
      </w:r>
      <w:r w:rsidR="004B5D0C" w:rsidRPr="004B5D0C">
        <w:rPr>
          <w:rFonts w:cs="Arial"/>
          <w:b/>
          <w:bCs/>
        </w:rPr>
        <w:t>:</w:t>
      </w:r>
    </w:p>
    <w:p w14:paraId="78875323" w14:textId="3CE3E876" w:rsidR="001E1715" w:rsidRPr="00B70526" w:rsidRDefault="004A48BB" w:rsidP="00B70526">
      <w:pPr>
        <w:pStyle w:val="ListParagraph"/>
        <w:numPr>
          <w:ilvl w:val="0"/>
          <w:numId w:val="20"/>
        </w:numPr>
        <w:rPr>
          <w:rFonts w:cs="Arial"/>
        </w:rPr>
      </w:pPr>
      <w:r w:rsidRPr="00B70526">
        <w:rPr>
          <w:rFonts w:cs="Arial"/>
        </w:rPr>
        <w:t>Robust digital capabilities and advanced forecasting algorithms help minimise waste and prevent stockouts</w:t>
      </w:r>
    </w:p>
    <w:p w14:paraId="1BF96327" w14:textId="48D3D4A5" w:rsidR="001E1715" w:rsidRPr="00B70526" w:rsidRDefault="004A48BB" w:rsidP="00B70526">
      <w:pPr>
        <w:pStyle w:val="ListParagraph"/>
        <w:numPr>
          <w:ilvl w:val="0"/>
          <w:numId w:val="20"/>
        </w:numPr>
        <w:rPr>
          <w:rFonts w:cs="Arial"/>
        </w:rPr>
      </w:pPr>
      <w:r w:rsidRPr="00B70526">
        <w:rPr>
          <w:rFonts w:cs="Arial"/>
        </w:rPr>
        <w:t xml:space="preserve">A prominent brand reputation in Europe, serving over eight million customers. </w:t>
      </w:r>
    </w:p>
    <w:p w14:paraId="27F8D11C" w14:textId="310BE126" w:rsidR="001E1715" w:rsidRPr="00B70526" w:rsidRDefault="004A48BB" w:rsidP="00B70526">
      <w:pPr>
        <w:pStyle w:val="ListParagraph"/>
        <w:numPr>
          <w:ilvl w:val="0"/>
          <w:numId w:val="20"/>
        </w:numPr>
        <w:rPr>
          <w:rFonts w:cs="Arial"/>
        </w:rPr>
      </w:pPr>
      <w:r w:rsidRPr="00B70526">
        <w:rPr>
          <w:rFonts w:cs="Arial"/>
        </w:rPr>
        <w:lastRenderedPageBreak/>
        <w:t xml:space="preserve">Vertical integration allows for enhanced control over quality and the overall customer experience. </w:t>
      </w:r>
    </w:p>
    <w:p w14:paraId="0C1209B3" w14:textId="1F4FBE21" w:rsidR="004A48BB" w:rsidRPr="004B5D0C" w:rsidRDefault="004A48BB" w:rsidP="006474FA">
      <w:pPr>
        <w:pStyle w:val="ListParagraph"/>
        <w:numPr>
          <w:ilvl w:val="0"/>
          <w:numId w:val="20"/>
        </w:numPr>
        <w:rPr>
          <w:rFonts w:cs="Arial"/>
        </w:rPr>
      </w:pPr>
      <w:r w:rsidRPr="00B70526">
        <w:rPr>
          <w:rFonts w:cs="Arial"/>
        </w:rPr>
        <w:t>Recent acquisitions bolster our presence across continental Europe.</w:t>
      </w:r>
    </w:p>
    <w:p w14:paraId="2B0ADF49" w14:textId="397E3DF3" w:rsidR="004A48BB" w:rsidRPr="004B5D0C" w:rsidRDefault="004A48BB" w:rsidP="004B5D0C">
      <w:pPr>
        <w:pStyle w:val="ListParagraph"/>
        <w:numPr>
          <w:ilvl w:val="0"/>
          <w:numId w:val="26"/>
        </w:numPr>
        <w:rPr>
          <w:rFonts w:cs="Arial"/>
          <w:b/>
          <w:bCs/>
        </w:rPr>
      </w:pPr>
      <w:r w:rsidRPr="004B5D0C">
        <w:rPr>
          <w:rFonts w:cs="Arial"/>
          <w:b/>
          <w:bCs/>
        </w:rPr>
        <w:t>Weaknesses</w:t>
      </w:r>
    </w:p>
    <w:p w14:paraId="54AA33AB" w14:textId="55007C96" w:rsidR="00C9406D" w:rsidRPr="00B70526" w:rsidRDefault="004A48BB" w:rsidP="00B70526">
      <w:pPr>
        <w:pStyle w:val="ListParagraph"/>
        <w:numPr>
          <w:ilvl w:val="0"/>
          <w:numId w:val="19"/>
        </w:numPr>
        <w:rPr>
          <w:rFonts w:cs="Arial"/>
        </w:rPr>
      </w:pPr>
      <w:r w:rsidRPr="00B70526">
        <w:rPr>
          <w:rFonts w:cs="Arial"/>
        </w:rPr>
        <w:t xml:space="preserve">Significant dependence on supply chains that are high in emissions </w:t>
      </w:r>
    </w:p>
    <w:p w14:paraId="5B7939E7" w14:textId="58027614" w:rsidR="00C9406D" w:rsidRPr="00B70526" w:rsidRDefault="004A48BB" w:rsidP="00B70526">
      <w:pPr>
        <w:pStyle w:val="ListParagraph"/>
        <w:numPr>
          <w:ilvl w:val="0"/>
          <w:numId w:val="19"/>
        </w:numPr>
        <w:rPr>
          <w:rFonts w:cs="Arial"/>
        </w:rPr>
      </w:pPr>
      <w:r w:rsidRPr="00B70526">
        <w:rPr>
          <w:rFonts w:cs="Arial"/>
        </w:rPr>
        <w:t xml:space="preserve">Absence of a thorough, science-based strategy for carbon reduction </w:t>
      </w:r>
    </w:p>
    <w:p w14:paraId="2C68C54C" w14:textId="2D1F0EE5" w:rsidR="004A48BB" w:rsidRPr="004B5D0C" w:rsidRDefault="004A48BB" w:rsidP="006474FA">
      <w:pPr>
        <w:pStyle w:val="ListParagraph"/>
        <w:numPr>
          <w:ilvl w:val="0"/>
          <w:numId w:val="19"/>
        </w:numPr>
        <w:rPr>
          <w:rFonts w:cs="Arial"/>
        </w:rPr>
      </w:pPr>
      <w:r w:rsidRPr="00B70526">
        <w:rPr>
          <w:rFonts w:cs="Arial"/>
        </w:rPr>
        <w:t>Significant reliance on external logistics partners and air freight pathways</w:t>
      </w:r>
    </w:p>
    <w:p w14:paraId="4A65B2A6" w14:textId="69B2CEB8" w:rsidR="004A48BB" w:rsidRPr="004B5D0C" w:rsidRDefault="004A48BB" w:rsidP="004B5D0C">
      <w:pPr>
        <w:pStyle w:val="ListParagraph"/>
        <w:numPr>
          <w:ilvl w:val="0"/>
          <w:numId w:val="26"/>
        </w:numPr>
        <w:rPr>
          <w:rFonts w:cs="Arial"/>
          <w:b/>
          <w:bCs/>
        </w:rPr>
      </w:pPr>
      <w:r w:rsidRPr="004B5D0C">
        <w:rPr>
          <w:rFonts w:cs="Arial"/>
          <w:b/>
          <w:bCs/>
        </w:rPr>
        <w:t xml:space="preserve">Opportunities </w:t>
      </w:r>
    </w:p>
    <w:p w14:paraId="450330BF" w14:textId="53BD94EA" w:rsidR="00C9406D" w:rsidRPr="00B70526" w:rsidRDefault="004A48BB" w:rsidP="00B70526">
      <w:pPr>
        <w:pStyle w:val="ListParagraph"/>
        <w:numPr>
          <w:ilvl w:val="0"/>
          <w:numId w:val="15"/>
        </w:numPr>
        <w:rPr>
          <w:rFonts w:cs="Arial"/>
        </w:rPr>
      </w:pPr>
      <w:r w:rsidRPr="00B70526">
        <w:rPr>
          <w:rFonts w:cs="Arial"/>
        </w:rPr>
        <w:t>Increasing consumer interest in seasonal British and European flowers</w:t>
      </w:r>
    </w:p>
    <w:p w14:paraId="69F935BD" w14:textId="53ACDD68" w:rsidR="00C9406D" w:rsidRPr="00B70526" w:rsidRDefault="004A48BB" w:rsidP="00B70526">
      <w:pPr>
        <w:pStyle w:val="ListParagraph"/>
        <w:numPr>
          <w:ilvl w:val="0"/>
          <w:numId w:val="15"/>
        </w:numPr>
        <w:rPr>
          <w:rFonts w:cs="Arial"/>
        </w:rPr>
      </w:pPr>
      <w:r w:rsidRPr="00B70526">
        <w:rPr>
          <w:rFonts w:cs="Arial"/>
        </w:rPr>
        <w:t xml:space="preserve">Digital carbon scoring for bouquets as a unique service offering.  </w:t>
      </w:r>
    </w:p>
    <w:p w14:paraId="5FF016BB" w14:textId="7D425CFA" w:rsidR="004A48BB" w:rsidRPr="004B5D0C" w:rsidRDefault="004A48BB" w:rsidP="006474FA">
      <w:pPr>
        <w:pStyle w:val="ListParagraph"/>
        <w:numPr>
          <w:ilvl w:val="0"/>
          <w:numId w:val="15"/>
        </w:numPr>
        <w:rPr>
          <w:rFonts w:cs="Arial"/>
        </w:rPr>
      </w:pPr>
      <w:r w:rsidRPr="00B70526">
        <w:rPr>
          <w:rFonts w:cs="Arial"/>
        </w:rPr>
        <w:t>Exploring circular gifting models and the process of returning subscription-based vases and reusable items</w:t>
      </w:r>
    </w:p>
    <w:p w14:paraId="18A4E09F" w14:textId="64A5E95B" w:rsidR="004A48BB" w:rsidRPr="00C7721C" w:rsidRDefault="004A48BB" w:rsidP="00C7721C">
      <w:pPr>
        <w:pStyle w:val="ListParagraph"/>
        <w:numPr>
          <w:ilvl w:val="0"/>
          <w:numId w:val="26"/>
        </w:numPr>
        <w:rPr>
          <w:rFonts w:cs="Arial"/>
          <w:b/>
          <w:bCs/>
        </w:rPr>
      </w:pPr>
      <w:r w:rsidRPr="00C7721C">
        <w:rPr>
          <w:rFonts w:cs="Arial"/>
          <w:b/>
          <w:bCs/>
        </w:rPr>
        <w:t>Threats</w:t>
      </w:r>
    </w:p>
    <w:p w14:paraId="1845D1F3" w14:textId="2D8F0FAA" w:rsidR="004A48BB" w:rsidRPr="00C7721C" w:rsidRDefault="004A48BB" w:rsidP="00C7721C">
      <w:pPr>
        <w:pStyle w:val="ListParagraph"/>
        <w:numPr>
          <w:ilvl w:val="0"/>
          <w:numId w:val="27"/>
        </w:numPr>
        <w:rPr>
          <w:rFonts w:cs="Arial"/>
        </w:rPr>
      </w:pPr>
      <w:r w:rsidRPr="00C7721C">
        <w:rPr>
          <w:rFonts w:cs="Arial"/>
        </w:rPr>
        <w:t xml:space="preserve">Rivals providing entirely carbon-neutral floral arrangements </w:t>
      </w:r>
    </w:p>
    <w:p w14:paraId="51F7028F" w14:textId="1B2EBF18" w:rsidR="004A48BB" w:rsidRPr="00C7721C" w:rsidRDefault="004A48BB" w:rsidP="00C7721C">
      <w:pPr>
        <w:pStyle w:val="ListParagraph"/>
        <w:numPr>
          <w:ilvl w:val="0"/>
          <w:numId w:val="27"/>
        </w:numPr>
        <w:rPr>
          <w:rFonts w:cs="Arial"/>
        </w:rPr>
      </w:pPr>
      <w:r w:rsidRPr="00C7721C">
        <w:rPr>
          <w:rFonts w:cs="Arial"/>
        </w:rPr>
        <w:t xml:space="preserve">Growing climate-related disturbances impacting harvest outputs </w:t>
      </w:r>
    </w:p>
    <w:p w14:paraId="1A2F932F" w14:textId="01F55209" w:rsidR="004A48BB" w:rsidRPr="00C7721C" w:rsidRDefault="004A48BB" w:rsidP="006474FA">
      <w:pPr>
        <w:pStyle w:val="ListParagraph"/>
        <w:numPr>
          <w:ilvl w:val="0"/>
          <w:numId w:val="27"/>
        </w:numPr>
        <w:rPr>
          <w:rFonts w:cs="Arial"/>
        </w:rPr>
      </w:pPr>
      <w:r w:rsidRPr="00C7721C">
        <w:rPr>
          <w:rFonts w:cs="Arial"/>
        </w:rPr>
        <w:t>The increasing costs of logistics and the challenges posed by labour shortages throughout Europe</w:t>
      </w:r>
    </w:p>
    <w:p w14:paraId="2E2E282D" w14:textId="77777777" w:rsidR="004A48BB" w:rsidRPr="004A48BB" w:rsidRDefault="004A48BB" w:rsidP="00C7721C">
      <w:pPr>
        <w:pStyle w:val="Heading1"/>
        <w:numPr>
          <w:ilvl w:val="1"/>
          <w:numId w:val="24"/>
        </w:numPr>
      </w:pPr>
      <w:bookmarkStart w:id="6" w:name="_Toc213722083"/>
      <w:r w:rsidRPr="004A48BB">
        <w:t>Value Chain Analysis</w:t>
      </w:r>
      <w:bookmarkEnd w:id="6"/>
    </w:p>
    <w:p w14:paraId="029C9BC2" w14:textId="7CBFC11F" w:rsidR="004A48BB" w:rsidRPr="004A48BB" w:rsidRDefault="004A48BB" w:rsidP="006474FA">
      <w:pPr>
        <w:rPr>
          <w:rFonts w:cs="Arial"/>
        </w:rPr>
      </w:pPr>
      <w:r w:rsidRPr="004A48BB">
        <w:rPr>
          <w:rFonts w:cs="Arial"/>
        </w:rPr>
        <w:t>The value chain of Bloom &amp; Wild starts with the careful selection and procurement of growers. This is followed by the climate-controlled international transport of products, centralised fulfilment, and finally, last-mile delivery facilitated by partner couriers. At every stage, there are opportunities to enhance sustainability.</w:t>
      </w:r>
    </w:p>
    <w:p w14:paraId="563844E4" w14:textId="084D2BD9" w:rsidR="005669C3" w:rsidRPr="005669C3" w:rsidRDefault="005669C3" w:rsidP="00C7721C">
      <w:pPr>
        <w:pStyle w:val="Heading1"/>
        <w:numPr>
          <w:ilvl w:val="1"/>
          <w:numId w:val="24"/>
        </w:numPr>
      </w:pPr>
      <w:bookmarkStart w:id="7" w:name="_Toc213722084"/>
      <w:r w:rsidRPr="005669C3">
        <w:t>Porter’s Five Forces</w:t>
      </w:r>
      <w:bookmarkEnd w:id="7"/>
    </w:p>
    <w:p w14:paraId="47B7C448" w14:textId="77777777" w:rsidR="005669C3" w:rsidRPr="008F3211" w:rsidRDefault="005669C3" w:rsidP="006474FA">
      <w:pPr>
        <w:rPr>
          <w:rFonts w:cs="Arial"/>
          <w:b/>
          <w:bCs/>
        </w:rPr>
      </w:pPr>
      <w:r w:rsidRPr="008F3211">
        <w:rPr>
          <w:rFonts w:cs="Arial"/>
          <w:b/>
          <w:bCs/>
        </w:rPr>
        <w:t>Threat of New Entrants: Moderate</w:t>
      </w:r>
    </w:p>
    <w:p w14:paraId="7D2EFE5E" w14:textId="56034D88" w:rsidR="005669C3" w:rsidRPr="005669C3" w:rsidRDefault="005669C3" w:rsidP="006474FA">
      <w:pPr>
        <w:rPr>
          <w:rFonts w:cs="Arial"/>
        </w:rPr>
      </w:pPr>
      <w:r w:rsidRPr="005669C3">
        <w:rPr>
          <w:rFonts w:cs="Arial"/>
        </w:rPr>
        <w:lastRenderedPageBreak/>
        <w:t>While digital platforms have made it easier for individuals and businesses to enter the market, the challenge of effectively scaling a perishable supply chain continues to be a complex issue.</w:t>
      </w:r>
    </w:p>
    <w:p w14:paraId="0EE14580" w14:textId="77777777" w:rsidR="005669C3" w:rsidRPr="008F3211" w:rsidRDefault="005669C3" w:rsidP="006474FA">
      <w:pPr>
        <w:rPr>
          <w:rFonts w:cs="Arial"/>
          <w:b/>
          <w:bCs/>
        </w:rPr>
      </w:pPr>
      <w:r w:rsidRPr="008F3211">
        <w:rPr>
          <w:rFonts w:cs="Arial"/>
          <w:b/>
          <w:bCs/>
        </w:rPr>
        <w:t>Bargaining Power of Buyers: High</w:t>
      </w:r>
    </w:p>
    <w:p w14:paraId="75899F71" w14:textId="7AF30643" w:rsidR="005669C3" w:rsidRPr="005669C3" w:rsidRDefault="005669C3" w:rsidP="006474FA">
      <w:pPr>
        <w:rPr>
          <w:rFonts w:cs="Arial"/>
        </w:rPr>
      </w:pPr>
      <w:r w:rsidRPr="005669C3">
        <w:rPr>
          <w:rFonts w:cs="Arial"/>
        </w:rPr>
        <w:t>Customers tend to be sensitive to pricing and can readily transition to other online florists or supermarkets.</w:t>
      </w:r>
    </w:p>
    <w:p w14:paraId="3BB6B2C7" w14:textId="77777777" w:rsidR="005669C3" w:rsidRPr="008F3211" w:rsidRDefault="005669C3" w:rsidP="006474FA">
      <w:pPr>
        <w:rPr>
          <w:rFonts w:cs="Arial"/>
          <w:b/>
          <w:bCs/>
        </w:rPr>
      </w:pPr>
      <w:r w:rsidRPr="008F3211">
        <w:rPr>
          <w:rFonts w:cs="Arial"/>
          <w:b/>
          <w:bCs/>
        </w:rPr>
        <w:t>Bargaining Power of Suppliers: Moderate to High</w:t>
      </w:r>
    </w:p>
    <w:p w14:paraId="5DEE2476" w14:textId="069468D9" w:rsidR="008F3211" w:rsidRPr="005669C3" w:rsidRDefault="005669C3" w:rsidP="006474FA">
      <w:pPr>
        <w:rPr>
          <w:rFonts w:cs="Arial"/>
        </w:rPr>
      </w:pPr>
      <w:r w:rsidRPr="005669C3">
        <w:rPr>
          <w:rFonts w:cs="Arial"/>
        </w:rPr>
        <w:t>During peak seasons, flower farms experience greater influence due to the challenges posed by environmental fluctuations and labour limitations.</w:t>
      </w:r>
    </w:p>
    <w:p w14:paraId="17D8407F" w14:textId="77777777" w:rsidR="005669C3" w:rsidRPr="008F3211" w:rsidRDefault="005669C3" w:rsidP="006474FA">
      <w:pPr>
        <w:rPr>
          <w:rFonts w:cs="Arial"/>
          <w:b/>
          <w:bCs/>
        </w:rPr>
      </w:pPr>
      <w:r w:rsidRPr="008F3211">
        <w:rPr>
          <w:rFonts w:cs="Arial"/>
          <w:b/>
          <w:bCs/>
        </w:rPr>
        <w:t>Threat of Substitutes: Moderate</w:t>
      </w:r>
    </w:p>
    <w:p w14:paraId="4E3AA7E4" w14:textId="44868964" w:rsidR="005669C3" w:rsidRPr="005669C3" w:rsidRDefault="005669C3" w:rsidP="006474FA">
      <w:pPr>
        <w:rPr>
          <w:rFonts w:cs="Arial"/>
        </w:rPr>
      </w:pPr>
      <w:r w:rsidRPr="005669C3">
        <w:rPr>
          <w:rFonts w:cs="Arial"/>
        </w:rPr>
        <w:t>Options like chocolates, memorable experiences, and digital gifts can serve as thoughtful alternatives to purchasing flowers.</w:t>
      </w:r>
    </w:p>
    <w:p w14:paraId="3B47C53F" w14:textId="77777777" w:rsidR="005669C3" w:rsidRPr="008F3211" w:rsidRDefault="005669C3" w:rsidP="006474FA">
      <w:pPr>
        <w:rPr>
          <w:rFonts w:cs="Arial"/>
          <w:b/>
          <w:bCs/>
        </w:rPr>
      </w:pPr>
      <w:r w:rsidRPr="008F3211">
        <w:rPr>
          <w:rFonts w:cs="Arial"/>
          <w:b/>
          <w:bCs/>
        </w:rPr>
        <w:t>Competitive Rivalry: High</w:t>
      </w:r>
    </w:p>
    <w:p w14:paraId="4B66DF8C" w14:textId="77777777" w:rsidR="005669C3" w:rsidRPr="005669C3" w:rsidRDefault="005669C3" w:rsidP="006474FA">
      <w:pPr>
        <w:rPr>
          <w:rFonts w:cs="Arial"/>
        </w:rPr>
      </w:pPr>
      <w:r w:rsidRPr="005669C3">
        <w:rPr>
          <w:rFonts w:cs="Arial"/>
        </w:rPr>
        <w:t>The competitive landscape features notable players such as Interflora, Serenata Flowers, Freddie’s Flowers, and various European digital florists. Many companies are now promoting sustainability as a key factor that sets them apart in the market.</w:t>
      </w:r>
    </w:p>
    <w:p w14:paraId="449AD9A6" w14:textId="77777777" w:rsidR="005669C3" w:rsidRPr="005669C3" w:rsidRDefault="005669C3" w:rsidP="006474FA">
      <w:pPr>
        <w:rPr>
          <w:rFonts w:cs="Arial"/>
        </w:rPr>
      </w:pPr>
    </w:p>
    <w:p w14:paraId="039C7C57" w14:textId="77777777" w:rsidR="005669C3" w:rsidRPr="005669C3" w:rsidRDefault="005669C3" w:rsidP="00C7721C">
      <w:pPr>
        <w:pStyle w:val="Heading1"/>
        <w:numPr>
          <w:ilvl w:val="0"/>
          <w:numId w:val="24"/>
        </w:numPr>
      </w:pPr>
      <w:bookmarkStart w:id="8" w:name="_Toc213722085"/>
      <w:r w:rsidRPr="005669C3">
        <w:t>Strategic Growth Choices and Recommended Sustainable Strategy</w:t>
      </w:r>
      <w:bookmarkEnd w:id="8"/>
    </w:p>
    <w:p w14:paraId="255AD093" w14:textId="77777777" w:rsidR="005669C3" w:rsidRPr="005669C3" w:rsidRDefault="005669C3" w:rsidP="004B5D0C">
      <w:pPr>
        <w:pStyle w:val="Heading1"/>
      </w:pPr>
      <w:bookmarkStart w:id="9" w:name="_Toc213722086"/>
      <w:r w:rsidRPr="005669C3">
        <w:t>4.1. Strategic Framework Selection</w:t>
      </w:r>
      <w:bookmarkEnd w:id="9"/>
    </w:p>
    <w:p w14:paraId="28006F5F" w14:textId="19090114" w:rsidR="005669C3" w:rsidRPr="005669C3" w:rsidRDefault="005669C3" w:rsidP="006474FA">
      <w:pPr>
        <w:rPr>
          <w:rFonts w:cs="Arial"/>
        </w:rPr>
      </w:pPr>
      <w:r w:rsidRPr="005669C3">
        <w:rPr>
          <w:rFonts w:cs="Arial"/>
        </w:rPr>
        <w:t xml:space="preserve">This report utilises Ansoff’s Matrix, Porter’s Generic Strategies, and Bowman’s Strategy Clock to assess various growth options. Considering Bloom &amp; Wild’s well-established digital infrastructure and market presence, pursuing a strategy of sustainable differentiation </w:t>
      </w:r>
      <w:r w:rsidRPr="005669C3">
        <w:rPr>
          <w:rFonts w:cs="Arial"/>
        </w:rPr>
        <w:lastRenderedPageBreak/>
        <w:t>emerges as the most credible path forward, bolstered by the development of services and value-added offerings.</w:t>
      </w:r>
    </w:p>
    <w:p w14:paraId="33BD4C6E" w14:textId="77777777" w:rsidR="005669C3" w:rsidRPr="005669C3" w:rsidRDefault="005669C3" w:rsidP="006474FA">
      <w:pPr>
        <w:rPr>
          <w:rFonts w:cs="Arial"/>
        </w:rPr>
      </w:pPr>
    </w:p>
    <w:p w14:paraId="624E0CBD" w14:textId="3684A05E" w:rsidR="005669C3" w:rsidRPr="005669C3" w:rsidRDefault="005669C3" w:rsidP="004B5D0C">
      <w:pPr>
        <w:pStyle w:val="Heading1"/>
      </w:pPr>
      <w:r w:rsidRPr="005669C3">
        <w:t xml:space="preserve"> </w:t>
      </w:r>
      <w:bookmarkStart w:id="10" w:name="_Toc213722087"/>
      <w:r w:rsidRPr="005669C3">
        <w:t>4.2. Considered Options</w:t>
      </w:r>
      <w:bookmarkEnd w:id="10"/>
    </w:p>
    <w:p w14:paraId="5D15D920" w14:textId="25FBFC40" w:rsidR="005669C3" w:rsidRPr="005669C3" w:rsidRDefault="005669C3" w:rsidP="006474FA">
      <w:pPr>
        <w:rPr>
          <w:rFonts w:cs="Arial"/>
        </w:rPr>
      </w:pPr>
      <w:r w:rsidRPr="008F3211">
        <w:rPr>
          <w:rFonts w:cs="Arial"/>
          <w:b/>
          <w:bCs/>
        </w:rPr>
        <w:t>Market Penetration:</w:t>
      </w:r>
      <w:r w:rsidRPr="005669C3">
        <w:rPr>
          <w:rFonts w:cs="Arial"/>
        </w:rPr>
        <w:t xml:space="preserve"> Enhancing customer connections by offering subscription services, seasonal promotions, and messaging focused on sustainability.</w:t>
      </w:r>
    </w:p>
    <w:p w14:paraId="3233216C" w14:textId="2BAA573A" w:rsidR="005669C3" w:rsidRPr="005669C3" w:rsidRDefault="005669C3" w:rsidP="006474FA">
      <w:pPr>
        <w:rPr>
          <w:rFonts w:cs="Arial"/>
        </w:rPr>
      </w:pPr>
      <w:r w:rsidRPr="008F3211">
        <w:rPr>
          <w:rFonts w:cs="Arial"/>
          <w:b/>
          <w:bCs/>
        </w:rPr>
        <w:t xml:space="preserve">Service </w:t>
      </w:r>
      <w:proofErr w:type="gramStart"/>
      <w:r w:rsidRPr="008F3211">
        <w:rPr>
          <w:rFonts w:cs="Arial"/>
          <w:b/>
          <w:bCs/>
        </w:rPr>
        <w:t>Development:</w:t>
      </w:r>
      <w:proofErr w:type="gramEnd"/>
      <w:r w:rsidRPr="005669C3">
        <w:rPr>
          <w:rFonts w:cs="Arial"/>
        </w:rPr>
        <w:t xml:space="preserve"> involves the creation of product ranges that are either low-impact or carbon-neutral, alongside the development of digital tools for carbon tracking and traceability dashboards designed for customer use.</w:t>
      </w:r>
    </w:p>
    <w:p w14:paraId="6E960266" w14:textId="77777777" w:rsidR="005669C3" w:rsidRPr="005669C3" w:rsidRDefault="005669C3" w:rsidP="006474FA">
      <w:pPr>
        <w:rPr>
          <w:rFonts w:cs="Arial"/>
        </w:rPr>
      </w:pPr>
      <w:r w:rsidRPr="005669C3">
        <w:rPr>
          <w:rFonts w:cs="Arial"/>
        </w:rPr>
        <w:t xml:space="preserve"> </w:t>
      </w:r>
      <w:r w:rsidRPr="008F3211">
        <w:rPr>
          <w:rFonts w:cs="Arial"/>
          <w:b/>
          <w:bCs/>
        </w:rPr>
        <w:t>Market Development:</w:t>
      </w:r>
      <w:r w:rsidRPr="005669C3">
        <w:rPr>
          <w:rFonts w:cs="Arial"/>
        </w:rPr>
        <w:t xml:space="preserve"> We are focussing on expanding our presence in the Scandinavian and Southern European markets, emphasising the importance of sustainable supply chains in our approach.</w:t>
      </w:r>
    </w:p>
    <w:p w14:paraId="37CE143A" w14:textId="3752FD75" w:rsidR="005669C3" w:rsidRPr="005669C3" w:rsidRDefault="005669C3" w:rsidP="006474FA">
      <w:pPr>
        <w:rPr>
          <w:rFonts w:cs="Arial"/>
        </w:rPr>
      </w:pPr>
      <w:r w:rsidRPr="008F3211">
        <w:rPr>
          <w:rFonts w:cs="Arial"/>
          <w:b/>
          <w:bCs/>
        </w:rPr>
        <w:t>Diversification:</w:t>
      </w:r>
      <w:r w:rsidRPr="005669C3">
        <w:rPr>
          <w:rFonts w:cs="Arial"/>
        </w:rPr>
        <w:t xml:space="preserve"> involves providing a range of accessories, promoting sustainable home décor, and implementing circular reuse initiatives for vases and packaging.</w:t>
      </w:r>
    </w:p>
    <w:p w14:paraId="77EAB7E7" w14:textId="77777777" w:rsidR="005669C3" w:rsidRPr="005669C3" w:rsidRDefault="005669C3" w:rsidP="006474FA">
      <w:pPr>
        <w:rPr>
          <w:rFonts w:cs="Arial"/>
        </w:rPr>
      </w:pPr>
    </w:p>
    <w:p w14:paraId="029E1A06" w14:textId="775A183B" w:rsidR="005669C3" w:rsidRPr="005669C3" w:rsidRDefault="00C7721C" w:rsidP="004B5D0C">
      <w:pPr>
        <w:pStyle w:val="Heading1"/>
      </w:pPr>
      <w:bookmarkStart w:id="11" w:name="_Toc213722088"/>
      <w:r>
        <w:t xml:space="preserve">4.3 </w:t>
      </w:r>
      <w:r w:rsidR="005669C3" w:rsidRPr="005669C3">
        <w:t>Recommended Sustainable Strategy: Sustainable Differentiation Leadership</w:t>
      </w:r>
      <w:bookmarkEnd w:id="11"/>
    </w:p>
    <w:p w14:paraId="7D13CB92" w14:textId="4D4898F8" w:rsidR="005669C3" w:rsidRPr="005669C3" w:rsidRDefault="005669C3" w:rsidP="006474FA">
      <w:pPr>
        <w:rPr>
          <w:rFonts w:cs="Arial"/>
        </w:rPr>
      </w:pPr>
      <w:r w:rsidRPr="005669C3">
        <w:rPr>
          <w:rFonts w:cs="Arial"/>
        </w:rPr>
        <w:t>The suggested strategy establishes Bloom &amp; Wild as the leading company in Europe for transparency and environmental responsibility in the gifting sector. The approach combines evidence-based methods for reducing carbon emissions, the creation of sustainable products, circular solutions, and strengthened collaborations with suppliers.</w:t>
      </w:r>
    </w:p>
    <w:p w14:paraId="7BF32133" w14:textId="55FB48DB" w:rsidR="005669C3" w:rsidRDefault="005669C3" w:rsidP="00156988">
      <w:pPr>
        <w:rPr>
          <w:rFonts w:cs="Arial"/>
        </w:rPr>
      </w:pPr>
      <w:r w:rsidRPr="00C7721C">
        <w:rPr>
          <w:rFonts w:cs="Arial"/>
          <w:b/>
          <w:bCs/>
        </w:rPr>
        <w:t xml:space="preserve"> The essential components encompass:</w:t>
      </w:r>
    </w:p>
    <w:p w14:paraId="7404E86D" w14:textId="77777777" w:rsidR="005669C3" w:rsidRDefault="005669C3" w:rsidP="006474FA">
      <w:pPr>
        <w:rPr>
          <w:rFonts w:cs="Arial"/>
        </w:rPr>
      </w:pPr>
      <w:r w:rsidRPr="005669C3">
        <w:rPr>
          <w:rFonts w:cs="Arial"/>
        </w:rPr>
        <w:t xml:space="preserve"> • Digital carbon assessment at the bouquet level </w:t>
      </w:r>
    </w:p>
    <w:p w14:paraId="1AFE9C67" w14:textId="3E54791A" w:rsidR="005669C3" w:rsidRDefault="005669C3" w:rsidP="006474FA">
      <w:pPr>
        <w:rPr>
          <w:rFonts w:cs="Arial"/>
        </w:rPr>
      </w:pPr>
      <w:r w:rsidRPr="005669C3">
        <w:rPr>
          <w:rFonts w:cs="Arial"/>
        </w:rPr>
        <w:lastRenderedPageBreak/>
        <w:t xml:space="preserve">• </w:t>
      </w:r>
    </w:p>
    <w:p w14:paraId="5F062AA8" w14:textId="77777777" w:rsidR="005669C3" w:rsidRDefault="005669C3" w:rsidP="006474FA">
      <w:pPr>
        <w:rPr>
          <w:rFonts w:cs="Arial"/>
        </w:rPr>
      </w:pPr>
      <w:r w:rsidRPr="005669C3">
        <w:rPr>
          <w:rFonts w:cs="Arial"/>
        </w:rPr>
        <w:t>• Strategic collaborations with logistics partners employing electric fleets</w:t>
      </w:r>
    </w:p>
    <w:p w14:paraId="254B3486" w14:textId="5B96B792" w:rsidR="005669C3" w:rsidRPr="005669C3" w:rsidRDefault="005669C3" w:rsidP="006474FA">
      <w:pPr>
        <w:rPr>
          <w:rFonts w:cs="Arial"/>
        </w:rPr>
      </w:pPr>
      <w:r w:rsidRPr="005669C3">
        <w:rPr>
          <w:rFonts w:cs="Arial"/>
        </w:rPr>
        <w:t xml:space="preserve"> </w:t>
      </w:r>
    </w:p>
    <w:p w14:paraId="6303AA9F" w14:textId="0A9F6100" w:rsidR="00C261C0" w:rsidRDefault="005669C3" w:rsidP="006474FA">
      <w:pPr>
        <w:rPr>
          <w:rFonts w:cs="Arial"/>
        </w:rPr>
      </w:pPr>
      <w:r w:rsidRPr="005669C3">
        <w:rPr>
          <w:rFonts w:cs="Arial"/>
        </w:rPr>
        <w:t>This method enhances the ability to compete effectively, prepares for regulatory challenges, and builds resilience against risks associated with climate-related disruptions in the supply chain.</w:t>
      </w:r>
    </w:p>
    <w:p w14:paraId="67DF5B4E" w14:textId="77777777" w:rsidR="005669C3" w:rsidRDefault="005669C3" w:rsidP="006474FA">
      <w:pPr>
        <w:rPr>
          <w:rFonts w:cs="Arial"/>
        </w:rPr>
      </w:pPr>
    </w:p>
    <w:p w14:paraId="692BC39E" w14:textId="3AED0578" w:rsidR="007A1B81" w:rsidRPr="007A1B81" w:rsidRDefault="008F3211" w:rsidP="00C7721C">
      <w:pPr>
        <w:pStyle w:val="Heading1"/>
        <w:numPr>
          <w:ilvl w:val="0"/>
          <w:numId w:val="24"/>
        </w:numPr>
      </w:pPr>
      <w:bookmarkStart w:id="12" w:name="_Toc213722089"/>
      <w:r>
        <w:t>S</w:t>
      </w:r>
      <w:r w:rsidR="007A1B81" w:rsidRPr="007A1B81">
        <w:t>takeholder Analysis</w:t>
      </w:r>
      <w:bookmarkEnd w:id="12"/>
    </w:p>
    <w:p w14:paraId="45F6D675" w14:textId="5327DA42" w:rsidR="007A1B81" w:rsidRPr="007A1B81" w:rsidRDefault="007A1B81" w:rsidP="004B5D0C">
      <w:pPr>
        <w:pStyle w:val="Heading1"/>
      </w:pPr>
      <w:bookmarkStart w:id="13" w:name="_Toc213722090"/>
      <w:r w:rsidRPr="007A1B81">
        <w:t>5.1. Stakeholder Identification and Expectations</w:t>
      </w:r>
      <w:bookmarkEnd w:id="13"/>
    </w:p>
    <w:p w14:paraId="298E1E2C" w14:textId="77777777" w:rsidR="007A1B81" w:rsidRPr="008F3211" w:rsidRDefault="007A1B81" w:rsidP="006474FA">
      <w:pPr>
        <w:rPr>
          <w:rFonts w:cs="Arial"/>
          <w:b/>
          <w:bCs/>
        </w:rPr>
      </w:pPr>
      <w:r w:rsidRPr="008F3211">
        <w:rPr>
          <w:rFonts w:cs="Arial"/>
          <w:b/>
          <w:bCs/>
        </w:rPr>
        <w:t>Customers:</w:t>
      </w:r>
    </w:p>
    <w:p w14:paraId="3FFAEB24" w14:textId="31F7B139" w:rsidR="007A1B81" w:rsidRPr="007A1B81" w:rsidRDefault="007A1B81" w:rsidP="006474FA">
      <w:pPr>
        <w:rPr>
          <w:rFonts w:cs="Arial"/>
        </w:rPr>
      </w:pPr>
      <w:r w:rsidRPr="007A1B81">
        <w:rPr>
          <w:rFonts w:cs="Arial"/>
        </w:rPr>
        <w:t>Anticipate exceptional flowers, dependable delivery, clarity regarding environmental effects, and responsible sourcing practices. Significant influence and considerable engagement.</w:t>
      </w:r>
    </w:p>
    <w:p w14:paraId="7327B8D7" w14:textId="6B840818" w:rsidR="007A1B81" w:rsidRPr="008F3211" w:rsidRDefault="007A1B81" w:rsidP="006474FA">
      <w:pPr>
        <w:rPr>
          <w:rFonts w:cs="Arial"/>
          <w:b/>
          <w:bCs/>
        </w:rPr>
      </w:pPr>
      <w:r w:rsidRPr="007A1B81">
        <w:rPr>
          <w:rFonts w:cs="Arial"/>
        </w:rPr>
        <w:t xml:space="preserve"> </w:t>
      </w:r>
      <w:r w:rsidRPr="008F3211">
        <w:rPr>
          <w:rFonts w:cs="Arial"/>
          <w:b/>
          <w:bCs/>
        </w:rPr>
        <w:t>Employees:</w:t>
      </w:r>
    </w:p>
    <w:p w14:paraId="3159EC70" w14:textId="0656AF61" w:rsidR="007A1B81" w:rsidRPr="007A1B81" w:rsidRDefault="007A1B81" w:rsidP="006474FA">
      <w:pPr>
        <w:rPr>
          <w:rFonts w:cs="Arial"/>
        </w:rPr>
      </w:pPr>
      <w:r w:rsidRPr="007A1B81">
        <w:rPr>
          <w:rFonts w:cs="Arial"/>
        </w:rPr>
        <w:t xml:space="preserve"> Strive for consistent job opportunities, engage in education on sustainable practices, and promote ethical conduct within corporations. Balanced influence and engagement.</w:t>
      </w:r>
    </w:p>
    <w:p w14:paraId="0E0FBD86" w14:textId="5B3E9AC6" w:rsidR="007A1B81" w:rsidRPr="008F3211" w:rsidRDefault="007A1B81" w:rsidP="006474FA">
      <w:pPr>
        <w:rPr>
          <w:rFonts w:cs="Arial"/>
          <w:b/>
          <w:bCs/>
        </w:rPr>
      </w:pPr>
      <w:r w:rsidRPr="008F3211">
        <w:rPr>
          <w:rFonts w:cs="Arial"/>
          <w:b/>
          <w:bCs/>
        </w:rPr>
        <w:t>Growers and Suppliers:</w:t>
      </w:r>
    </w:p>
    <w:p w14:paraId="02B1D920" w14:textId="4692BD48" w:rsidR="007A1B81" w:rsidRPr="007A1B81" w:rsidRDefault="007A1B81" w:rsidP="006474FA">
      <w:pPr>
        <w:rPr>
          <w:rFonts w:cs="Arial"/>
        </w:rPr>
      </w:pPr>
      <w:r w:rsidRPr="007A1B81">
        <w:rPr>
          <w:rFonts w:cs="Arial"/>
        </w:rPr>
        <w:t xml:space="preserve"> Anticipate enduring agreements accompanied by well-defined sustainability criteria. The level of power varies based on the specific region.</w:t>
      </w:r>
    </w:p>
    <w:p w14:paraId="5B3819F4" w14:textId="19FB6DC2" w:rsidR="007A1B81" w:rsidRPr="008F3211" w:rsidRDefault="007A1B81" w:rsidP="006474FA">
      <w:pPr>
        <w:rPr>
          <w:rFonts w:cs="Arial"/>
          <w:b/>
          <w:bCs/>
        </w:rPr>
      </w:pPr>
      <w:r w:rsidRPr="007A1B81">
        <w:rPr>
          <w:rFonts w:cs="Arial"/>
        </w:rPr>
        <w:t xml:space="preserve"> </w:t>
      </w:r>
      <w:r w:rsidRPr="008F3211">
        <w:rPr>
          <w:rFonts w:cs="Arial"/>
          <w:b/>
          <w:bCs/>
        </w:rPr>
        <w:t>Partners in Logistics:</w:t>
      </w:r>
    </w:p>
    <w:p w14:paraId="05E17A3C" w14:textId="067450F8" w:rsidR="007A1B81" w:rsidRPr="007A1B81" w:rsidRDefault="007A1B81" w:rsidP="006474FA">
      <w:pPr>
        <w:rPr>
          <w:rFonts w:cs="Arial"/>
        </w:rPr>
      </w:pPr>
      <w:r w:rsidRPr="007A1B81">
        <w:rPr>
          <w:rFonts w:cs="Arial"/>
        </w:rPr>
        <w:t xml:space="preserve"> The impact of delivery emissions on reliability. Moderate to high levels of power.</w:t>
      </w:r>
    </w:p>
    <w:p w14:paraId="361AFCAE" w14:textId="77777777" w:rsidR="007A1B81" w:rsidRPr="008F3211" w:rsidRDefault="007A1B81" w:rsidP="006474FA">
      <w:pPr>
        <w:rPr>
          <w:rFonts w:cs="Arial"/>
          <w:b/>
          <w:bCs/>
        </w:rPr>
      </w:pPr>
      <w:r w:rsidRPr="007A1B81">
        <w:rPr>
          <w:rFonts w:cs="Arial"/>
        </w:rPr>
        <w:t xml:space="preserve"> </w:t>
      </w:r>
      <w:r w:rsidRPr="008F3211">
        <w:rPr>
          <w:rFonts w:cs="Arial"/>
          <w:b/>
          <w:bCs/>
        </w:rPr>
        <w:t>Regulators:</w:t>
      </w:r>
    </w:p>
    <w:p w14:paraId="57B96A1F" w14:textId="26FB2119" w:rsidR="007A1B81" w:rsidRPr="007A1B81" w:rsidRDefault="007A1B81" w:rsidP="006474FA">
      <w:pPr>
        <w:rPr>
          <w:rFonts w:cs="Arial"/>
        </w:rPr>
      </w:pPr>
      <w:r w:rsidRPr="007A1B81">
        <w:rPr>
          <w:rFonts w:cs="Arial"/>
        </w:rPr>
        <w:lastRenderedPageBreak/>
        <w:t>We anticipate adherence to the standards set for environmental and social reporting.  Significant power.</w:t>
      </w:r>
    </w:p>
    <w:p w14:paraId="0DD7E2A4" w14:textId="77777777" w:rsidR="008F3211" w:rsidRPr="008F3211" w:rsidRDefault="007A1B81" w:rsidP="006474FA">
      <w:pPr>
        <w:rPr>
          <w:rFonts w:cs="Arial"/>
          <w:b/>
          <w:bCs/>
        </w:rPr>
      </w:pPr>
      <w:r w:rsidRPr="008F3211">
        <w:rPr>
          <w:rFonts w:cs="Arial"/>
          <w:b/>
          <w:bCs/>
        </w:rPr>
        <w:t>Investors:</w:t>
      </w:r>
    </w:p>
    <w:p w14:paraId="6732650A" w14:textId="782A67AA" w:rsidR="007A1B81" w:rsidRPr="007A1B81" w:rsidRDefault="007A1B81" w:rsidP="006474FA">
      <w:pPr>
        <w:rPr>
          <w:rFonts w:cs="Arial"/>
        </w:rPr>
      </w:pPr>
      <w:r w:rsidRPr="007A1B81">
        <w:rPr>
          <w:rFonts w:cs="Arial"/>
        </w:rPr>
        <w:t>Anticipate development while addressing potential risks through sustainable practices.  There is a growing focus on the importance of ESG performance.</w:t>
      </w:r>
    </w:p>
    <w:p w14:paraId="1BAFA634" w14:textId="1381C030" w:rsidR="007A1B81" w:rsidRDefault="007A1B81" w:rsidP="006474FA">
      <w:pPr>
        <w:rPr>
          <w:rFonts w:cs="Arial"/>
        </w:rPr>
      </w:pPr>
      <w:r w:rsidRPr="007A1B81">
        <w:rPr>
          <w:rFonts w:cs="Arial"/>
        </w:rPr>
        <w:t>Informed: Employees, customers</w:t>
      </w:r>
    </w:p>
    <w:p w14:paraId="45864C78" w14:textId="5D2F0592" w:rsidR="007A1B81" w:rsidRPr="007A1B81" w:rsidRDefault="007A1B81" w:rsidP="006474FA">
      <w:pPr>
        <w:rPr>
          <w:rFonts w:cs="Arial"/>
        </w:rPr>
      </w:pPr>
    </w:p>
    <w:p w14:paraId="0130F4F0" w14:textId="46350AD2" w:rsidR="001B21C9" w:rsidRDefault="001B21C9" w:rsidP="006474FA">
      <w:pPr>
        <w:rPr>
          <w:rFonts w:cs="Arial"/>
        </w:rPr>
      </w:pPr>
      <w:r>
        <w:rPr>
          <w:rFonts w:cs="Arial"/>
        </w:rPr>
        <w:t xml:space="preserve">Fig. </w:t>
      </w:r>
      <w:r w:rsidRPr="001B21C9">
        <w:rPr>
          <w:rFonts w:cs="Arial"/>
        </w:rPr>
        <w:t>RACI Table for Key Strategic Activities</w:t>
      </w:r>
    </w:p>
    <w:tbl>
      <w:tblPr>
        <w:tblStyle w:val="PlainTable1"/>
        <w:tblW w:w="0" w:type="auto"/>
        <w:tblLook w:val="04A0" w:firstRow="1" w:lastRow="0" w:firstColumn="1" w:lastColumn="0" w:noHBand="0" w:noVBand="1"/>
      </w:tblPr>
      <w:tblGrid>
        <w:gridCol w:w="2707"/>
        <w:gridCol w:w="1544"/>
        <w:gridCol w:w="1473"/>
        <w:gridCol w:w="1913"/>
        <w:gridCol w:w="1605"/>
      </w:tblGrid>
      <w:tr w:rsidR="00B72B15" w:rsidRPr="00B72B15" w14:paraId="0F61C83B" w14:textId="77777777" w:rsidTr="00B72B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05D655" w14:textId="77777777" w:rsidR="00B72B15" w:rsidRPr="00B72B15" w:rsidRDefault="00B72B15" w:rsidP="001B21C9">
            <w:pPr>
              <w:spacing w:after="160" w:line="240" w:lineRule="auto"/>
              <w:rPr>
                <w:rFonts w:cs="Arial"/>
                <w:sz w:val="16"/>
                <w:szCs w:val="16"/>
              </w:rPr>
            </w:pPr>
            <w:r w:rsidRPr="00B72B15">
              <w:rPr>
                <w:rFonts w:cs="Arial"/>
                <w:sz w:val="16"/>
                <w:szCs w:val="16"/>
              </w:rPr>
              <w:t>Activity</w:t>
            </w:r>
          </w:p>
        </w:tc>
        <w:tc>
          <w:tcPr>
            <w:tcW w:w="0" w:type="auto"/>
            <w:hideMark/>
          </w:tcPr>
          <w:p w14:paraId="26FC31A7" w14:textId="77777777" w:rsidR="00B72B15" w:rsidRPr="00B72B15" w:rsidRDefault="00B72B15" w:rsidP="001B21C9">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Responsible (R)</w:t>
            </w:r>
          </w:p>
        </w:tc>
        <w:tc>
          <w:tcPr>
            <w:tcW w:w="0" w:type="auto"/>
            <w:hideMark/>
          </w:tcPr>
          <w:p w14:paraId="3409A50B" w14:textId="77777777" w:rsidR="00B72B15" w:rsidRPr="00B72B15" w:rsidRDefault="00B72B15" w:rsidP="001B21C9">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Accountable (A)</w:t>
            </w:r>
          </w:p>
        </w:tc>
        <w:tc>
          <w:tcPr>
            <w:tcW w:w="0" w:type="auto"/>
            <w:hideMark/>
          </w:tcPr>
          <w:p w14:paraId="710D5482" w14:textId="77777777" w:rsidR="00B72B15" w:rsidRPr="00B72B15" w:rsidRDefault="00B72B15" w:rsidP="001B21C9">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Consulted (C)</w:t>
            </w:r>
          </w:p>
        </w:tc>
        <w:tc>
          <w:tcPr>
            <w:tcW w:w="0" w:type="auto"/>
            <w:hideMark/>
          </w:tcPr>
          <w:p w14:paraId="2770044D" w14:textId="77777777" w:rsidR="00B72B15" w:rsidRPr="00B72B15" w:rsidRDefault="00B72B15" w:rsidP="001B21C9">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Informed (I)</w:t>
            </w:r>
          </w:p>
        </w:tc>
      </w:tr>
      <w:tr w:rsidR="00B72B15" w:rsidRPr="00B72B15" w14:paraId="09EDFB6F" w14:textId="77777777" w:rsidTr="00B72B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4B3323" w14:textId="77777777" w:rsidR="00B72B15" w:rsidRPr="00B72B15" w:rsidRDefault="00B72B15" w:rsidP="001B21C9">
            <w:pPr>
              <w:spacing w:after="160" w:line="240" w:lineRule="auto"/>
              <w:rPr>
                <w:rFonts w:cs="Arial"/>
                <w:sz w:val="16"/>
                <w:szCs w:val="16"/>
              </w:rPr>
            </w:pPr>
            <w:r w:rsidRPr="00B72B15">
              <w:rPr>
                <w:rFonts w:cs="Arial"/>
                <w:sz w:val="16"/>
                <w:szCs w:val="16"/>
              </w:rPr>
              <w:t>Set SMART sustainability objectives and full emissions baseline</w:t>
            </w:r>
          </w:p>
        </w:tc>
        <w:tc>
          <w:tcPr>
            <w:tcW w:w="0" w:type="auto"/>
            <w:hideMark/>
          </w:tcPr>
          <w:p w14:paraId="20F585EE"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Sustainability Manager</w:t>
            </w:r>
          </w:p>
        </w:tc>
        <w:tc>
          <w:tcPr>
            <w:tcW w:w="0" w:type="auto"/>
            <w:hideMark/>
          </w:tcPr>
          <w:p w14:paraId="061FC87E"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Chief Executive</w:t>
            </w:r>
          </w:p>
        </w:tc>
        <w:tc>
          <w:tcPr>
            <w:tcW w:w="0" w:type="auto"/>
            <w:hideMark/>
          </w:tcPr>
          <w:p w14:paraId="0C5B32C3"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Finance, Data Science, Operations</w:t>
            </w:r>
          </w:p>
        </w:tc>
        <w:tc>
          <w:tcPr>
            <w:tcW w:w="0" w:type="auto"/>
            <w:hideMark/>
          </w:tcPr>
          <w:p w14:paraId="21B72408"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All employees</w:t>
            </w:r>
          </w:p>
        </w:tc>
      </w:tr>
      <w:tr w:rsidR="00B72B15" w:rsidRPr="00B72B15" w14:paraId="678C9DFA" w14:textId="77777777" w:rsidTr="00B72B15">
        <w:tc>
          <w:tcPr>
            <w:cnfStyle w:val="001000000000" w:firstRow="0" w:lastRow="0" w:firstColumn="1" w:lastColumn="0" w:oddVBand="0" w:evenVBand="0" w:oddHBand="0" w:evenHBand="0" w:firstRowFirstColumn="0" w:firstRowLastColumn="0" w:lastRowFirstColumn="0" w:lastRowLastColumn="0"/>
            <w:tcW w:w="0" w:type="auto"/>
            <w:hideMark/>
          </w:tcPr>
          <w:p w14:paraId="09D39177" w14:textId="77777777" w:rsidR="00B72B15" w:rsidRPr="00B72B15" w:rsidRDefault="00B72B15" w:rsidP="001B21C9">
            <w:pPr>
              <w:spacing w:after="160" w:line="240" w:lineRule="auto"/>
              <w:rPr>
                <w:rFonts w:cs="Arial"/>
                <w:sz w:val="16"/>
                <w:szCs w:val="16"/>
              </w:rPr>
            </w:pPr>
            <w:r w:rsidRPr="00B72B15">
              <w:rPr>
                <w:rFonts w:cs="Arial"/>
                <w:sz w:val="16"/>
                <w:szCs w:val="16"/>
              </w:rPr>
              <w:t>Develop digital carbon scoring system</w:t>
            </w:r>
          </w:p>
        </w:tc>
        <w:tc>
          <w:tcPr>
            <w:tcW w:w="0" w:type="auto"/>
            <w:hideMark/>
          </w:tcPr>
          <w:p w14:paraId="1480484B"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Head of Data Science</w:t>
            </w:r>
          </w:p>
        </w:tc>
        <w:tc>
          <w:tcPr>
            <w:tcW w:w="0" w:type="auto"/>
            <w:hideMark/>
          </w:tcPr>
          <w:p w14:paraId="1862125B"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Chief Technology Officer</w:t>
            </w:r>
          </w:p>
        </w:tc>
        <w:tc>
          <w:tcPr>
            <w:tcW w:w="0" w:type="auto"/>
            <w:hideMark/>
          </w:tcPr>
          <w:p w14:paraId="0566EDE0"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Sustainability Team, IT</w:t>
            </w:r>
          </w:p>
        </w:tc>
        <w:tc>
          <w:tcPr>
            <w:tcW w:w="0" w:type="auto"/>
            <w:hideMark/>
          </w:tcPr>
          <w:p w14:paraId="58C0626C"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Customers, Employees</w:t>
            </w:r>
          </w:p>
        </w:tc>
      </w:tr>
      <w:tr w:rsidR="00B72B15" w:rsidRPr="00B72B15" w14:paraId="386A5A99" w14:textId="77777777" w:rsidTr="00B72B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56A5F" w14:textId="77777777" w:rsidR="00B72B15" w:rsidRPr="00B72B15" w:rsidRDefault="00B72B15" w:rsidP="001B21C9">
            <w:pPr>
              <w:spacing w:after="160" w:line="240" w:lineRule="auto"/>
              <w:rPr>
                <w:rFonts w:cs="Arial"/>
                <w:sz w:val="16"/>
                <w:szCs w:val="16"/>
              </w:rPr>
            </w:pPr>
            <w:r w:rsidRPr="00B72B15">
              <w:rPr>
                <w:rFonts w:cs="Arial"/>
                <w:sz w:val="16"/>
                <w:szCs w:val="16"/>
              </w:rPr>
              <w:t>European Seasonal Collection (pilot and expansion)</w:t>
            </w:r>
          </w:p>
        </w:tc>
        <w:tc>
          <w:tcPr>
            <w:tcW w:w="0" w:type="auto"/>
            <w:hideMark/>
          </w:tcPr>
          <w:p w14:paraId="371E7D3A"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Head of Procurement</w:t>
            </w:r>
          </w:p>
        </w:tc>
        <w:tc>
          <w:tcPr>
            <w:tcW w:w="0" w:type="auto"/>
            <w:hideMark/>
          </w:tcPr>
          <w:p w14:paraId="27B6F52F"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30E8E11E"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Growers, Logistics Partners</w:t>
            </w:r>
          </w:p>
        </w:tc>
        <w:tc>
          <w:tcPr>
            <w:tcW w:w="0" w:type="auto"/>
            <w:hideMark/>
          </w:tcPr>
          <w:p w14:paraId="71111BF4"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Marketing, Customers</w:t>
            </w:r>
          </w:p>
        </w:tc>
      </w:tr>
      <w:tr w:rsidR="00B72B15" w:rsidRPr="00B72B15" w14:paraId="28079C6F" w14:textId="77777777" w:rsidTr="00B72B15">
        <w:tc>
          <w:tcPr>
            <w:cnfStyle w:val="001000000000" w:firstRow="0" w:lastRow="0" w:firstColumn="1" w:lastColumn="0" w:oddVBand="0" w:evenVBand="0" w:oddHBand="0" w:evenHBand="0" w:firstRowFirstColumn="0" w:firstRowLastColumn="0" w:lastRowFirstColumn="0" w:lastRowLastColumn="0"/>
            <w:tcW w:w="0" w:type="auto"/>
            <w:hideMark/>
          </w:tcPr>
          <w:p w14:paraId="63227C44" w14:textId="77777777" w:rsidR="00B72B15" w:rsidRPr="00B72B15" w:rsidRDefault="00B72B15" w:rsidP="001B21C9">
            <w:pPr>
              <w:spacing w:after="160" w:line="240" w:lineRule="auto"/>
              <w:rPr>
                <w:rFonts w:cs="Arial"/>
                <w:sz w:val="16"/>
                <w:szCs w:val="16"/>
              </w:rPr>
            </w:pPr>
            <w:r w:rsidRPr="00B72B15">
              <w:rPr>
                <w:rFonts w:cs="Arial"/>
                <w:sz w:val="16"/>
                <w:szCs w:val="16"/>
              </w:rPr>
              <w:t>Shift from air freight to sea and ground freight</w:t>
            </w:r>
          </w:p>
        </w:tc>
        <w:tc>
          <w:tcPr>
            <w:tcW w:w="0" w:type="auto"/>
            <w:hideMark/>
          </w:tcPr>
          <w:p w14:paraId="3D0630FE"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Procurement Manager</w:t>
            </w:r>
          </w:p>
        </w:tc>
        <w:tc>
          <w:tcPr>
            <w:tcW w:w="0" w:type="auto"/>
            <w:hideMark/>
          </w:tcPr>
          <w:p w14:paraId="31925684"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560DE26A"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Logistics Providers, Finance</w:t>
            </w:r>
          </w:p>
        </w:tc>
        <w:tc>
          <w:tcPr>
            <w:tcW w:w="0" w:type="auto"/>
            <w:hideMark/>
          </w:tcPr>
          <w:p w14:paraId="6DB3DBE4"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Sustainability Team, Investors</w:t>
            </w:r>
          </w:p>
        </w:tc>
      </w:tr>
      <w:tr w:rsidR="00B72B15" w:rsidRPr="00B72B15" w14:paraId="78DE3603" w14:textId="77777777" w:rsidTr="00B72B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929A9" w14:textId="77777777" w:rsidR="00B72B15" w:rsidRPr="00B72B15" w:rsidRDefault="00B72B15" w:rsidP="001B21C9">
            <w:pPr>
              <w:spacing w:after="160" w:line="240" w:lineRule="auto"/>
              <w:rPr>
                <w:rFonts w:cs="Arial"/>
                <w:sz w:val="16"/>
                <w:szCs w:val="16"/>
              </w:rPr>
            </w:pPr>
            <w:r w:rsidRPr="00B72B15">
              <w:rPr>
                <w:rFonts w:cs="Arial"/>
                <w:sz w:val="16"/>
                <w:szCs w:val="16"/>
              </w:rPr>
              <w:t>Packaging redesign for circularity</w:t>
            </w:r>
          </w:p>
        </w:tc>
        <w:tc>
          <w:tcPr>
            <w:tcW w:w="0" w:type="auto"/>
            <w:hideMark/>
          </w:tcPr>
          <w:p w14:paraId="45902258"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Product Development Lead</w:t>
            </w:r>
          </w:p>
        </w:tc>
        <w:tc>
          <w:tcPr>
            <w:tcW w:w="0" w:type="auto"/>
            <w:hideMark/>
          </w:tcPr>
          <w:p w14:paraId="45825DAA"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3550187A"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Packaging Suppliers, Sustainability Team</w:t>
            </w:r>
          </w:p>
        </w:tc>
        <w:tc>
          <w:tcPr>
            <w:tcW w:w="0" w:type="auto"/>
            <w:hideMark/>
          </w:tcPr>
          <w:p w14:paraId="5CC7D25E"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Customers</w:t>
            </w:r>
          </w:p>
        </w:tc>
      </w:tr>
      <w:tr w:rsidR="00B72B15" w:rsidRPr="00B72B15" w14:paraId="53B6A156" w14:textId="77777777" w:rsidTr="00B72B15">
        <w:tc>
          <w:tcPr>
            <w:cnfStyle w:val="001000000000" w:firstRow="0" w:lastRow="0" w:firstColumn="1" w:lastColumn="0" w:oddVBand="0" w:evenVBand="0" w:oddHBand="0" w:evenHBand="0" w:firstRowFirstColumn="0" w:firstRowLastColumn="0" w:lastRowFirstColumn="0" w:lastRowLastColumn="0"/>
            <w:tcW w:w="0" w:type="auto"/>
            <w:hideMark/>
          </w:tcPr>
          <w:p w14:paraId="7FCB176F" w14:textId="77777777" w:rsidR="00B72B15" w:rsidRPr="00B72B15" w:rsidRDefault="00B72B15" w:rsidP="001B21C9">
            <w:pPr>
              <w:spacing w:after="160" w:line="240" w:lineRule="auto"/>
              <w:rPr>
                <w:rFonts w:cs="Arial"/>
                <w:sz w:val="16"/>
                <w:szCs w:val="16"/>
              </w:rPr>
            </w:pPr>
            <w:r w:rsidRPr="00B72B15">
              <w:rPr>
                <w:rFonts w:cs="Arial"/>
                <w:sz w:val="16"/>
                <w:szCs w:val="16"/>
              </w:rPr>
              <w:t>Supplier sustainability training programme</w:t>
            </w:r>
          </w:p>
        </w:tc>
        <w:tc>
          <w:tcPr>
            <w:tcW w:w="0" w:type="auto"/>
            <w:hideMark/>
          </w:tcPr>
          <w:p w14:paraId="2D4EF164"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Procurement Lead</w:t>
            </w:r>
          </w:p>
        </w:tc>
        <w:tc>
          <w:tcPr>
            <w:tcW w:w="0" w:type="auto"/>
            <w:hideMark/>
          </w:tcPr>
          <w:p w14:paraId="488F4ABE"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3C332474"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Growers, Sustainability Team</w:t>
            </w:r>
          </w:p>
        </w:tc>
        <w:tc>
          <w:tcPr>
            <w:tcW w:w="0" w:type="auto"/>
            <w:hideMark/>
          </w:tcPr>
          <w:p w14:paraId="110A5048"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Internal Teams</w:t>
            </w:r>
          </w:p>
        </w:tc>
      </w:tr>
      <w:tr w:rsidR="00B72B15" w:rsidRPr="00B72B15" w14:paraId="397C4FBB" w14:textId="77777777" w:rsidTr="00B72B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584F83" w14:textId="77777777" w:rsidR="00B72B15" w:rsidRPr="00B72B15" w:rsidRDefault="00B72B15" w:rsidP="001B21C9">
            <w:pPr>
              <w:spacing w:after="160" w:line="240" w:lineRule="auto"/>
              <w:rPr>
                <w:rFonts w:cs="Arial"/>
                <w:sz w:val="16"/>
                <w:szCs w:val="16"/>
              </w:rPr>
            </w:pPr>
            <w:r w:rsidRPr="00B72B15">
              <w:rPr>
                <w:rFonts w:cs="Arial"/>
                <w:sz w:val="16"/>
                <w:szCs w:val="16"/>
              </w:rPr>
              <w:t>Electric logistics partnerships and micro-hubs</w:t>
            </w:r>
          </w:p>
        </w:tc>
        <w:tc>
          <w:tcPr>
            <w:tcW w:w="0" w:type="auto"/>
            <w:hideMark/>
          </w:tcPr>
          <w:p w14:paraId="76EF244F"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Logistics Manager</w:t>
            </w:r>
          </w:p>
        </w:tc>
        <w:tc>
          <w:tcPr>
            <w:tcW w:w="0" w:type="auto"/>
            <w:hideMark/>
          </w:tcPr>
          <w:p w14:paraId="4F50F517"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6FD76013"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Local Authorities, Delivery Partners</w:t>
            </w:r>
          </w:p>
        </w:tc>
        <w:tc>
          <w:tcPr>
            <w:tcW w:w="0" w:type="auto"/>
            <w:hideMark/>
          </w:tcPr>
          <w:p w14:paraId="348DA83F"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Community, Customers</w:t>
            </w:r>
          </w:p>
        </w:tc>
      </w:tr>
      <w:tr w:rsidR="00B72B15" w:rsidRPr="00B72B15" w14:paraId="46DE866F" w14:textId="77777777" w:rsidTr="00B72B15">
        <w:tc>
          <w:tcPr>
            <w:cnfStyle w:val="001000000000" w:firstRow="0" w:lastRow="0" w:firstColumn="1" w:lastColumn="0" w:oddVBand="0" w:evenVBand="0" w:oddHBand="0" w:evenHBand="0" w:firstRowFirstColumn="0" w:firstRowLastColumn="0" w:lastRowFirstColumn="0" w:lastRowLastColumn="0"/>
            <w:tcW w:w="0" w:type="auto"/>
            <w:hideMark/>
          </w:tcPr>
          <w:p w14:paraId="710B806A" w14:textId="77777777" w:rsidR="00B72B15" w:rsidRPr="00B72B15" w:rsidRDefault="00B72B15" w:rsidP="001B21C9">
            <w:pPr>
              <w:spacing w:after="160" w:line="240" w:lineRule="auto"/>
              <w:rPr>
                <w:rFonts w:cs="Arial"/>
                <w:sz w:val="16"/>
                <w:szCs w:val="16"/>
              </w:rPr>
            </w:pPr>
            <w:r w:rsidRPr="00B72B15">
              <w:rPr>
                <w:rFonts w:cs="Arial"/>
                <w:sz w:val="16"/>
                <w:szCs w:val="16"/>
              </w:rPr>
              <w:t>Science-based Targets (SBTi) alignment</w:t>
            </w:r>
          </w:p>
        </w:tc>
        <w:tc>
          <w:tcPr>
            <w:tcW w:w="0" w:type="auto"/>
            <w:hideMark/>
          </w:tcPr>
          <w:p w14:paraId="614A4749"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Sustainability Manager</w:t>
            </w:r>
          </w:p>
        </w:tc>
        <w:tc>
          <w:tcPr>
            <w:tcW w:w="0" w:type="auto"/>
            <w:hideMark/>
          </w:tcPr>
          <w:p w14:paraId="799DA132"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Chief Executive</w:t>
            </w:r>
          </w:p>
        </w:tc>
        <w:tc>
          <w:tcPr>
            <w:tcW w:w="0" w:type="auto"/>
            <w:hideMark/>
          </w:tcPr>
          <w:p w14:paraId="2F3DE7A9"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Finance, Operations</w:t>
            </w:r>
          </w:p>
        </w:tc>
        <w:tc>
          <w:tcPr>
            <w:tcW w:w="0" w:type="auto"/>
            <w:hideMark/>
          </w:tcPr>
          <w:p w14:paraId="74ED18D4" w14:textId="77777777" w:rsidR="00B72B15" w:rsidRPr="00B72B15" w:rsidRDefault="00B72B15" w:rsidP="001B21C9">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B72B15">
              <w:rPr>
                <w:rFonts w:cs="Arial"/>
                <w:sz w:val="16"/>
                <w:szCs w:val="16"/>
              </w:rPr>
              <w:t>Investors, Employees</w:t>
            </w:r>
          </w:p>
        </w:tc>
      </w:tr>
      <w:tr w:rsidR="00B72B15" w:rsidRPr="00B72B15" w14:paraId="3F279B87" w14:textId="77777777" w:rsidTr="00B72B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D82F42" w14:textId="77777777" w:rsidR="00B72B15" w:rsidRPr="00B72B15" w:rsidRDefault="00B72B15" w:rsidP="001B21C9">
            <w:pPr>
              <w:spacing w:after="160" w:line="240" w:lineRule="auto"/>
              <w:rPr>
                <w:rFonts w:cs="Arial"/>
                <w:sz w:val="16"/>
                <w:szCs w:val="16"/>
              </w:rPr>
            </w:pPr>
            <w:r w:rsidRPr="00B72B15">
              <w:rPr>
                <w:rFonts w:cs="Arial"/>
                <w:sz w:val="16"/>
                <w:szCs w:val="16"/>
              </w:rPr>
              <w:t>Circular gifting and reuse services</w:t>
            </w:r>
          </w:p>
        </w:tc>
        <w:tc>
          <w:tcPr>
            <w:tcW w:w="0" w:type="auto"/>
            <w:hideMark/>
          </w:tcPr>
          <w:p w14:paraId="3D99D623"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Product Innovation Lead</w:t>
            </w:r>
          </w:p>
        </w:tc>
        <w:tc>
          <w:tcPr>
            <w:tcW w:w="0" w:type="auto"/>
            <w:hideMark/>
          </w:tcPr>
          <w:p w14:paraId="51B8CA6A"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Chief Operating Officer</w:t>
            </w:r>
          </w:p>
        </w:tc>
        <w:tc>
          <w:tcPr>
            <w:tcW w:w="0" w:type="auto"/>
            <w:hideMark/>
          </w:tcPr>
          <w:p w14:paraId="393A2C36"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Logistics Providers, Sustainability Team</w:t>
            </w:r>
          </w:p>
        </w:tc>
        <w:tc>
          <w:tcPr>
            <w:tcW w:w="0" w:type="auto"/>
            <w:hideMark/>
          </w:tcPr>
          <w:p w14:paraId="07BED615" w14:textId="77777777" w:rsidR="00B72B15" w:rsidRPr="00B72B15" w:rsidRDefault="00B72B15" w:rsidP="001B21C9">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B72B15">
              <w:rPr>
                <w:rFonts w:cs="Arial"/>
                <w:sz w:val="16"/>
                <w:szCs w:val="16"/>
              </w:rPr>
              <w:t>Customers</w:t>
            </w:r>
          </w:p>
        </w:tc>
      </w:tr>
    </w:tbl>
    <w:p w14:paraId="1FF0C5BE" w14:textId="77777777" w:rsidR="00B72B15" w:rsidRDefault="00B72B15" w:rsidP="006474FA">
      <w:pPr>
        <w:rPr>
          <w:rFonts w:cs="Arial"/>
        </w:rPr>
      </w:pPr>
    </w:p>
    <w:p w14:paraId="37130041" w14:textId="6000D53C" w:rsidR="00C51A9F" w:rsidRPr="00C51A9F" w:rsidRDefault="00C51A9F" w:rsidP="00C7721C">
      <w:pPr>
        <w:pStyle w:val="Heading1"/>
        <w:numPr>
          <w:ilvl w:val="1"/>
          <w:numId w:val="29"/>
        </w:numPr>
      </w:pPr>
      <w:bookmarkStart w:id="14" w:name="_Toc213722092"/>
      <w:r w:rsidRPr="00C51A9F">
        <w:t>Strategic Recommendations (Prioritised)</w:t>
      </w:r>
      <w:bookmarkEnd w:id="14"/>
    </w:p>
    <w:p w14:paraId="6EFD968D" w14:textId="77777777" w:rsidR="00C51A9F" w:rsidRPr="00C51A9F" w:rsidRDefault="00C51A9F" w:rsidP="006474FA">
      <w:pPr>
        <w:rPr>
          <w:rFonts w:cs="Arial"/>
        </w:rPr>
      </w:pPr>
      <w:r w:rsidRPr="00C51A9F">
        <w:rPr>
          <w:rFonts w:cs="Arial"/>
        </w:rPr>
        <w:t>Recommendations are grouped into short, medium, and long-term actions.</w:t>
      </w:r>
    </w:p>
    <w:p w14:paraId="1185905E" w14:textId="77777777" w:rsidR="00C51A9F" w:rsidRPr="00C51A9F" w:rsidRDefault="00C51A9F" w:rsidP="004B5D0C">
      <w:pPr>
        <w:pStyle w:val="Heading1"/>
      </w:pPr>
      <w:bookmarkStart w:id="15" w:name="_Toc213722093"/>
      <w:r w:rsidRPr="00C51A9F">
        <w:lastRenderedPageBreak/>
        <w:t>Short-Term Actions (0–12 months)</w:t>
      </w:r>
      <w:bookmarkEnd w:id="15"/>
    </w:p>
    <w:p w14:paraId="4C00246A" w14:textId="77777777" w:rsidR="00C51A9F" w:rsidRPr="00C51A9F" w:rsidRDefault="00C51A9F" w:rsidP="004B5D0C">
      <w:pPr>
        <w:pStyle w:val="Heading1"/>
      </w:pPr>
      <w:bookmarkStart w:id="16" w:name="_Toc213722094"/>
      <w:r w:rsidRPr="00C51A9F">
        <w:t>A. Establish SMART Sustainability Objectives and Full Emissions Baseline</w:t>
      </w:r>
      <w:bookmarkEnd w:id="16"/>
    </w:p>
    <w:p w14:paraId="3C81CE2D" w14:textId="77777777" w:rsidR="00C51A9F" w:rsidRPr="008F3211" w:rsidRDefault="00C51A9F" w:rsidP="008F3211">
      <w:pPr>
        <w:pStyle w:val="ListParagraph"/>
        <w:numPr>
          <w:ilvl w:val="0"/>
          <w:numId w:val="12"/>
        </w:numPr>
        <w:rPr>
          <w:rFonts w:cs="Arial"/>
        </w:rPr>
      </w:pPr>
      <w:r w:rsidRPr="008F3211">
        <w:rPr>
          <w:rFonts w:cs="Arial"/>
        </w:rPr>
        <w:t>Establish short-term goals, including a 20 percent decrease in air-freighted stems by 2026 and a 15 percent reduction in packaging emissions by 2025.</w:t>
      </w:r>
    </w:p>
    <w:p w14:paraId="7531BF75" w14:textId="292031E6" w:rsidR="00C51A9F" w:rsidRPr="008F3211" w:rsidRDefault="00C51A9F" w:rsidP="008F3211">
      <w:pPr>
        <w:pStyle w:val="ListParagraph"/>
        <w:numPr>
          <w:ilvl w:val="0"/>
          <w:numId w:val="12"/>
        </w:numPr>
        <w:rPr>
          <w:rFonts w:cs="Arial"/>
        </w:rPr>
      </w:pPr>
      <w:r w:rsidRPr="008F3211">
        <w:rPr>
          <w:rFonts w:cs="Arial"/>
        </w:rPr>
        <w:t>Justification: Clear and transparent targets enhance credibility and foster adherence to the CSRD (Martins, 2022).</w:t>
      </w:r>
    </w:p>
    <w:p w14:paraId="38739F43" w14:textId="1909AD7D" w:rsidR="00C51A9F" w:rsidRPr="00C51A9F" w:rsidRDefault="00C51A9F" w:rsidP="004B5D0C">
      <w:pPr>
        <w:pStyle w:val="Heading1"/>
      </w:pPr>
      <w:r w:rsidRPr="00C51A9F">
        <w:t xml:space="preserve"> </w:t>
      </w:r>
      <w:bookmarkStart w:id="17" w:name="_Toc213722095"/>
      <w:r w:rsidRPr="00C51A9F">
        <w:t>B. Create a Digital Carbon Scoring System</w:t>
      </w:r>
      <w:bookmarkEnd w:id="17"/>
    </w:p>
    <w:p w14:paraId="2927F8B8" w14:textId="37C193D7" w:rsidR="00C51A9F" w:rsidRPr="006474FA" w:rsidRDefault="00C51A9F" w:rsidP="006474FA">
      <w:pPr>
        <w:pStyle w:val="ListParagraph"/>
        <w:numPr>
          <w:ilvl w:val="0"/>
          <w:numId w:val="11"/>
        </w:numPr>
        <w:rPr>
          <w:rFonts w:cs="Arial"/>
        </w:rPr>
      </w:pPr>
      <w:r w:rsidRPr="006474FA">
        <w:rPr>
          <w:rFonts w:cs="Arial"/>
        </w:rPr>
        <w:t xml:space="preserve">Utilise lifecycle data to generate bouquet-level </w:t>
      </w:r>
      <w:proofErr w:type="spellStart"/>
      <w:r w:rsidRPr="006474FA">
        <w:rPr>
          <w:rFonts w:cs="Arial"/>
        </w:rPr>
        <w:t>CO</w:t>
      </w:r>
      <w:r w:rsidRPr="006474FA">
        <w:rPr>
          <w:rFonts w:ascii="Cambria Math" w:hAnsi="Cambria Math" w:cs="Cambria Math"/>
        </w:rPr>
        <w:t>₂</w:t>
      </w:r>
      <w:r w:rsidRPr="006474FA">
        <w:rPr>
          <w:rFonts w:cs="Arial"/>
        </w:rPr>
        <w:t>e</w:t>
      </w:r>
      <w:proofErr w:type="spellEnd"/>
      <w:r w:rsidRPr="006474FA">
        <w:rPr>
          <w:rFonts w:cs="Arial"/>
        </w:rPr>
        <w:t xml:space="preserve"> scores that can be displayed on product pages.</w:t>
      </w:r>
    </w:p>
    <w:p w14:paraId="52246D15" w14:textId="0904CB0A" w:rsidR="00C51A9F" w:rsidRPr="006474FA" w:rsidRDefault="00C51A9F" w:rsidP="006474FA">
      <w:pPr>
        <w:pStyle w:val="ListParagraph"/>
        <w:numPr>
          <w:ilvl w:val="0"/>
          <w:numId w:val="11"/>
        </w:numPr>
        <w:rPr>
          <w:rFonts w:cs="Arial"/>
        </w:rPr>
      </w:pPr>
      <w:r w:rsidRPr="006474FA">
        <w:rPr>
          <w:rFonts w:cs="Arial"/>
        </w:rPr>
        <w:t>The rationale behind this approach is that it enhances customer trust and sets Bloom &amp; Wild apart from its competitors (McKinnon, 2021).</w:t>
      </w:r>
    </w:p>
    <w:p w14:paraId="08A3E532" w14:textId="2EDCE4DF" w:rsidR="00C51A9F" w:rsidRPr="00C51A9F" w:rsidRDefault="00C51A9F" w:rsidP="004B5D0C">
      <w:pPr>
        <w:pStyle w:val="Heading1"/>
      </w:pPr>
      <w:r w:rsidRPr="00C51A9F">
        <w:t xml:space="preserve"> </w:t>
      </w:r>
      <w:bookmarkStart w:id="18" w:name="_Toc213722096"/>
      <w:r w:rsidRPr="00C51A9F">
        <w:t>C. Initiate a pilot program for a “European Seasonal Collection.”</w:t>
      </w:r>
      <w:bookmarkEnd w:id="18"/>
    </w:p>
    <w:p w14:paraId="1680A83C" w14:textId="0F7F26B6" w:rsidR="00C51A9F" w:rsidRPr="006474FA" w:rsidRDefault="00C51A9F" w:rsidP="006474FA">
      <w:pPr>
        <w:pStyle w:val="ListParagraph"/>
        <w:numPr>
          <w:ilvl w:val="0"/>
          <w:numId w:val="10"/>
        </w:numPr>
        <w:rPr>
          <w:rFonts w:cs="Arial"/>
        </w:rPr>
      </w:pPr>
      <w:r w:rsidRPr="006474FA">
        <w:rPr>
          <w:rFonts w:cs="Arial"/>
        </w:rPr>
        <w:t>Collaborate with certified European growers from the Netherlands, Italy, and Spain to lessen dependence on long-distance imports.</w:t>
      </w:r>
    </w:p>
    <w:p w14:paraId="410F4E06" w14:textId="74E39C34" w:rsidR="006474FA" w:rsidRPr="004B5D0C" w:rsidRDefault="00C51A9F" w:rsidP="006474FA">
      <w:pPr>
        <w:pStyle w:val="ListParagraph"/>
        <w:numPr>
          <w:ilvl w:val="0"/>
          <w:numId w:val="10"/>
        </w:numPr>
        <w:rPr>
          <w:rFonts w:cs="Arial"/>
        </w:rPr>
      </w:pPr>
      <w:r w:rsidRPr="006474FA">
        <w:rPr>
          <w:rFonts w:cs="Arial"/>
        </w:rPr>
        <w:t>Justification: This approach has the potential to decrease emissions associated with each bouquet by as much as 30 percent by minimising transport distances (Rabobank, 2023).</w:t>
      </w:r>
    </w:p>
    <w:p w14:paraId="60069245" w14:textId="77777777" w:rsidR="00C51A9F" w:rsidRPr="00C51A9F" w:rsidRDefault="00C51A9F" w:rsidP="004B5D0C">
      <w:pPr>
        <w:pStyle w:val="Heading1"/>
      </w:pPr>
      <w:bookmarkStart w:id="19" w:name="_Toc213722097"/>
      <w:r w:rsidRPr="00C51A9F">
        <w:t>Medium-Term Actions (12–36 months)</w:t>
      </w:r>
      <w:bookmarkEnd w:id="19"/>
    </w:p>
    <w:p w14:paraId="77263C2D" w14:textId="77777777" w:rsidR="00C51A9F" w:rsidRPr="00C51A9F" w:rsidRDefault="00C51A9F" w:rsidP="004B5D0C">
      <w:pPr>
        <w:pStyle w:val="Heading1"/>
      </w:pPr>
      <w:bookmarkStart w:id="20" w:name="_Toc213722098"/>
      <w:r w:rsidRPr="00C51A9F">
        <w:t>D. Reduce Air Freight Dependence</w:t>
      </w:r>
      <w:bookmarkEnd w:id="20"/>
    </w:p>
    <w:p w14:paraId="10DF85C2" w14:textId="77777777" w:rsidR="00C51A9F" w:rsidRPr="006474FA" w:rsidRDefault="00C51A9F" w:rsidP="006474FA">
      <w:pPr>
        <w:pStyle w:val="ListParagraph"/>
        <w:numPr>
          <w:ilvl w:val="0"/>
          <w:numId w:val="9"/>
        </w:numPr>
        <w:rPr>
          <w:rFonts w:cs="Arial"/>
        </w:rPr>
      </w:pPr>
      <w:r w:rsidRPr="006474FA">
        <w:rPr>
          <w:rFonts w:cs="Arial"/>
        </w:rPr>
        <w:t>Transition 25–35 percent of imported stems from air freight to sea freight or European ground transportation.</w:t>
      </w:r>
    </w:p>
    <w:p w14:paraId="38327545" w14:textId="3735AF90" w:rsidR="00C51A9F" w:rsidRPr="006474FA" w:rsidRDefault="00C51A9F" w:rsidP="006474FA">
      <w:pPr>
        <w:pStyle w:val="ListParagraph"/>
        <w:numPr>
          <w:ilvl w:val="0"/>
          <w:numId w:val="9"/>
        </w:numPr>
        <w:rPr>
          <w:rFonts w:cs="Arial"/>
        </w:rPr>
      </w:pPr>
      <w:r w:rsidRPr="006474FA">
        <w:rPr>
          <w:rFonts w:cs="Arial"/>
        </w:rPr>
        <w:t xml:space="preserve">Justification: Air freight represents a significant portion of emissions associated with transportation. Transitioning to alternative modes of transport stands out as one of </w:t>
      </w:r>
      <w:r w:rsidRPr="006474FA">
        <w:rPr>
          <w:rFonts w:cs="Arial"/>
        </w:rPr>
        <w:lastRenderedPageBreak/>
        <w:t>the most effective strategies for reducing carbon emissions (Khadka and Pathak, 2022).</w:t>
      </w:r>
    </w:p>
    <w:p w14:paraId="0BF4E2E6" w14:textId="179EE4C6" w:rsidR="00C51A9F" w:rsidRPr="00C51A9F" w:rsidRDefault="00C51A9F" w:rsidP="004B5D0C">
      <w:pPr>
        <w:pStyle w:val="Heading1"/>
      </w:pPr>
      <w:r w:rsidRPr="00C51A9F">
        <w:t xml:space="preserve"> </w:t>
      </w:r>
      <w:bookmarkStart w:id="21" w:name="_Toc213722099"/>
      <w:r w:rsidRPr="00C51A9F">
        <w:t>E. Rethinking Packaging for a Circular Economy</w:t>
      </w:r>
      <w:bookmarkEnd w:id="21"/>
    </w:p>
    <w:p w14:paraId="4AB1AA0B" w14:textId="76CA3115" w:rsidR="00C51A9F" w:rsidRPr="006474FA" w:rsidRDefault="00C51A9F" w:rsidP="006474FA">
      <w:pPr>
        <w:pStyle w:val="ListParagraph"/>
        <w:numPr>
          <w:ilvl w:val="0"/>
          <w:numId w:val="8"/>
        </w:numPr>
        <w:rPr>
          <w:rFonts w:cs="Arial"/>
        </w:rPr>
      </w:pPr>
      <w:r w:rsidRPr="006474FA">
        <w:rPr>
          <w:rFonts w:cs="Arial"/>
        </w:rPr>
        <w:t>Transition to materials that are entirely recyclable or compostable, while also aiming to decrease packaging weight by 20 percent.</w:t>
      </w:r>
    </w:p>
    <w:p w14:paraId="3A689624" w14:textId="02BE1B45" w:rsidR="00C51A9F" w:rsidRPr="006474FA" w:rsidRDefault="00C51A9F" w:rsidP="006474FA">
      <w:pPr>
        <w:pStyle w:val="ListParagraph"/>
        <w:numPr>
          <w:ilvl w:val="0"/>
          <w:numId w:val="8"/>
        </w:numPr>
        <w:rPr>
          <w:rFonts w:cs="Arial"/>
        </w:rPr>
      </w:pPr>
      <w:r w:rsidRPr="006474FA">
        <w:rPr>
          <w:rFonts w:cs="Arial"/>
        </w:rPr>
        <w:t>Justification: The role of packaging is crucial as it not only plays a significant part in Scope 3 emissions but also shapes how customers perceive products (Ethical Consumer, 2023).</w:t>
      </w:r>
    </w:p>
    <w:p w14:paraId="231412B8" w14:textId="28603E5C" w:rsidR="00C51A9F" w:rsidRPr="00C51A9F" w:rsidRDefault="00C51A9F" w:rsidP="004B5D0C">
      <w:pPr>
        <w:pStyle w:val="Heading1"/>
      </w:pPr>
      <w:r w:rsidRPr="00C51A9F">
        <w:t xml:space="preserve"> </w:t>
      </w:r>
      <w:bookmarkStart w:id="22" w:name="_Toc213722100"/>
      <w:r w:rsidRPr="00C51A9F">
        <w:t>F. Supplier Sustainability Initiative</w:t>
      </w:r>
      <w:bookmarkEnd w:id="22"/>
    </w:p>
    <w:p w14:paraId="0190DFA8" w14:textId="77777777" w:rsidR="006474FA" w:rsidRDefault="00C51A9F" w:rsidP="006474FA">
      <w:pPr>
        <w:pStyle w:val="ListParagraph"/>
        <w:numPr>
          <w:ilvl w:val="0"/>
          <w:numId w:val="1"/>
        </w:numPr>
        <w:rPr>
          <w:rFonts w:cs="Arial"/>
        </w:rPr>
      </w:pPr>
      <w:r w:rsidRPr="006474FA">
        <w:rPr>
          <w:rFonts w:cs="Arial"/>
        </w:rPr>
        <w:t>Offer farmers education and motivation regarding effective water management, the adoption of renewable energy, and the enhancement of soil health.</w:t>
      </w:r>
    </w:p>
    <w:p w14:paraId="757622E0" w14:textId="7ECEB89E" w:rsidR="00C51A9F" w:rsidRPr="006474FA" w:rsidRDefault="00C51A9F" w:rsidP="006474FA">
      <w:pPr>
        <w:pStyle w:val="ListParagraph"/>
        <w:numPr>
          <w:ilvl w:val="0"/>
          <w:numId w:val="1"/>
        </w:numPr>
        <w:rPr>
          <w:rFonts w:cs="Arial"/>
        </w:rPr>
      </w:pPr>
      <w:r w:rsidRPr="006474FA">
        <w:rPr>
          <w:rFonts w:cs="Arial"/>
        </w:rPr>
        <w:t>The rationale behind this is that sustainable farming practices have the potential to lower emissions while also strengthening resilience (Basit, 2024).</w:t>
      </w:r>
    </w:p>
    <w:p w14:paraId="5024EDF9" w14:textId="77777777" w:rsidR="00C51A9F" w:rsidRPr="00C51A9F" w:rsidRDefault="00C51A9F" w:rsidP="004B5D0C">
      <w:pPr>
        <w:pStyle w:val="Heading1"/>
      </w:pPr>
      <w:bookmarkStart w:id="23" w:name="_Toc213722101"/>
      <w:r w:rsidRPr="00C51A9F">
        <w:t>Long-Term Actions (3–8 years)</w:t>
      </w:r>
      <w:bookmarkEnd w:id="23"/>
    </w:p>
    <w:p w14:paraId="33CA5A60" w14:textId="77777777" w:rsidR="00C51A9F" w:rsidRPr="00C51A9F" w:rsidRDefault="00C51A9F" w:rsidP="004B5D0C">
      <w:pPr>
        <w:pStyle w:val="Heading1"/>
      </w:pPr>
      <w:bookmarkStart w:id="24" w:name="_Toc213722102"/>
      <w:r w:rsidRPr="00C51A9F">
        <w:t>G. Full Transition to Science-Based Targets</w:t>
      </w:r>
      <w:bookmarkEnd w:id="24"/>
    </w:p>
    <w:p w14:paraId="74A85778" w14:textId="77777777" w:rsidR="006474FA" w:rsidRDefault="00C51A9F" w:rsidP="006474FA">
      <w:pPr>
        <w:pStyle w:val="ListParagraph"/>
        <w:numPr>
          <w:ilvl w:val="0"/>
          <w:numId w:val="2"/>
        </w:numPr>
        <w:rPr>
          <w:rFonts w:cs="Arial"/>
        </w:rPr>
      </w:pPr>
      <w:r w:rsidRPr="006474FA">
        <w:rPr>
          <w:rFonts w:cs="Arial"/>
        </w:rPr>
        <w:t>Achieve a 42 percent reduction in total emissions by the year 2030, followed by a 90 percent reduction by 2040.</w:t>
      </w:r>
    </w:p>
    <w:p w14:paraId="728ED143" w14:textId="62DF97EE" w:rsidR="00C51A9F" w:rsidRPr="004B5D0C" w:rsidRDefault="00C51A9F" w:rsidP="006474FA">
      <w:pPr>
        <w:pStyle w:val="ListParagraph"/>
        <w:numPr>
          <w:ilvl w:val="0"/>
          <w:numId w:val="2"/>
        </w:numPr>
        <w:rPr>
          <w:rFonts w:cs="Arial"/>
        </w:rPr>
      </w:pPr>
      <w:r w:rsidRPr="006474FA">
        <w:rPr>
          <w:rFonts w:cs="Arial"/>
        </w:rPr>
        <w:t>This approach is in harmony with worldwide climate objectives and the evolving regulations set forth by the European Union (European Commission, 2023).</w:t>
      </w:r>
    </w:p>
    <w:p w14:paraId="3000DA85" w14:textId="2A23EF2A" w:rsidR="00C51A9F" w:rsidRPr="00C51A9F" w:rsidRDefault="00C51A9F" w:rsidP="004B5D0C">
      <w:pPr>
        <w:pStyle w:val="Heading1"/>
      </w:pPr>
      <w:r w:rsidRPr="00C51A9F">
        <w:t xml:space="preserve"> </w:t>
      </w:r>
      <w:bookmarkStart w:id="25" w:name="_Toc213722103"/>
      <w:r w:rsidRPr="00C51A9F">
        <w:t>H. Circular Gifting and Reuse Services</w:t>
      </w:r>
      <w:bookmarkEnd w:id="25"/>
    </w:p>
    <w:p w14:paraId="10658ECD" w14:textId="49B6A5D3" w:rsidR="006474FA" w:rsidRDefault="00C51A9F" w:rsidP="006474FA">
      <w:pPr>
        <w:pStyle w:val="ListParagraph"/>
        <w:numPr>
          <w:ilvl w:val="0"/>
          <w:numId w:val="3"/>
        </w:numPr>
        <w:rPr>
          <w:rFonts w:cs="Arial"/>
        </w:rPr>
      </w:pPr>
      <w:r w:rsidRPr="006474FA">
        <w:rPr>
          <w:rFonts w:cs="Arial"/>
        </w:rPr>
        <w:t xml:space="preserve">Implement a program for the return of vases, packaging, and reusable accessories.  </w:t>
      </w:r>
    </w:p>
    <w:p w14:paraId="605DF365" w14:textId="5B19D18C" w:rsidR="00C51A9F" w:rsidRPr="006474FA" w:rsidRDefault="00C51A9F" w:rsidP="006474FA">
      <w:pPr>
        <w:pStyle w:val="ListParagraph"/>
        <w:numPr>
          <w:ilvl w:val="0"/>
          <w:numId w:val="3"/>
        </w:numPr>
        <w:rPr>
          <w:rFonts w:cs="Arial"/>
        </w:rPr>
      </w:pPr>
      <w:r w:rsidRPr="006474FA">
        <w:rPr>
          <w:rFonts w:cs="Arial"/>
        </w:rPr>
        <w:t>The rationale behind this approach is that circular services not only broaden revenue streams but also contribute to minimising environmental impact (Basit, 2024).</w:t>
      </w:r>
    </w:p>
    <w:p w14:paraId="51F37E77" w14:textId="0547711A" w:rsidR="006474FA" w:rsidRPr="006474FA" w:rsidRDefault="00C51A9F" w:rsidP="004B5D0C">
      <w:pPr>
        <w:pStyle w:val="Heading1"/>
      </w:pPr>
      <w:bookmarkStart w:id="26" w:name="_Toc213722104"/>
      <w:r w:rsidRPr="006474FA">
        <w:lastRenderedPageBreak/>
        <w:t>Investment in Collaborations for Electric Vehicles</w:t>
      </w:r>
      <w:bookmarkEnd w:id="26"/>
    </w:p>
    <w:p w14:paraId="5083205B" w14:textId="517D31BA" w:rsidR="006474FA" w:rsidRDefault="00C51A9F" w:rsidP="006474FA">
      <w:pPr>
        <w:pStyle w:val="ListParagraph"/>
        <w:numPr>
          <w:ilvl w:val="0"/>
          <w:numId w:val="5"/>
        </w:numPr>
        <w:rPr>
          <w:rFonts w:cs="Arial"/>
        </w:rPr>
      </w:pPr>
      <w:r w:rsidRPr="006474FA">
        <w:rPr>
          <w:rFonts w:cs="Arial"/>
        </w:rPr>
        <w:t>Collaborate with logistics providers that utilise electric fleets and micro-hubs in urban areas</w:t>
      </w:r>
      <w:r w:rsidR="006474FA">
        <w:rPr>
          <w:rFonts w:cs="Arial"/>
        </w:rPr>
        <w:t>.</w:t>
      </w:r>
    </w:p>
    <w:p w14:paraId="189E452A" w14:textId="7CC3AD90" w:rsidR="00C51A9F" w:rsidRDefault="00C51A9F" w:rsidP="006474FA">
      <w:pPr>
        <w:pStyle w:val="ListParagraph"/>
        <w:numPr>
          <w:ilvl w:val="0"/>
          <w:numId w:val="5"/>
        </w:numPr>
        <w:rPr>
          <w:rFonts w:cs="Arial"/>
        </w:rPr>
      </w:pPr>
      <w:r w:rsidRPr="006474FA">
        <w:rPr>
          <w:rFonts w:cs="Arial"/>
        </w:rPr>
        <w:t>The use of electric vehicles for last-mile delivery plays a significant role in decreasing urban emissions and enhancing adherence to regulations (</w:t>
      </w:r>
      <w:proofErr w:type="spellStart"/>
      <w:r w:rsidRPr="006474FA">
        <w:rPr>
          <w:rFonts w:cs="Arial"/>
        </w:rPr>
        <w:t>Niemeijer</w:t>
      </w:r>
      <w:proofErr w:type="spellEnd"/>
      <w:r w:rsidRPr="006474FA">
        <w:rPr>
          <w:rFonts w:cs="Arial"/>
        </w:rPr>
        <w:t>, 2023).</w:t>
      </w:r>
    </w:p>
    <w:p w14:paraId="194083AC" w14:textId="77777777" w:rsidR="00E859E4" w:rsidRDefault="00E859E4" w:rsidP="00E859E4">
      <w:pPr>
        <w:pStyle w:val="ListParagraph"/>
        <w:ind w:left="780"/>
        <w:rPr>
          <w:rFonts w:cs="Arial"/>
        </w:rPr>
      </w:pPr>
    </w:p>
    <w:tbl>
      <w:tblPr>
        <w:tblStyle w:val="PlainTable1"/>
        <w:tblW w:w="10031" w:type="dxa"/>
        <w:tblLook w:val="04A0" w:firstRow="1" w:lastRow="0" w:firstColumn="1" w:lastColumn="0" w:noHBand="0" w:noVBand="1"/>
      </w:tblPr>
      <w:tblGrid>
        <w:gridCol w:w="2273"/>
        <w:gridCol w:w="1268"/>
        <w:gridCol w:w="875"/>
        <w:gridCol w:w="1437"/>
        <w:gridCol w:w="893"/>
        <w:gridCol w:w="1100"/>
        <w:gridCol w:w="698"/>
        <w:gridCol w:w="1487"/>
      </w:tblGrid>
      <w:tr w:rsidR="00F01E65" w:rsidRPr="00F01E65" w14:paraId="1A2CD104" w14:textId="77777777" w:rsidTr="00326C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BD0BA2" w14:textId="77777777" w:rsidR="00F01E65" w:rsidRPr="00F01E65" w:rsidRDefault="00F01E65" w:rsidP="00F01E65">
            <w:pPr>
              <w:spacing w:after="160" w:line="240" w:lineRule="auto"/>
              <w:rPr>
                <w:rFonts w:cs="Arial"/>
                <w:sz w:val="16"/>
                <w:szCs w:val="16"/>
              </w:rPr>
            </w:pPr>
            <w:r w:rsidRPr="00F01E65">
              <w:rPr>
                <w:rFonts w:cs="Arial"/>
                <w:sz w:val="16"/>
                <w:szCs w:val="16"/>
              </w:rPr>
              <w:t>Strategic Recommendation</w:t>
            </w:r>
          </w:p>
        </w:tc>
        <w:tc>
          <w:tcPr>
            <w:tcW w:w="0" w:type="auto"/>
            <w:hideMark/>
          </w:tcPr>
          <w:p w14:paraId="507439EA"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0–6 months</w:t>
            </w:r>
          </w:p>
        </w:tc>
        <w:tc>
          <w:tcPr>
            <w:tcW w:w="0" w:type="auto"/>
            <w:hideMark/>
          </w:tcPr>
          <w:p w14:paraId="15DEADB6"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6–12 months</w:t>
            </w:r>
          </w:p>
        </w:tc>
        <w:tc>
          <w:tcPr>
            <w:tcW w:w="0" w:type="auto"/>
            <w:hideMark/>
          </w:tcPr>
          <w:p w14:paraId="1ABAE195"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12–18 months</w:t>
            </w:r>
          </w:p>
        </w:tc>
        <w:tc>
          <w:tcPr>
            <w:tcW w:w="0" w:type="auto"/>
            <w:hideMark/>
          </w:tcPr>
          <w:p w14:paraId="0E6CC907"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18–24 months</w:t>
            </w:r>
          </w:p>
        </w:tc>
        <w:tc>
          <w:tcPr>
            <w:tcW w:w="0" w:type="auto"/>
            <w:hideMark/>
          </w:tcPr>
          <w:p w14:paraId="7E68D859"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24–36 months</w:t>
            </w:r>
          </w:p>
        </w:tc>
        <w:tc>
          <w:tcPr>
            <w:tcW w:w="0" w:type="auto"/>
            <w:hideMark/>
          </w:tcPr>
          <w:p w14:paraId="1740C120"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3–5 years</w:t>
            </w:r>
          </w:p>
        </w:tc>
        <w:tc>
          <w:tcPr>
            <w:tcW w:w="1487" w:type="dxa"/>
            <w:hideMark/>
          </w:tcPr>
          <w:p w14:paraId="2A3DA698" w14:textId="77777777" w:rsidR="00F01E65" w:rsidRPr="00F01E65" w:rsidRDefault="00F01E65" w:rsidP="00F01E65">
            <w:pPr>
              <w:spacing w:after="160" w:line="240" w:lineRule="auto"/>
              <w:cnfStyle w:val="100000000000" w:firstRow="1"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5–8 years</w:t>
            </w:r>
          </w:p>
        </w:tc>
      </w:tr>
      <w:tr w:rsidR="00F01E65" w:rsidRPr="00F01E65" w14:paraId="6770EBB3" w14:textId="77777777" w:rsidTr="00326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5B37FB" w14:textId="77777777" w:rsidR="00F01E65" w:rsidRPr="00F01E65" w:rsidRDefault="00F01E65" w:rsidP="00F01E65">
            <w:pPr>
              <w:spacing w:after="160" w:line="240" w:lineRule="auto"/>
              <w:rPr>
                <w:rFonts w:cs="Arial"/>
                <w:sz w:val="16"/>
                <w:szCs w:val="16"/>
              </w:rPr>
            </w:pPr>
            <w:r w:rsidRPr="00F01E65">
              <w:rPr>
                <w:rFonts w:cs="Arial"/>
                <w:sz w:val="16"/>
                <w:szCs w:val="16"/>
              </w:rPr>
              <w:t>Set SMART sustainability objectives and full emissions baseline</w:t>
            </w:r>
          </w:p>
        </w:tc>
        <w:tc>
          <w:tcPr>
            <w:tcW w:w="0" w:type="auto"/>
            <w:hideMark/>
          </w:tcPr>
          <w:p w14:paraId="7A7F747E"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06A4FD96"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02A1280E"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7B8A5C47"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0602FCAC"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3BA3F3AE"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1487" w:type="dxa"/>
            <w:hideMark/>
          </w:tcPr>
          <w:p w14:paraId="1BC81F99"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r>
      <w:tr w:rsidR="00F01E65" w:rsidRPr="00F01E65" w14:paraId="2B36B085" w14:textId="77777777" w:rsidTr="00326C2D">
        <w:tc>
          <w:tcPr>
            <w:cnfStyle w:val="001000000000" w:firstRow="0" w:lastRow="0" w:firstColumn="1" w:lastColumn="0" w:oddVBand="0" w:evenVBand="0" w:oddHBand="0" w:evenHBand="0" w:firstRowFirstColumn="0" w:firstRowLastColumn="0" w:lastRowFirstColumn="0" w:lastRowLastColumn="0"/>
            <w:tcW w:w="0" w:type="auto"/>
            <w:hideMark/>
          </w:tcPr>
          <w:p w14:paraId="720F17ED" w14:textId="77777777" w:rsidR="00F01E65" w:rsidRPr="00F01E65" w:rsidRDefault="00F01E65" w:rsidP="00F01E65">
            <w:pPr>
              <w:spacing w:after="160" w:line="240" w:lineRule="auto"/>
              <w:rPr>
                <w:rFonts w:cs="Arial"/>
                <w:sz w:val="16"/>
                <w:szCs w:val="16"/>
              </w:rPr>
            </w:pPr>
            <w:r w:rsidRPr="00F01E65">
              <w:rPr>
                <w:rFonts w:cs="Arial"/>
                <w:sz w:val="16"/>
                <w:szCs w:val="16"/>
              </w:rPr>
              <w:t>Digital carbon scoring system (development and rollout)</w:t>
            </w:r>
          </w:p>
        </w:tc>
        <w:tc>
          <w:tcPr>
            <w:tcW w:w="0" w:type="auto"/>
            <w:hideMark/>
          </w:tcPr>
          <w:p w14:paraId="4815E080"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 (development)</w:t>
            </w:r>
          </w:p>
        </w:tc>
        <w:tc>
          <w:tcPr>
            <w:tcW w:w="0" w:type="auto"/>
            <w:hideMark/>
          </w:tcPr>
          <w:p w14:paraId="0A525CA7"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 (pilot)</w:t>
            </w:r>
          </w:p>
        </w:tc>
        <w:tc>
          <w:tcPr>
            <w:tcW w:w="0" w:type="auto"/>
            <w:hideMark/>
          </w:tcPr>
          <w:p w14:paraId="14B93775"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 (implementation)</w:t>
            </w:r>
          </w:p>
        </w:tc>
        <w:tc>
          <w:tcPr>
            <w:tcW w:w="0" w:type="auto"/>
            <w:hideMark/>
          </w:tcPr>
          <w:p w14:paraId="20912D3E"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hideMark/>
          </w:tcPr>
          <w:p w14:paraId="7C815DAA"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hideMark/>
          </w:tcPr>
          <w:p w14:paraId="09F3412A"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1487" w:type="dxa"/>
            <w:hideMark/>
          </w:tcPr>
          <w:p w14:paraId="5417AC38"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r>
      <w:tr w:rsidR="00F01E65" w:rsidRPr="00F01E65" w14:paraId="1DF01672" w14:textId="77777777" w:rsidTr="00326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1E9F6D" w14:textId="77777777" w:rsidR="00F01E65" w:rsidRPr="00F01E65" w:rsidRDefault="00F01E65" w:rsidP="00F01E65">
            <w:pPr>
              <w:spacing w:after="160" w:line="240" w:lineRule="auto"/>
              <w:rPr>
                <w:rFonts w:cs="Arial"/>
                <w:sz w:val="16"/>
                <w:szCs w:val="16"/>
              </w:rPr>
            </w:pPr>
            <w:r w:rsidRPr="00F01E65">
              <w:rPr>
                <w:rFonts w:cs="Arial"/>
                <w:sz w:val="16"/>
                <w:szCs w:val="16"/>
              </w:rPr>
              <w:t>Launch European Seasonal Collection (pilot)</w:t>
            </w:r>
          </w:p>
        </w:tc>
        <w:tc>
          <w:tcPr>
            <w:tcW w:w="0" w:type="auto"/>
            <w:hideMark/>
          </w:tcPr>
          <w:p w14:paraId="6DD712E1"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6EFC2C5C"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5B3EB18B"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0F2DFF89"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72B0DCAB"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060E8B47"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1487" w:type="dxa"/>
            <w:hideMark/>
          </w:tcPr>
          <w:p w14:paraId="7701DFB5"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r>
      <w:tr w:rsidR="00F01E65" w:rsidRPr="00F01E65" w14:paraId="42057AE9" w14:textId="77777777" w:rsidTr="00326C2D">
        <w:tc>
          <w:tcPr>
            <w:cnfStyle w:val="001000000000" w:firstRow="0" w:lastRow="0" w:firstColumn="1" w:lastColumn="0" w:oddVBand="0" w:evenVBand="0" w:oddHBand="0" w:evenHBand="0" w:firstRowFirstColumn="0" w:firstRowLastColumn="0" w:lastRowFirstColumn="0" w:lastRowLastColumn="0"/>
            <w:tcW w:w="0" w:type="auto"/>
            <w:hideMark/>
          </w:tcPr>
          <w:p w14:paraId="1E99D847" w14:textId="77777777" w:rsidR="00F01E65" w:rsidRPr="00F01E65" w:rsidRDefault="00F01E65" w:rsidP="00F01E65">
            <w:pPr>
              <w:spacing w:after="160" w:line="240" w:lineRule="auto"/>
              <w:rPr>
                <w:rFonts w:cs="Arial"/>
                <w:sz w:val="16"/>
                <w:szCs w:val="16"/>
              </w:rPr>
            </w:pPr>
            <w:r w:rsidRPr="00F01E65">
              <w:rPr>
                <w:rFonts w:cs="Arial"/>
                <w:sz w:val="16"/>
                <w:szCs w:val="16"/>
              </w:rPr>
              <w:t>Shift from air freight to sea/ground freight</w:t>
            </w:r>
          </w:p>
        </w:tc>
        <w:tc>
          <w:tcPr>
            <w:tcW w:w="0" w:type="auto"/>
            <w:hideMark/>
          </w:tcPr>
          <w:p w14:paraId="0F0ACC80"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hideMark/>
          </w:tcPr>
          <w:p w14:paraId="2C540086"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hideMark/>
          </w:tcPr>
          <w:p w14:paraId="2DA4ED19"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 (planning)</w:t>
            </w:r>
          </w:p>
        </w:tc>
        <w:tc>
          <w:tcPr>
            <w:tcW w:w="0" w:type="auto"/>
            <w:hideMark/>
          </w:tcPr>
          <w:p w14:paraId="2B289872"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4F6D2860"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29B2D859"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1487" w:type="dxa"/>
            <w:hideMark/>
          </w:tcPr>
          <w:p w14:paraId="4D229045"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r>
      <w:tr w:rsidR="00F01E65" w:rsidRPr="00F01E65" w14:paraId="4F820A17" w14:textId="77777777" w:rsidTr="00326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9204C" w14:textId="77777777" w:rsidR="00F01E65" w:rsidRPr="00F01E65" w:rsidRDefault="00F01E65" w:rsidP="00F01E65">
            <w:pPr>
              <w:spacing w:after="160" w:line="240" w:lineRule="auto"/>
              <w:rPr>
                <w:rFonts w:cs="Arial"/>
                <w:sz w:val="16"/>
                <w:szCs w:val="16"/>
              </w:rPr>
            </w:pPr>
            <w:r w:rsidRPr="00F01E65">
              <w:rPr>
                <w:rFonts w:cs="Arial"/>
                <w:sz w:val="16"/>
                <w:szCs w:val="16"/>
              </w:rPr>
              <w:t>Packaging redesign for circularity</w:t>
            </w:r>
          </w:p>
        </w:tc>
        <w:tc>
          <w:tcPr>
            <w:tcW w:w="0" w:type="auto"/>
            <w:hideMark/>
          </w:tcPr>
          <w:p w14:paraId="7B68F3C6"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(research)</w:t>
            </w:r>
          </w:p>
        </w:tc>
        <w:tc>
          <w:tcPr>
            <w:tcW w:w="0" w:type="auto"/>
            <w:hideMark/>
          </w:tcPr>
          <w:p w14:paraId="045CEFEA"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(testing)</w:t>
            </w:r>
          </w:p>
        </w:tc>
        <w:tc>
          <w:tcPr>
            <w:tcW w:w="0" w:type="auto"/>
            <w:hideMark/>
          </w:tcPr>
          <w:p w14:paraId="7C6C9695"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(rollout)</w:t>
            </w:r>
          </w:p>
        </w:tc>
        <w:tc>
          <w:tcPr>
            <w:tcW w:w="0" w:type="auto"/>
            <w:hideMark/>
          </w:tcPr>
          <w:p w14:paraId="6CD9C345"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792512B1"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1E4B0E68"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1487" w:type="dxa"/>
            <w:hideMark/>
          </w:tcPr>
          <w:p w14:paraId="40747A3B"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r>
      <w:tr w:rsidR="00F01E65" w:rsidRPr="00F01E65" w14:paraId="202F2D1F" w14:textId="77777777" w:rsidTr="00326C2D">
        <w:tc>
          <w:tcPr>
            <w:cnfStyle w:val="001000000000" w:firstRow="0" w:lastRow="0" w:firstColumn="1" w:lastColumn="0" w:oddVBand="0" w:evenVBand="0" w:oddHBand="0" w:evenHBand="0" w:firstRowFirstColumn="0" w:firstRowLastColumn="0" w:lastRowFirstColumn="0" w:lastRowLastColumn="0"/>
            <w:tcW w:w="0" w:type="auto"/>
            <w:hideMark/>
          </w:tcPr>
          <w:p w14:paraId="4AC9FA55" w14:textId="77777777" w:rsidR="00F01E65" w:rsidRPr="00F01E65" w:rsidRDefault="00F01E65" w:rsidP="00F01E65">
            <w:pPr>
              <w:spacing w:after="160" w:line="240" w:lineRule="auto"/>
              <w:rPr>
                <w:rFonts w:cs="Arial"/>
                <w:sz w:val="16"/>
                <w:szCs w:val="16"/>
              </w:rPr>
            </w:pPr>
            <w:r w:rsidRPr="00F01E65">
              <w:rPr>
                <w:rFonts w:cs="Arial"/>
                <w:sz w:val="16"/>
                <w:szCs w:val="16"/>
              </w:rPr>
              <w:t>Supplier sustainability training and engagement programme</w:t>
            </w:r>
          </w:p>
        </w:tc>
        <w:tc>
          <w:tcPr>
            <w:tcW w:w="0" w:type="auto"/>
            <w:hideMark/>
          </w:tcPr>
          <w:p w14:paraId="419570E3"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 (framework)</w:t>
            </w:r>
          </w:p>
        </w:tc>
        <w:tc>
          <w:tcPr>
            <w:tcW w:w="0" w:type="auto"/>
            <w:hideMark/>
          </w:tcPr>
          <w:p w14:paraId="1D187E6C"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4FB6B36D"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2F0E2D4C"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4DEC8823"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0" w:type="auto"/>
            <w:hideMark/>
          </w:tcPr>
          <w:p w14:paraId="062F8427"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F01E65">
              <w:rPr>
                <w:rFonts w:cs="Arial"/>
                <w:sz w:val="16"/>
                <w:szCs w:val="16"/>
              </w:rPr>
              <w:t>●</w:t>
            </w:r>
          </w:p>
        </w:tc>
        <w:tc>
          <w:tcPr>
            <w:tcW w:w="1487" w:type="dxa"/>
            <w:hideMark/>
          </w:tcPr>
          <w:p w14:paraId="67ED930C"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r>
      <w:tr w:rsidR="00F01E65" w:rsidRPr="00F01E65" w14:paraId="59C22879" w14:textId="77777777" w:rsidTr="00326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E2B81B" w14:textId="77777777" w:rsidR="00F01E65" w:rsidRPr="00F01E65" w:rsidRDefault="00F01E65" w:rsidP="00F01E65">
            <w:pPr>
              <w:spacing w:after="160" w:line="240" w:lineRule="auto"/>
              <w:rPr>
                <w:rFonts w:cs="Arial"/>
                <w:sz w:val="16"/>
                <w:szCs w:val="16"/>
              </w:rPr>
            </w:pPr>
            <w:r w:rsidRPr="00F01E65">
              <w:rPr>
                <w:rFonts w:cs="Arial"/>
                <w:sz w:val="16"/>
                <w:szCs w:val="16"/>
              </w:rPr>
              <w:t>Implement electric logistics partnerships &amp; urban micro-hubs</w:t>
            </w:r>
          </w:p>
        </w:tc>
        <w:tc>
          <w:tcPr>
            <w:tcW w:w="0" w:type="auto"/>
            <w:hideMark/>
          </w:tcPr>
          <w:p w14:paraId="30BDC657"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7B6ECBF9"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hideMark/>
          </w:tcPr>
          <w:p w14:paraId="6493FD86"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(planning)</w:t>
            </w:r>
          </w:p>
        </w:tc>
        <w:tc>
          <w:tcPr>
            <w:tcW w:w="0" w:type="auto"/>
            <w:hideMark/>
          </w:tcPr>
          <w:p w14:paraId="1C71F771"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(pilot)</w:t>
            </w:r>
          </w:p>
        </w:tc>
        <w:tc>
          <w:tcPr>
            <w:tcW w:w="0" w:type="auto"/>
            <w:hideMark/>
          </w:tcPr>
          <w:p w14:paraId="5B2E63E5"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 (expansion)</w:t>
            </w:r>
          </w:p>
        </w:tc>
        <w:tc>
          <w:tcPr>
            <w:tcW w:w="0" w:type="auto"/>
            <w:hideMark/>
          </w:tcPr>
          <w:p w14:paraId="1DBB2AB9"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F01E65">
              <w:rPr>
                <w:rFonts w:cs="Arial"/>
                <w:sz w:val="16"/>
                <w:szCs w:val="16"/>
              </w:rPr>
              <w:t>●</w:t>
            </w:r>
          </w:p>
        </w:tc>
        <w:tc>
          <w:tcPr>
            <w:tcW w:w="1487" w:type="dxa"/>
            <w:hideMark/>
          </w:tcPr>
          <w:p w14:paraId="3062CF94"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r>
      <w:tr w:rsidR="00F01E65" w:rsidRPr="00F01E65" w14:paraId="6AE2AF4F" w14:textId="77777777" w:rsidTr="00326C2D">
        <w:tc>
          <w:tcPr>
            <w:cnfStyle w:val="001000000000" w:firstRow="0" w:lastRow="0" w:firstColumn="1" w:lastColumn="0" w:oddVBand="0" w:evenVBand="0" w:oddHBand="0" w:evenHBand="0" w:firstRowFirstColumn="0" w:firstRowLastColumn="0" w:lastRowFirstColumn="0" w:lastRowLastColumn="0"/>
            <w:tcW w:w="0" w:type="auto"/>
          </w:tcPr>
          <w:p w14:paraId="08977D48" w14:textId="44C536B9" w:rsidR="00F01E65" w:rsidRPr="00F01E65" w:rsidRDefault="00F01E65" w:rsidP="00F01E65">
            <w:pPr>
              <w:spacing w:after="160" w:line="240" w:lineRule="auto"/>
              <w:rPr>
                <w:rFonts w:cs="Arial"/>
                <w:sz w:val="16"/>
                <w:szCs w:val="16"/>
              </w:rPr>
            </w:pPr>
          </w:p>
        </w:tc>
        <w:tc>
          <w:tcPr>
            <w:tcW w:w="0" w:type="auto"/>
          </w:tcPr>
          <w:p w14:paraId="36ADE609" w14:textId="77777777"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tcPr>
          <w:p w14:paraId="485EA78F" w14:textId="3D88D0F6"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tcPr>
          <w:p w14:paraId="724EECF1" w14:textId="0508CC0D"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tcPr>
          <w:p w14:paraId="58E4CB24" w14:textId="05ED8B61"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tcPr>
          <w:p w14:paraId="5C520C01" w14:textId="7E1EFD6F"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0" w:type="auto"/>
          </w:tcPr>
          <w:p w14:paraId="52A359BB" w14:textId="1017DA51"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c>
          <w:tcPr>
            <w:tcW w:w="1487" w:type="dxa"/>
          </w:tcPr>
          <w:p w14:paraId="5FB62CD4" w14:textId="1D137FBB" w:rsidR="00F01E65" w:rsidRPr="00F01E65" w:rsidRDefault="00F01E65" w:rsidP="00F01E65">
            <w:pPr>
              <w:spacing w:after="160" w:line="240" w:lineRule="auto"/>
              <w:cnfStyle w:val="000000000000" w:firstRow="0" w:lastRow="0" w:firstColumn="0" w:lastColumn="0" w:oddVBand="0" w:evenVBand="0" w:oddHBand="0" w:evenHBand="0" w:firstRowFirstColumn="0" w:firstRowLastColumn="0" w:lastRowFirstColumn="0" w:lastRowLastColumn="0"/>
              <w:rPr>
                <w:rFonts w:cs="Arial"/>
                <w:sz w:val="16"/>
                <w:szCs w:val="16"/>
              </w:rPr>
            </w:pPr>
          </w:p>
        </w:tc>
      </w:tr>
      <w:tr w:rsidR="00F01E65" w:rsidRPr="00F01E65" w14:paraId="12A03A23" w14:textId="77777777" w:rsidTr="00326C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6C51ED" w14:textId="0B6E4DA8" w:rsidR="00F01E65" w:rsidRPr="00F01E65" w:rsidRDefault="00F01E65" w:rsidP="00F01E65">
            <w:pPr>
              <w:spacing w:after="160" w:line="240" w:lineRule="auto"/>
              <w:rPr>
                <w:rFonts w:cs="Arial"/>
                <w:sz w:val="16"/>
                <w:szCs w:val="16"/>
              </w:rPr>
            </w:pPr>
          </w:p>
        </w:tc>
        <w:tc>
          <w:tcPr>
            <w:tcW w:w="0" w:type="auto"/>
          </w:tcPr>
          <w:p w14:paraId="778FBE0C"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tcPr>
          <w:p w14:paraId="607AC11A"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tcPr>
          <w:p w14:paraId="604EEE44" w14:textId="7777777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tcPr>
          <w:p w14:paraId="4F178F27" w14:textId="6BF0AEC9"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tcPr>
          <w:p w14:paraId="55DBACF3" w14:textId="24C31B07"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0" w:type="auto"/>
          </w:tcPr>
          <w:p w14:paraId="6786C1B0" w14:textId="5F53968A"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c>
          <w:tcPr>
            <w:tcW w:w="1487" w:type="dxa"/>
          </w:tcPr>
          <w:p w14:paraId="37C16DDB" w14:textId="5CD12A60" w:rsidR="00F01E65" w:rsidRPr="00F01E65" w:rsidRDefault="00F01E65" w:rsidP="00F01E65">
            <w:pPr>
              <w:spacing w:after="160" w:line="240" w:lineRule="auto"/>
              <w:cnfStyle w:val="000000100000" w:firstRow="0" w:lastRow="0" w:firstColumn="0" w:lastColumn="0" w:oddVBand="0" w:evenVBand="0" w:oddHBand="1" w:evenHBand="0" w:firstRowFirstColumn="0" w:firstRowLastColumn="0" w:lastRowFirstColumn="0" w:lastRowLastColumn="0"/>
              <w:rPr>
                <w:rFonts w:cs="Arial"/>
                <w:sz w:val="16"/>
                <w:szCs w:val="16"/>
              </w:rPr>
            </w:pPr>
          </w:p>
        </w:tc>
      </w:tr>
    </w:tbl>
    <w:p w14:paraId="1149FBC3" w14:textId="77777777" w:rsidR="00F01E65" w:rsidRDefault="00F01E65" w:rsidP="00F01E65">
      <w:pPr>
        <w:rPr>
          <w:rFonts w:cs="Arial"/>
        </w:rPr>
      </w:pPr>
    </w:p>
    <w:p w14:paraId="5EE8E2C7" w14:textId="184EDAC3" w:rsidR="00E27A97" w:rsidRPr="00F01E65" w:rsidRDefault="00E27A97" w:rsidP="00F01E65">
      <w:pPr>
        <w:rPr>
          <w:rFonts w:cs="Arial"/>
        </w:rPr>
      </w:pPr>
      <w:r>
        <w:rPr>
          <w:rFonts w:cs="Arial"/>
        </w:rPr>
        <w:t xml:space="preserve">Fig. </w:t>
      </w:r>
      <w:r w:rsidRPr="00E27A97">
        <w:rPr>
          <w:rFonts w:cs="Arial"/>
        </w:rPr>
        <w:t>Gantt Table for Strategic Recommendations (0–8 Years)</w:t>
      </w:r>
      <w:r>
        <w:rPr>
          <w:rFonts w:cs="Arial"/>
        </w:rPr>
        <w:t xml:space="preserve">. Source: own </w:t>
      </w:r>
      <w:proofErr w:type="spellStart"/>
      <w:r>
        <w:rPr>
          <w:rFonts w:cs="Arial"/>
        </w:rPr>
        <w:t>owern</w:t>
      </w:r>
      <w:r w:rsidR="00EB06C6">
        <w:rPr>
          <w:rFonts w:cs="Arial"/>
        </w:rPr>
        <w:t>ship</w:t>
      </w:r>
      <w:proofErr w:type="spellEnd"/>
    </w:p>
    <w:p w14:paraId="02CEF271" w14:textId="77777777" w:rsidR="006474FA" w:rsidRPr="006474FA" w:rsidRDefault="006474FA" w:rsidP="006474FA">
      <w:pPr>
        <w:pStyle w:val="ListParagraph"/>
        <w:ind w:left="780"/>
        <w:rPr>
          <w:rFonts w:cs="Arial"/>
        </w:rPr>
      </w:pPr>
    </w:p>
    <w:p w14:paraId="1A24BE2B" w14:textId="15553189" w:rsidR="00AF0777" w:rsidRPr="00AF0777" w:rsidRDefault="006474FA" w:rsidP="00C7721C">
      <w:pPr>
        <w:pStyle w:val="Heading1"/>
        <w:numPr>
          <w:ilvl w:val="0"/>
          <w:numId w:val="29"/>
        </w:numPr>
      </w:pPr>
      <w:bookmarkStart w:id="27" w:name="_Toc213722105"/>
      <w:r>
        <w:t>I</w:t>
      </w:r>
      <w:r w:rsidRPr="00AF0777">
        <w:t>mplementation</w:t>
      </w:r>
      <w:r w:rsidR="00AF0777" w:rsidRPr="00AF0777">
        <w:t xml:space="preserve"> Roadmap, KPIs, and Risk Mitigation</w:t>
      </w:r>
      <w:bookmarkEnd w:id="27"/>
    </w:p>
    <w:p w14:paraId="0EA037C3" w14:textId="77777777" w:rsidR="00AF0777" w:rsidRPr="00AF0777" w:rsidRDefault="00AF0777" w:rsidP="004B5D0C">
      <w:pPr>
        <w:pStyle w:val="Heading1"/>
      </w:pPr>
      <w:bookmarkStart w:id="28" w:name="_Toc213722106"/>
      <w:r w:rsidRPr="00AF0777">
        <w:t>6.1. High-Level Roadmap</w:t>
      </w:r>
      <w:bookmarkEnd w:id="28"/>
    </w:p>
    <w:p w14:paraId="3387F9E6" w14:textId="7F42E6EF" w:rsidR="00AF0777" w:rsidRPr="006474FA" w:rsidRDefault="00AF0777" w:rsidP="006474FA">
      <w:pPr>
        <w:rPr>
          <w:rFonts w:cs="Arial"/>
          <w:b/>
          <w:bCs/>
        </w:rPr>
      </w:pPr>
      <w:proofErr w:type="spellStart"/>
      <w:r w:rsidRPr="006474FA">
        <w:rPr>
          <w:rFonts w:cs="Arial"/>
          <w:b/>
          <w:bCs/>
        </w:rPr>
        <w:t>Monhs</w:t>
      </w:r>
      <w:proofErr w:type="spellEnd"/>
      <w:r w:rsidRPr="006474FA">
        <w:rPr>
          <w:rFonts w:cs="Arial"/>
          <w:b/>
          <w:bCs/>
        </w:rPr>
        <w:t xml:space="preserve"> 0–6:</w:t>
      </w:r>
    </w:p>
    <w:p w14:paraId="1FF58D5C" w14:textId="171101A7" w:rsidR="00AF0777" w:rsidRPr="004B5D0C" w:rsidRDefault="00AF0777" w:rsidP="006474FA">
      <w:pPr>
        <w:pStyle w:val="ListParagraph"/>
        <w:numPr>
          <w:ilvl w:val="0"/>
          <w:numId w:val="6"/>
        </w:numPr>
        <w:rPr>
          <w:rFonts w:cs="Arial"/>
        </w:rPr>
      </w:pPr>
      <w:r w:rsidRPr="006474FA">
        <w:rPr>
          <w:rFonts w:cs="Arial"/>
        </w:rPr>
        <w:lastRenderedPageBreak/>
        <w:t>Set SMART targets, conduct full emissions baseline, begin carbon scoring development.</w:t>
      </w:r>
    </w:p>
    <w:p w14:paraId="2A3CBA79" w14:textId="77777777" w:rsidR="00AF0777" w:rsidRPr="006474FA" w:rsidRDefault="00AF0777" w:rsidP="006474FA">
      <w:pPr>
        <w:rPr>
          <w:rFonts w:cs="Arial"/>
          <w:b/>
          <w:bCs/>
        </w:rPr>
      </w:pPr>
      <w:r w:rsidRPr="006474FA">
        <w:rPr>
          <w:rFonts w:cs="Arial"/>
          <w:b/>
          <w:bCs/>
        </w:rPr>
        <w:t>Months 6–18:</w:t>
      </w:r>
    </w:p>
    <w:p w14:paraId="509DE016" w14:textId="11186FC2" w:rsidR="00AF0777" w:rsidRPr="006474FA" w:rsidRDefault="00AF0777" w:rsidP="006474FA">
      <w:pPr>
        <w:pStyle w:val="ListParagraph"/>
        <w:numPr>
          <w:ilvl w:val="0"/>
          <w:numId w:val="6"/>
        </w:numPr>
        <w:rPr>
          <w:rFonts w:cs="Arial"/>
        </w:rPr>
      </w:pPr>
      <w:r w:rsidRPr="006474FA">
        <w:rPr>
          <w:rFonts w:cs="Arial"/>
        </w:rPr>
        <w:t>Launch European Seasonal Collection, implement packaging redesign, strengthen supplier engagement.</w:t>
      </w:r>
    </w:p>
    <w:p w14:paraId="53AA91F8" w14:textId="77777777" w:rsidR="00AF0777" w:rsidRPr="006474FA" w:rsidRDefault="00AF0777" w:rsidP="006474FA">
      <w:pPr>
        <w:rPr>
          <w:rFonts w:cs="Arial"/>
          <w:b/>
          <w:bCs/>
        </w:rPr>
      </w:pPr>
      <w:r w:rsidRPr="006474FA">
        <w:rPr>
          <w:rFonts w:cs="Arial"/>
          <w:b/>
          <w:bCs/>
        </w:rPr>
        <w:t>Months 18–36:</w:t>
      </w:r>
    </w:p>
    <w:p w14:paraId="36FFE467" w14:textId="7FA3C18B" w:rsidR="00AF0777" w:rsidRPr="006474FA" w:rsidRDefault="00AF0777" w:rsidP="006474FA">
      <w:pPr>
        <w:pStyle w:val="ListParagraph"/>
        <w:numPr>
          <w:ilvl w:val="0"/>
          <w:numId w:val="6"/>
        </w:numPr>
        <w:rPr>
          <w:rFonts w:cs="Arial"/>
        </w:rPr>
      </w:pPr>
      <w:r w:rsidRPr="006474FA">
        <w:rPr>
          <w:rFonts w:cs="Arial"/>
        </w:rPr>
        <w:t>Shift transport modes, publish detailed sustainability reporting, roll out electric logistics partnerships.</w:t>
      </w:r>
    </w:p>
    <w:p w14:paraId="11EA019D" w14:textId="77777777" w:rsidR="00AF0777" w:rsidRPr="006474FA" w:rsidRDefault="00AF0777" w:rsidP="006474FA">
      <w:pPr>
        <w:rPr>
          <w:rFonts w:cs="Arial"/>
          <w:b/>
          <w:bCs/>
        </w:rPr>
      </w:pPr>
      <w:r w:rsidRPr="006474FA">
        <w:rPr>
          <w:rFonts w:cs="Arial"/>
          <w:b/>
          <w:bCs/>
        </w:rPr>
        <w:t>Years 3–8:</w:t>
      </w:r>
    </w:p>
    <w:p w14:paraId="68FE9E0A" w14:textId="497B5283" w:rsidR="00AF0777" w:rsidRPr="004B5D0C" w:rsidRDefault="00AF0777" w:rsidP="006474FA">
      <w:pPr>
        <w:pStyle w:val="ListParagraph"/>
        <w:numPr>
          <w:ilvl w:val="0"/>
          <w:numId w:val="6"/>
        </w:numPr>
        <w:rPr>
          <w:rFonts w:cs="Arial"/>
        </w:rPr>
      </w:pPr>
      <w:r w:rsidRPr="006474FA">
        <w:rPr>
          <w:rFonts w:cs="Arial"/>
        </w:rPr>
        <w:t>Full SBTi alignment, circular gifting services, product and supply chain optimisation.</w:t>
      </w:r>
    </w:p>
    <w:p w14:paraId="2452127A" w14:textId="6B7831F6" w:rsidR="00AF0777" w:rsidRPr="00AF0777" w:rsidRDefault="00AF0777" w:rsidP="00C7721C">
      <w:pPr>
        <w:pStyle w:val="Heading1"/>
        <w:numPr>
          <w:ilvl w:val="1"/>
          <w:numId w:val="29"/>
        </w:numPr>
      </w:pPr>
      <w:bookmarkStart w:id="29" w:name="_Toc213722108"/>
      <w:r w:rsidRPr="00AF0777">
        <w:t>Risk Mitigation</w:t>
      </w:r>
      <w:bookmarkEnd w:id="29"/>
    </w:p>
    <w:p w14:paraId="7452064D" w14:textId="75AB2E77" w:rsidR="00AF0777" w:rsidRPr="006474FA" w:rsidRDefault="00AF0777" w:rsidP="00026EA6">
      <w:pPr>
        <w:pStyle w:val="ListParagraph"/>
        <w:numPr>
          <w:ilvl w:val="0"/>
          <w:numId w:val="6"/>
        </w:numPr>
        <w:rPr>
          <w:rFonts w:cs="Arial"/>
        </w:rPr>
      </w:pPr>
      <w:r w:rsidRPr="006474FA">
        <w:rPr>
          <w:rFonts w:cs="Arial"/>
        </w:rPr>
        <w:t>minimise waste.</w:t>
      </w:r>
      <w:r w:rsidR="00026EA6">
        <w:rPr>
          <w:rFonts w:cs="Arial"/>
          <w:b/>
          <w:bCs/>
        </w:rPr>
        <w:t xml:space="preserve"> </w:t>
      </w:r>
      <w:r w:rsidRPr="006474FA">
        <w:rPr>
          <w:rFonts w:cs="Arial"/>
        </w:rPr>
        <w:t>when relevant.</w:t>
      </w:r>
    </w:p>
    <w:p w14:paraId="73687270" w14:textId="5E595DE1" w:rsidR="00AF0777" w:rsidRPr="006474FA" w:rsidRDefault="00AF0777" w:rsidP="006474FA">
      <w:pPr>
        <w:pStyle w:val="ListParagraph"/>
        <w:numPr>
          <w:ilvl w:val="0"/>
          <w:numId w:val="6"/>
        </w:numPr>
        <w:rPr>
          <w:rFonts w:cs="Arial"/>
        </w:rPr>
      </w:pPr>
      <w:r w:rsidRPr="006474FA">
        <w:rPr>
          <w:rFonts w:cs="Arial"/>
          <w:b/>
          <w:bCs/>
        </w:rPr>
        <w:t>Reputation Risk:</w:t>
      </w:r>
      <w:r w:rsidRPr="006474FA">
        <w:rPr>
          <w:rFonts w:cs="Arial"/>
        </w:rPr>
        <w:t xml:space="preserve"> Annually disseminate transparent sustainability reports.</w:t>
      </w:r>
    </w:p>
    <w:p w14:paraId="6D8AB35A" w14:textId="2033AF1A" w:rsidR="00C51A9F" w:rsidRDefault="00AF0777" w:rsidP="006474FA">
      <w:pPr>
        <w:pStyle w:val="ListParagraph"/>
        <w:numPr>
          <w:ilvl w:val="0"/>
          <w:numId w:val="6"/>
        </w:numPr>
        <w:rPr>
          <w:rFonts w:cs="Arial"/>
        </w:rPr>
      </w:pPr>
      <w:r w:rsidRPr="006474FA">
        <w:rPr>
          <w:rFonts w:cs="Arial"/>
          <w:b/>
          <w:bCs/>
        </w:rPr>
        <w:t>Technology Risk:</w:t>
      </w:r>
      <w:r w:rsidRPr="006474FA">
        <w:rPr>
          <w:rFonts w:cs="Arial"/>
        </w:rPr>
        <w:t xml:space="preserve"> Conduct pilot testing of digital systems prior to full implementation to guarantee successful integration.</w:t>
      </w:r>
    </w:p>
    <w:p w14:paraId="55027B9B" w14:textId="501E4F07" w:rsidR="009426F1" w:rsidRDefault="009426F1" w:rsidP="009426F1">
      <w:pPr>
        <w:rPr>
          <w:rFonts w:cs="Arial"/>
        </w:rPr>
      </w:pPr>
      <w:r w:rsidRPr="009426F1">
        <w:rPr>
          <w:rFonts w:cs="Arial"/>
          <w:noProof/>
        </w:rPr>
        <w:drawing>
          <wp:inline distT="0" distB="0" distL="0" distR="0" wp14:anchorId="35CA9018" wp14:editId="29D6B2A0">
            <wp:extent cx="4157003" cy="2098306"/>
            <wp:effectExtent l="0" t="0" r="0" b="0"/>
            <wp:docPr id="187532768" name="Picture 1" descr="A diagram of a risk manage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2768" name="Picture 1" descr="A diagram of a risk management process&#10;&#10;AI-generated content may be incorrect."/>
                    <pic:cNvPicPr/>
                  </pic:nvPicPr>
                  <pic:blipFill>
                    <a:blip r:embed="rId9"/>
                    <a:stretch>
                      <a:fillRect/>
                    </a:stretch>
                  </pic:blipFill>
                  <pic:spPr>
                    <a:xfrm>
                      <a:off x="0" y="0"/>
                      <a:ext cx="4166825" cy="2103264"/>
                    </a:xfrm>
                    <a:prstGeom prst="rect">
                      <a:avLst/>
                    </a:prstGeom>
                  </pic:spPr>
                </pic:pic>
              </a:graphicData>
            </a:graphic>
          </wp:inline>
        </w:drawing>
      </w:r>
    </w:p>
    <w:p w14:paraId="16E069EA" w14:textId="71722903" w:rsidR="009426F1" w:rsidRPr="009426F1" w:rsidRDefault="009426F1" w:rsidP="009426F1">
      <w:pPr>
        <w:rPr>
          <w:rFonts w:cs="Arial"/>
        </w:rPr>
      </w:pPr>
      <w:r>
        <w:rPr>
          <w:rFonts w:cs="Arial"/>
        </w:rPr>
        <w:t xml:space="preserve">Fig. Risk </w:t>
      </w:r>
      <w:r w:rsidR="0018197E">
        <w:rPr>
          <w:rFonts w:cs="Arial"/>
        </w:rPr>
        <w:t xml:space="preserve">management strategies. </w:t>
      </w:r>
      <w:r w:rsidR="008A25E2" w:rsidRPr="008A25E2">
        <w:rPr>
          <w:rFonts w:cs="Arial"/>
        </w:rPr>
        <w:t>(Techno PM - Project Management Templates Download, 2023)</w:t>
      </w:r>
    </w:p>
    <w:p w14:paraId="51C707F0" w14:textId="3F521C39" w:rsidR="00AF0777" w:rsidRDefault="004B5D0C" w:rsidP="004B5D0C">
      <w:pPr>
        <w:spacing w:line="259" w:lineRule="auto"/>
        <w:rPr>
          <w:rFonts w:cs="Arial"/>
        </w:rPr>
      </w:pPr>
      <w:r>
        <w:rPr>
          <w:rFonts w:cs="Arial"/>
        </w:rPr>
        <w:lastRenderedPageBreak/>
        <w:br w:type="page"/>
      </w:r>
    </w:p>
    <w:p w14:paraId="29FBAC9A" w14:textId="77777777" w:rsidR="00623E2A" w:rsidRPr="00623E2A" w:rsidRDefault="00623E2A" w:rsidP="00C7721C">
      <w:pPr>
        <w:pStyle w:val="Heading1"/>
        <w:numPr>
          <w:ilvl w:val="0"/>
          <w:numId w:val="29"/>
        </w:numPr>
      </w:pPr>
      <w:bookmarkStart w:id="30" w:name="_Toc213722109"/>
      <w:r w:rsidRPr="00623E2A">
        <w:lastRenderedPageBreak/>
        <w:t>Justification with Academic and Industry Evidence</w:t>
      </w:r>
      <w:bookmarkEnd w:id="30"/>
    </w:p>
    <w:p w14:paraId="5242F54A" w14:textId="3C66A961" w:rsidR="006474FA" w:rsidRPr="00623E2A" w:rsidRDefault="00623E2A" w:rsidP="006474FA">
      <w:pPr>
        <w:rPr>
          <w:rFonts w:cs="Arial"/>
        </w:rPr>
      </w:pPr>
      <w:r w:rsidRPr="00623E2A">
        <w:rPr>
          <w:rFonts w:cs="Arial"/>
        </w:rPr>
        <w:t>Ensuring sustainable sourcing and minimising transport emissions play a crucial role in enhancing our environmental performance. Research indicates that flowers transported by air contribute to considerably greater emissions than those shipped by sea or sourced locally (Khadka and Pathak, 2022). Market research shows that European consumers are increasingly inclined to choose sustainable products, demonstrating a readiness to pay higher prices for goods that are ethically sourced (Ethical Consumer, 2023)</w:t>
      </w:r>
    </w:p>
    <w:p w14:paraId="04A38EDA" w14:textId="6F53DD59" w:rsidR="00623E2A" w:rsidRPr="00623E2A" w:rsidRDefault="00623E2A" w:rsidP="006474FA">
      <w:pPr>
        <w:rPr>
          <w:rFonts w:cs="Arial"/>
        </w:rPr>
      </w:pPr>
      <w:r w:rsidRPr="00623E2A">
        <w:rPr>
          <w:rFonts w:cs="Arial"/>
        </w:rPr>
        <w:t>Digital carbon tracking promotes greater transparency and is becoming a growing expectation among both regulators and consumers. Research shows that digital optimisation plays a crucial role in significantly lowering emissions within supply chains (McKinnon, 2021). The redesign of packaging enhances sustainability throughout its lifecycle and significantly impacts customer choices.</w:t>
      </w:r>
    </w:p>
    <w:p w14:paraId="0E012EB6" w14:textId="78D36945" w:rsidR="00623E2A" w:rsidRPr="00623E2A" w:rsidRDefault="00623E2A" w:rsidP="006474FA">
      <w:pPr>
        <w:rPr>
          <w:rFonts w:cs="Arial"/>
        </w:rPr>
      </w:pPr>
      <w:r w:rsidRPr="00623E2A">
        <w:rPr>
          <w:rFonts w:cs="Arial"/>
        </w:rPr>
        <w:t xml:space="preserve"> Engaging with suppliers enhances our ability to withstand challenges and fosters better environmental results. Studies indicate that providing sustainability training for growers can result in significant decreases in both water consumption and emissions (Basit, 2024).</w:t>
      </w:r>
    </w:p>
    <w:p w14:paraId="2B3028CC" w14:textId="77777777" w:rsidR="00623E2A" w:rsidRDefault="00623E2A" w:rsidP="006474FA">
      <w:pPr>
        <w:rPr>
          <w:rFonts w:cs="Arial"/>
        </w:rPr>
      </w:pPr>
    </w:p>
    <w:p w14:paraId="366AAE67" w14:textId="77777777" w:rsidR="00623E2A" w:rsidRDefault="00623E2A" w:rsidP="006474FA">
      <w:pPr>
        <w:rPr>
          <w:rFonts w:cs="Arial"/>
        </w:rPr>
      </w:pPr>
    </w:p>
    <w:p w14:paraId="32862F44" w14:textId="77777777" w:rsidR="007A1B81" w:rsidRDefault="007A1B81" w:rsidP="006474FA">
      <w:pPr>
        <w:rPr>
          <w:rFonts w:cs="Arial"/>
        </w:rPr>
      </w:pPr>
    </w:p>
    <w:p w14:paraId="32590F2D" w14:textId="77777777" w:rsidR="00C261C0" w:rsidRDefault="00C261C0" w:rsidP="006474FA">
      <w:pPr>
        <w:rPr>
          <w:rFonts w:cs="Arial"/>
        </w:rPr>
      </w:pPr>
    </w:p>
    <w:p w14:paraId="416737C7" w14:textId="77777777" w:rsidR="001E1715" w:rsidRPr="00F73069" w:rsidRDefault="001E1715" w:rsidP="006474FA">
      <w:pPr>
        <w:rPr>
          <w:rFonts w:cs="Arial"/>
        </w:rPr>
      </w:pPr>
    </w:p>
    <w:p w14:paraId="0B8E5FE5" w14:textId="7768F9E3" w:rsidR="00CB0B5C" w:rsidRPr="00F73069" w:rsidRDefault="004B5D0C" w:rsidP="004B5D0C">
      <w:pPr>
        <w:spacing w:line="259" w:lineRule="auto"/>
        <w:rPr>
          <w:rFonts w:cs="Arial"/>
        </w:rPr>
      </w:pPr>
      <w:r>
        <w:rPr>
          <w:rFonts w:cs="Arial"/>
        </w:rPr>
        <w:br w:type="page"/>
      </w:r>
    </w:p>
    <w:p w14:paraId="13026DA4" w14:textId="77777777" w:rsidR="00B52817" w:rsidRPr="00B52817" w:rsidRDefault="00B52817" w:rsidP="00C7721C">
      <w:pPr>
        <w:pStyle w:val="Heading1"/>
        <w:numPr>
          <w:ilvl w:val="0"/>
          <w:numId w:val="29"/>
        </w:numPr>
      </w:pPr>
      <w:bookmarkStart w:id="31" w:name="_Toc213722110"/>
      <w:r w:rsidRPr="00B52817">
        <w:lastRenderedPageBreak/>
        <w:t>Conclusion</w:t>
      </w:r>
      <w:bookmarkEnd w:id="31"/>
    </w:p>
    <w:p w14:paraId="7BEA4D30" w14:textId="4D3B0C73" w:rsidR="006474FA" w:rsidRDefault="006474FA" w:rsidP="006474FA">
      <w:pPr>
        <w:rPr>
          <w:rFonts w:cs="Arial"/>
        </w:rPr>
      </w:pPr>
      <w:r w:rsidRPr="006474FA">
        <w:rPr>
          <w:rFonts w:cs="Arial"/>
        </w:rPr>
        <w:t>Bloom &amp; Wild has a unique opportunity to enhance its competitive edge by implementing a strategy that integrates sustainability into every aspect of sourcing, production, logistics, and product design.</w:t>
      </w:r>
      <w:r>
        <w:rPr>
          <w:rFonts w:cs="Arial"/>
        </w:rPr>
        <w:t xml:space="preserve"> </w:t>
      </w:r>
      <w:r w:rsidRPr="006474FA">
        <w:rPr>
          <w:rFonts w:cs="Arial"/>
        </w:rPr>
        <w:t>The company functions within an industry that has a significant impact on the environment, but it simultaneously enjoys a growing interest from consumers who seek transparent and responsible gifting options. By setting clear, science-informed targets, investing in local and seasonal sourcing, enhancing digital carbon tracking, and rethinking packaging for circularity, the company can significantly lower emissions and strengthen supply resilience.</w:t>
      </w:r>
    </w:p>
    <w:p w14:paraId="4A1E50F1" w14:textId="3955C852" w:rsidR="00EE79D8" w:rsidRPr="00F73069" w:rsidRDefault="006474FA" w:rsidP="006474FA">
      <w:pPr>
        <w:rPr>
          <w:rFonts w:cs="Arial"/>
        </w:rPr>
      </w:pPr>
      <w:r w:rsidRPr="006474FA">
        <w:rPr>
          <w:rFonts w:cs="Arial"/>
        </w:rPr>
        <w:t xml:space="preserve"> Implementing medium and long-term strategies, like transitioning from air freight to more sustainable transport options and collaborating with low-emission logistics providers, will enhance operational efficiency and ensure adherence to regulations. Ongoing partnerships with growers and customers will foster positive behavioural changes and enhance trust in the brand. The proposed strategy equips Bloom &amp; Wild to achieve ongoing growth, enhance environmental results, and foster enduring organisational strength.</w:t>
      </w:r>
      <w:r w:rsidR="00EE79D8" w:rsidRPr="00F73069">
        <w:rPr>
          <w:rFonts w:cs="Arial"/>
        </w:rPr>
        <w:br w:type="page"/>
      </w:r>
    </w:p>
    <w:p w14:paraId="5C9BA82F" w14:textId="7A9711D5" w:rsidR="00EE79D8" w:rsidRDefault="00EE79D8" w:rsidP="004B5D0C">
      <w:pPr>
        <w:pStyle w:val="Heading1"/>
      </w:pPr>
      <w:bookmarkStart w:id="32" w:name="_Toc213722111"/>
      <w:r w:rsidRPr="00F73069">
        <w:lastRenderedPageBreak/>
        <w:t>References (Harvard Style)</w:t>
      </w:r>
      <w:bookmarkEnd w:id="32"/>
    </w:p>
    <w:p w14:paraId="0659A7C4" w14:textId="77777777" w:rsidR="004B5D0C" w:rsidRPr="00B52817" w:rsidRDefault="004B5D0C" w:rsidP="004B5D0C">
      <w:pPr>
        <w:rPr>
          <w:rFonts w:cs="Arial"/>
        </w:rPr>
      </w:pPr>
      <w:r w:rsidRPr="00B52817">
        <w:rPr>
          <w:rFonts w:cs="Arial"/>
        </w:rPr>
        <w:t>Ansoff, H. 1957. Strategies for Diversification. Harvard Business Review, 35(5), pp.113–124.</w:t>
      </w:r>
    </w:p>
    <w:p w14:paraId="2E3D7260" w14:textId="55B168BF" w:rsidR="004B5D0C" w:rsidRPr="004B5D0C" w:rsidRDefault="004B5D0C" w:rsidP="004B5D0C">
      <w:pPr>
        <w:rPr>
          <w:rFonts w:cs="Arial"/>
        </w:rPr>
      </w:pPr>
      <w:r w:rsidRPr="00B52817">
        <w:rPr>
          <w:rFonts w:cs="Arial"/>
        </w:rPr>
        <w:t>Basit, S. 2024. Review of Enablers and Barriers of Sustainable Business Practices. Journal of Business Sustainability, 18(2), pp.45–67.</w:t>
      </w:r>
    </w:p>
    <w:p w14:paraId="5A8FF0F5" w14:textId="77777777" w:rsidR="00EE79D8" w:rsidRDefault="00EE79D8" w:rsidP="006474FA">
      <w:pPr>
        <w:rPr>
          <w:rFonts w:cs="Arial"/>
        </w:rPr>
      </w:pPr>
      <w:r w:rsidRPr="00F73069">
        <w:rPr>
          <w:rFonts w:cs="Arial"/>
        </w:rPr>
        <w:t>Bloom &amp; Wild (2023) Sustainability Report. London: Bloom &amp; Wild Ltd.</w:t>
      </w:r>
    </w:p>
    <w:p w14:paraId="2DB74E49" w14:textId="77777777" w:rsidR="004B5D0C" w:rsidRPr="00B52817" w:rsidRDefault="004B5D0C" w:rsidP="004B5D0C">
      <w:pPr>
        <w:rPr>
          <w:rFonts w:cs="Arial"/>
        </w:rPr>
      </w:pPr>
      <w:r w:rsidRPr="00B52817">
        <w:rPr>
          <w:rFonts w:cs="Arial"/>
        </w:rPr>
        <w:t>Bloom &amp; Wild. 2024. Sustainability Report. Bloom &amp; Wild Ltd, London.</w:t>
      </w:r>
    </w:p>
    <w:p w14:paraId="6C4304C8" w14:textId="55296DD3" w:rsidR="004B5D0C" w:rsidRPr="00B52817" w:rsidRDefault="004B5D0C" w:rsidP="004B5D0C">
      <w:pPr>
        <w:rPr>
          <w:rFonts w:cs="Arial"/>
        </w:rPr>
      </w:pPr>
      <w:r w:rsidRPr="00F73069">
        <w:rPr>
          <w:rFonts w:cs="Arial"/>
        </w:rPr>
        <w:t>Companies House (2024) Bloom &amp; Wild Ltd: Company Overview. London: UK Government.</w:t>
      </w:r>
    </w:p>
    <w:p w14:paraId="3B1EC865" w14:textId="6B5CED98" w:rsidR="004B5D0C" w:rsidRPr="00B52817" w:rsidRDefault="004B5D0C" w:rsidP="004B5D0C">
      <w:pPr>
        <w:rPr>
          <w:rFonts w:cs="Arial"/>
        </w:rPr>
      </w:pPr>
      <w:r w:rsidRPr="00B52817">
        <w:rPr>
          <w:rFonts w:cs="Arial"/>
        </w:rPr>
        <w:t>Bowman, C. and Faulkner, D. 1996. Competitive and Corporate Strategy. Pitman, London.</w:t>
      </w:r>
    </w:p>
    <w:p w14:paraId="76CC1AFE" w14:textId="044E7CC1" w:rsidR="004B5D0C" w:rsidRPr="00B52817" w:rsidRDefault="004B5D0C" w:rsidP="004B5D0C">
      <w:pPr>
        <w:rPr>
          <w:rFonts w:cs="Arial"/>
        </w:rPr>
      </w:pPr>
      <w:r w:rsidRPr="00B52817">
        <w:rPr>
          <w:rFonts w:cs="Arial"/>
        </w:rPr>
        <w:t>Ethical Consumer. 2023. UK Flowers Market Ethics Review. Ethical Consumer Research Association, Manchester.</w:t>
      </w:r>
    </w:p>
    <w:p w14:paraId="69CC731A" w14:textId="28F3597D" w:rsidR="004B5D0C" w:rsidRPr="00B52817" w:rsidRDefault="004B5D0C" w:rsidP="004B5D0C">
      <w:pPr>
        <w:rPr>
          <w:rFonts w:cs="Arial"/>
        </w:rPr>
      </w:pPr>
      <w:r w:rsidRPr="00B52817">
        <w:rPr>
          <w:rFonts w:cs="Arial"/>
        </w:rPr>
        <w:t>European Commission. 2023. Corporate Sustainability Reporting Directive: Guidance on Implementation. Brussels.</w:t>
      </w:r>
    </w:p>
    <w:p w14:paraId="328889E4" w14:textId="06BB28ED" w:rsidR="004B5D0C" w:rsidRPr="00F73069" w:rsidRDefault="004B5D0C" w:rsidP="006474FA">
      <w:pPr>
        <w:rPr>
          <w:rFonts w:cs="Arial"/>
        </w:rPr>
      </w:pPr>
      <w:r w:rsidRPr="00B52817">
        <w:rPr>
          <w:rFonts w:cs="Arial"/>
        </w:rPr>
        <w:t>Khadka, A. and Pathak, D. 2022. Carbon Footprint of Global Cut Flower Trade. International Journal of Environmental Studies, 79(4), pp.612–630.</w:t>
      </w:r>
    </w:p>
    <w:p w14:paraId="5F1BD7B2" w14:textId="77777777" w:rsidR="00EE79D8" w:rsidRPr="00F73069" w:rsidRDefault="00EE79D8" w:rsidP="006474FA">
      <w:pPr>
        <w:rPr>
          <w:rFonts w:cs="Arial"/>
        </w:rPr>
      </w:pPr>
      <w:r w:rsidRPr="00F73069">
        <w:rPr>
          <w:rFonts w:cs="Arial"/>
        </w:rPr>
        <w:t>Johnson, G., Scholes, K. and Whittington, R. (2020) Exploring Strategy: Text and Cases. 12th edn. Harlow: Pearson.</w:t>
      </w:r>
    </w:p>
    <w:p w14:paraId="4A2EA8B2" w14:textId="77777777" w:rsidR="00EE79D8" w:rsidRPr="00F73069" w:rsidRDefault="00EE79D8" w:rsidP="006474FA">
      <w:pPr>
        <w:rPr>
          <w:rFonts w:cs="Arial"/>
        </w:rPr>
      </w:pPr>
      <w:r w:rsidRPr="00F73069">
        <w:rPr>
          <w:rFonts w:cs="Arial"/>
        </w:rPr>
        <w:t>Mintel (2023) UK Flower and Plant Retail Market Report. London: Mintel.</w:t>
      </w:r>
    </w:p>
    <w:p w14:paraId="32E3AA74" w14:textId="082C5615" w:rsidR="00B52817" w:rsidRPr="00B52817" w:rsidRDefault="001A1E71" w:rsidP="006474FA">
      <w:pPr>
        <w:rPr>
          <w:rFonts w:cs="Arial"/>
        </w:rPr>
      </w:pPr>
      <w:r w:rsidRPr="001A1E71">
        <w:rPr>
          <w:rFonts w:cs="Arial"/>
        </w:rPr>
        <w:t>Lynch, R. (2021) Corporate Strategy. 9th edn. Harlow: Pearson.</w:t>
      </w:r>
    </w:p>
    <w:p w14:paraId="4ED6B303" w14:textId="6060B04F" w:rsidR="00B52817" w:rsidRPr="00B52817" w:rsidRDefault="00B52817" w:rsidP="006474FA">
      <w:pPr>
        <w:rPr>
          <w:rFonts w:cs="Arial"/>
        </w:rPr>
      </w:pPr>
      <w:r w:rsidRPr="00B52817">
        <w:rPr>
          <w:rFonts w:cs="Arial"/>
        </w:rPr>
        <w:t>McKinnon, A. 2021. Decarbonising Freight Transport: Digitalisation and Efficiency Measures. Logistics Institute, London.</w:t>
      </w:r>
    </w:p>
    <w:p w14:paraId="612B7EEB" w14:textId="21632127" w:rsidR="00B52817" w:rsidRPr="00B52817" w:rsidRDefault="00B52817" w:rsidP="006474FA">
      <w:pPr>
        <w:rPr>
          <w:rFonts w:cs="Arial"/>
        </w:rPr>
      </w:pPr>
      <w:r w:rsidRPr="00B52817">
        <w:rPr>
          <w:rFonts w:cs="Arial"/>
        </w:rPr>
        <w:t>Martins, A. 2022. Sustainability in Small and Medium-Sized Enterprises. Sustainability, 14(11), p.6493.</w:t>
      </w:r>
    </w:p>
    <w:p w14:paraId="5CB0FA20" w14:textId="77777777" w:rsidR="00B52817" w:rsidRPr="00B52817" w:rsidRDefault="00B52817" w:rsidP="006474FA">
      <w:pPr>
        <w:rPr>
          <w:rFonts w:cs="Arial"/>
        </w:rPr>
      </w:pPr>
      <w:proofErr w:type="spellStart"/>
      <w:r w:rsidRPr="00B52817">
        <w:rPr>
          <w:rFonts w:cs="Arial"/>
        </w:rPr>
        <w:lastRenderedPageBreak/>
        <w:t>Niemeijer</w:t>
      </w:r>
      <w:proofErr w:type="spellEnd"/>
      <w:r w:rsidRPr="00B52817">
        <w:rPr>
          <w:rFonts w:cs="Arial"/>
        </w:rPr>
        <w:t>, R. 2023. Urban Delivery Emissions and Low-Carbon Logistics. Journal of Urban Transport, 12(1), pp.72–89.</w:t>
      </w:r>
    </w:p>
    <w:p w14:paraId="0C788807" w14:textId="4C5FB526" w:rsidR="00B52817" w:rsidRPr="00B52817" w:rsidRDefault="004B5D0C" w:rsidP="006474FA">
      <w:pPr>
        <w:rPr>
          <w:rFonts w:cs="Arial"/>
        </w:rPr>
      </w:pPr>
      <w:proofErr w:type="spellStart"/>
      <w:r w:rsidRPr="00F73069">
        <w:rPr>
          <w:rFonts w:cs="Arial"/>
        </w:rPr>
        <w:t>OpenCorporates</w:t>
      </w:r>
      <w:proofErr w:type="spellEnd"/>
      <w:r w:rsidRPr="00F73069">
        <w:rPr>
          <w:rFonts w:cs="Arial"/>
        </w:rPr>
        <w:t xml:space="preserve"> (2024) Bloom &amp; Wild Limited: Company Profile. London: </w:t>
      </w:r>
      <w:proofErr w:type="spellStart"/>
      <w:r w:rsidRPr="00F73069">
        <w:rPr>
          <w:rFonts w:cs="Arial"/>
        </w:rPr>
        <w:t>OpenCorporates</w:t>
      </w:r>
      <w:proofErr w:type="spellEnd"/>
    </w:p>
    <w:p w14:paraId="382F9E25" w14:textId="452C995E" w:rsidR="00B52817" w:rsidRPr="00B52817" w:rsidRDefault="00B52817" w:rsidP="006474FA">
      <w:pPr>
        <w:rPr>
          <w:rFonts w:cs="Arial"/>
        </w:rPr>
      </w:pPr>
      <w:r w:rsidRPr="00B52817">
        <w:rPr>
          <w:rFonts w:cs="Arial"/>
        </w:rPr>
        <w:t>Porter, M. 1980. Competitive Strategy. Free Press, New York.</w:t>
      </w:r>
    </w:p>
    <w:p w14:paraId="7648EB0C" w14:textId="15D2C5BD" w:rsidR="001A1E71" w:rsidRDefault="00B52817" w:rsidP="006474FA">
      <w:pPr>
        <w:rPr>
          <w:rFonts w:cs="Arial"/>
        </w:rPr>
      </w:pPr>
      <w:r w:rsidRPr="00B52817">
        <w:rPr>
          <w:rFonts w:cs="Arial"/>
        </w:rPr>
        <w:t>Rabobank. 2023. Global Floriculture Outlook 2023. Rabobank Horticulture Division, Utrecht.</w:t>
      </w:r>
    </w:p>
    <w:p w14:paraId="549FE9F9" w14:textId="77777777" w:rsidR="004B5D0C" w:rsidRDefault="004B5D0C" w:rsidP="004B5D0C">
      <w:pPr>
        <w:rPr>
          <w:rFonts w:cs="Arial"/>
        </w:rPr>
      </w:pPr>
      <w:r w:rsidRPr="00F73069">
        <w:rPr>
          <w:rFonts w:cs="Arial"/>
        </w:rPr>
        <w:t>Smith, L. (2021) ‘E-commerce innovation in the floral industry’, Journal of Retail &amp; Consumer Services, 61, 102573.</w:t>
      </w:r>
    </w:p>
    <w:p w14:paraId="58E141A3" w14:textId="77777777" w:rsidR="004B5D0C" w:rsidRPr="00F73069" w:rsidRDefault="004B5D0C" w:rsidP="006474FA">
      <w:pPr>
        <w:rPr>
          <w:rFonts w:cs="Arial"/>
        </w:rPr>
      </w:pPr>
    </w:p>
    <w:sectPr w:rsidR="004B5D0C" w:rsidRPr="00F730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84D46" w14:textId="77777777" w:rsidR="008A6692" w:rsidRDefault="008A6692" w:rsidP="00B70526">
      <w:pPr>
        <w:spacing w:after="0" w:line="240" w:lineRule="auto"/>
      </w:pPr>
      <w:r>
        <w:separator/>
      </w:r>
    </w:p>
  </w:endnote>
  <w:endnote w:type="continuationSeparator" w:id="0">
    <w:p w14:paraId="07E8DB92" w14:textId="77777777" w:rsidR="008A6692" w:rsidRDefault="008A6692" w:rsidP="00B70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197132"/>
      <w:docPartObj>
        <w:docPartGallery w:val="Page Numbers (Bottom of Page)"/>
        <w:docPartUnique/>
      </w:docPartObj>
    </w:sdtPr>
    <w:sdtEndPr>
      <w:rPr>
        <w:noProof/>
      </w:rPr>
    </w:sdtEndPr>
    <w:sdtContent>
      <w:p w14:paraId="5724F815" w14:textId="07DBFBEC" w:rsidR="00B70526" w:rsidRDefault="00B705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8BBC5" w14:textId="77777777" w:rsidR="00B70526" w:rsidRDefault="00B70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4D92C" w14:textId="77777777" w:rsidR="008A6692" w:rsidRDefault="008A6692" w:rsidP="00B70526">
      <w:pPr>
        <w:spacing w:after="0" w:line="240" w:lineRule="auto"/>
      </w:pPr>
      <w:r>
        <w:separator/>
      </w:r>
    </w:p>
  </w:footnote>
  <w:footnote w:type="continuationSeparator" w:id="0">
    <w:p w14:paraId="4F15FF6E" w14:textId="77777777" w:rsidR="008A6692" w:rsidRDefault="008A6692" w:rsidP="00B70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E5307"/>
    <w:multiLevelType w:val="hybridMultilevel"/>
    <w:tmpl w:val="DB38B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D22F7"/>
    <w:multiLevelType w:val="hybridMultilevel"/>
    <w:tmpl w:val="6EB0F00A"/>
    <w:lvl w:ilvl="0" w:tplc="6658B3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26777"/>
    <w:multiLevelType w:val="hybridMultilevel"/>
    <w:tmpl w:val="3666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A3B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E4D5BE4"/>
    <w:multiLevelType w:val="hybridMultilevel"/>
    <w:tmpl w:val="E5104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B0AA0"/>
    <w:multiLevelType w:val="hybridMultilevel"/>
    <w:tmpl w:val="760AD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B6760"/>
    <w:multiLevelType w:val="hybridMultilevel"/>
    <w:tmpl w:val="25FCA138"/>
    <w:lvl w:ilvl="0" w:tplc="1012BDF6">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17D03907"/>
    <w:multiLevelType w:val="hybridMultilevel"/>
    <w:tmpl w:val="8EAE34A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1A776BFC"/>
    <w:multiLevelType w:val="hybridMultilevel"/>
    <w:tmpl w:val="EA60206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E463B6"/>
    <w:multiLevelType w:val="hybridMultilevel"/>
    <w:tmpl w:val="EB1052C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445C12"/>
    <w:multiLevelType w:val="hybridMultilevel"/>
    <w:tmpl w:val="51EC64C0"/>
    <w:lvl w:ilvl="0" w:tplc="C20CD28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59079F"/>
    <w:multiLevelType w:val="hybridMultilevel"/>
    <w:tmpl w:val="3B941E72"/>
    <w:lvl w:ilvl="0" w:tplc="74A4519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7F61B65"/>
    <w:multiLevelType w:val="multilevel"/>
    <w:tmpl w:val="3174BA96"/>
    <w:lvl w:ilvl="0">
      <w:start w:val="5"/>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BA4368F"/>
    <w:multiLevelType w:val="hybridMultilevel"/>
    <w:tmpl w:val="9530C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0D2C56"/>
    <w:multiLevelType w:val="hybridMultilevel"/>
    <w:tmpl w:val="89BC846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5" w15:restartNumberingAfterBreak="0">
    <w:nsid w:val="47780220"/>
    <w:multiLevelType w:val="hybridMultilevel"/>
    <w:tmpl w:val="C6842A2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6" w15:restartNumberingAfterBreak="0">
    <w:nsid w:val="477C1757"/>
    <w:multiLevelType w:val="hybridMultilevel"/>
    <w:tmpl w:val="3B463AE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49674231"/>
    <w:multiLevelType w:val="hybridMultilevel"/>
    <w:tmpl w:val="5596BDF6"/>
    <w:lvl w:ilvl="0" w:tplc="74A4519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4E7D4490"/>
    <w:multiLevelType w:val="hybridMultilevel"/>
    <w:tmpl w:val="26A01BCE"/>
    <w:lvl w:ilvl="0" w:tplc="74A4519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52346CAB"/>
    <w:multiLevelType w:val="hybridMultilevel"/>
    <w:tmpl w:val="C5F26B40"/>
    <w:lvl w:ilvl="0" w:tplc="36E4452A">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5A1E6E2C"/>
    <w:multiLevelType w:val="hybridMultilevel"/>
    <w:tmpl w:val="6F22D7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AF77E08"/>
    <w:multiLevelType w:val="hybridMultilevel"/>
    <w:tmpl w:val="354CFC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352F40"/>
    <w:multiLevelType w:val="hybridMultilevel"/>
    <w:tmpl w:val="C980C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88543D"/>
    <w:multiLevelType w:val="hybridMultilevel"/>
    <w:tmpl w:val="C9CC23E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64A67DE1"/>
    <w:multiLevelType w:val="hybridMultilevel"/>
    <w:tmpl w:val="76E22640"/>
    <w:lvl w:ilvl="0" w:tplc="0809000D">
      <w:start w:val="1"/>
      <w:numFmt w:val="bullet"/>
      <w:lvlText w:val=""/>
      <w:lvlJc w:val="left"/>
      <w:pPr>
        <w:ind w:left="720" w:hanging="360"/>
      </w:pPr>
      <w:rPr>
        <w:rFonts w:ascii="Wingdings" w:hAnsi="Wingdings" w:hint="default"/>
      </w:rPr>
    </w:lvl>
    <w:lvl w:ilvl="1" w:tplc="7A98930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3B1D6C"/>
    <w:multiLevelType w:val="hybridMultilevel"/>
    <w:tmpl w:val="2EEC84EE"/>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6E6E36A9"/>
    <w:multiLevelType w:val="hybridMultilevel"/>
    <w:tmpl w:val="7144D886"/>
    <w:lvl w:ilvl="0" w:tplc="6658B3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1006FF"/>
    <w:multiLevelType w:val="hybridMultilevel"/>
    <w:tmpl w:val="47F28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0C40CC"/>
    <w:multiLevelType w:val="hybridMultilevel"/>
    <w:tmpl w:val="73145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059230">
    <w:abstractNumId w:val="23"/>
  </w:num>
  <w:num w:numId="2" w16cid:durableId="461964598">
    <w:abstractNumId w:val="0"/>
  </w:num>
  <w:num w:numId="3" w16cid:durableId="1681734239">
    <w:abstractNumId w:val="4"/>
  </w:num>
  <w:num w:numId="4" w16cid:durableId="1799839366">
    <w:abstractNumId w:val="6"/>
  </w:num>
  <w:num w:numId="5" w16cid:durableId="1727100273">
    <w:abstractNumId w:val="16"/>
  </w:num>
  <w:num w:numId="6" w16cid:durableId="432747829">
    <w:abstractNumId w:val="24"/>
  </w:num>
  <w:num w:numId="7" w16cid:durableId="1828281317">
    <w:abstractNumId w:val="25"/>
  </w:num>
  <w:num w:numId="8" w16cid:durableId="1370685931">
    <w:abstractNumId w:val="14"/>
  </w:num>
  <w:num w:numId="9" w16cid:durableId="1444811409">
    <w:abstractNumId w:val="28"/>
  </w:num>
  <w:num w:numId="10" w16cid:durableId="1315446499">
    <w:abstractNumId w:val="7"/>
  </w:num>
  <w:num w:numId="11" w16cid:durableId="501169230">
    <w:abstractNumId w:val="15"/>
  </w:num>
  <w:num w:numId="12" w16cid:durableId="1628312689">
    <w:abstractNumId w:val="22"/>
  </w:num>
  <w:num w:numId="13" w16cid:durableId="91704418">
    <w:abstractNumId w:val="8"/>
  </w:num>
  <w:num w:numId="14" w16cid:durableId="1353530819">
    <w:abstractNumId w:val="19"/>
  </w:num>
  <w:num w:numId="15" w16cid:durableId="1396590776">
    <w:abstractNumId w:val="2"/>
  </w:num>
  <w:num w:numId="16" w16cid:durableId="1502349019">
    <w:abstractNumId w:val="1"/>
  </w:num>
  <w:num w:numId="17" w16cid:durableId="1987932940">
    <w:abstractNumId w:val="26"/>
  </w:num>
  <w:num w:numId="18" w16cid:durableId="144009264">
    <w:abstractNumId w:val="11"/>
  </w:num>
  <w:num w:numId="19" w16cid:durableId="1767841541">
    <w:abstractNumId w:val="20"/>
  </w:num>
  <w:num w:numId="20" w16cid:durableId="794911192">
    <w:abstractNumId w:val="27"/>
  </w:num>
  <w:num w:numId="21" w16cid:durableId="89357749">
    <w:abstractNumId w:val="10"/>
  </w:num>
  <w:num w:numId="22" w16cid:durableId="2109150833">
    <w:abstractNumId w:val="5"/>
  </w:num>
  <w:num w:numId="23" w16cid:durableId="214780672">
    <w:abstractNumId w:val="18"/>
  </w:num>
  <w:num w:numId="24" w16cid:durableId="1430154490">
    <w:abstractNumId w:val="3"/>
  </w:num>
  <w:num w:numId="25" w16cid:durableId="1867207961">
    <w:abstractNumId w:val="21"/>
  </w:num>
  <w:num w:numId="26" w16cid:durableId="1474446844">
    <w:abstractNumId w:val="9"/>
  </w:num>
  <w:num w:numId="27" w16cid:durableId="2064716341">
    <w:abstractNumId w:val="13"/>
  </w:num>
  <w:num w:numId="28" w16cid:durableId="559756889">
    <w:abstractNumId w:val="17"/>
  </w:num>
  <w:num w:numId="29" w16cid:durableId="14205203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07CA"/>
    <w:rsid w:val="00026EA6"/>
    <w:rsid w:val="0008740B"/>
    <w:rsid w:val="000B40A2"/>
    <w:rsid w:val="000B7879"/>
    <w:rsid w:val="00123BCB"/>
    <w:rsid w:val="001437B3"/>
    <w:rsid w:val="00156988"/>
    <w:rsid w:val="0018197E"/>
    <w:rsid w:val="001A1347"/>
    <w:rsid w:val="001A1E71"/>
    <w:rsid w:val="001B21C9"/>
    <w:rsid w:val="001E1715"/>
    <w:rsid w:val="00326C2D"/>
    <w:rsid w:val="003B5E5E"/>
    <w:rsid w:val="004107CA"/>
    <w:rsid w:val="00442526"/>
    <w:rsid w:val="00456514"/>
    <w:rsid w:val="004A48BB"/>
    <w:rsid w:val="004B2A0E"/>
    <w:rsid w:val="004B5D0C"/>
    <w:rsid w:val="004C6E02"/>
    <w:rsid w:val="004F681E"/>
    <w:rsid w:val="00527AE5"/>
    <w:rsid w:val="005669C3"/>
    <w:rsid w:val="00584127"/>
    <w:rsid w:val="00623E2A"/>
    <w:rsid w:val="006474FA"/>
    <w:rsid w:val="00683C89"/>
    <w:rsid w:val="00770D17"/>
    <w:rsid w:val="00780966"/>
    <w:rsid w:val="007A1B81"/>
    <w:rsid w:val="007F6B7B"/>
    <w:rsid w:val="00895E4C"/>
    <w:rsid w:val="008A25E2"/>
    <w:rsid w:val="008A6692"/>
    <w:rsid w:val="008C3256"/>
    <w:rsid w:val="008F3211"/>
    <w:rsid w:val="009426F1"/>
    <w:rsid w:val="00AE758F"/>
    <w:rsid w:val="00AF0777"/>
    <w:rsid w:val="00B43D4D"/>
    <w:rsid w:val="00B52817"/>
    <w:rsid w:val="00B70526"/>
    <w:rsid w:val="00B72B15"/>
    <w:rsid w:val="00B77668"/>
    <w:rsid w:val="00B96276"/>
    <w:rsid w:val="00C261C0"/>
    <w:rsid w:val="00C51A9F"/>
    <w:rsid w:val="00C7721C"/>
    <w:rsid w:val="00C9406D"/>
    <w:rsid w:val="00CB0B5C"/>
    <w:rsid w:val="00CF378F"/>
    <w:rsid w:val="00E27A97"/>
    <w:rsid w:val="00E859E4"/>
    <w:rsid w:val="00EB06C6"/>
    <w:rsid w:val="00EE79D8"/>
    <w:rsid w:val="00F01E65"/>
    <w:rsid w:val="00F031FB"/>
    <w:rsid w:val="00F461B8"/>
    <w:rsid w:val="00F73069"/>
    <w:rsid w:val="00FB61D7"/>
    <w:rsid w:val="00FD0090"/>
    <w:rsid w:val="00FE1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98C8F"/>
  <w15:chartTrackingRefBased/>
  <w15:docId w15:val="{A3054137-2F0E-4976-8911-3C54F128F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A0E"/>
    <w:pPr>
      <w:spacing w:line="480" w:lineRule="auto"/>
    </w:pPr>
    <w:rPr>
      <w:rFonts w:ascii="Arial" w:hAnsi="Arial"/>
    </w:rPr>
  </w:style>
  <w:style w:type="paragraph" w:styleId="Heading1">
    <w:name w:val="heading 1"/>
    <w:basedOn w:val="Normal"/>
    <w:next w:val="Normal"/>
    <w:link w:val="Heading1Char"/>
    <w:uiPriority w:val="9"/>
    <w:qFormat/>
    <w:rsid w:val="00123BCB"/>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semiHidden/>
    <w:unhideWhenUsed/>
    <w:qFormat/>
    <w:rsid w:val="004107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07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7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7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7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7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7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BCB"/>
    <w:rPr>
      <w:rFonts w:ascii="Arial" w:eastAsiaTheme="majorEastAsia" w:hAnsi="Arial" w:cstheme="majorBidi"/>
      <w:b/>
      <w:sz w:val="24"/>
      <w:szCs w:val="40"/>
    </w:rPr>
  </w:style>
  <w:style w:type="character" w:customStyle="1" w:styleId="Heading2Char">
    <w:name w:val="Heading 2 Char"/>
    <w:basedOn w:val="DefaultParagraphFont"/>
    <w:link w:val="Heading2"/>
    <w:uiPriority w:val="9"/>
    <w:semiHidden/>
    <w:rsid w:val="004107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07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7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7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7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7CA"/>
    <w:rPr>
      <w:rFonts w:eastAsiaTheme="majorEastAsia" w:cstheme="majorBidi"/>
      <w:color w:val="272727" w:themeColor="text1" w:themeTint="D8"/>
    </w:rPr>
  </w:style>
  <w:style w:type="paragraph" w:styleId="Title">
    <w:name w:val="Title"/>
    <w:basedOn w:val="Normal"/>
    <w:next w:val="Normal"/>
    <w:link w:val="TitleChar"/>
    <w:uiPriority w:val="10"/>
    <w:qFormat/>
    <w:rsid w:val="004107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7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7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7CA"/>
    <w:pPr>
      <w:spacing w:before="160"/>
      <w:jc w:val="center"/>
    </w:pPr>
    <w:rPr>
      <w:i/>
      <w:iCs/>
      <w:color w:val="404040" w:themeColor="text1" w:themeTint="BF"/>
    </w:rPr>
  </w:style>
  <w:style w:type="character" w:customStyle="1" w:styleId="QuoteChar">
    <w:name w:val="Quote Char"/>
    <w:basedOn w:val="DefaultParagraphFont"/>
    <w:link w:val="Quote"/>
    <w:uiPriority w:val="29"/>
    <w:rsid w:val="004107CA"/>
    <w:rPr>
      <w:i/>
      <w:iCs/>
      <w:color w:val="404040" w:themeColor="text1" w:themeTint="BF"/>
    </w:rPr>
  </w:style>
  <w:style w:type="paragraph" w:styleId="ListParagraph">
    <w:name w:val="List Paragraph"/>
    <w:basedOn w:val="Normal"/>
    <w:uiPriority w:val="34"/>
    <w:qFormat/>
    <w:rsid w:val="004107CA"/>
    <w:pPr>
      <w:ind w:left="720"/>
      <w:contextualSpacing/>
    </w:pPr>
  </w:style>
  <w:style w:type="character" w:styleId="IntenseEmphasis">
    <w:name w:val="Intense Emphasis"/>
    <w:basedOn w:val="DefaultParagraphFont"/>
    <w:uiPriority w:val="21"/>
    <w:qFormat/>
    <w:rsid w:val="004107CA"/>
    <w:rPr>
      <w:i/>
      <w:iCs/>
      <w:color w:val="0F4761" w:themeColor="accent1" w:themeShade="BF"/>
    </w:rPr>
  </w:style>
  <w:style w:type="paragraph" w:styleId="IntenseQuote">
    <w:name w:val="Intense Quote"/>
    <w:basedOn w:val="Normal"/>
    <w:next w:val="Normal"/>
    <w:link w:val="IntenseQuoteChar"/>
    <w:uiPriority w:val="30"/>
    <w:qFormat/>
    <w:rsid w:val="00410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7CA"/>
    <w:rPr>
      <w:i/>
      <w:iCs/>
      <w:color w:val="0F4761" w:themeColor="accent1" w:themeShade="BF"/>
    </w:rPr>
  </w:style>
  <w:style w:type="character" w:styleId="IntenseReference">
    <w:name w:val="Intense Reference"/>
    <w:basedOn w:val="DefaultParagraphFont"/>
    <w:uiPriority w:val="32"/>
    <w:qFormat/>
    <w:rsid w:val="004107CA"/>
    <w:rPr>
      <w:b/>
      <w:bCs/>
      <w:smallCaps/>
      <w:color w:val="0F4761" w:themeColor="accent1" w:themeShade="BF"/>
      <w:spacing w:val="5"/>
    </w:rPr>
  </w:style>
  <w:style w:type="paragraph" w:styleId="Header">
    <w:name w:val="header"/>
    <w:basedOn w:val="Normal"/>
    <w:link w:val="HeaderChar"/>
    <w:uiPriority w:val="99"/>
    <w:unhideWhenUsed/>
    <w:rsid w:val="00B70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526"/>
    <w:rPr>
      <w:rFonts w:ascii="Arial" w:hAnsi="Arial"/>
    </w:rPr>
  </w:style>
  <w:style w:type="paragraph" w:styleId="Footer">
    <w:name w:val="footer"/>
    <w:basedOn w:val="Normal"/>
    <w:link w:val="FooterChar"/>
    <w:uiPriority w:val="99"/>
    <w:unhideWhenUsed/>
    <w:rsid w:val="00B70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526"/>
    <w:rPr>
      <w:rFonts w:ascii="Arial" w:hAnsi="Arial"/>
    </w:rPr>
  </w:style>
  <w:style w:type="table" w:styleId="TableGridLight">
    <w:name w:val="Grid Table Light"/>
    <w:basedOn w:val="TableNormal"/>
    <w:uiPriority w:val="40"/>
    <w:rsid w:val="00F01E6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01E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461B8"/>
    <w:pPr>
      <w:spacing w:before="240" w:after="0" w:line="259" w:lineRule="auto"/>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F461B8"/>
    <w:pPr>
      <w:spacing w:after="100"/>
    </w:pPr>
  </w:style>
  <w:style w:type="character" w:styleId="Hyperlink">
    <w:name w:val="Hyperlink"/>
    <w:basedOn w:val="DefaultParagraphFont"/>
    <w:uiPriority w:val="99"/>
    <w:unhideWhenUsed/>
    <w:rsid w:val="00F461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4128</Words>
  <Characters>23532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Smikle</dc:creator>
  <cp:keywords/>
  <dc:description/>
  <cp:lastModifiedBy>Georgia Smikle (2311748)</cp:lastModifiedBy>
  <cp:revision>2</cp:revision>
  <dcterms:created xsi:type="dcterms:W3CDTF">2025-11-11T22:01:00Z</dcterms:created>
  <dcterms:modified xsi:type="dcterms:W3CDTF">2025-11-11T22:01:00Z</dcterms:modified>
</cp:coreProperties>
</file>