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7765896" w:displacedByCustomXml="next"/>
    <w:sdt>
      <w:sdtPr>
        <w:id w:val="569853480"/>
        <w:docPartObj>
          <w:docPartGallery w:val="Cover Pages"/>
          <w:docPartUnique/>
        </w:docPartObj>
      </w:sdtPr>
      <w:sdtEndPr>
        <w:rPr>
          <w:sz w:val="24"/>
          <w:szCs w:val="24"/>
        </w:rPr>
      </w:sdtEndPr>
      <w:sdtContent>
        <w:p w14:paraId="6DB3032D" w14:textId="730B024B" w:rsidR="006616AB" w:rsidRDefault="006616AB" w:rsidP="00756D34">
          <w:pPr>
            <w:spacing w:line="360" w:lineRule="auto"/>
          </w:pPr>
          <w:r>
            <w:rPr>
              <w:noProof/>
            </w:rPr>
            <mc:AlternateContent>
              <mc:Choice Requires="wpg">
                <w:drawing>
                  <wp:anchor distT="0" distB="0" distL="114300" distR="114300" simplePos="0" relativeHeight="251662336" behindDoc="0" locked="0" layoutInCell="1" allowOverlap="1" wp14:anchorId="078DC36C" wp14:editId="648EB3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79EE6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18017E9" wp14:editId="3A22282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AEB2CEC" w14:textId="21A50B16" w:rsidR="006616AB" w:rsidRDefault="006616AB">
                                    <w:pPr>
                                      <w:pStyle w:val="NoSpacing"/>
                                      <w:jc w:val="right"/>
                                      <w:rPr>
                                        <w:color w:val="595959" w:themeColor="text1" w:themeTint="A6"/>
                                        <w:sz w:val="28"/>
                                        <w:szCs w:val="28"/>
                                      </w:rPr>
                                    </w:pPr>
                                    <w:r>
                                      <w:rPr>
                                        <w:color w:val="595959" w:themeColor="text1" w:themeTint="A6"/>
                                        <w:sz w:val="28"/>
                                        <w:szCs w:val="28"/>
                                      </w:rPr>
                                      <w:t xml:space="preserve">Simona </w:t>
                                    </w:r>
                                    <w:r w:rsidR="00334C09">
                                      <w:rPr>
                                        <w:color w:val="595959" w:themeColor="text1" w:themeTint="A6"/>
                                        <w:sz w:val="28"/>
                                        <w:szCs w:val="28"/>
                                      </w:rPr>
                                      <w:t xml:space="preserve">G. </w:t>
                                    </w:r>
                                    <w:r>
                                      <w:rPr>
                                        <w:color w:val="595959" w:themeColor="text1" w:themeTint="A6"/>
                                        <w:sz w:val="28"/>
                                        <w:szCs w:val="28"/>
                                      </w:rPr>
                                      <w:t>Hascec (2117559)</w:t>
                                    </w:r>
                                  </w:p>
                                </w:sdtContent>
                              </w:sdt>
                              <w:p w14:paraId="0B273753" w14:textId="5FDFB81E" w:rsidR="006616AB" w:rsidRDefault="006616AB">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18017E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AEB2CEC" w14:textId="21A50B16" w:rsidR="006616AB" w:rsidRDefault="006616AB">
                              <w:pPr>
                                <w:pStyle w:val="NoSpacing"/>
                                <w:jc w:val="right"/>
                                <w:rPr>
                                  <w:color w:val="595959" w:themeColor="text1" w:themeTint="A6"/>
                                  <w:sz w:val="28"/>
                                  <w:szCs w:val="28"/>
                                </w:rPr>
                              </w:pPr>
                              <w:r>
                                <w:rPr>
                                  <w:color w:val="595959" w:themeColor="text1" w:themeTint="A6"/>
                                  <w:sz w:val="28"/>
                                  <w:szCs w:val="28"/>
                                </w:rPr>
                                <w:t xml:space="preserve">Simona </w:t>
                              </w:r>
                              <w:r w:rsidR="00334C09">
                                <w:rPr>
                                  <w:color w:val="595959" w:themeColor="text1" w:themeTint="A6"/>
                                  <w:sz w:val="28"/>
                                  <w:szCs w:val="28"/>
                                </w:rPr>
                                <w:t xml:space="preserve">G. </w:t>
                              </w:r>
                              <w:r>
                                <w:rPr>
                                  <w:color w:val="595959" w:themeColor="text1" w:themeTint="A6"/>
                                  <w:sz w:val="28"/>
                                  <w:szCs w:val="28"/>
                                </w:rPr>
                                <w:t>Hascec (2117559)</w:t>
                              </w:r>
                            </w:p>
                          </w:sdtContent>
                        </w:sdt>
                        <w:p w14:paraId="0B273753" w14:textId="5FDFB81E" w:rsidR="006616AB" w:rsidRDefault="006616AB">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339108B" wp14:editId="0863F47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4CBFAF" w14:textId="35398405" w:rsidR="006616AB"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B6051">
                                      <w:rPr>
                                        <w:caps/>
                                        <w:color w:val="4472C4" w:themeColor="accent1"/>
                                        <w:sz w:val="64"/>
                                        <w:szCs w:val="64"/>
                                      </w:rPr>
                                      <w:t>Video critique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0627F1B" w14:textId="397FAD3F" w:rsidR="006616AB" w:rsidRDefault="00EB6051">
                                    <w:pPr>
                                      <w:jc w:val="right"/>
                                      <w:rPr>
                                        <w:smallCaps/>
                                        <w:color w:val="404040" w:themeColor="text1" w:themeTint="BF"/>
                                        <w:sz w:val="36"/>
                                        <w:szCs w:val="36"/>
                                      </w:rPr>
                                    </w:pPr>
                                    <w:r>
                                      <w:rPr>
                                        <w:color w:val="404040" w:themeColor="text1" w:themeTint="BF"/>
                                        <w:sz w:val="36"/>
                                        <w:szCs w:val="36"/>
                                      </w:rPr>
                                      <w:t>Communication and Counselling – BMHP4001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339108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94CBFAF" w14:textId="35398405" w:rsidR="006616AB"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B6051">
                                <w:rPr>
                                  <w:caps/>
                                  <w:color w:val="4472C4" w:themeColor="accent1"/>
                                  <w:sz w:val="64"/>
                                  <w:szCs w:val="64"/>
                                </w:rPr>
                                <w:t>Video critique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0627F1B" w14:textId="397FAD3F" w:rsidR="006616AB" w:rsidRDefault="00EB6051">
                              <w:pPr>
                                <w:jc w:val="right"/>
                                <w:rPr>
                                  <w:smallCaps/>
                                  <w:color w:val="404040" w:themeColor="text1" w:themeTint="BF"/>
                                  <w:sz w:val="36"/>
                                  <w:szCs w:val="36"/>
                                </w:rPr>
                              </w:pPr>
                              <w:r>
                                <w:rPr>
                                  <w:color w:val="404040" w:themeColor="text1" w:themeTint="BF"/>
                                  <w:sz w:val="36"/>
                                  <w:szCs w:val="36"/>
                                </w:rPr>
                                <w:t>Communication and Counselling – BMHP4001</w:t>
                              </w:r>
                            </w:p>
                          </w:sdtContent>
                        </w:sdt>
                      </w:txbxContent>
                    </v:textbox>
                    <w10:wrap type="square" anchorx="page" anchory="page"/>
                  </v:shape>
                </w:pict>
              </mc:Fallback>
            </mc:AlternateContent>
          </w:r>
        </w:p>
        <w:p w14:paraId="39004887" w14:textId="2998C62D" w:rsidR="00281BBF" w:rsidRPr="002D292A" w:rsidRDefault="006616AB" w:rsidP="00756D34">
          <w:pPr>
            <w:spacing w:line="360" w:lineRule="auto"/>
            <w:rPr>
              <w:sz w:val="24"/>
              <w:szCs w:val="24"/>
            </w:rPr>
          </w:pPr>
          <w:r>
            <w:rPr>
              <w:sz w:val="24"/>
              <w:szCs w:val="24"/>
            </w:rPr>
            <w:br w:type="page"/>
          </w:r>
        </w:p>
      </w:sdtContent>
    </w:sdt>
    <w:p w14:paraId="05C6A496" w14:textId="66F6122C" w:rsidR="00660031" w:rsidRPr="002D292A" w:rsidRDefault="004C50CF" w:rsidP="00756D34">
      <w:pPr>
        <w:spacing w:after="0" w:line="360" w:lineRule="auto"/>
        <w:ind w:firstLine="720"/>
        <w:rPr>
          <w:sz w:val="24"/>
          <w:szCs w:val="24"/>
        </w:rPr>
      </w:pPr>
      <w:r w:rsidRPr="002D292A">
        <w:rPr>
          <w:sz w:val="24"/>
          <w:szCs w:val="24"/>
        </w:rPr>
        <w:lastRenderedPageBreak/>
        <w:t xml:space="preserve">Person-centred therapy, </w:t>
      </w:r>
      <w:r w:rsidR="00984E1E" w:rsidRPr="002D292A">
        <w:rPr>
          <w:sz w:val="24"/>
          <w:szCs w:val="24"/>
        </w:rPr>
        <w:t>founded by Carl Rogers,</w:t>
      </w:r>
      <w:r w:rsidRPr="002D292A">
        <w:rPr>
          <w:sz w:val="24"/>
          <w:szCs w:val="24"/>
        </w:rPr>
        <w:t xml:space="preserve"> is an optimistic psychotherapeutic approach to a person, credited with being able to reach and maintain the maximum degree of their condition since it is based on trust, respect, and authenticity</w:t>
      </w:r>
      <w:r w:rsidR="00A05B77" w:rsidRPr="002D292A">
        <w:rPr>
          <w:sz w:val="24"/>
          <w:szCs w:val="24"/>
        </w:rPr>
        <w:t xml:space="preserve"> (Tudor and Worrall, 2006)</w:t>
      </w:r>
      <w:r w:rsidR="008477CC" w:rsidRPr="000C1499">
        <w:rPr>
          <w:sz w:val="18"/>
          <w:szCs w:val="18"/>
        </w:rPr>
        <w:t>.</w:t>
      </w:r>
      <w:r w:rsidR="008477CC">
        <w:rPr>
          <w:sz w:val="24"/>
          <w:szCs w:val="24"/>
        </w:rPr>
        <w:t xml:space="preserve"> </w:t>
      </w:r>
      <w:r w:rsidR="006E2AF0">
        <w:rPr>
          <w:sz w:val="24"/>
          <w:szCs w:val="24"/>
        </w:rPr>
        <w:t>A</w:t>
      </w:r>
      <w:r w:rsidR="006E2AF0" w:rsidRPr="002D292A">
        <w:rPr>
          <w:sz w:val="24"/>
          <w:szCs w:val="24"/>
        </w:rPr>
        <w:t xml:space="preserve">s Thorne </w:t>
      </w:r>
      <w:r w:rsidR="005306A0">
        <w:rPr>
          <w:sz w:val="24"/>
          <w:szCs w:val="24"/>
        </w:rPr>
        <w:t xml:space="preserve">and Sanders </w:t>
      </w:r>
      <w:r w:rsidR="006E2AF0" w:rsidRPr="002D292A">
        <w:rPr>
          <w:sz w:val="24"/>
          <w:szCs w:val="24"/>
        </w:rPr>
        <w:t>(20</w:t>
      </w:r>
      <w:r w:rsidR="005306A0">
        <w:rPr>
          <w:sz w:val="24"/>
          <w:szCs w:val="24"/>
        </w:rPr>
        <w:t>1</w:t>
      </w:r>
      <w:r w:rsidR="006E2AF0" w:rsidRPr="002D292A">
        <w:rPr>
          <w:sz w:val="24"/>
          <w:szCs w:val="24"/>
        </w:rPr>
        <w:t xml:space="preserve">3) states </w:t>
      </w:r>
      <w:r w:rsidR="006D0854">
        <w:rPr>
          <w:sz w:val="24"/>
          <w:szCs w:val="24"/>
        </w:rPr>
        <w:t xml:space="preserve">the </w:t>
      </w:r>
      <w:r w:rsidR="00660031" w:rsidRPr="002D292A">
        <w:rPr>
          <w:sz w:val="24"/>
          <w:szCs w:val="24"/>
        </w:rPr>
        <w:t xml:space="preserve">Carl Rogers’s interview with Gloria is a </w:t>
      </w:r>
      <w:r w:rsidR="00F2670B">
        <w:rPr>
          <w:sz w:val="24"/>
          <w:szCs w:val="24"/>
        </w:rPr>
        <w:t>s</w:t>
      </w:r>
      <w:r w:rsidR="00660031" w:rsidRPr="002D292A">
        <w:rPr>
          <w:sz w:val="24"/>
          <w:szCs w:val="24"/>
        </w:rPr>
        <w:t>ignificant proof in psychotherapy’s annals and a</w:t>
      </w:r>
      <w:r w:rsidR="006E2AF0">
        <w:rPr>
          <w:sz w:val="24"/>
          <w:szCs w:val="24"/>
        </w:rPr>
        <w:t>n</w:t>
      </w:r>
      <w:r w:rsidR="00660031" w:rsidRPr="002D292A">
        <w:rPr>
          <w:sz w:val="24"/>
          <w:szCs w:val="24"/>
        </w:rPr>
        <w:t xml:space="preserve"> illustration of how the essential traits of tolerance, compassion, and sincerity foster the therapeutic connection required for client-centred treatment success.</w:t>
      </w:r>
      <w:r w:rsidR="006D0854">
        <w:rPr>
          <w:sz w:val="24"/>
          <w:szCs w:val="24"/>
        </w:rPr>
        <w:t xml:space="preserve"> </w:t>
      </w:r>
      <w:r w:rsidR="000341D9">
        <w:rPr>
          <w:sz w:val="24"/>
          <w:szCs w:val="24"/>
        </w:rPr>
        <w:t>In t</w:t>
      </w:r>
      <w:r w:rsidR="006D0854">
        <w:rPr>
          <w:sz w:val="24"/>
          <w:szCs w:val="24"/>
        </w:rPr>
        <w:t>he following lines of</w:t>
      </w:r>
      <w:r w:rsidR="004510C0">
        <w:rPr>
          <w:sz w:val="24"/>
          <w:szCs w:val="24"/>
        </w:rPr>
        <w:t xml:space="preserve"> </w:t>
      </w:r>
      <w:r w:rsidR="006E2AF0" w:rsidRPr="002D292A">
        <w:rPr>
          <w:sz w:val="24"/>
          <w:szCs w:val="24"/>
        </w:rPr>
        <w:t>this reflective critique</w:t>
      </w:r>
      <w:r w:rsidR="006D0854" w:rsidRPr="002D292A">
        <w:rPr>
          <w:sz w:val="24"/>
          <w:szCs w:val="24"/>
        </w:rPr>
        <w:t xml:space="preserve"> will </w:t>
      </w:r>
      <w:r w:rsidR="000341D9">
        <w:rPr>
          <w:sz w:val="24"/>
          <w:szCs w:val="24"/>
        </w:rPr>
        <w:t xml:space="preserve">be </w:t>
      </w:r>
      <w:r w:rsidR="006D0854" w:rsidRPr="002D292A">
        <w:rPr>
          <w:sz w:val="24"/>
          <w:szCs w:val="24"/>
        </w:rPr>
        <w:t>evaluate</w:t>
      </w:r>
      <w:r w:rsidR="000341D9">
        <w:rPr>
          <w:sz w:val="24"/>
          <w:szCs w:val="24"/>
        </w:rPr>
        <w:t>d</w:t>
      </w:r>
      <w:r w:rsidR="006D0854" w:rsidRPr="002D292A">
        <w:rPr>
          <w:sz w:val="24"/>
          <w:szCs w:val="24"/>
        </w:rPr>
        <w:t xml:space="preserve"> </w:t>
      </w:r>
      <w:r w:rsidR="00755A2A">
        <w:rPr>
          <w:sz w:val="24"/>
          <w:szCs w:val="24"/>
        </w:rPr>
        <w:t xml:space="preserve">how the </w:t>
      </w:r>
      <w:r w:rsidR="006D0854">
        <w:rPr>
          <w:sz w:val="24"/>
          <w:szCs w:val="24"/>
        </w:rPr>
        <w:t xml:space="preserve">interaction between Rogers and </w:t>
      </w:r>
      <w:r w:rsidR="000811B0">
        <w:rPr>
          <w:sz w:val="24"/>
          <w:szCs w:val="24"/>
        </w:rPr>
        <w:t>Gloria mirrors</w:t>
      </w:r>
      <w:r w:rsidR="00755A2A">
        <w:rPr>
          <w:sz w:val="24"/>
          <w:szCs w:val="24"/>
        </w:rPr>
        <w:t xml:space="preserve"> the </w:t>
      </w:r>
      <w:r w:rsidR="000811B0">
        <w:rPr>
          <w:sz w:val="24"/>
          <w:szCs w:val="24"/>
        </w:rPr>
        <w:t>therapy</w:t>
      </w:r>
      <w:r w:rsidR="00755A2A">
        <w:rPr>
          <w:sz w:val="24"/>
          <w:szCs w:val="24"/>
        </w:rPr>
        <w:t xml:space="preserve"> </w:t>
      </w:r>
      <w:r w:rsidR="000811B0">
        <w:rPr>
          <w:sz w:val="24"/>
          <w:szCs w:val="24"/>
        </w:rPr>
        <w:t>strategy to</w:t>
      </w:r>
      <w:r w:rsidR="005E4258">
        <w:rPr>
          <w:sz w:val="24"/>
          <w:szCs w:val="24"/>
        </w:rPr>
        <w:t xml:space="preserve"> get</w:t>
      </w:r>
      <w:r w:rsidR="000811B0">
        <w:rPr>
          <w:sz w:val="24"/>
          <w:szCs w:val="24"/>
        </w:rPr>
        <w:t xml:space="preserve"> self-actualisation </w:t>
      </w:r>
      <w:r w:rsidR="00B33F1E">
        <w:rPr>
          <w:sz w:val="24"/>
          <w:szCs w:val="24"/>
        </w:rPr>
        <w:t>and</w:t>
      </w:r>
      <w:r w:rsidR="000811B0">
        <w:rPr>
          <w:sz w:val="24"/>
          <w:szCs w:val="24"/>
        </w:rPr>
        <w:t xml:space="preserve">, how </w:t>
      </w:r>
      <w:r w:rsidR="00B33F1E">
        <w:rPr>
          <w:sz w:val="24"/>
          <w:szCs w:val="24"/>
        </w:rPr>
        <w:t>valuable are communication and counselling skills within a healthcare system</w:t>
      </w:r>
      <w:r w:rsidR="00556A22">
        <w:rPr>
          <w:sz w:val="24"/>
          <w:szCs w:val="24"/>
        </w:rPr>
        <w:t xml:space="preserve">. </w:t>
      </w:r>
    </w:p>
    <w:p w14:paraId="77E51A54" w14:textId="2F43605A" w:rsidR="005E2E96" w:rsidRPr="009C0E34" w:rsidRDefault="005A68DC" w:rsidP="00756D34">
      <w:pPr>
        <w:spacing w:after="0" w:line="360" w:lineRule="auto"/>
        <w:ind w:firstLine="720"/>
        <w:rPr>
          <w:rFonts w:cstheme="minorHAnsi"/>
          <w:sz w:val="24"/>
          <w:szCs w:val="24"/>
        </w:rPr>
      </w:pPr>
      <w:r w:rsidRPr="005A68DC">
        <w:rPr>
          <w:sz w:val="24"/>
          <w:szCs w:val="24"/>
        </w:rPr>
        <w:t xml:space="preserve">Recognised as a training paradigm for the counselling community, the recorded </w:t>
      </w:r>
      <w:r w:rsidR="00451DC5">
        <w:rPr>
          <w:sz w:val="24"/>
          <w:szCs w:val="24"/>
        </w:rPr>
        <w:t xml:space="preserve">session </w:t>
      </w:r>
      <w:r w:rsidRPr="005A68DC">
        <w:rPr>
          <w:sz w:val="24"/>
          <w:szCs w:val="24"/>
        </w:rPr>
        <w:t xml:space="preserve">with Gloria serves as a best practise of how the embodiment of main attitudes such as acceptance, empathy, and openness produce the appropriate setting for therapeutic change </w:t>
      </w:r>
      <w:r w:rsidR="008F5926" w:rsidRPr="005A68DC">
        <w:rPr>
          <w:sz w:val="24"/>
          <w:szCs w:val="24"/>
        </w:rPr>
        <w:t xml:space="preserve">(Wickman and Campbell, 2003; Moon, 2007; </w:t>
      </w:r>
      <w:r w:rsidR="006F6B70" w:rsidRPr="002D292A">
        <w:rPr>
          <w:sz w:val="24"/>
          <w:szCs w:val="24"/>
        </w:rPr>
        <w:t xml:space="preserve">Thorne </w:t>
      </w:r>
      <w:r w:rsidR="006F6B70">
        <w:rPr>
          <w:sz w:val="24"/>
          <w:szCs w:val="24"/>
        </w:rPr>
        <w:t>and Sanders</w:t>
      </w:r>
      <w:r w:rsidR="008F5926" w:rsidRPr="005A68DC">
        <w:rPr>
          <w:sz w:val="24"/>
          <w:szCs w:val="24"/>
        </w:rPr>
        <w:t>, 20</w:t>
      </w:r>
      <w:r w:rsidR="006F6B70">
        <w:rPr>
          <w:sz w:val="24"/>
          <w:szCs w:val="24"/>
        </w:rPr>
        <w:t>1</w:t>
      </w:r>
      <w:r w:rsidR="008F5926" w:rsidRPr="005A68DC">
        <w:rPr>
          <w:sz w:val="24"/>
          <w:szCs w:val="24"/>
        </w:rPr>
        <w:t xml:space="preserve">3). </w:t>
      </w:r>
      <w:r w:rsidR="00354254" w:rsidRPr="00354254">
        <w:rPr>
          <w:sz w:val="24"/>
          <w:szCs w:val="24"/>
        </w:rPr>
        <w:t xml:space="preserve">As evidenced by his hand tremor and acknowledged nervousness, Gloria's behaviour during the first few seconds of the interview is inconsistent, but Rogers' calm greeting, </w:t>
      </w:r>
      <w:r w:rsidR="00556A22" w:rsidRPr="00354254">
        <w:rPr>
          <w:sz w:val="24"/>
          <w:szCs w:val="24"/>
        </w:rPr>
        <w:t>faint voice</w:t>
      </w:r>
      <w:r w:rsidR="00354254" w:rsidRPr="00354254">
        <w:rPr>
          <w:sz w:val="24"/>
          <w:szCs w:val="24"/>
        </w:rPr>
        <w:t xml:space="preserve">, </w:t>
      </w:r>
      <w:r w:rsidR="00F149A7">
        <w:rPr>
          <w:sz w:val="24"/>
          <w:szCs w:val="24"/>
        </w:rPr>
        <w:t xml:space="preserve">direct eye contact </w:t>
      </w:r>
      <w:r w:rsidR="00354254" w:rsidRPr="00354254">
        <w:rPr>
          <w:sz w:val="24"/>
          <w:szCs w:val="24"/>
        </w:rPr>
        <w:t>and opening remarks are in line with Mearns and Thorne's (200</w:t>
      </w:r>
      <w:r w:rsidR="00470506">
        <w:rPr>
          <w:sz w:val="24"/>
          <w:szCs w:val="24"/>
        </w:rPr>
        <w:t>7</w:t>
      </w:r>
      <w:r w:rsidR="00354254" w:rsidRPr="00354254">
        <w:rPr>
          <w:sz w:val="24"/>
          <w:szCs w:val="24"/>
        </w:rPr>
        <w:t xml:space="preserve">) description of the counsellor’s </w:t>
      </w:r>
      <w:r w:rsidR="00354254">
        <w:rPr>
          <w:sz w:val="24"/>
          <w:szCs w:val="24"/>
        </w:rPr>
        <w:t>duty</w:t>
      </w:r>
      <w:r w:rsidR="00354254" w:rsidRPr="00354254">
        <w:rPr>
          <w:sz w:val="24"/>
          <w:szCs w:val="24"/>
        </w:rPr>
        <w:t xml:space="preserve"> to confront this obvious inequity as soon as possible.</w:t>
      </w:r>
      <w:r w:rsidR="00354254">
        <w:rPr>
          <w:sz w:val="24"/>
          <w:szCs w:val="24"/>
        </w:rPr>
        <w:t xml:space="preserve"> </w:t>
      </w:r>
      <w:r w:rsidR="008770AD">
        <w:rPr>
          <w:sz w:val="24"/>
          <w:szCs w:val="24"/>
        </w:rPr>
        <w:t xml:space="preserve">Moreover, </w:t>
      </w:r>
      <w:r w:rsidR="008770AD" w:rsidRPr="002D292A">
        <w:rPr>
          <w:sz w:val="24"/>
          <w:szCs w:val="24"/>
        </w:rPr>
        <w:t xml:space="preserve">Lewis </w:t>
      </w:r>
      <w:r w:rsidR="008770AD">
        <w:rPr>
          <w:sz w:val="24"/>
          <w:szCs w:val="24"/>
        </w:rPr>
        <w:t>(</w:t>
      </w:r>
      <w:r w:rsidR="008770AD" w:rsidRPr="002D292A">
        <w:rPr>
          <w:sz w:val="24"/>
          <w:szCs w:val="24"/>
        </w:rPr>
        <w:t>2000</w:t>
      </w:r>
      <w:r w:rsidR="008770AD">
        <w:rPr>
          <w:sz w:val="24"/>
          <w:szCs w:val="24"/>
        </w:rPr>
        <w:t>) asserts that f</w:t>
      </w:r>
      <w:r w:rsidR="00F149A7" w:rsidRPr="002D292A">
        <w:rPr>
          <w:sz w:val="24"/>
          <w:szCs w:val="24"/>
        </w:rPr>
        <w:t xml:space="preserve">acial expression has a stronger visual </w:t>
      </w:r>
      <w:r w:rsidR="00F149A7" w:rsidRPr="00C7656C">
        <w:rPr>
          <w:sz w:val="24"/>
          <w:szCs w:val="24"/>
        </w:rPr>
        <w:t xml:space="preserve">effect than language when it is adopted and implemented skilfully, which can help to lower barriers. </w:t>
      </w:r>
      <w:r w:rsidR="00C7656C" w:rsidRPr="00C7656C">
        <w:rPr>
          <w:sz w:val="24"/>
          <w:szCs w:val="24"/>
        </w:rPr>
        <w:t xml:space="preserve">The "nonexpert language" used by the Rogers throughout the session, as observed by Wickman and Campbell (2003) and Moon (2007), is praised for matching the requirements of </w:t>
      </w:r>
      <w:r w:rsidR="006815C0">
        <w:rPr>
          <w:sz w:val="24"/>
          <w:szCs w:val="24"/>
        </w:rPr>
        <w:t>congruence</w:t>
      </w:r>
      <w:r w:rsidR="00071560">
        <w:rPr>
          <w:sz w:val="24"/>
          <w:szCs w:val="24"/>
        </w:rPr>
        <w:t xml:space="preserve"> -</w:t>
      </w:r>
      <w:r w:rsidR="00071560" w:rsidRPr="00071560">
        <w:rPr>
          <w:color w:val="0070C0"/>
          <w:sz w:val="24"/>
          <w:szCs w:val="24"/>
        </w:rPr>
        <w:t xml:space="preserve"> </w:t>
      </w:r>
      <w:r w:rsidR="00071560" w:rsidRPr="00071560">
        <w:rPr>
          <w:sz w:val="24"/>
          <w:szCs w:val="24"/>
        </w:rPr>
        <w:t>the therapist's professional or personal transparency meant to foster an open dialogue between parties involved in the therapeutic relationship without impeding it</w:t>
      </w:r>
      <w:r w:rsidR="00071560">
        <w:rPr>
          <w:sz w:val="24"/>
          <w:szCs w:val="24"/>
        </w:rPr>
        <w:t>-</w:t>
      </w:r>
      <w:r w:rsidR="00C7656C" w:rsidRPr="00C7656C">
        <w:rPr>
          <w:sz w:val="24"/>
          <w:szCs w:val="24"/>
        </w:rPr>
        <w:t xml:space="preserve"> and unconditional positive regard</w:t>
      </w:r>
      <w:r w:rsidR="00071560">
        <w:rPr>
          <w:sz w:val="24"/>
          <w:szCs w:val="24"/>
        </w:rPr>
        <w:t xml:space="preserve"> - </w:t>
      </w:r>
      <w:r w:rsidR="00071560" w:rsidRPr="00071560">
        <w:rPr>
          <w:sz w:val="24"/>
          <w:szCs w:val="24"/>
        </w:rPr>
        <w:t>the counsellor’s demeanour throughout an interview conveys a sincere acceptance of the client as they are at that very time, understanding about their present feelings and valuing them completely</w:t>
      </w:r>
      <w:r w:rsidR="00071560">
        <w:rPr>
          <w:sz w:val="24"/>
          <w:szCs w:val="24"/>
        </w:rPr>
        <w:t xml:space="preserve"> (Rogers, 1995). </w:t>
      </w:r>
      <w:bookmarkStart w:id="1" w:name="_Hlk107765833"/>
      <w:bookmarkEnd w:id="0"/>
      <w:r w:rsidR="00D1504F" w:rsidRPr="00DA4052">
        <w:rPr>
          <w:sz w:val="24"/>
          <w:szCs w:val="24"/>
        </w:rPr>
        <w:t>In the video, Gloria kept asking Rogers for specific suggestions, but Rogers never responded to her inquiries. Instead, he gave Gloria a response that accurately reflected what she had said, demonstrating empathy. Rogers reformulated problems as well, but he did it in a way that gave Gloria ownership and control over the solution (Thorne</w:t>
      </w:r>
      <w:r w:rsidR="000F1C3B">
        <w:rPr>
          <w:sz w:val="24"/>
          <w:szCs w:val="24"/>
        </w:rPr>
        <w:t xml:space="preserve"> and Sanders</w:t>
      </w:r>
      <w:r w:rsidR="00D1504F" w:rsidRPr="00DA4052">
        <w:rPr>
          <w:sz w:val="24"/>
          <w:szCs w:val="24"/>
        </w:rPr>
        <w:t>, 20</w:t>
      </w:r>
      <w:r w:rsidR="000F1C3B">
        <w:rPr>
          <w:sz w:val="24"/>
          <w:szCs w:val="24"/>
        </w:rPr>
        <w:t>13</w:t>
      </w:r>
      <w:r w:rsidR="00D1504F" w:rsidRPr="00081AE8">
        <w:rPr>
          <w:sz w:val="24"/>
          <w:szCs w:val="24"/>
        </w:rPr>
        <w:t>)</w:t>
      </w:r>
      <w:r w:rsidR="00556A22" w:rsidRPr="00081AE8">
        <w:rPr>
          <w:sz w:val="24"/>
          <w:szCs w:val="24"/>
        </w:rPr>
        <w:t xml:space="preserve">. </w:t>
      </w:r>
      <w:r w:rsidR="00081AE8" w:rsidRPr="00081AE8">
        <w:rPr>
          <w:sz w:val="24"/>
          <w:szCs w:val="24"/>
        </w:rPr>
        <w:t xml:space="preserve">If Wickman and Campbell (2003) appreciate Rogers’s withholding of counsel as a sign of </w:t>
      </w:r>
      <w:r w:rsidR="00081AE8" w:rsidRPr="00081AE8">
        <w:rPr>
          <w:sz w:val="24"/>
          <w:szCs w:val="24"/>
        </w:rPr>
        <w:lastRenderedPageBreak/>
        <w:t>unwavering admiration for Gloria’s knowledge and recognition of topics relevant to herself, Moon and Rice (2012) consider that avoiding the natural reaction of response, he self-sabotages his independence in action—his congruence—by restricting the therapeutic understanding and tolerance.</w:t>
      </w:r>
      <w:r w:rsidR="004F441E">
        <w:rPr>
          <w:sz w:val="24"/>
          <w:szCs w:val="24"/>
        </w:rPr>
        <w:t xml:space="preserve"> </w:t>
      </w:r>
      <w:r w:rsidR="004F0CF5">
        <w:rPr>
          <w:sz w:val="24"/>
          <w:szCs w:val="24"/>
        </w:rPr>
        <w:t xml:space="preserve">During half an hour interview, Rogers demonstrates the effectiveness of an </w:t>
      </w:r>
      <w:r w:rsidR="004F0CF5" w:rsidRPr="00733CBC">
        <w:rPr>
          <w:sz w:val="24"/>
          <w:szCs w:val="24"/>
        </w:rPr>
        <w:t xml:space="preserve">active, attentive listening, in detecting the client's sentiments and unique ideas and how he emphatically conveys this knowledge to the client. </w:t>
      </w:r>
      <w:r w:rsidR="00124074" w:rsidRPr="00733CBC">
        <w:rPr>
          <w:sz w:val="24"/>
          <w:szCs w:val="24"/>
        </w:rPr>
        <w:t xml:space="preserve">Besides, Rogers (1995) </w:t>
      </w:r>
      <w:r w:rsidR="00733CBC" w:rsidRPr="00733CBC">
        <w:rPr>
          <w:sz w:val="24"/>
          <w:szCs w:val="24"/>
        </w:rPr>
        <w:t xml:space="preserve">emphasises the benefits of the empathic hearing that encourages a person to be more careful, precise to his subjective life, and tending to become more self-aware as they become valued and appreciated. </w:t>
      </w:r>
      <w:r w:rsidR="00B50A2B" w:rsidRPr="00733CBC">
        <w:rPr>
          <w:sz w:val="24"/>
          <w:szCs w:val="24"/>
        </w:rPr>
        <w:t xml:space="preserve">As </w:t>
      </w:r>
      <w:r w:rsidR="00B50A2B" w:rsidRPr="00DA4052">
        <w:rPr>
          <w:sz w:val="24"/>
          <w:szCs w:val="24"/>
        </w:rPr>
        <w:t>Thorne</w:t>
      </w:r>
      <w:r w:rsidR="00B50A2B">
        <w:rPr>
          <w:sz w:val="24"/>
          <w:szCs w:val="24"/>
        </w:rPr>
        <w:t xml:space="preserve"> and Sanders (</w:t>
      </w:r>
      <w:r w:rsidR="00B50A2B" w:rsidRPr="00DA4052">
        <w:rPr>
          <w:sz w:val="24"/>
          <w:szCs w:val="24"/>
        </w:rPr>
        <w:t>20</w:t>
      </w:r>
      <w:r w:rsidR="00B50A2B">
        <w:rPr>
          <w:sz w:val="24"/>
          <w:szCs w:val="24"/>
        </w:rPr>
        <w:t xml:space="preserve">13) observed </w:t>
      </w:r>
      <w:r w:rsidR="00DC331B" w:rsidRPr="00DC331B">
        <w:rPr>
          <w:sz w:val="24"/>
          <w:szCs w:val="24"/>
        </w:rPr>
        <w:t xml:space="preserve">Gloria's </w:t>
      </w:r>
      <w:r w:rsidR="00DC331B">
        <w:rPr>
          <w:sz w:val="24"/>
          <w:szCs w:val="24"/>
        </w:rPr>
        <w:t>troubled</w:t>
      </w:r>
      <w:r w:rsidR="00DC331B" w:rsidRPr="00DC331B">
        <w:rPr>
          <w:sz w:val="24"/>
          <w:szCs w:val="24"/>
        </w:rPr>
        <w:t xml:space="preserve"> emotions of humiliation and urgent need for </w:t>
      </w:r>
      <w:r w:rsidR="00DC331B">
        <w:rPr>
          <w:sz w:val="24"/>
          <w:szCs w:val="24"/>
        </w:rPr>
        <w:t xml:space="preserve">external </w:t>
      </w:r>
      <w:r w:rsidR="00DC331B" w:rsidRPr="00DC331B">
        <w:rPr>
          <w:sz w:val="24"/>
          <w:szCs w:val="24"/>
        </w:rPr>
        <w:t xml:space="preserve">help were both </w:t>
      </w:r>
      <w:r w:rsidR="00556A22" w:rsidRPr="00DC331B">
        <w:rPr>
          <w:sz w:val="24"/>
          <w:szCs w:val="24"/>
        </w:rPr>
        <w:t>aided</w:t>
      </w:r>
      <w:r w:rsidR="00DC331B" w:rsidRPr="00DC331B">
        <w:rPr>
          <w:sz w:val="24"/>
          <w:szCs w:val="24"/>
        </w:rPr>
        <w:t xml:space="preserve"> by Rogers' ongoing empathy and understanding. Her </w:t>
      </w:r>
      <w:r w:rsidR="00DC331B" w:rsidRPr="008C7C8C">
        <w:rPr>
          <w:sz w:val="24"/>
          <w:szCs w:val="24"/>
        </w:rPr>
        <w:t>ability to analyse and access her inner "locus of evaluation" was further boosted by his lack of criticism, unconditional acceptance, and personal candour.</w:t>
      </w:r>
      <w:r w:rsidR="006F1119" w:rsidRPr="008C7C8C">
        <w:rPr>
          <w:sz w:val="24"/>
          <w:szCs w:val="24"/>
        </w:rPr>
        <w:t xml:space="preserve"> Wickman and Campbell (2003) highlight </w:t>
      </w:r>
      <w:r w:rsidR="00F276BF" w:rsidRPr="008C7C8C">
        <w:rPr>
          <w:sz w:val="24"/>
          <w:szCs w:val="24"/>
        </w:rPr>
        <w:t>that “invitations for repair” and “problem reformulation”</w:t>
      </w:r>
      <w:r w:rsidR="003D7C09" w:rsidRPr="008C7C8C">
        <w:rPr>
          <w:sz w:val="24"/>
          <w:szCs w:val="24"/>
        </w:rPr>
        <w:t xml:space="preserve"> -regularly used in th</w:t>
      </w:r>
      <w:r w:rsidR="00CB308E" w:rsidRPr="008C7C8C">
        <w:rPr>
          <w:sz w:val="24"/>
          <w:szCs w:val="24"/>
        </w:rPr>
        <w:t>e</w:t>
      </w:r>
      <w:r w:rsidR="003D7C09" w:rsidRPr="008C7C8C">
        <w:rPr>
          <w:sz w:val="24"/>
          <w:szCs w:val="24"/>
        </w:rPr>
        <w:t xml:space="preserve"> session- are</w:t>
      </w:r>
      <w:r w:rsidR="00F276BF" w:rsidRPr="008C7C8C">
        <w:rPr>
          <w:sz w:val="24"/>
          <w:szCs w:val="24"/>
        </w:rPr>
        <w:t xml:space="preserve"> relevant techniques for Rogers’ style to </w:t>
      </w:r>
      <w:r w:rsidR="003D7C09" w:rsidRPr="008C7C8C">
        <w:rPr>
          <w:sz w:val="24"/>
          <w:szCs w:val="24"/>
        </w:rPr>
        <w:t>simultaneously achieve</w:t>
      </w:r>
      <w:r w:rsidR="00CB308E" w:rsidRPr="008C7C8C">
        <w:rPr>
          <w:sz w:val="24"/>
          <w:szCs w:val="24"/>
        </w:rPr>
        <w:t xml:space="preserve"> these</w:t>
      </w:r>
      <w:r w:rsidR="003D7C09" w:rsidRPr="008C7C8C">
        <w:rPr>
          <w:sz w:val="24"/>
          <w:szCs w:val="24"/>
        </w:rPr>
        <w:t xml:space="preserve"> three essential criteria</w:t>
      </w:r>
      <w:r w:rsidR="00CB308E" w:rsidRPr="008C7C8C">
        <w:rPr>
          <w:sz w:val="24"/>
          <w:szCs w:val="24"/>
        </w:rPr>
        <w:t xml:space="preserve"> such as empathy, congruence and unconditional positive regard.</w:t>
      </w:r>
      <w:r w:rsidR="008C7C8C" w:rsidRPr="008C7C8C">
        <w:rPr>
          <w:sz w:val="24"/>
          <w:szCs w:val="24"/>
        </w:rPr>
        <w:t xml:space="preserve"> </w:t>
      </w:r>
      <w:r w:rsidR="00B87A3A" w:rsidRPr="008C7C8C">
        <w:rPr>
          <w:sz w:val="24"/>
          <w:szCs w:val="24"/>
        </w:rPr>
        <w:t>However, according to Moon and Rice (2012),</w:t>
      </w:r>
      <w:r w:rsidR="00DB27CD">
        <w:rPr>
          <w:sz w:val="24"/>
          <w:szCs w:val="24"/>
        </w:rPr>
        <w:t xml:space="preserve"> despite therapist’s nondirective communication,</w:t>
      </w:r>
      <w:r w:rsidR="00B87A3A" w:rsidRPr="008C7C8C">
        <w:rPr>
          <w:sz w:val="24"/>
          <w:szCs w:val="24"/>
        </w:rPr>
        <w:t xml:space="preserve"> a client </w:t>
      </w:r>
      <w:r w:rsidR="00B87A3A" w:rsidRPr="00265FD6">
        <w:rPr>
          <w:sz w:val="24"/>
          <w:szCs w:val="24"/>
        </w:rPr>
        <w:t>may occasionally only want respite from a crisis or a sense of relief, and in terms of therapeutic connection, the client may feel constrained in expressing their opinions and desired course of action for change, or on the contrary, the client may become an inquirer by taking on a contingent position in the</w:t>
      </w:r>
      <w:r w:rsidR="008C7C8C" w:rsidRPr="00265FD6">
        <w:rPr>
          <w:sz w:val="24"/>
          <w:szCs w:val="24"/>
        </w:rPr>
        <w:t xml:space="preserve"> restorative</w:t>
      </w:r>
      <w:r w:rsidR="00B87A3A" w:rsidRPr="00265FD6">
        <w:rPr>
          <w:sz w:val="24"/>
          <w:szCs w:val="24"/>
        </w:rPr>
        <w:t xml:space="preserve"> interaction.</w:t>
      </w:r>
      <w:r w:rsidR="008C7C8C" w:rsidRPr="00265FD6">
        <w:rPr>
          <w:sz w:val="24"/>
          <w:szCs w:val="24"/>
        </w:rPr>
        <w:t xml:space="preserve"> </w:t>
      </w:r>
      <w:r w:rsidR="00575B9D" w:rsidRPr="00265FD6">
        <w:rPr>
          <w:sz w:val="24"/>
          <w:szCs w:val="24"/>
        </w:rPr>
        <w:t xml:space="preserve">In extend, </w:t>
      </w:r>
      <w:r w:rsidR="00265FD6" w:rsidRPr="00265FD6">
        <w:rPr>
          <w:sz w:val="24"/>
          <w:szCs w:val="24"/>
        </w:rPr>
        <w:t xml:space="preserve">Thorne and Sanders (2013) note that a client's </w:t>
      </w:r>
      <w:r w:rsidR="00265FD6" w:rsidRPr="009C0E34">
        <w:rPr>
          <w:rFonts w:cstheme="minorHAnsi"/>
          <w:sz w:val="24"/>
          <w:szCs w:val="24"/>
        </w:rPr>
        <w:t>dependence without a frame of reference may be stimulated by the therapist's actions, which may give them a false sense of empowerment. Additionally, by not protecting the client's feeling of connectivity, it may develop into a deeper and distinctive self-concept that may lead to estrangement rather than self-actualisation</w:t>
      </w:r>
      <w:r w:rsidR="00556A22" w:rsidRPr="009C0E34">
        <w:rPr>
          <w:rFonts w:cstheme="minorHAnsi"/>
          <w:sz w:val="24"/>
          <w:szCs w:val="24"/>
        </w:rPr>
        <w:t>.</w:t>
      </w:r>
      <w:r w:rsidR="00556A22" w:rsidRPr="009C0E34">
        <w:rPr>
          <w:rFonts w:cstheme="minorHAnsi"/>
        </w:rPr>
        <w:t xml:space="preserve"> </w:t>
      </w:r>
    </w:p>
    <w:p w14:paraId="51A31626" w14:textId="70F3F669" w:rsidR="00F543E2" w:rsidRPr="00601E4F" w:rsidRDefault="008830ED" w:rsidP="00756D34">
      <w:pPr>
        <w:spacing w:after="0" w:line="360" w:lineRule="auto"/>
        <w:ind w:firstLine="720"/>
        <w:rPr>
          <w:color w:val="0070C0"/>
          <w:sz w:val="28"/>
          <w:szCs w:val="28"/>
        </w:rPr>
      </w:pPr>
      <w:r>
        <w:rPr>
          <w:rFonts w:cstheme="minorHAnsi"/>
          <w:sz w:val="24"/>
          <w:szCs w:val="24"/>
        </w:rPr>
        <w:t>In the healthcare environment, the e</w:t>
      </w:r>
      <w:r w:rsidRPr="008830ED">
        <w:rPr>
          <w:rFonts w:cstheme="minorHAnsi"/>
          <w:sz w:val="24"/>
          <w:szCs w:val="24"/>
        </w:rPr>
        <w:t xml:space="preserve">ffective counselling starts with listening to the other person and entering their world of perception. This involves paying attention to the entirety of what is stated while also listening </w:t>
      </w:r>
      <w:r w:rsidR="00DD6FA5">
        <w:rPr>
          <w:rFonts w:cstheme="minorHAnsi"/>
          <w:sz w:val="24"/>
          <w:szCs w:val="24"/>
        </w:rPr>
        <w:t>the</w:t>
      </w:r>
      <w:r w:rsidRPr="008830ED">
        <w:rPr>
          <w:rFonts w:cstheme="minorHAnsi"/>
          <w:sz w:val="24"/>
          <w:szCs w:val="24"/>
        </w:rPr>
        <w:t xml:space="preserve"> key </w:t>
      </w:r>
      <w:r>
        <w:rPr>
          <w:rFonts w:cstheme="minorHAnsi"/>
          <w:sz w:val="24"/>
          <w:szCs w:val="24"/>
        </w:rPr>
        <w:t>specifics (Burnard and Kendrick, 1998)</w:t>
      </w:r>
      <w:r w:rsidRPr="008830ED">
        <w:rPr>
          <w:rFonts w:cstheme="minorHAnsi"/>
          <w:sz w:val="24"/>
          <w:szCs w:val="24"/>
        </w:rPr>
        <w:t>.</w:t>
      </w:r>
      <w:r w:rsidR="00FE194A" w:rsidRPr="00FE194A">
        <w:rPr>
          <w:rFonts w:cstheme="minorHAnsi"/>
          <w:sz w:val="24"/>
          <w:szCs w:val="24"/>
        </w:rPr>
        <w:t xml:space="preserve"> </w:t>
      </w:r>
      <w:r w:rsidR="00DD6FA5" w:rsidRPr="009C0E34">
        <w:rPr>
          <w:rFonts w:cstheme="minorHAnsi"/>
          <w:sz w:val="24"/>
          <w:szCs w:val="24"/>
        </w:rPr>
        <w:t>A health care professional, unlike a counsellor, does not pressure a patient to change or accept themselves as they are (Stuart, 2013), but by using counselling techniques, he is able to help the patient recover their previous social and personal responsibilities (</w:t>
      </w:r>
      <w:proofErr w:type="spellStart"/>
      <w:r w:rsidR="00000000">
        <w:fldChar w:fldCharType="begin"/>
      </w:r>
      <w:r w:rsidR="00000000">
        <w:instrText>HYPERLINK "https://www.proquest.com/indexinglinkhandler/sng/au/Kotrotsiou,+S/$N?accountid=130472" \o "Click to search for more items by this author"</w:instrText>
      </w:r>
      <w:r w:rsidR="00000000">
        <w:fldChar w:fldCharType="separate"/>
      </w:r>
      <w:r w:rsidR="00DD6FA5" w:rsidRPr="009C0E34">
        <w:rPr>
          <w:rStyle w:val="Hyperlink"/>
          <w:rFonts w:cstheme="minorHAnsi"/>
          <w:color w:val="auto"/>
          <w:sz w:val="24"/>
          <w:szCs w:val="24"/>
          <w:u w:val="none"/>
          <w:shd w:val="clear" w:color="auto" w:fill="FFFFFF"/>
        </w:rPr>
        <w:t>Kotrotsiou</w:t>
      </w:r>
      <w:proofErr w:type="spellEnd"/>
      <w:r w:rsidR="00000000">
        <w:rPr>
          <w:rStyle w:val="Hyperlink"/>
          <w:rFonts w:cstheme="minorHAnsi"/>
          <w:color w:val="auto"/>
          <w:sz w:val="24"/>
          <w:szCs w:val="24"/>
          <w:u w:val="none"/>
          <w:shd w:val="clear" w:color="auto" w:fill="FFFFFF"/>
        </w:rPr>
        <w:fldChar w:fldCharType="end"/>
      </w:r>
      <w:r w:rsidR="00DD6FA5" w:rsidRPr="009C0E34">
        <w:rPr>
          <w:rFonts w:cstheme="minorHAnsi"/>
          <w:sz w:val="24"/>
          <w:szCs w:val="24"/>
        </w:rPr>
        <w:t xml:space="preserve"> et. al, 2008)</w:t>
      </w:r>
      <w:r w:rsidR="00556A22" w:rsidRPr="009C0E34">
        <w:rPr>
          <w:rFonts w:cstheme="minorHAnsi"/>
          <w:sz w:val="24"/>
          <w:szCs w:val="24"/>
        </w:rPr>
        <w:t xml:space="preserve">. </w:t>
      </w:r>
      <w:r w:rsidR="00FE194A" w:rsidRPr="009C0E34">
        <w:rPr>
          <w:rFonts w:cstheme="minorHAnsi"/>
          <w:sz w:val="24"/>
          <w:szCs w:val="24"/>
        </w:rPr>
        <w:t xml:space="preserve">Respect, clear dialogue, and the display of optimism really </w:t>
      </w:r>
      <w:r w:rsidR="00784DF1">
        <w:rPr>
          <w:rFonts w:cstheme="minorHAnsi"/>
          <w:sz w:val="24"/>
          <w:szCs w:val="24"/>
        </w:rPr>
        <w:t>are</w:t>
      </w:r>
      <w:r w:rsidR="00FE194A" w:rsidRPr="009C0E34">
        <w:rPr>
          <w:rFonts w:cstheme="minorHAnsi"/>
          <w:sz w:val="24"/>
          <w:szCs w:val="24"/>
        </w:rPr>
        <w:t xml:space="preserve"> the foundation of </w:t>
      </w:r>
      <w:r w:rsidR="00FE194A" w:rsidRPr="009C0E34">
        <w:rPr>
          <w:rFonts w:cstheme="minorHAnsi"/>
          <w:sz w:val="24"/>
          <w:szCs w:val="24"/>
        </w:rPr>
        <w:lastRenderedPageBreak/>
        <w:t xml:space="preserve">the therapeutic relationship in healthcare. The nurse's level of sensitivity and tact may determine whether the patient's progress is harmed or helped by the assisting act (Stuart, 2013). </w:t>
      </w:r>
      <w:r w:rsidR="006A71D6">
        <w:rPr>
          <w:rFonts w:cstheme="minorHAnsi"/>
          <w:sz w:val="24"/>
          <w:szCs w:val="24"/>
        </w:rPr>
        <w:t xml:space="preserve">Burnard and Kendrick (1998) </w:t>
      </w:r>
      <w:r w:rsidR="00792F71" w:rsidRPr="00792F71">
        <w:rPr>
          <w:sz w:val="24"/>
          <w:szCs w:val="24"/>
        </w:rPr>
        <w:t>outline</w:t>
      </w:r>
      <w:r w:rsidR="00792F71">
        <w:rPr>
          <w:sz w:val="24"/>
          <w:szCs w:val="24"/>
        </w:rPr>
        <w:t xml:space="preserve"> that for health care professionals</w:t>
      </w:r>
      <w:r w:rsidR="00792F71" w:rsidRPr="00792F71">
        <w:rPr>
          <w:sz w:val="24"/>
          <w:szCs w:val="24"/>
        </w:rPr>
        <w:t xml:space="preserve"> the</w:t>
      </w:r>
      <w:r w:rsidR="00792F71">
        <w:rPr>
          <w:sz w:val="24"/>
          <w:szCs w:val="24"/>
        </w:rPr>
        <w:t>se</w:t>
      </w:r>
      <w:r w:rsidR="00792F71" w:rsidRPr="00792F71">
        <w:rPr>
          <w:sz w:val="24"/>
          <w:szCs w:val="24"/>
        </w:rPr>
        <w:t xml:space="preserve"> sets of characteristics are both essential and adequate to develop the therapy nature of the counselling interaction</w:t>
      </w:r>
      <w:r w:rsidR="009F4B2A">
        <w:rPr>
          <w:sz w:val="24"/>
          <w:szCs w:val="24"/>
        </w:rPr>
        <w:t>,</w:t>
      </w:r>
      <w:r w:rsidR="00792F71" w:rsidRPr="00792F71">
        <w:rPr>
          <w:sz w:val="24"/>
          <w:szCs w:val="24"/>
        </w:rPr>
        <w:t xml:space="preserve"> such as: </w:t>
      </w:r>
      <w:r w:rsidR="006A71D6">
        <w:rPr>
          <w:rFonts w:cstheme="minorHAnsi"/>
          <w:sz w:val="24"/>
          <w:szCs w:val="24"/>
        </w:rPr>
        <w:t>w</w:t>
      </w:r>
      <w:r w:rsidR="009C74E3" w:rsidRPr="009C74E3">
        <w:rPr>
          <w:sz w:val="24"/>
          <w:szCs w:val="24"/>
        </w:rPr>
        <w:t xml:space="preserve">armth </w:t>
      </w:r>
      <w:r w:rsidR="009C74E3">
        <w:rPr>
          <w:sz w:val="24"/>
          <w:szCs w:val="24"/>
        </w:rPr>
        <w:t>as</w:t>
      </w:r>
      <w:r w:rsidR="00170E6A">
        <w:rPr>
          <w:sz w:val="24"/>
          <w:szCs w:val="24"/>
        </w:rPr>
        <w:t xml:space="preserve"> the attitude to be</w:t>
      </w:r>
      <w:r w:rsidR="009C74E3" w:rsidRPr="009C74E3">
        <w:rPr>
          <w:sz w:val="24"/>
          <w:szCs w:val="24"/>
        </w:rPr>
        <w:t xml:space="preserve"> accessible and </w:t>
      </w:r>
      <w:r w:rsidR="00F87D48">
        <w:rPr>
          <w:sz w:val="24"/>
          <w:szCs w:val="24"/>
        </w:rPr>
        <w:t>welcoming</w:t>
      </w:r>
      <w:r w:rsidR="00170E6A">
        <w:rPr>
          <w:sz w:val="24"/>
          <w:szCs w:val="24"/>
        </w:rPr>
        <w:t xml:space="preserve">, by </w:t>
      </w:r>
      <w:r w:rsidR="00F87D48">
        <w:rPr>
          <w:sz w:val="24"/>
          <w:szCs w:val="24"/>
        </w:rPr>
        <w:t>treating everyone equitably,</w:t>
      </w:r>
      <w:r w:rsidR="009C74E3" w:rsidRPr="009C74E3">
        <w:rPr>
          <w:sz w:val="24"/>
          <w:szCs w:val="24"/>
        </w:rPr>
        <w:t xml:space="preserve"> </w:t>
      </w:r>
      <w:r w:rsidR="00F87D48">
        <w:rPr>
          <w:sz w:val="24"/>
          <w:szCs w:val="24"/>
        </w:rPr>
        <w:t>even</w:t>
      </w:r>
      <w:r w:rsidR="009C74E3" w:rsidRPr="009C74E3">
        <w:rPr>
          <w:sz w:val="24"/>
          <w:szCs w:val="24"/>
        </w:rPr>
        <w:t xml:space="preserve"> patient or other </w:t>
      </w:r>
      <w:r w:rsidR="00F87D48">
        <w:rPr>
          <w:sz w:val="24"/>
          <w:szCs w:val="24"/>
        </w:rPr>
        <w:t>personal staff</w:t>
      </w:r>
      <w:r w:rsidR="00792F71">
        <w:rPr>
          <w:sz w:val="24"/>
          <w:szCs w:val="24"/>
        </w:rPr>
        <w:t xml:space="preserve">; </w:t>
      </w:r>
      <w:r w:rsidR="00F87D48">
        <w:rPr>
          <w:sz w:val="24"/>
          <w:szCs w:val="24"/>
        </w:rPr>
        <w:t>empathic understanding</w:t>
      </w:r>
      <w:r w:rsidR="00D10673">
        <w:rPr>
          <w:sz w:val="24"/>
          <w:szCs w:val="24"/>
        </w:rPr>
        <w:t xml:space="preserve"> </w:t>
      </w:r>
      <w:r w:rsidR="009F4B2A">
        <w:rPr>
          <w:sz w:val="24"/>
          <w:szCs w:val="24"/>
        </w:rPr>
        <w:t>as</w:t>
      </w:r>
      <w:r w:rsidR="00F87D48">
        <w:rPr>
          <w:sz w:val="24"/>
          <w:szCs w:val="24"/>
        </w:rPr>
        <w:t xml:space="preserve"> </w:t>
      </w:r>
      <w:r w:rsidR="00753E30">
        <w:rPr>
          <w:sz w:val="24"/>
          <w:szCs w:val="24"/>
        </w:rPr>
        <w:t>an unjudged</w:t>
      </w:r>
      <w:r w:rsidR="00F87D48">
        <w:rPr>
          <w:sz w:val="24"/>
          <w:szCs w:val="24"/>
        </w:rPr>
        <w:t xml:space="preserve"> </w:t>
      </w:r>
      <w:r w:rsidR="00546ABF">
        <w:rPr>
          <w:sz w:val="24"/>
          <w:szCs w:val="24"/>
        </w:rPr>
        <w:t>attitude</w:t>
      </w:r>
      <w:r w:rsidR="009F4B2A">
        <w:rPr>
          <w:sz w:val="24"/>
          <w:szCs w:val="24"/>
        </w:rPr>
        <w:t>;</w:t>
      </w:r>
      <w:r w:rsidR="00546ABF">
        <w:rPr>
          <w:sz w:val="24"/>
          <w:szCs w:val="24"/>
        </w:rPr>
        <w:t xml:space="preserve"> </w:t>
      </w:r>
      <w:r w:rsidR="00391BD7">
        <w:rPr>
          <w:sz w:val="24"/>
          <w:szCs w:val="24"/>
        </w:rPr>
        <w:t>and unconditional positive regard that</w:t>
      </w:r>
      <w:r w:rsidR="00753E30">
        <w:rPr>
          <w:sz w:val="24"/>
          <w:szCs w:val="24"/>
        </w:rPr>
        <w:t xml:space="preserve"> does</w:t>
      </w:r>
      <w:r w:rsidR="00391BD7">
        <w:rPr>
          <w:sz w:val="24"/>
          <w:szCs w:val="24"/>
        </w:rPr>
        <w:t xml:space="preserve"> not required </w:t>
      </w:r>
      <w:r w:rsidR="00753E30">
        <w:rPr>
          <w:sz w:val="24"/>
          <w:szCs w:val="24"/>
        </w:rPr>
        <w:t>reciprocity, noted as</w:t>
      </w:r>
      <w:r w:rsidR="00391BD7">
        <w:rPr>
          <w:sz w:val="24"/>
          <w:szCs w:val="24"/>
        </w:rPr>
        <w:t xml:space="preserve"> a specific predisposition towards the patient,</w:t>
      </w:r>
      <w:r w:rsidR="00972F96">
        <w:rPr>
          <w:sz w:val="24"/>
          <w:szCs w:val="24"/>
        </w:rPr>
        <w:t xml:space="preserve"> </w:t>
      </w:r>
      <w:r w:rsidR="009F4B2A">
        <w:rPr>
          <w:sz w:val="24"/>
          <w:szCs w:val="24"/>
        </w:rPr>
        <w:t>and</w:t>
      </w:r>
      <w:r w:rsidR="00391BD7">
        <w:rPr>
          <w:sz w:val="24"/>
          <w:szCs w:val="24"/>
        </w:rPr>
        <w:t xml:space="preserve"> materialised in a</w:t>
      </w:r>
      <w:r w:rsidR="00753E30">
        <w:rPr>
          <w:sz w:val="24"/>
          <w:szCs w:val="24"/>
        </w:rPr>
        <w:t xml:space="preserve">n expression of altruistic love or </w:t>
      </w:r>
      <w:r w:rsidR="00972F96">
        <w:rPr>
          <w:sz w:val="24"/>
          <w:szCs w:val="24"/>
        </w:rPr>
        <w:t>selfless</w:t>
      </w:r>
      <w:r w:rsidR="00753E30">
        <w:rPr>
          <w:sz w:val="24"/>
          <w:szCs w:val="24"/>
        </w:rPr>
        <w:t xml:space="preserve"> love for others.</w:t>
      </w:r>
      <w:r w:rsidR="00F726F4">
        <w:rPr>
          <w:sz w:val="24"/>
          <w:szCs w:val="24"/>
        </w:rPr>
        <w:t xml:space="preserve"> According to</w:t>
      </w:r>
      <w:r w:rsidR="00753E30">
        <w:rPr>
          <w:sz w:val="24"/>
          <w:szCs w:val="24"/>
        </w:rPr>
        <w:t xml:space="preserve"> </w:t>
      </w:r>
      <w:proofErr w:type="spellStart"/>
      <w:r w:rsidR="00F543E2">
        <w:rPr>
          <w:sz w:val="24"/>
          <w:szCs w:val="24"/>
        </w:rPr>
        <w:t>Soohbany</w:t>
      </w:r>
      <w:proofErr w:type="spellEnd"/>
      <w:r w:rsidR="00F543E2">
        <w:rPr>
          <w:sz w:val="24"/>
          <w:szCs w:val="24"/>
        </w:rPr>
        <w:t xml:space="preserve"> (1999)</w:t>
      </w:r>
      <w:r w:rsidR="00F726F4">
        <w:rPr>
          <w:sz w:val="24"/>
          <w:szCs w:val="24"/>
        </w:rPr>
        <w:t xml:space="preserve"> either</w:t>
      </w:r>
      <w:r w:rsidR="00F543E2" w:rsidRPr="00601E4F">
        <w:rPr>
          <w:sz w:val="24"/>
          <w:szCs w:val="24"/>
        </w:rPr>
        <w:t xml:space="preserve"> counselling</w:t>
      </w:r>
      <w:r w:rsidR="00F726F4">
        <w:rPr>
          <w:sz w:val="24"/>
          <w:szCs w:val="24"/>
        </w:rPr>
        <w:t xml:space="preserve"> and </w:t>
      </w:r>
      <w:r w:rsidR="00F543E2" w:rsidRPr="00601E4F">
        <w:rPr>
          <w:sz w:val="24"/>
          <w:szCs w:val="24"/>
        </w:rPr>
        <w:t xml:space="preserve">nursing is a relational strategy that helps the patient deal with critical incidents, process traumatic events, and draw conclusions from their situations. The goal can be accomplished by establishing loving presence in human connections and by using oneself in a therapeutic way. </w:t>
      </w:r>
    </w:p>
    <w:p w14:paraId="724D28E1" w14:textId="2FA917DF" w:rsidR="00281BBF" w:rsidRPr="002D292A" w:rsidRDefault="00281BBF" w:rsidP="00756D34">
      <w:pPr>
        <w:spacing w:after="0" w:line="360" w:lineRule="auto"/>
        <w:ind w:firstLine="720"/>
        <w:rPr>
          <w:sz w:val="24"/>
          <w:szCs w:val="24"/>
        </w:rPr>
      </w:pPr>
      <w:bookmarkStart w:id="2" w:name="_Hlk107765854"/>
      <w:bookmarkEnd w:id="1"/>
      <w:r w:rsidRPr="002D292A">
        <w:rPr>
          <w:sz w:val="24"/>
          <w:szCs w:val="24"/>
        </w:rPr>
        <w:t xml:space="preserve">As Rogers (1995) summarises, the essence of person-centred strategy highlights the persons’ unlimited reservoir having access to themselves and operating with primary perspectives, inner beliefs and </w:t>
      </w:r>
      <w:r w:rsidR="001D6BE0" w:rsidRPr="002D292A">
        <w:rPr>
          <w:sz w:val="24"/>
          <w:szCs w:val="24"/>
        </w:rPr>
        <w:t>demeanours</w:t>
      </w:r>
      <w:r w:rsidRPr="002D292A">
        <w:rPr>
          <w:sz w:val="24"/>
          <w:szCs w:val="24"/>
        </w:rPr>
        <w:t xml:space="preserve"> that can be successfully channelled with the help of a specified environment that generates positive mindsets. A successful therapy interaction relies on a set of essential and adequate circumstances -unique as content but valuable alike as role - that are appliable by the counsellor to facilitate the client’s healthy mental change (Gillon, 2007). </w:t>
      </w:r>
    </w:p>
    <w:bookmarkEnd w:id="2"/>
    <w:p w14:paraId="4AF547BF" w14:textId="159B660F" w:rsidR="00660031" w:rsidRDefault="00660031" w:rsidP="00756D34">
      <w:pPr>
        <w:pStyle w:val="NormalWeb"/>
        <w:shd w:val="clear" w:color="auto" w:fill="FFFFFF"/>
        <w:spacing w:before="0" w:beforeAutospacing="0" w:after="0" w:afterAutospacing="0" w:line="360" w:lineRule="auto"/>
        <w:textAlignment w:val="baseline"/>
        <w:rPr>
          <w:rFonts w:ascii="Open Sans" w:hAnsi="Open Sans" w:cs="Open Sans"/>
          <w:color w:val="0A0A0A"/>
        </w:rPr>
      </w:pPr>
    </w:p>
    <w:p w14:paraId="05A71BC1" w14:textId="76E06778" w:rsidR="00265FD6" w:rsidRDefault="00265FD6" w:rsidP="00756D34">
      <w:pPr>
        <w:pStyle w:val="NormalWeb"/>
        <w:shd w:val="clear" w:color="auto" w:fill="FFFFFF"/>
        <w:spacing w:before="0" w:beforeAutospacing="0" w:after="0" w:afterAutospacing="0" w:line="360" w:lineRule="auto"/>
        <w:textAlignment w:val="baseline"/>
        <w:rPr>
          <w:rFonts w:ascii="Open Sans" w:hAnsi="Open Sans" w:cs="Open Sans"/>
          <w:color w:val="0A0A0A"/>
        </w:rPr>
      </w:pPr>
    </w:p>
    <w:p w14:paraId="19EE54D1" w14:textId="5EEF6DA1" w:rsidR="00265FD6" w:rsidRDefault="00265FD6" w:rsidP="00756D34">
      <w:pPr>
        <w:pStyle w:val="NormalWeb"/>
        <w:shd w:val="clear" w:color="auto" w:fill="FFFFFF"/>
        <w:spacing w:before="0" w:beforeAutospacing="0" w:after="0" w:afterAutospacing="0" w:line="360" w:lineRule="auto"/>
        <w:textAlignment w:val="baseline"/>
        <w:rPr>
          <w:rFonts w:ascii="Open Sans" w:hAnsi="Open Sans" w:cs="Open Sans"/>
          <w:color w:val="0A0A0A"/>
        </w:rPr>
      </w:pPr>
    </w:p>
    <w:p w14:paraId="224DAF81" w14:textId="19529E90" w:rsidR="009C0E34" w:rsidRDefault="009C0E34" w:rsidP="00756D34">
      <w:pPr>
        <w:pStyle w:val="NormalWeb"/>
        <w:shd w:val="clear" w:color="auto" w:fill="FFFFFF"/>
        <w:spacing w:before="0" w:beforeAutospacing="0" w:after="0" w:afterAutospacing="0" w:line="360" w:lineRule="auto"/>
        <w:textAlignment w:val="baseline"/>
        <w:rPr>
          <w:rFonts w:ascii="Open Sans" w:hAnsi="Open Sans" w:cs="Open Sans"/>
          <w:color w:val="0A0A0A"/>
        </w:rPr>
      </w:pPr>
    </w:p>
    <w:p w14:paraId="1199C4B8" w14:textId="77777777" w:rsidR="009C0E34" w:rsidRPr="002D292A" w:rsidRDefault="009C0E34" w:rsidP="00756D34">
      <w:pPr>
        <w:pStyle w:val="NormalWeb"/>
        <w:shd w:val="clear" w:color="auto" w:fill="FFFFFF"/>
        <w:spacing w:before="0" w:beforeAutospacing="0" w:after="0" w:afterAutospacing="0" w:line="360" w:lineRule="auto"/>
        <w:textAlignment w:val="baseline"/>
        <w:rPr>
          <w:rFonts w:ascii="Open Sans" w:hAnsi="Open Sans" w:cs="Open Sans"/>
          <w:color w:val="0A0A0A"/>
        </w:rPr>
      </w:pPr>
    </w:p>
    <w:p w14:paraId="0D4C9204" w14:textId="60001E64" w:rsidR="00660031" w:rsidRDefault="00660031" w:rsidP="00756D34">
      <w:pPr>
        <w:pStyle w:val="NormalWeb"/>
        <w:shd w:val="clear" w:color="auto" w:fill="FFFFFF"/>
        <w:spacing w:before="0" w:beforeAutospacing="0" w:after="0" w:afterAutospacing="0" w:line="360" w:lineRule="auto"/>
        <w:textAlignment w:val="baseline"/>
        <w:rPr>
          <w:rFonts w:ascii="Open Sans" w:hAnsi="Open Sans" w:cs="Open Sans"/>
          <w:color w:val="0A0A0A"/>
        </w:rPr>
      </w:pPr>
    </w:p>
    <w:p w14:paraId="7F9AD1D1" w14:textId="0BCEEAFD" w:rsidR="00265FD6" w:rsidRDefault="00265FD6" w:rsidP="00756D34">
      <w:pPr>
        <w:pStyle w:val="NormalWeb"/>
        <w:shd w:val="clear" w:color="auto" w:fill="FFFFFF"/>
        <w:spacing w:before="0" w:beforeAutospacing="0" w:after="0" w:afterAutospacing="0" w:line="360" w:lineRule="auto"/>
        <w:textAlignment w:val="baseline"/>
        <w:rPr>
          <w:rFonts w:ascii="Open Sans" w:hAnsi="Open Sans" w:cs="Open Sans"/>
          <w:color w:val="0A0A0A"/>
        </w:rPr>
      </w:pPr>
    </w:p>
    <w:p w14:paraId="4BC9D68B" w14:textId="554D7372" w:rsidR="00265FD6" w:rsidRDefault="00265FD6" w:rsidP="00756D34">
      <w:pPr>
        <w:spacing w:after="0" w:line="360" w:lineRule="auto"/>
        <w:rPr>
          <w:color w:val="0070C0"/>
          <w:sz w:val="24"/>
          <w:szCs w:val="24"/>
        </w:rPr>
      </w:pPr>
    </w:p>
    <w:p w14:paraId="01354826" w14:textId="5B62963D" w:rsidR="005A68DC" w:rsidRDefault="005A68DC" w:rsidP="00756D34">
      <w:pPr>
        <w:spacing w:line="360" w:lineRule="auto"/>
        <w:rPr>
          <w:color w:val="0070C0"/>
          <w:sz w:val="24"/>
          <w:szCs w:val="24"/>
        </w:rPr>
      </w:pPr>
    </w:p>
    <w:p w14:paraId="06E970DB" w14:textId="77777777" w:rsidR="00756D34" w:rsidRDefault="00756D34" w:rsidP="00756D34">
      <w:pPr>
        <w:widowControl w:val="0"/>
        <w:autoSpaceDE w:val="0"/>
        <w:autoSpaceDN w:val="0"/>
        <w:adjustRightInd w:val="0"/>
        <w:spacing w:after="0" w:line="360" w:lineRule="auto"/>
        <w:rPr>
          <w:color w:val="0070C0"/>
          <w:sz w:val="24"/>
          <w:szCs w:val="24"/>
        </w:rPr>
      </w:pPr>
    </w:p>
    <w:p w14:paraId="6A4C10E1" w14:textId="64F78656" w:rsidR="00756D34" w:rsidRDefault="00756D34" w:rsidP="00756D34">
      <w:pPr>
        <w:widowControl w:val="0"/>
        <w:autoSpaceDE w:val="0"/>
        <w:autoSpaceDN w:val="0"/>
        <w:adjustRightInd w:val="0"/>
        <w:spacing w:after="0" w:line="360" w:lineRule="auto"/>
        <w:rPr>
          <w:rFonts w:cstheme="minorHAnsi"/>
          <w:b/>
          <w:bCs/>
          <w:sz w:val="24"/>
          <w:szCs w:val="24"/>
          <w:lang w:val="en-US"/>
        </w:rPr>
      </w:pPr>
      <w:r w:rsidRPr="001C2B52">
        <w:rPr>
          <w:rFonts w:cstheme="minorHAnsi"/>
          <w:b/>
          <w:bCs/>
          <w:sz w:val="24"/>
          <w:szCs w:val="24"/>
          <w:lang w:val="en-US"/>
        </w:rPr>
        <w:lastRenderedPageBreak/>
        <w:t>Reference list</w:t>
      </w:r>
    </w:p>
    <w:p w14:paraId="033081CD" w14:textId="77777777" w:rsidR="00756D34" w:rsidRPr="001C2B52" w:rsidRDefault="00756D34" w:rsidP="00756D34">
      <w:pPr>
        <w:widowControl w:val="0"/>
        <w:autoSpaceDE w:val="0"/>
        <w:autoSpaceDN w:val="0"/>
        <w:adjustRightInd w:val="0"/>
        <w:spacing w:after="0" w:line="360" w:lineRule="auto"/>
        <w:rPr>
          <w:rFonts w:cstheme="minorHAnsi"/>
          <w:b/>
          <w:bCs/>
          <w:sz w:val="24"/>
          <w:szCs w:val="24"/>
          <w:lang w:val="en-US"/>
        </w:rPr>
      </w:pPr>
    </w:p>
    <w:p w14:paraId="76F044D3" w14:textId="77777777" w:rsidR="00756D34" w:rsidRPr="001C2B52" w:rsidRDefault="00756D34" w:rsidP="00756D34">
      <w:pPr>
        <w:widowControl w:val="0"/>
        <w:autoSpaceDE w:val="0"/>
        <w:autoSpaceDN w:val="0"/>
        <w:adjustRightInd w:val="0"/>
        <w:spacing w:after="0" w:line="360" w:lineRule="auto"/>
        <w:ind w:left="567" w:hanging="567"/>
        <w:rPr>
          <w:rFonts w:cstheme="minorHAnsi"/>
          <w:sz w:val="24"/>
          <w:szCs w:val="24"/>
          <w:lang w:val="en-US"/>
        </w:rPr>
      </w:pPr>
      <w:r w:rsidRPr="001C2B52">
        <w:rPr>
          <w:rFonts w:cstheme="minorHAnsi"/>
          <w:sz w:val="24"/>
          <w:szCs w:val="24"/>
          <w:lang w:val="en-US"/>
        </w:rPr>
        <w:t xml:space="preserve">Burnard, P. and Kendrick, K. (1998) </w:t>
      </w:r>
      <w:r>
        <w:rPr>
          <w:rFonts w:cstheme="minorHAnsi"/>
          <w:sz w:val="24"/>
          <w:szCs w:val="24"/>
          <w:lang w:val="en-US"/>
        </w:rPr>
        <w:t>“</w:t>
      </w:r>
      <w:r w:rsidRPr="001C2B52">
        <w:rPr>
          <w:rFonts w:cstheme="minorHAnsi"/>
          <w:sz w:val="24"/>
          <w:szCs w:val="24"/>
          <w:lang w:val="en-US"/>
        </w:rPr>
        <w:t>Ethical counselling: a workbook for nurses</w:t>
      </w:r>
      <w:r>
        <w:rPr>
          <w:rFonts w:cstheme="minorHAnsi"/>
          <w:i/>
          <w:iCs/>
          <w:sz w:val="24"/>
          <w:szCs w:val="24"/>
          <w:lang w:val="en-US"/>
        </w:rPr>
        <w:t>”,</w:t>
      </w:r>
      <w:r w:rsidRPr="001C2B52">
        <w:rPr>
          <w:rFonts w:cstheme="minorHAnsi"/>
          <w:sz w:val="24"/>
          <w:szCs w:val="24"/>
          <w:lang w:val="en-US"/>
        </w:rPr>
        <w:t xml:space="preserve"> London: Arnold.</w:t>
      </w:r>
    </w:p>
    <w:p w14:paraId="7A8D4B10" w14:textId="77777777" w:rsidR="00756D34" w:rsidRPr="001C2B52" w:rsidRDefault="00756D34" w:rsidP="00756D34">
      <w:pPr>
        <w:widowControl w:val="0"/>
        <w:autoSpaceDE w:val="0"/>
        <w:autoSpaceDN w:val="0"/>
        <w:adjustRightInd w:val="0"/>
        <w:spacing w:after="0" w:line="360" w:lineRule="auto"/>
        <w:ind w:left="567" w:hanging="567"/>
        <w:rPr>
          <w:rFonts w:cstheme="minorHAnsi"/>
          <w:sz w:val="24"/>
          <w:szCs w:val="24"/>
          <w:lang w:val="en-US"/>
        </w:rPr>
      </w:pPr>
      <w:r w:rsidRPr="001C2B52">
        <w:rPr>
          <w:rFonts w:cstheme="minorHAnsi"/>
          <w:sz w:val="24"/>
          <w:szCs w:val="24"/>
          <w:lang w:val="en-US"/>
        </w:rPr>
        <w:t xml:space="preserve">Gillon, E. (2007) </w:t>
      </w:r>
      <w:r>
        <w:rPr>
          <w:rFonts w:cstheme="minorHAnsi"/>
          <w:sz w:val="24"/>
          <w:szCs w:val="24"/>
          <w:lang w:val="en-US"/>
        </w:rPr>
        <w:t>“</w:t>
      </w:r>
      <w:r w:rsidRPr="001C2B52">
        <w:rPr>
          <w:rFonts w:cstheme="minorHAnsi"/>
          <w:sz w:val="24"/>
          <w:szCs w:val="24"/>
          <w:lang w:val="en-US"/>
        </w:rPr>
        <w:t>Person-</w:t>
      </w:r>
      <w:proofErr w:type="spellStart"/>
      <w:r w:rsidRPr="001C2B52">
        <w:rPr>
          <w:rFonts w:cstheme="minorHAnsi"/>
          <w:sz w:val="24"/>
          <w:szCs w:val="24"/>
          <w:lang w:val="en-US"/>
        </w:rPr>
        <w:t>centred</w:t>
      </w:r>
      <w:proofErr w:type="spellEnd"/>
      <w:r w:rsidRPr="001C2B52">
        <w:rPr>
          <w:rFonts w:cstheme="minorHAnsi"/>
          <w:sz w:val="24"/>
          <w:szCs w:val="24"/>
          <w:lang w:val="en-US"/>
        </w:rPr>
        <w:t xml:space="preserve"> counselling psychology: An Introduction</w:t>
      </w:r>
      <w:r>
        <w:rPr>
          <w:rFonts w:cstheme="minorHAnsi"/>
          <w:i/>
          <w:iCs/>
          <w:sz w:val="24"/>
          <w:szCs w:val="24"/>
          <w:lang w:val="en-US"/>
        </w:rPr>
        <w:t>”,</w:t>
      </w:r>
      <w:r w:rsidRPr="001C2B52">
        <w:rPr>
          <w:rFonts w:cstheme="minorHAnsi"/>
          <w:sz w:val="24"/>
          <w:szCs w:val="24"/>
          <w:lang w:val="en-US"/>
        </w:rPr>
        <w:t xml:space="preserve"> London: Sage Publications.</w:t>
      </w:r>
    </w:p>
    <w:p w14:paraId="198591B0" w14:textId="77777777" w:rsidR="00756D34" w:rsidRPr="001C2B52" w:rsidRDefault="00756D34" w:rsidP="00756D34">
      <w:pPr>
        <w:widowControl w:val="0"/>
        <w:autoSpaceDE w:val="0"/>
        <w:autoSpaceDN w:val="0"/>
        <w:adjustRightInd w:val="0"/>
        <w:spacing w:after="0" w:line="360" w:lineRule="auto"/>
        <w:ind w:left="567" w:hanging="567"/>
        <w:rPr>
          <w:rFonts w:cstheme="minorHAnsi"/>
          <w:sz w:val="24"/>
          <w:szCs w:val="24"/>
          <w:lang w:val="en-US"/>
        </w:rPr>
      </w:pPr>
      <w:proofErr w:type="spellStart"/>
      <w:r w:rsidRPr="001C2B52">
        <w:rPr>
          <w:rFonts w:cstheme="minorHAnsi"/>
          <w:sz w:val="24"/>
          <w:szCs w:val="24"/>
          <w:lang w:val="en-US"/>
        </w:rPr>
        <w:t>Kotrotsiou</w:t>
      </w:r>
      <w:proofErr w:type="spellEnd"/>
      <w:r w:rsidRPr="001C2B52">
        <w:rPr>
          <w:rFonts w:cstheme="minorHAnsi"/>
          <w:sz w:val="24"/>
          <w:szCs w:val="24"/>
          <w:lang w:val="en-US"/>
        </w:rPr>
        <w:t xml:space="preserve">, S., </w:t>
      </w:r>
      <w:proofErr w:type="spellStart"/>
      <w:r w:rsidRPr="001C2B52">
        <w:rPr>
          <w:rFonts w:cstheme="minorHAnsi"/>
          <w:sz w:val="24"/>
          <w:szCs w:val="24"/>
          <w:lang w:val="en-US"/>
        </w:rPr>
        <w:t>Lavdaniti</w:t>
      </w:r>
      <w:proofErr w:type="spellEnd"/>
      <w:r w:rsidRPr="001C2B52">
        <w:rPr>
          <w:rFonts w:cstheme="minorHAnsi"/>
          <w:sz w:val="24"/>
          <w:szCs w:val="24"/>
          <w:lang w:val="en-US"/>
        </w:rPr>
        <w:t xml:space="preserve">, M., </w:t>
      </w:r>
      <w:proofErr w:type="spellStart"/>
      <w:r w:rsidRPr="001C2B52">
        <w:rPr>
          <w:rFonts w:cstheme="minorHAnsi"/>
          <w:sz w:val="24"/>
          <w:szCs w:val="24"/>
          <w:lang w:val="en-US"/>
        </w:rPr>
        <w:t>Psychogiou</w:t>
      </w:r>
      <w:proofErr w:type="spellEnd"/>
      <w:r w:rsidRPr="001C2B52">
        <w:rPr>
          <w:rFonts w:cstheme="minorHAnsi"/>
          <w:sz w:val="24"/>
          <w:szCs w:val="24"/>
          <w:lang w:val="en-US"/>
        </w:rPr>
        <w:t xml:space="preserve">, M., </w:t>
      </w:r>
      <w:proofErr w:type="spellStart"/>
      <w:r w:rsidRPr="001C2B52">
        <w:rPr>
          <w:rFonts w:cstheme="minorHAnsi"/>
          <w:sz w:val="24"/>
          <w:szCs w:val="24"/>
          <w:lang w:val="en-US"/>
        </w:rPr>
        <w:t>Paralika</w:t>
      </w:r>
      <w:proofErr w:type="spellEnd"/>
      <w:r w:rsidRPr="001C2B52">
        <w:rPr>
          <w:rFonts w:cstheme="minorHAnsi"/>
          <w:sz w:val="24"/>
          <w:szCs w:val="24"/>
          <w:lang w:val="en-US"/>
        </w:rPr>
        <w:t xml:space="preserve">, Th., </w:t>
      </w:r>
      <w:proofErr w:type="spellStart"/>
      <w:r w:rsidRPr="001C2B52">
        <w:rPr>
          <w:rFonts w:cstheme="minorHAnsi"/>
          <w:sz w:val="24"/>
          <w:szCs w:val="24"/>
          <w:lang w:val="en-US"/>
        </w:rPr>
        <w:t>Papathanasiou</w:t>
      </w:r>
      <w:proofErr w:type="spellEnd"/>
      <w:r w:rsidRPr="001C2B52">
        <w:rPr>
          <w:rFonts w:cstheme="minorHAnsi"/>
          <w:sz w:val="24"/>
          <w:szCs w:val="24"/>
          <w:lang w:val="en-US"/>
        </w:rPr>
        <w:t xml:space="preserve">, I. and </w:t>
      </w:r>
      <w:proofErr w:type="spellStart"/>
      <w:r w:rsidRPr="001C2B52">
        <w:rPr>
          <w:rFonts w:cstheme="minorHAnsi"/>
          <w:sz w:val="24"/>
          <w:szCs w:val="24"/>
          <w:lang w:val="en-US"/>
        </w:rPr>
        <w:t>Lahana</w:t>
      </w:r>
      <w:proofErr w:type="spellEnd"/>
      <w:r w:rsidRPr="001C2B52">
        <w:rPr>
          <w:rFonts w:cstheme="minorHAnsi"/>
          <w:sz w:val="24"/>
          <w:szCs w:val="24"/>
          <w:lang w:val="en-US"/>
        </w:rPr>
        <w:t xml:space="preserve">, E. (2008) </w:t>
      </w:r>
      <w:r>
        <w:rPr>
          <w:rFonts w:cstheme="minorHAnsi"/>
          <w:sz w:val="24"/>
          <w:szCs w:val="24"/>
          <w:lang w:val="en-US"/>
        </w:rPr>
        <w:t>“</w:t>
      </w:r>
      <w:r w:rsidRPr="001C2B52">
        <w:rPr>
          <w:rFonts w:cstheme="minorHAnsi"/>
          <w:sz w:val="24"/>
          <w:szCs w:val="24"/>
          <w:lang w:val="en-US"/>
        </w:rPr>
        <w:t>Community nurses’ role as counsellors in primary health care</w:t>
      </w:r>
      <w:r>
        <w:rPr>
          <w:rFonts w:cstheme="minorHAnsi"/>
          <w:sz w:val="24"/>
          <w:szCs w:val="24"/>
          <w:lang w:val="en-US"/>
        </w:rPr>
        <w:t>”,</w:t>
      </w:r>
      <w:r w:rsidRPr="001C2B52">
        <w:rPr>
          <w:rFonts w:cstheme="minorHAnsi"/>
          <w:sz w:val="24"/>
          <w:szCs w:val="24"/>
          <w:lang w:val="en-US"/>
        </w:rPr>
        <w:t xml:space="preserve"> </w:t>
      </w:r>
      <w:r w:rsidRPr="001C2B52">
        <w:rPr>
          <w:rFonts w:cstheme="minorHAnsi"/>
          <w:i/>
          <w:iCs/>
          <w:sz w:val="24"/>
          <w:szCs w:val="24"/>
          <w:lang w:val="en-US"/>
        </w:rPr>
        <w:t>International Journal of Caring Sciences</w:t>
      </w:r>
      <w:r w:rsidRPr="001C2B52">
        <w:rPr>
          <w:rFonts w:cstheme="minorHAnsi"/>
          <w:sz w:val="24"/>
          <w:szCs w:val="24"/>
          <w:lang w:val="en-US"/>
        </w:rPr>
        <w:t>, 1(2), pp.92–98.</w:t>
      </w:r>
    </w:p>
    <w:p w14:paraId="3432BD91" w14:textId="77777777" w:rsidR="00756D34" w:rsidRPr="001C2B52" w:rsidRDefault="00756D34" w:rsidP="00756D34">
      <w:pPr>
        <w:widowControl w:val="0"/>
        <w:autoSpaceDE w:val="0"/>
        <w:autoSpaceDN w:val="0"/>
        <w:adjustRightInd w:val="0"/>
        <w:spacing w:after="0" w:line="360" w:lineRule="auto"/>
        <w:ind w:left="567" w:hanging="567"/>
        <w:rPr>
          <w:rFonts w:cstheme="minorHAnsi"/>
          <w:sz w:val="24"/>
          <w:szCs w:val="24"/>
          <w:lang w:val="en-US"/>
        </w:rPr>
      </w:pPr>
      <w:r w:rsidRPr="001C2B52">
        <w:rPr>
          <w:rFonts w:cstheme="minorHAnsi"/>
          <w:sz w:val="24"/>
          <w:szCs w:val="24"/>
          <w:lang w:val="en-US"/>
        </w:rPr>
        <w:t xml:space="preserve">Lewis, H. (2000) </w:t>
      </w:r>
      <w:r>
        <w:rPr>
          <w:rFonts w:cstheme="minorHAnsi"/>
          <w:sz w:val="24"/>
          <w:szCs w:val="24"/>
          <w:lang w:val="en-US"/>
        </w:rPr>
        <w:t>“</w:t>
      </w:r>
      <w:r w:rsidRPr="001C2B52">
        <w:rPr>
          <w:rFonts w:cstheme="minorHAnsi"/>
          <w:sz w:val="24"/>
          <w:szCs w:val="24"/>
          <w:lang w:val="en-US"/>
        </w:rPr>
        <w:t>Body language: A guide for professionals</w:t>
      </w:r>
      <w:r>
        <w:rPr>
          <w:rFonts w:cstheme="minorHAnsi"/>
          <w:sz w:val="24"/>
          <w:szCs w:val="24"/>
          <w:lang w:val="en-US"/>
        </w:rPr>
        <w:t>”,</w:t>
      </w:r>
      <w:r w:rsidRPr="001C2B52">
        <w:rPr>
          <w:rFonts w:cstheme="minorHAnsi"/>
          <w:sz w:val="24"/>
          <w:szCs w:val="24"/>
          <w:lang w:val="en-US"/>
        </w:rPr>
        <w:t xml:space="preserve"> 2nd ed.</w:t>
      </w:r>
      <w:r>
        <w:rPr>
          <w:rFonts w:cstheme="minorHAnsi"/>
          <w:sz w:val="24"/>
          <w:szCs w:val="24"/>
          <w:lang w:val="en-US"/>
        </w:rPr>
        <w:t>,</w:t>
      </w:r>
      <w:r w:rsidRPr="001C2B52">
        <w:rPr>
          <w:rFonts w:cstheme="minorHAnsi"/>
          <w:sz w:val="24"/>
          <w:szCs w:val="24"/>
          <w:lang w:val="en-US"/>
        </w:rPr>
        <w:t xml:space="preserve"> Thousand Oaks: Sage Publications.</w:t>
      </w:r>
    </w:p>
    <w:p w14:paraId="199F3919" w14:textId="77777777" w:rsidR="00756D34" w:rsidRPr="001C2B52" w:rsidRDefault="00756D34" w:rsidP="00756D34">
      <w:pPr>
        <w:widowControl w:val="0"/>
        <w:autoSpaceDE w:val="0"/>
        <w:autoSpaceDN w:val="0"/>
        <w:adjustRightInd w:val="0"/>
        <w:spacing w:after="0" w:line="360" w:lineRule="auto"/>
        <w:ind w:left="567" w:hanging="567"/>
        <w:rPr>
          <w:rFonts w:cstheme="minorHAnsi"/>
          <w:sz w:val="24"/>
          <w:szCs w:val="24"/>
          <w:lang w:val="en-US"/>
        </w:rPr>
      </w:pPr>
      <w:r w:rsidRPr="001C2B52">
        <w:rPr>
          <w:rFonts w:cstheme="minorHAnsi"/>
          <w:sz w:val="24"/>
          <w:szCs w:val="24"/>
          <w:lang w:val="en-US"/>
        </w:rPr>
        <w:t xml:space="preserve">Mearns, D. and Thorne, B. (2007) </w:t>
      </w:r>
      <w:r>
        <w:rPr>
          <w:rFonts w:cstheme="minorHAnsi"/>
          <w:sz w:val="24"/>
          <w:szCs w:val="24"/>
          <w:lang w:val="en-US"/>
        </w:rPr>
        <w:t>“</w:t>
      </w:r>
      <w:r w:rsidRPr="001C2B52">
        <w:rPr>
          <w:rFonts w:cstheme="minorHAnsi"/>
          <w:sz w:val="24"/>
          <w:szCs w:val="24"/>
          <w:lang w:val="en-US"/>
        </w:rPr>
        <w:t>Person-</w:t>
      </w:r>
      <w:proofErr w:type="spellStart"/>
      <w:r w:rsidRPr="001C2B52">
        <w:rPr>
          <w:rFonts w:cstheme="minorHAnsi"/>
          <w:sz w:val="24"/>
          <w:szCs w:val="24"/>
          <w:lang w:val="en-US"/>
        </w:rPr>
        <w:t>centred</w:t>
      </w:r>
      <w:proofErr w:type="spellEnd"/>
      <w:r w:rsidRPr="001C2B52">
        <w:rPr>
          <w:rFonts w:cstheme="minorHAnsi"/>
          <w:sz w:val="24"/>
          <w:szCs w:val="24"/>
          <w:lang w:val="en-US"/>
        </w:rPr>
        <w:t xml:space="preserve"> counselling in action</w:t>
      </w:r>
      <w:r>
        <w:rPr>
          <w:rFonts w:cstheme="minorHAnsi"/>
          <w:sz w:val="24"/>
          <w:szCs w:val="24"/>
          <w:lang w:val="en-US"/>
        </w:rPr>
        <w:t>”,</w:t>
      </w:r>
      <w:r w:rsidRPr="001C2B52">
        <w:rPr>
          <w:rFonts w:cstheme="minorHAnsi"/>
          <w:sz w:val="24"/>
          <w:szCs w:val="24"/>
          <w:lang w:val="en-US"/>
        </w:rPr>
        <w:t xml:space="preserve"> 3rd ed.</w:t>
      </w:r>
      <w:r>
        <w:rPr>
          <w:rFonts w:cstheme="minorHAnsi"/>
          <w:sz w:val="24"/>
          <w:szCs w:val="24"/>
          <w:lang w:val="en-US"/>
        </w:rPr>
        <w:t>,</w:t>
      </w:r>
      <w:r w:rsidRPr="001C2B52">
        <w:rPr>
          <w:rFonts w:cstheme="minorHAnsi"/>
          <w:sz w:val="24"/>
          <w:szCs w:val="24"/>
          <w:lang w:val="en-US"/>
        </w:rPr>
        <w:t xml:space="preserve"> London: Sage.</w:t>
      </w:r>
    </w:p>
    <w:p w14:paraId="0C5E2A42" w14:textId="77777777" w:rsidR="00756D34" w:rsidRPr="001C2B52" w:rsidRDefault="00756D34" w:rsidP="00756D34">
      <w:pPr>
        <w:widowControl w:val="0"/>
        <w:autoSpaceDE w:val="0"/>
        <w:autoSpaceDN w:val="0"/>
        <w:adjustRightInd w:val="0"/>
        <w:spacing w:after="0" w:line="360" w:lineRule="auto"/>
        <w:ind w:left="567" w:hanging="567"/>
        <w:rPr>
          <w:rFonts w:cstheme="minorHAnsi"/>
          <w:sz w:val="24"/>
          <w:szCs w:val="24"/>
          <w:lang w:val="en-US"/>
        </w:rPr>
      </w:pPr>
      <w:r w:rsidRPr="001C2B52">
        <w:rPr>
          <w:rFonts w:cstheme="minorHAnsi"/>
          <w:sz w:val="24"/>
          <w:szCs w:val="24"/>
          <w:lang w:val="en-US"/>
        </w:rPr>
        <w:t xml:space="preserve">Moon, K.A. (2007) </w:t>
      </w:r>
      <w:r>
        <w:rPr>
          <w:rFonts w:cstheme="minorHAnsi"/>
          <w:sz w:val="24"/>
          <w:szCs w:val="24"/>
          <w:lang w:val="en-US"/>
        </w:rPr>
        <w:t>“</w:t>
      </w:r>
      <w:r w:rsidRPr="001C2B52">
        <w:rPr>
          <w:rFonts w:cstheme="minorHAnsi"/>
          <w:sz w:val="24"/>
          <w:szCs w:val="24"/>
          <w:lang w:val="en-US"/>
        </w:rPr>
        <w:t>A Client-Centered Review of Rogers With Gloria</w:t>
      </w:r>
      <w:r>
        <w:rPr>
          <w:rFonts w:cstheme="minorHAnsi"/>
          <w:sz w:val="24"/>
          <w:szCs w:val="24"/>
          <w:lang w:val="en-US"/>
        </w:rPr>
        <w:t>”,</w:t>
      </w:r>
      <w:r w:rsidRPr="001C2B52">
        <w:rPr>
          <w:rFonts w:cstheme="minorHAnsi"/>
          <w:sz w:val="24"/>
          <w:szCs w:val="24"/>
          <w:lang w:val="en-US"/>
        </w:rPr>
        <w:t xml:space="preserve"> </w:t>
      </w:r>
      <w:r w:rsidRPr="001C2B52">
        <w:rPr>
          <w:rFonts w:cstheme="minorHAnsi"/>
          <w:i/>
          <w:iCs/>
          <w:sz w:val="24"/>
          <w:szCs w:val="24"/>
          <w:lang w:val="en-US"/>
        </w:rPr>
        <w:t>Journal of Counseling &amp; Development</w:t>
      </w:r>
      <w:r w:rsidRPr="001C2B52">
        <w:rPr>
          <w:rFonts w:cstheme="minorHAnsi"/>
          <w:sz w:val="24"/>
          <w:szCs w:val="24"/>
          <w:lang w:val="en-US"/>
        </w:rPr>
        <w:t>, 85(3), pp.277–285</w:t>
      </w:r>
      <w:r>
        <w:rPr>
          <w:rFonts w:cstheme="minorHAnsi"/>
          <w:sz w:val="24"/>
          <w:szCs w:val="24"/>
          <w:lang w:val="en-US"/>
        </w:rPr>
        <w:t>,</w:t>
      </w:r>
      <w:r w:rsidRPr="001C2B52">
        <w:rPr>
          <w:rFonts w:cstheme="minorHAnsi"/>
          <w:sz w:val="24"/>
          <w:szCs w:val="24"/>
          <w:lang w:val="en-US"/>
        </w:rPr>
        <w:t xml:space="preserve"> doi:</w:t>
      </w:r>
      <w:hyperlink r:id="rId9" w:history="1">
        <w:r w:rsidRPr="001C2B52">
          <w:rPr>
            <w:rFonts w:cstheme="minorHAnsi"/>
            <w:sz w:val="24"/>
            <w:szCs w:val="24"/>
            <w:lang w:val="en-US"/>
          </w:rPr>
          <w:t>10.1002/j.1556-6678.2007.tb00475.x</w:t>
        </w:r>
      </w:hyperlink>
      <w:r w:rsidRPr="001C2B52">
        <w:rPr>
          <w:rFonts w:cstheme="minorHAnsi"/>
          <w:sz w:val="24"/>
          <w:szCs w:val="24"/>
          <w:lang w:val="en-US"/>
        </w:rPr>
        <w:t>.</w:t>
      </w:r>
    </w:p>
    <w:p w14:paraId="1387E5F8" w14:textId="77777777" w:rsidR="00756D34" w:rsidRPr="001C2B52" w:rsidRDefault="00756D34" w:rsidP="00756D34">
      <w:pPr>
        <w:widowControl w:val="0"/>
        <w:autoSpaceDE w:val="0"/>
        <w:autoSpaceDN w:val="0"/>
        <w:adjustRightInd w:val="0"/>
        <w:spacing w:after="0" w:line="360" w:lineRule="auto"/>
        <w:ind w:left="567" w:hanging="567"/>
        <w:rPr>
          <w:rFonts w:cstheme="minorHAnsi"/>
          <w:sz w:val="24"/>
          <w:szCs w:val="24"/>
          <w:lang w:val="en-US"/>
        </w:rPr>
      </w:pPr>
      <w:r w:rsidRPr="001C2B52">
        <w:rPr>
          <w:rFonts w:cstheme="minorHAnsi"/>
          <w:sz w:val="24"/>
          <w:szCs w:val="24"/>
          <w:lang w:val="en-US"/>
        </w:rPr>
        <w:t xml:space="preserve">Moon, K.A. and Rice, B. (2012) </w:t>
      </w:r>
      <w:r>
        <w:rPr>
          <w:rFonts w:cstheme="minorHAnsi"/>
          <w:sz w:val="24"/>
          <w:szCs w:val="24"/>
          <w:lang w:val="en-US"/>
        </w:rPr>
        <w:t>“</w:t>
      </w:r>
      <w:r w:rsidRPr="001C2B52">
        <w:rPr>
          <w:rFonts w:cstheme="minorHAnsi"/>
          <w:sz w:val="24"/>
          <w:szCs w:val="24"/>
          <w:lang w:val="en-US"/>
        </w:rPr>
        <w:t>The nondirective attitude in client-centered practice: A few questions</w:t>
      </w:r>
      <w:r>
        <w:rPr>
          <w:rFonts w:cstheme="minorHAnsi"/>
          <w:sz w:val="24"/>
          <w:szCs w:val="24"/>
          <w:lang w:val="en-US"/>
        </w:rPr>
        <w:t>”,</w:t>
      </w:r>
      <w:r w:rsidRPr="001C2B52">
        <w:rPr>
          <w:rFonts w:cstheme="minorHAnsi"/>
          <w:sz w:val="24"/>
          <w:szCs w:val="24"/>
          <w:lang w:val="en-US"/>
        </w:rPr>
        <w:t xml:space="preserve"> </w:t>
      </w:r>
      <w:r w:rsidRPr="001C2B52">
        <w:rPr>
          <w:rFonts w:cstheme="minorHAnsi"/>
          <w:i/>
          <w:iCs/>
          <w:sz w:val="24"/>
          <w:szCs w:val="24"/>
          <w:lang w:val="en-US"/>
        </w:rPr>
        <w:t>Person-Centered &amp; Experiential Psychotherapies</w:t>
      </w:r>
      <w:r w:rsidRPr="001C2B52">
        <w:rPr>
          <w:rFonts w:cstheme="minorHAnsi"/>
          <w:sz w:val="24"/>
          <w:szCs w:val="24"/>
          <w:lang w:val="en-US"/>
        </w:rPr>
        <w:t>, 11(4), pp.289–303</w:t>
      </w:r>
      <w:r>
        <w:rPr>
          <w:rFonts w:cstheme="minorHAnsi"/>
          <w:sz w:val="24"/>
          <w:szCs w:val="24"/>
          <w:lang w:val="en-US"/>
        </w:rPr>
        <w:t>,</w:t>
      </w:r>
      <w:r w:rsidRPr="001C2B52">
        <w:rPr>
          <w:rFonts w:cstheme="minorHAnsi"/>
          <w:sz w:val="24"/>
          <w:szCs w:val="24"/>
          <w:lang w:val="en-US"/>
        </w:rPr>
        <w:t xml:space="preserve"> doi:</w:t>
      </w:r>
      <w:hyperlink r:id="rId10" w:history="1">
        <w:r w:rsidRPr="001C2B52">
          <w:rPr>
            <w:rFonts w:cstheme="minorHAnsi"/>
            <w:sz w:val="24"/>
            <w:szCs w:val="24"/>
            <w:lang w:val="en-US"/>
          </w:rPr>
          <w:t>10.1080/14779757.2012.740322</w:t>
        </w:r>
      </w:hyperlink>
      <w:r w:rsidRPr="001C2B52">
        <w:rPr>
          <w:rFonts w:cstheme="minorHAnsi"/>
          <w:sz w:val="24"/>
          <w:szCs w:val="24"/>
          <w:lang w:val="en-US"/>
        </w:rPr>
        <w:t>.</w:t>
      </w:r>
    </w:p>
    <w:p w14:paraId="5F8E1337" w14:textId="77777777" w:rsidR="00756D34" w:rsidRPr="001C2B52" w:rsidRDefault="00756D34" w:rsidP="00756D34">
      <w:pPr>
        <w:widowControl w:val="0"/>
        <w:autoSpaceDE w:val="0"/>
        <w:autoSpaceDN w:val="0"/>
        <w:adjustRightInd w:val="0"/>
        <w:spacing w:after="0" w:line="360" w:lineRule="auto"/>
        <w:ind w:left="567" w:hanging="567"/>
        <w:rPr>
          <w:rFonts w:cstheme="minorHAnsi"/>
          <w:sz w:val="24"/>
          <w:szCs w:val="24"/>
          <w:lang w:val="en-US"/>
        </w:rPr>
      </w:pPr>
      <w:r w:rsidRPr="001C2B52">
        <w:rPr>
          <w:rFonts w:cstheme="minorHAnsi"/>
          <w:sz w:val="24"/>
          <w:szCs w:val="24"/>
          <w:lang w:val="en-US"/>
        </w:rPr>
        <w:t xml:space="preserve">Rogers, C. (1995) </w:t>
      </w:r>
      <w:r>
        <w:rPr>
          <w:rFonts w:cstheme="minorHAnsi"/>
          <w:sz w:val="24"/>
          <w:szCs w:val="24"/>
          <w:lang w:val="en-US"/>
        </w:rPr>
        <w:t>“</w:t>
      </w:r>
      <w:r w:rsidRPr="001C2B52">
        <w:rPr>
          <w:rFonts w:cstheme="minorHAnsi"/>
          <w:sz w:val="24"/>
          <w:szCs w:val="24"/>
          <w:lang w:val="en-US"/>
        </w:rPr>
        <w:t>A way of being</w:t>
      </w:r>
      <w:r>
        <w:rPr>
          <w:rFonts w:cstheme="minorHAnsi"/>
          <w:i/>
          <w:iCs/>
          <w:sz w:val="24"/>
          <w:szCs w:val="24"/>
          <w:lang w:val="en-US"/>
        </w:rPr>
        <w:t>”,</w:t>
      </w:r>
      <w:r w:rsidRPr="001C2B52">
        <w:rPr>
          <w:rFonts w:cstheme="minorHAnsi"/>
          <w:sz w:val="24"/>
          <w:szCs w:val="24"/>
          <w:lang w:val="en-US"/>
        </w:rPr>
        <w:t xml:space="preserve"> Houghton Mifflin Co.</w:t>
      </w:r>
    </w:p>
    <w:p w14:paraId="688400B1" w14:textId="77777777" w:rsidR="00756D34" w:rsidRPr="001C2B52" w:rsidRDefault="00756D34" w:rsidP="00756D34">
      <w:pPr>
        <w:widowControl w:val="0"/>
        <w:autoSpaceDE w:val="0"/>
        <w:autoSpaceDN w:val="0"/>
        <w:adjustRightInd w:val="0"/>
        <w:spacing w:after="0" w:line="360" w:lineRule="auto"/>
        <w:ind w:left="567" w:hanging="567"/>
        <w:rPr>
          <w:rFonts w:cstheme="minorHAnsi"/>
          <w:sz w:val="24"/>
          <w:szCs w:val="24"/>
          <w:lang w:val="en-US"/>
        </w:rPr>
      </w:pPr>
      <w:proofErr w:type="spellStart"/>
      <w:r w:rsidRPr="001C2B52">
        <w:rPr>
          <w:rFonts w:cstheme="minorHAnsi"/>
          <w:sz w:val="24"/>
          <w:szCs w:val="24"/>
          <w:lang w:val="en-US"/>
        </w:rPr>
        <w:t>Soohbany</w:t>
      </w:r>
      <w:proofErr w:type="spellEnd"/>
      <w:r w:rsidRPr="001C2B52">
        <w:rPr>
          <w:rFonts w:cstheme="minorHAnsi"/>
          <w:sz w:val="24"/>
          <w:szCs w:val="24"/>
          <w:lang w:val="en-US"/>
        </w:rPr>
        <w:t xml:space="preserve">, M. (1999) </w:t>
      </w:r>
      <w:r>
        <w:rPr>
          <w:rFonts w:cstheme="minorHAnsi"/>
          <w:sz w:val="24"/>
          <w:szCs w:val="24"/>
          <w:lang w:val="en-US"/>
        </w:rPr>
        <w:t>“</w:t>
      </w:r>
      <w:r w:rsidRPr="001C2B52">
        <w:rPr>
          <w:rFonts w:cstheme="minorHAnsi"/>
          <w:sz w:val="24"/>
          <w:szCs w:val="24"/>
          <w:lang w:val="en-US"/>
        </w:rPr>
        <w:t>Counselling as part of the nursing fabric: where is the evidence? A phenomenological study using ‘reflection on actions’ as a tool for framing the ‘live</w:t>
      </w:r>
      <w:r>
        <w:rPr>
          <w:rFonts w:cstheme="minorHAnsi"/>
          <w:sz w:val="24"/>
          <w:szCs w:val="24"/>
          <w:lang w:val="en-US"/>
        </w:rPr>
        <w:t>”,</w:t>
      </w:r>
      <w:r w:rsidRPr="001C2B52">
        <w:rPr>
          <w:rFonts w:cstheme="minorHAnsi"/>
          <w:sz w:val="24"/>
          <w:szCs w:val="24"/>
          <w:lang w:val="en-US"/>
        </w:rPr>
        <w:t xml:space="preserve"> </w:t>
      </w:r>
      <w:r w:rsidRPr="001C2B52">
        <w:rPr>
          <w:rFonts w:cstheme="minorHAnsi"/>
          <w:i/>
          <w:iCs/>
          <w:sz w:val="24"/>
          <w:szCs w:val="24"/>
          <w:lang w:val="en-US"/>
        </w:rPr>
        <w:t>Nurse Education Today</w:t>
      </w:r>
      <w:r w:rsidRPr="001C2B52">
        <w:rPr>
          <w:rFonts w:cstheme="minorHAnsi"/>
          <w:sz w:val="24"/>
          <w:szCs w:val="24"/>
          <w:lang w:val="en-US"/>
        </w:rPr>
        <w:t>, 19(1), pp.35–40</w:t>
      </w:r>
      <w:r>
        <w:rPr>
          <w:rFonts w:cstheme="minorHAnsi"/>
          <w:sz w:val="24"/>
          <w:szCs w:val="24"/>
          <w:lang w:val="en-US"/>
        </w:rPr>
        <w:t>,</w:t>
      </w:r>
      <w:r w:rsidRPr="001C2B52">
        <w:rPr>
          <w:rFonts w:cstheme="minorHAnsi"/>
          <w:sz w:val="24"/>
          <w:szCs w:val="24"/>
          <w:lang w:val="en-US"/>
        </w:rPr>
        <w:t xml:space="preserve"> doi:</w:t>
      </w:r>
      <w:hyperlink r:id="rId11" w:history="1">
        <w:r w:rsidRPr="001C2B52">
          <w:rPr>
            <w:rFonts w:cstheme="minorHAnsi"/>
            <w:sz w:val="24"/>
            <w:szCs w:val="24"/>
            <w:lang w:val="en-US"/>
          </w:rPr>
          <w:t>10.1054/nedt.1999.0608</w:t>
        </w:r>
      </w:hyperlink>
      <w:r w:rsidRPr="001C2B52">
        <w:rPr>
          <w:rFonts w:cstheme="minorHAnsi"/>
          <w:sz w:val="24"/>
          <w:szCs w:val="24"/>
          <w:lang w:val="en-US"/>
        </w:rPr>
        <w:t>.</w:t>
      </w:r>
    </w:p>
    <w:p w14:paraId="2B1B6CBB" w14:textId="77777777" w:rsidR="00756D34" w:rsidRPr="001C2B52" w:rsidRDefault="00756D34" w:rsidP="00756D34">
      <w:pPr>
        <w:widowControl w:val="0"/>
        <w:autoSpaceDE w:val="0"/>
        <w:autoSpaceDN w:val="0"/>
        <w:adjustRightInd w:val="0"/>
        <w:spacing w:after="0" w:line="360" w:lineRule="auto"/>
        <w:ind w:left="567" w:hanging="567"/>
        <w:rPr>
          <w:rFonts w:cstheme="minorHAnsi"/>
          <w:sz w:val="24"/>
          <w:szCs w:val="24"/>
          <w:lang w:val="en-US"/>
        </w:rPr>
      </w:pPr>
      <w:r w:rsidRPr="001C2B52">
        <w:rPr>
          <w:rFonts w:cstheme="minorHAnsi"/>
          <w:sz w:val="24"/>
          <w:szCs w:val="24"/>
          <w:lang w:val="en-US"/>
        </w:rPr>
        <w:t xml:space="preserve">Stuart, G.W. (2013) </w:t>
      </w:r>
      <w:r>
        <w:rPr>
          <w:rFonts w:cstheme="minorHAnsi"/>
          <w:sz w:val="24"/>
          <w:szCs w:val="24"/>
          <w:lang w:val="en-US"/>
        </w:rPr>
        <w:t>“</w:t>
      </w:r>
      <w:r w:rsidRPr="001C2B52">
        <w:rPr>
          <w:rFonts w:cstheme="minorHAnsi"/>
          <w:sz w:val="24"/>
          <w:szCs w:val="24"/>
          <w:lang w:val="en-US"/>
        </w:rPr>
        <w:t>Principles and practice of psychiatric nursing</w:t>
      </w:r>
      <w:r>
        <w:rPr>
          <w:rFonts w:cstheme="minorHAnsi"/>
          <w:sz w:val="24"/>
          <w:szCs w:val="24"/>
          <w:lang w:val="en-US"/>
        </w:rPr>
        <w:t>”,</w:t>
      </w:r>
      <w:r w:rsidRPr="001C2B52">
        <w:rPr>
          <w:rFonts w:cstheme="minorHAnsi"/>
          <w:sz w:val="24"/>
          <w:szCs w:val="24"/>
          <w:lang w:val="en-US"/>
        </w:rPr>
        <w:t xml:space="preserve"> 10th ed.</w:t>
      </w:r>
      <w:r>
        <w:rPr>
          <w:rFonts w:cstheme="minorHAnsi"/>
          <w:sz w:val="24"/>
          <w:szCs w:val="24"/>
          <w:lang w:val="en-US"/>
        </w:rPr>
        <w:t>,</w:t>
      </w:r>
      <w:r w:rsidRPr="001C2B52">
        <w:rPr>
          <w:rFonts w:cstheme="minorHAnsi"/>
          <w:sz w:val="24"/>
          <w:szCs w:val="24"/>
          <w:lang w:val="en-US"/>
        </w:rPr>
        <w:t xml:space="preserve"> St. Louis, Mo.: Elsevier.</w:t>
      </w:r>
    </w:p>
    <w:p w14:paraId="56270106" w14:textId="77777777" w:rsidR="00756D34" w:rsidRPr="001C2B52" w:rsidRDefault="00756D34" w:rsidP="00756D34">
      <w:pPr>
        <w:widowControl w:val="0"/>
        <w:autoSpaceDE w:val="0"/>
        <w:autoSpaceDN w:val="0"/>
        <w:adjustRightInd w:val="0"/>
        <w:spacing w:after="0" w:line="360" w:lineRule="auto"/>
        <w:ind w:left="567" w:hanging="567"/>
        <w:rPr>
          <w:rFonts w:cstheme="minorHAnsi"/>
          <w:sz w:val="24"/>
          <w:szCs w:val="24"/>
          <w:lang w:val="en-US"/>
        </w:rPr>
      </w:pPr>
      <w:r w:rsidRPr="001C2B52">
        <w:rPr>
          <w:rFonts w:cstheme="minorHAnsi"/>
          <w:sz w:val="24"/>
          <w:szCs w:val="24"/>
          <w:lang w:val="en-US"/>
        </w:rPr>
        <w:t xml:space="preserve">Thorne, B. and Sanders, P. (2013) </w:t>
      </w:r>
      <w:r>
        <w:rPr>
          <w:rFonts w:cstheme="minorHAnsi"/>
          <w:sz w:val="24"/>
          <w:szCs w:val="24"/>
          <w:lang w:val="en-US"/>
        </w:rPr>
        <w:t>“</w:t>
      </w:r>
      <w:r w:rsidRPr="001C2B52">
        <w:rPr>
          <w:rFonts w:cstheme="minorHAnsi"/>
          <w:sz w:val="24"/>
          <w:szCs w:val="24"/>
          <w:lang w:val="en-US"/>
        </w:rPr>
        <w:t>Rogers’ Major Practical Contributions</w:t>
      </w:r>
      <w:r>
        <w:rPr>
          <w:rFonts w:cstheme="minorHAnsi"/>
          <w:sz w:val="24"/>
          <w:szCs w:val="24"/>
          <w:lang w:val="en-US"/>
        </w:rPr>
        <w:t>”</w:t>
      </w:r>
      <w:r w:rsidRPr="001C2B52">
        <w:rPr>
          <w:rFonts w:cstheme="minorHAnsi"/>
          <w:sz w:val="24"/>
          <w:szCs w:val="24"/>
          <w:lang w:val="en-US"/>
        </w:rPr>
        <w:t xml:space="preserve">. In: </w:t>
      </w:r>
      <w:r w:rsidRPr="001C2B52">
        <w:rPr>
          <w:rFonts w:cstheme="minorHAnsi"/>
          <w:i/>
          <w:iCs/>
          <w:sz w:val="24"/>
          <w:szCs w:val="24"/>
          <w:lang w:val="en-US"/>
        </w:rPr>
        <w:t>Carl Rogers</w:t>
      </w:r>
      <w:r w:rsidRPr="001C2B52">
        <w:rPr>
          <w:rFonts w:cstheme="minorHAnsi"/>
          <w:sz w:val="24"/>
          <w:szCs w:val="24"/>
          <w:lang w:val="en-US"/>
        </w:rPr>
        <w:t xml:space="preserve">. SAGE Publications Ltd. Available at: </w:t>
      </w:r>
      <w:hyperlink r:id="rId12" w:history="1">
        <w:r w:rsidRPr="001C2B52">
          <w:rPr>
            <w:rFonts w:cstheme="minorHAnsi"/>
            <w:sz w:val="24"/>
            <w:szCs w:val="24"/>
            <w:lang w:val="en-US"/>
          </w:rPr>
          <w:t>https://dx.doi.org/10.4135/9781446289051</w:t>
        </w:r>
      </w:hyperlink>
      <w:r w:rsidRPr="001C2B52">
        <w:rPr>
          <w:rFonts w:cstheme="minorHAnsi"/>
          <w:sz w:val="24"/>
          <w:szCs w:val="24"/>
          <w:lang w:val="en-US"/>
        </w:rPr>
        <w:t xml:space="preserve"> </w:t>
      </w:r>
      <w:r>
        <w:rPr>
          <w:rFonts w:cstheme="minorHAnsi"/>
          <w:sz w:val="24"/>
          <w:szCs w:val="24"/>
          <w:lang w:val="en-US"/>
        </w:rPr>
        <w:t>(</w:t>
      </w:r>
      <w:r w:rsidRPr="001C2B52">
        <w:rPr>
          <w:rFonts w:cstheme="minorHAnsi"/>
          <w:sz w:val="24"/>
          <w:szCs w:val="24"/>
          <w:lang w:val="en-US"/>
        </w:rPr>
        <w:t>Accessed 29 Jun. 2022</w:t>
      </w:r>
      <w:r>
        <w:rPr>
          <w:rFonts w:cstheme="minorHAnsi"/>
          <w:sz w:val="24"/>
          <w:szCs w:val="24"/>
          <w:lang w:val="en-US"/>
        </w:rPr>
        <w:t>)</w:t>
      </w:r>
      <w:r w:rsidRPr="001C2B52">
        <w:rPr>
          <w:rFonts w:cstheme="minorHAnsi"/>
          <w:sz w:val="24"/>
          <w:szCs w:val="24"/>
          <w:lang w:val="en-US"/>
        </w:rPr>
        <w:t>.</w:t>
      </w:r>
    </w:p>
    <w:p w14:paraId="315F1AC6" w14:textId="77777777" w:rsidR="00756D34" w:rsidRPr="001C2B52" w:rsidRDefault="00756D34" w:rsidP="00756D34">
      <w:pPr>
        <w:widowControl w:val="0"/>
        <w:autoSpaceDE w:val="0"/>
        <w:autoSpaceDN w:val="0"/>
        <w:adjustRightInd w:val="0"/>
        <w:spacing w:after="0" w:line="360" w:lineRule="auto"/>
        <w:ind w:left="567" w:hanging="567"/>
        <w:rPr>
          <w:rFonts w:cstheme="minorHAnsi"/>
          <w:sz w:val="24"/>
          <w:szCs w:val="24"/>
          <w:lang w:val="en-US"/>
        </w:rPr>
      </w:pPr>
      <w:r w:rsidRPr="001C2B52">
        <w:rPr>
          <w:rFonts w:cstheme="minorHAnsi"/>
          <w:sz w:val="24"/>
          <w:szCs w:val="24"/>
          <w:lang w:val="en-US"/>
        </w:rPr>
        <w:t xml:space="preserve">Tudor, K. and Worrall, M. (2006) </w:t>
      </w:r>
      <w:r>
        <w:rPr>
          <w:rFonts w:cstheme="minorHAnsi"/>
          <w:sz w:val="24"/>
          <w:szCs w:val="24"/>
          <w:lang w:val="en-US"/>
        </w:rPr>
        <w:t>“</w:t>
      </w:r>
      <w:r w:rsidRPr="00D610EA">
        <w:rPr>
          <w:rFonts w:cstheme="minorHAnsi"/>
          <w:sz w:val="24"/>
          <w:szCs w:val="24"/>
          <w:lang w:val="en-US"/>
        </w:rPr>
        <w:t>Person-</w:t>
      </w:r>
      <w:proofErr w:type="spellStart"/>
      <w:r w:rsidRPr="00D610EA">
        <w:rPr>
          <w:rFonts w:cstheme="minorHAnsi"/>
          <w:sz w:val="24"/>
          <w:szCs w:val="24"/>
          <w:lang w:val="en-US"/>
        </w:rPr>
        <w:t>centred</w:t>
      </w:r>
      <w:proofErr w:type="spellEnd"/>
      <w:r w:rsidRPr="00D610EA">
        <w:rPr>
          <w:rFonts w:cstheme="minorHAnsi"/>
          <w:sz w:val="24"/>
          <w:szCs w:val="24"/>
          <w:lang w:val="en-US"/>
        </w:rPr>
        <w:t xml:space="preserve"> therapy: a clinical philosophy / Keith Tudor and Mike Worrall</w:t>
      </w:r>
      <w:r>
        <w:rPr>
          <w:rFonts w:cstheme="minorHAnsi"/>
          <w:i/>
          <w:iCs/>
          <w:sz w:val="24"/>
          <w:szCs w:val="24"/>
          <w:lang w:val="en-US"/>
        </w:rPr>
        <w:t>”,</w:t>
      </w:r>
      <w:r w:rsidRPr="001C2B52">
        <w:rPr>
          <w:rFonts w:cstheme="minorHAnsi"/>
          <w:sz w:val="24"/>
          <w:szCs w:val="24"/>
          <w:lang w:val="en-US"/>
        </w:rPr>
        <w:t xml:space="preserve"> Routledge.</w:t>
      </w:r>
    </w:p>
    <w:p w14:paraId="111B95BC" w14:textId="07EEC5B7" w:rsidR="00756D34" w:rsidRPr="00756D34" w:rsidRDefault="00756D34" w:rsidP="00756D34">
      <w:pPr>
        <w:widowControl w:val="0"/>
        <w:autoSpaceDE w:val="0"/>
        <w:autoSpaceDN w:val="0"/>
        <w:adjustRightInd w:val="0"/>
        <w:spacing w:after="0" w:line="360" w:lineRule="auto"/>
        <w:ind w:left="567" w:hanging="567"/>
        <w:rPr>
          <w:color w:val="0070C0"/>
          <w:sz w:val="24"/>
          <w:szCs w:val="24"/>
        </w:rPr>
      </w:pPr>
      <w:r w:rsidRPr="001C2B52">
        <w:rPr>
          <w:rFonts w:cstheme="minorHAnsi"/>
          <w:sz w:val="24"/>
          <w:szCs w:val="24"/>
          <w:lang w:val="en-US"/>
        </w:rPr>
        <w:t xml:space="preserve">Wickman, S.A. and Campbell, C. (2003) </w:t>
      </w:r>
      <w:r>
        <w:rPr>
          <w:rFonts w:cstheme="minorHAnsi"/>
          <w:sz w:val="24"/>
          <w:szCs w:val="24"/>
          <w:lang w:val="en-US"/>
        </w:rPr>
        <w:t>“</w:t>
      </w:r>
      <w:r w:rsidRPr="001C2B52">
        <w:rPr>
          <w:rFonts w:cstheme="minorHAnsi"/>
          <w:sz w:val="24"/>
          <w:szCs w:val="24"/>
          <w:lang w:val="en-US"/>
        </w:rPr>
        <w:t>An Analysis of How Carl Rogers Enacted Client-Centered Conversation With Gloria</w:t>
      </w:r>
      <w:r>
        <w:rPr>
          <w:rFonts w:cstheme="minorHAnsi"/>
          <w:sz w:val="24"/>
          <w:szCs w:val="24"/>
          <w:lang w:val="en-US"/>
        </w:rPr>
        <w:t>”,</w:t>
      </w:r>
      <w:r w:rsidRPr="001C2B52">
        <w:rPr>
          <w:rFonts w:cstheme="minorHAnsi"/>
          <w:sz w:val="24"/>
          <w:szCs w:val="24"/>
          <w:lang w:val="en-US"/>
        </w:rPr>
        <w:t xml:space="preserve"> </w:t>
      </w:r>
      <w:r w:rsidRPr="001C2B52">
        <w:rPr>
          <w:rFonts w:cstheme="minorHAnsi"/>
          <w:i/>
          <w:iCs/>
          <w:sz w:val="24"/>
          <w:szCs w:val="24"/>
          <w:lang w:val="en-US"/>
        </w:rPr>
        <w:t>Journal of Counseling &amp; Development</w:t>
      </w:r>
      <w:r w:rsidRPr="001C2B52">
        <w:rPr>
          <w:rFonts w:cstheme="minorHAnsi"/>
          <w:sz w:val="24"/>
          <w:szCs w:val="24"/>
          <w:lang w:val="en-US"/>
        </w:rPr>
        <w:t>, 81(2), pp.178–184</w:t>
      </w:r>
      <w:r>
        <w:rPr>
          <w:rFonts w:cstheme="minorHAnsi"/>
          <w:sz w:val="24"/>
          <w:szCs w:val="24"/>
          <w:lang w:val="en-US"/>
        </w:rPr>
        <w:t>,</w:t>
      </w:r>
      <w:r w:rsidRPr="001C2B52">
        <w:rPr>
          <w:rFonts w:cstheme="minorHAnsi"/>
          <w:sz w:val="24"/>
          <w:szCs w:val="24"/>
          <w:lang w:val="en-US"/>
        </w:rPr>
        <w:t xml:space="preserve"> doi:</w:t>
      </w:r>
      <w:hyperlink r:id="rId13" w:history="1">
        <w:r w:rsidRPr="001C2B52">
          <w:rPr>
            <w:rFonts w:cstheme="minorHAnsi"/>
            <w:sz w:val="24"/>
            <w:szCs w:val="24"/>
            <w:lang w:val="en-US"/>
          </w:rPr>
          <w:t>10.1002/j.1556-6678.2003.tb00239.x</w:t>
        </w:r>
      </w:hyperlink>
      <w:r w:rsidRPr="001C2B52">
        <w:rPr>
          <w:rFonts w:cstheme="minorHAnsi"/>
          <w:sz w:val="24"/>
          <w:szCs w:val="24"/>
          <w:lang w:val="en-US"/>
        </w:rPr>
        <w:t>.</w:t>
      </w:r>
    </w:p>
    <w:sectPr w:rsidR="00756D34" w:rsidRPr="00756D34" w:rsidSect="006616AB">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F1E1D" w14:textId="77777777" w:rsidR="00A00AD4" w:rsidRDefault="00A00AD4" w:rsidP="00EB6051">
      <w:pPr>
        <w:spacing w:after="0" w:line="240" w:lineRule="auto"/>
      </w:pPr>
      <w:r>
        <w:separator/>
      </w:r>
    </w:p>
  </w:endnote>
  <w:endnote w:type="continuationSeparator" w:id="0">
    <w:p w14:paraId="1A1EE209" w14:textId="77777777" w:rsidR="00A00AD4" w:rsidRDefault="00A00AD4" w:rsidP="00EB60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F27CF" w14:textId="77777777" w:rsidR="00A00AD4" w:rsidRDefault="00A00AD4" w:rsidP="00EB6051">
      <w:pPr>
        <w:spacing w:after="0" w:line="240" w:lineRule="auto"/>
      </w:pPr>
      <w:r>
        <w:separator/>
      </w:r>
    </w:p>
  </w:footnote>
  <w:footnote w:type="continuationSeparator" w:id="0">
    <w:p w14:paraId="1ABF4622" w14:textId="77777777" w:rsidR="00A00AD4" w:rsidRDefault="00A00AD4" w:rsidP="00EB60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985D7" w14:textId="142BFA66" w:rsidR="00EB6051" w:rsidRDefault="00EB6051">
    <w:pPr>
      <w:pStyle w:val="Header"/>
    </w:pPr>
    <w:r>
      <w:t>Video Critique                                                                                                     Simona G. Hascec (2117559)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5E1"/>
    <w:rsid w:val="000041BD"/>
    <w:rsid w:val="00005EB8"/>
    <w:rsid w:val="00010BB0"/>
    <w:rsid w:val="00032AA0"/>
    <w:rsid w:val="000341D9"/>
    <w:rsid w:val="00036353"/>
    <w:rsid w:val="0004360E"/>
    <w:rsid w:val="00044D35"/>
    <w:rsid w:val="00054E55"/>
    <w:rsid w:val="00056684"/>
    <w:rsid w:val="0006457F"/>
    <w:rsid w:val="00065F34"/>
    <w:rsid w:val="00071560"/>
    <w:rsid w:val="00072ED0"/>
    <w:rsid w:val="000811B0"/>
    <w:rsid w:val="00081AE8"/>
    <w:rsid w:val="000A6E79"/>
    <w:rsid w:val="000C1499"/>
    <w:rsid w:val="000C5CA0"/>
    <w:rsid w:val="000D5100"/>
    <w:rsid w:val="000E002B"/>
    <w:rsid w:val="000E1CBF"/>
    <w:rsid w:val="000F1C3B"/>
    <w:rsid w:val="000F408C"/>
    <w:rsid w:val="00104B76"/>
    <w:rsid w:val="001131D9"/>
    <w:rsid w:val="00117FF2"/>
    <w:rsid w:val="00124074"/>
    <w:rsid w:val="00130F84"/>
    <w:rsid w:val="00137220"/>
    <w:rsid w:val="00156E2E"/>
    <w:rsid w:val="00170E6A"/>
    <w:rsid w:val="0018474A"/>
    <w:rsid w:val="00190908"/>
    <w:rsid w:val="001A0F44"/>
    <w:rsid w:val="001B5F0B"/>
    <w:rsid w:val="001C4454"/>
    <w:rsid w:val="001D6BE0"/>
    <w:rsid w:val="001F286A"/>
    <w:rsid w:val="001F5878"/>
    <w:rsid w:val="001F62C5"/>
    <w:rsid w:val="002075CD"/>
    <w:rsid w:val="0022694E"/>
    <w:rsid w:val="00230B43"/>
    <w:rsid w:val="0023717F"/>
    <w:rsid w:val="00265FD6"/>
    <w:rsid w:val="00266E04"/>
    <w:rsid w:val="00276834"/>
    <w:rsid w:val="00281BBF"/>
    <w:rsid w:val="002978D7"/>
    <w:rsid w:val="002A0DB0"/>
    <w:rsid w:val="002A1EC4"/>
    <w:rsid w:val="002B0142"/>
    <w:rsid w:val="002B7204"/>
    <w:rsid w:val="002D1862"/>
    <w:rsid w:val="002D1CDB"/>
    <w:rsid w:val="002D292A"/>
    <w:rsid w:val="0030403E"/>
    <w:rsid w:val="003210A3"/>
    <w:rsid w:val="003311E6"/>
    <w:rsid w:val="0033473D"/>
    <w:rsid w:val="00334C09"/>
    <w:rsid w:val="0034030C"/>
    <w:rsid w:val="00354254"/>
    <w:rsid w:val="0035583A"/>
    <w:rsid w:val="0035648E"/>
    <w:rsid w:val="00382F86"/>
    <w:rsid w:val="00385E1E"/>
    <w:rsid w:val="00391BD7"/>
    <w:rsid w:val="00393533"/>
    <w:rsid w:val="003952F0"/>
    <w:rsid w:val="003A0323"/>
    <w:rsid w:val="003A0A45"/>
    <w:rsid w:val="003A59DF"/>
    <w:rsid w:val="003C71F8"/>
    <w:rsid w:val="003C7FF6"/>
    <w:rsid w:val="003D16F5"/>
    <w:rsid w:val="003D3E6A"/>
    <w:rsid w:val="003D7C09"/>
    <w:rsid w:val="003E5C97"/>
    <w:rsid w:val="003E7C04"/>
    <w:rsid w:val="003F789D"/>
    <w:rsid w:val="0040022F"/>
    <w:rsid w:val="00402BE1"/>
    <w:rsid w:val="00410CCA"/>
    <w:rsid w:val="00415888"/>
    <w:rsid w:val="0043426C"/>
    <w:rsid w:val="004348F2"/>
    <w:rsid w:val="00442973"/>
    <w:rsid w:val="00445FF5"/>
    <w:rsid w:val="004510C0"/>
    <w:rsid w:val="00451DC5"/>
    <w:rsid w:val="0046509A"/>
    <w:rsid w:val="00470506"/>
    <w:rsid w:val="00474361"/>
    <w:rsid w:val="0048200A"/>
    <w:rsid w:val="00485B95"/>
    <w:rsid w:val="004A2759"/>
    <w:rsid w:val="004B021F"/>
    <w:rsid w:val="004C50CF"/>
    <w:rsid w:val="004E294F"/>
    <w:rsid w:val="004F07FE"/>
    <w:rsid w:val="004F0CF5"/>
    <w:rsid w:val="004F1C89"/>
    <w:rsid w:val="004F441E"/>
    <w:rsid w:val="004F7AFC"/>
    <w:rsid w:val="00500A51"/>
    <w:rsid w:val="005011B7"/>
    <w:rsid w:val="00504A92"/>
    <w:rsid w:val="00517AB5"/>
    <w:rsid w:val="00520BE7"/>
    <w:rsid w:val="005306A0"/>
    <w:rsid w:val="00546ABF"/>
    <w:rsid w:val="00556A22"/>
    <w:rsid w:val="0056311B"/>
    <w:rsid w:val="00575B9D"/>
    <w:rsid w:val="005A6719"/>
    <w:rsid w:val="005A68DC"/>
    <w:rsid w:val="005C0861"/>
    <w:rsid w:val="005C29A0"/>
    <w:rsid w:val="005E1EC6"/>
    <w:rsid w:val="005E289B"/>
    <w:rsid w:val="005E2E96"/>
    <w:rsid w:val="005E4258"/>
    <w:rsid w:val="005E7D55"/>
    <w:rsid w:val="005F6934"/>
    <w:rsid w:val="0060548F"/>
    <w:rsid w:val="00621EFA"/>
    <w:rsid w:val="00623C73"/>
    <w:rsid w:val="00625829"/>
    <w:rsid w:val="00627791"/>
    <w:rsid w:val="00647609"/>
    <w:rsid w:val="00655F44"/>
    <w:rsid w:val="00660031"/>
    <w:rsid w:val="006616AB"/>
    <w:rsid w:val="006770DA"/>
    <w:rsid w:val="006815C0"/>
    <w:rsid w:val="006A5B4A"/>
    <w:rsid w:val="006A71D6"/>
    <w:rsid w:val="006B39E2"/>
    <w:rsid w:val="006B4A22"/>
    <w:rsid w:val="006C5BA6"/>
    <w:rsid w:val="006D0854"/>
    <w:rsid w:val="006E2AF0"/>
    <w:rsid w:val="006F1119"/>
    <w:rsid w:val="006F487E"/>
    <w:rsid w:val="006F6B70"/>
    <w:rsid w:val="00700A28"/>
    <w:rsid w:val="00702DAF"/>
    <w:rsid w:val="00712B29"/>
    <w:rsid w:val="0071625E"/>
    <w:rsid w:val="00724A4B"/>
    <w:rsid w:val="00733095"/>
    <w:rsid w:val="00733CBC"/>
    <w:rsid w:val="0074303E"/>
    <w:rsid w:val="00753E30"/>
    <w:rsid w:val="00755A2A"/>
    <w:rsid w:val="00755D8A"/>
    <w:rsid w:val="00756D34"/>
    <w:rsid w:val="00761F27"/>
    <w:rsid w:val="00774DCF"/>
    <w:rsid w:val="007760E5"/>
    <w:rsid w:val="00776AE9"/>
    <w:rsid w:val="00777027"/>
    <w:rsid w:val="00784DF1"/>
    <w:rsid w:val="00785DB9"/>
    <w:rsid w:val="00792F71"/>
    <w:rsid w:val="007977CC"/>
    <w:rsid w:val="007B31FC"/>
    <w:rsid w:val="007D63A5"/>
    <w:rsid w:val="007D7D93"/>
    <w:rsid w:val="0081292B"/>
    <w:rsid w:val="008159C6"/>
    <w:rsid w:val="008164A4"/>
    <w:rsid w:val="00823057"/>
    <w:rsid w:val="00830073"/>
    <w:rsid w:val="008326C5"/>
    <w:rsid w:val="008415D4"/>
    <w:rsid w:val="008477CC"/>
    <w:rsid w:val="00867B85"/>
    <w:rsid w:val="0087376A"/>
    <w:rsid w:val="0087517B"/>
    <w:rsid w:val="008770AD"/>
    <w:rsid w:val="00880805"/>
    <w:rsid w:val="008830ED"/>
    <w:rsid w:val="008A3BC1"/>
    <w:rsid w:val="008A5EBA"/>
    <w:rsid w:val="008A60B3"/>
    <w:rsid w:val="008A79CE"/>
    <w:rsid w:val="008B26B9"/>
    <w:rsid w:val="008B4D3F"/>
    <w:rsid w:val="008B6B83"/>
    <w:rsid w:val="008C750F"/>
    <w:rsid w:val="008C7C8C"/>
    <w:rsid w:val="008F5926"/>
    <w:rsid w:val="0090664E"/>
    <w:rsid w:val="009137A4"/>
    <w:rsid w:val="00915541"/>
    <w:rsid w:val="009432C9"/>
    <w:rsid w:val="00971B48"/>
    <w:rsid w:val="00972F96"/>
    <w:rsid w:val="00974903"/>
    <w:rsid w:val="00984E1E"/>
    <w:rsid w:val="00994C8A"/>
    <w:rsid w:val="009B5A19"/>
    <w:rsid w:val="009C0E34"/>
    <w:rsid w:val="009C74E3"/>
    <w:rsid w:val="009C7876"/>
    <w:rsid w:val="009F468B"/>
    <w:rsid w:val="009F4B2A"/>
    <w:rsid w:val="00A00AD4"/>
    <w:rsid w:val="00A05B77"/>
    <w:rsid w:val="00A05D57"/>
    <w:rsid w:val="00A06DFA"/>
    <w:rsid w:val="00A40DA7"/>
    <w:rsid w:val="00A5340A"/>
    <w:rsid w:val="00A5530B"/>
    <w:rsid w:val="00A605E1"/>
    <w:rsid w:val="00A77DD5"/>
    <w:rsid w:val="00A9618D"/>
    <w:rsid w:val="00AA29F7"/>
    <w:rsid w:val="00AC17C4"/>
    <w:rsid w:val="00AC5A95"/>
    <w:rsid w:val="00AF5946"/>
    <w:rsid w:val="00B118E7"/>
    <w:rsid w:val="00B15951"/>
    <w:rsid w:val="00B33F1E"/>
    <w:rsid w:val="00B46C4A"/>
    <w:rsid w:val="00B50A2B"/>
    <w:rsid w:val="00B51639"/>
    <w:rsid w:val="00B53366"/>
    <w:rsid w:val="00B555BA"/>
    <w:rsid w:val="00B638CC"/>
    <w:rsid w:val="00B671AD"/>
    <w:rsid w:val="00B73F4D"/>
    <w:rsid w:val="00B87A3A"/>
    <w:rsid w:val="00BA3BD2"/>
    <w:rsid w:val="00BA790C"/>
    <w:rsid w:val="00BB2FC8"/>
    <w:rsid w:val="00BB681D"/>
    <w:rsid w:val="00BB6E01"/>
    <w:rsid w:val="00BC226F"/>
    <w:rsid w:val="00BE3D45"/>
    <w:rsid w:val="00C11514"/>
    <w:rsid w:val="00C1356E"/>
    <w:rsid w:val="00C13586"/>
    <w:rsid w:val="00C36C5C"/>
    <w:rsid w:val="00C3703A"/>
    <w:rsid w:val="00C545D8"/>
    <w:rsid w:val="00C60115"/>
    <w:rsid w:val="00C75C77"/>
    <w:rsid w:val="00C762E1"/>
    <w:rsid w:val="00C7656C"/>
    <w:rsid w:val="00CB308E"/>
    <w:rsid w:val="00CB5D92"/>
    <w:rsid w:val="00CC1D36"/>
    <w:rsid w:val="00CC76A4"/>
    <w:rsid w:val="00CE36A0"/>
    <w:rsid w:val="00D10673"/>
    <w:rsid w:val="00D115F4"/>
    <w:rsid w:val="00D1504F"/>
    <w:rsid w:val="00D1748F"/>
    <w:rsid w:val="00D215AE"/>
    <w:rsid w:val="00D26EBD"/>
    <w:rsid w:val="00D40049"/>
    <w:rsid w:val="00D52128"/>
    <w:rsid w:val="00D62605"/>
    <w:rsid w:val="00D62DB5"/>
    <w:rsid w:val="00D76386"/>
    <w:rsid w:val="00D80A07"/>
    <w:rsid w:val="00D848FB"/>
    <w:rsid w:val="00D86399"/>
    <w:rsid w:val="00D92CD4"/>
    <w:rsid w:val="00D9546B"/>
    <w:rsid w:val="00DA4052"/>
    <w:rsid w:val="00DB19CC"/>
    <w:rsid w:val="00DB27CD"/>
    <w:rsid w:val="00DC331B"/>
    <w:rsid w:val="00DC4D02"/>
    <w:rsid w:val="00DD573E"/>
    <w:rsid w:val="00DD6FA5"/>
    <w:rsid w:val="00E0407C"/>
    <w:rsid w:val="00E07FD7"/>
    <w:rsid w:val="00E1184D"/>
    <w:rsid w:val="00E222E8"/>
    <w:rsid w:val="00E35F09"/>
    <w:rsid w:val="00E42DAD"/>
    <w:rsid w:val="00E463DF"/>
    <w:rsid w:val="00E473CD"/>
    <w:rsid w:val="00E51074"/>
    <w:rsid w:val="00E620ED"/>
    <w:rsid w:val="00E7738C"/>
    <w:rsid w:val="00E85DBD"/>
    <w:rsid w:val="00EB5486"/>
    <w:rsid w:val="00EB6051"/>
    <w:rsid w:val="00ED0492"/>
    <w:rsid w:val="00ED6E76"/>
    <w:rsid w:val="00ED794A"/>
    <w:rsid w:val="00EE1C1A"/>
    <w:rsid w:val="00EE3B7C"/>
    <w:rsid w:val="00F0206D"/>
    <w:rsid w:val="00F147AD"/>
    <w:rsid w:val="00F149A7"/>
    <w:rsid w:val="00F20452"/>
    <w:rsid w:val="00F2670B"/>
    <w:rsid w:val="00F276BF"/>
    <w:rsid w:val="00F543E2"/>
    <w:rsid w:val="00F64EDA"/>
    <w:rsid w:val="00F726F4"/>
    <w:rsid w:val="00F72C49"/>
    <w:rsid w:val="00F8685F"/>
    <w:rsid w:val="00F87D48"/>
    <w:rsid w:val="00F90DCC"/>
    <w:rsid w:val="00FA6675"/>
    <w:rsid w:val="00FC6B0A"/>
    <w:rsid w:val="00FD3FDB"/>
    <w:rsid w:val="00FE194A"/>
    <w:rsid w:val="00FE4075"/>
    <w:rsid w:val="00FF04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B4590"/>
  <w15:chartTrackingRefBased/>
  <w15:docId w15:val="{CD03A8F1-8702-456E-9BAE-F81C80773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E29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E294F"/>
    <w:rPr>
      <w:i/>
      <w:iCs/>
    </w:rPr>
  </w:style>
  <w:style w:type="character" w:styleId="Hyperlink">
    <w:name w:val="Hyperlink"/>
    <w:basedOn w:val="DefaultParagraphFont"/>
    <w:uiPriority w:val="99"/>
    <w:semiHidden/>
    <w:unhideWhenUsed/>
    <w:rsid w:val="00A40DA7"/>
    <w:rPr>
      <w:color w:val="0000FF"/>
      <w:u w:val="single"/>
    </w:rPr>
  </w:style>
  <w:style w:type="paragraph" w:styleId="NoSpacing">
    <w:name w:val="No Spacing"/>
    <w:link w:val="NoSpacingChar"/>
    <w:uiPriority w:val="1"/>
    <w:qFormat/>
    <w:rsid w:val="006616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16AB"/>
    <w:rPr>
      <w:rFonts w:eastAsiaTheme="minorEastAsia"/>
      <w:lang w:val="en-US"/>
    </w:rPr>
  </w:style>
  <w:style w:type="paragraph" w:styleId="Header">
    <w:name w:val="header"/>
    <w:basedOn w:val="Normal"/>
    <w:link w:val="HeaderChar"/>
    <w:uiPriority w:val="99"/>
    <w:unhideWhenUsed/>
    <w:rsid w:val="00EB60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051"/>
  </w:style>
  <w:style w:type="paragraph" w:styleId="Footer">
    <w:name w:val="footer"/>
    <w:basedOn w:val="Normal"/>
    <w:link w:val="FooterChar"/>
    <w:uiPriority w:val="99"/>
    <w:unhideWhenUsed/>
    <w:rsid w:val="00EB60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0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686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10.1002/j.1556-6678.2003.tb00239.x"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x.doi.org/10.4135/978144628905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10.1054/nedt.1999.0608"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10.1080/14779757.2012.740322" TargetMode="External"/><Relationship Id="rId4" Type="http://schemas.openxmlformats.org/officeDocument/2006/relationships/webSettings" Target="webSettings.xml"/><Relationship Id="rId9" Type="http://schemas.openxmlformats.org/officeDocument/2006/relationships/hyperlink" Target="10.1002/j.1556-6678.2007.tb00475.x"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F6B14C-5438-4220-91B5-69B17A89C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7555</TotalTime>
  <Pages>5</Pages>
  <Words>1431</Words>
  <Characters>8159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 critique</dc:title>
  <dc:subject>Communication and Counselling – BMHP4001</dc:subject>
  <dc:creator>Simona G. Hascec (2117559)</dc:creator>
  <cp:keywords/>
  <dc:description/>
  <cp:lastModifiedBy>Simona Hascec (2117559)</cp:lastModifiedBy>
  <cp:revision>73</cp:revision>
  <cp:lastPrinted>2022-07-09T17:27:00Z</cp:lastPrinted>
  <dcterms:created xsi:type="dcterms:W3CDTF">2022-06-24T11:36:00Z</dcterms:created>
  <dcterms:modified xsi:type="dcterms:W3CDTF">2022-07-09T19:05:00Z</dcterms:modified>
</cp:coreProperties>
</file>