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0ECD7" w14:textId="77777777" w:rsidR="00104B4E" w:rsidRPr="006107D2" w:rsidRDefault="00104B4E" w:rsidP="00E80152">
      <w:pPr>
        <w:rPr>
          <w:rFonts w:ascii="Arial" w:hAnsi="Arial" w:cs="Arial"/>
        </w:rPr>
      </w:pPr>
      <w:r w:rsidRPr="006107D2">
        <w:rPr>
          <w:rFonts w:ascii="Arial" w:hAnsi="Arial" w:cs="Arial"/>
          <w:b/>
          <w:bCs/>
        </w:rPr>
        <w:t>Student</w:t>
      </w:r>
      <w:r w:rsidRPr="006107D2">
        <w:rPr>
          <w:rFonts w:ascii="Arial" w:hAnsi="Arial" w:cs="Arial"/>
        </w:rPr>
        <w:t xml:space="preserve">: </w:t>
      </w:r>
      <w:r w:rsidR="00E80152" w:rsidRPr="006107D2">
        <w:rPr>
          <w:rFonts w:ascii="Arial" w:hAnsi="Arial" w:cs="Arial"/>
        </w:rPr>
        <w:t>Precious Lewis</w:t>
      </w:r>
    </w:p>
    <w:p w14:paraId="7AE6957B" w14:textId="64F7ADC8" w:rsidR="00E80152" w:rsidRPr="006107D2" w:rsidRDefault="00104B4E" w:rsidP="00E80152">
      <w:pPr>
        <w:rPr>
          <w:rFonts w:ascii="Arial" w:hAnsi="Arial" w:cs="Arial"/>
        </w:rPr>
      </w:pPr>
      <w:r w:rsidRPr="006107D2">
        <w:rPr>
          <w:rFonts w:ascii="Arial" w:hAnsi="Arial" w:cs="Arial"/>
          <w:b/>
          <w:bCs/>
        </w:rPr>
        <w:t>Student number</w:t>
      </w:r>
      <w:r w:rsidRPr="006107D2">
        <w:rPr>
          <w:rFonts w:ascii="Arial" w:hAnsi="Arial" w:cs="Arial"/>
        </w:rPr>
        <w:t>:</w:t>
      </w:r>
      <w:r w:rsidR="00E80152" w:rsidRPr="006107D2">
        <w:rPr>
          <w:rFonts w:ascii="Arial" w:hAnsi="Arial" w:cs="Arial"/>
        </w:rPr>
        <w:t xml:space="preserve"> 2328179</w:t>
      </w:r>
    </w:p>
    <w:p w14:paraId="577609E5" w14:textId="11FDE163" w:rsidR="00A96F33" w:rsidRPr="006107D2" w:rsidRDefault="00A96F33" w:rsidP="00E80152">
      <w:pPr>
        <w:rPr>
          <w:rFonts w:ascii="Arial" w:hAnsi="Arial" w:cs="Arial"/>
        </w:rPr>
      </w:pPr>
      <w:r w:rsidRPr="006107D2">
        <w:rPr>
          <w:rFonts w:ascii="Arial" w:hAnsi="Arial" w:cs="Arial"/>
          <w:b/>
          <w:bCs/>
        </w:rPr>
        <w:t>Submission date:</w:t>
      </w:r>
      <w:r w:rsidRPr="006107D2">
        <w:rPr>
          <w:rFonts w:ascii="Arial" w:hAnsi="Arial" w:cs="Arial"/>
        </w:rPr>
        <w:t xml:space="preserve"> 17th November 2025</w:t>
      </w:r>
    </w:p>
    <w:p w14:paraId="7B0188FD" w14:textId="2C0ADA2A" w:rsidR="00E80152" w:rsidRPr="006107D2" w:rsidRDefault="00104B4E" w:rsidP="00E80152">
      <w:pPr>
        <w:rPr>
          <w:rFonts w:ascii="Arial" w:hAnsi="Arial" w:cs="Arial"/>
        </w:rPr>
      </w:pPr>
      <w:r w:rsidRPr="006107D2">
        <w:rPr>
          <w:rFonts w:ascii="Arial" w:hAnsi="Arial" w:cs="Arial"/>
          <w:b/>
          <w:bCs/>
        </w:rPr>
        <w:t>Module:</w:t>
      </w:r>
      <w:r w:rsidRPr="006107D2">
        <w:rPr>
          <w:rFonts w:ascii="Arial" w:hAnsi="Arial" w:cs="Arial"/>
        </w:rPr>
        <w:t xml:space="preserve"> </w:t>
      </w:r>
      <w:r w:rsidR="00E80152" w:rsidRPr="006107D2">
        <w:rPr>
          <w:rFonts w:ascii="Arial" w:hAnsi="Arial" w:cs="Arial"/>
        </w:rPr>
        <w:t>Principles of Health and Social Care BMHP5016</w:t>
      </w:r>
    </w:p>
    <w:p w14:paraId="04F1551D" w14:textId="77777777" w:rsidR="00E80152" w:rsidRPr="006107D2" w:rsidRDefault="00E80152" w:rsidP="00E80152">
      <w:pPr>
        <w:rPr>
          <w:rFonts w:ascii="Arial" w:hAnsi="Arial" w:cs="Arial"/>
        </w:rPr>
      </w:pPr>
      <w:r w:rsidRPr="006107D2">
        <w:rPr>
          <w:rFonts w:ascii="Arial" w:hAnsi="Arial" w:cs="Arial"/>
          <w:b/>
          <w:bCs/>
        </w:rPr>
        <w:t>Lecturer</w:t>
      </w:r>
      <w:r w:rsidRPr="006107D2">
        <w:rPr>
          <w:rFonts w:ascii="Arial" w:hAnsi="Arial" w:cs="Arial"/>
        </w:rPr>
        <w:t>: Debra Odeh</w:t>
      </w:r>
    </w:p>
    <w:p w14:paraId="395AEF1C" w14:textId="15DAFB8E" w:rsidR="00E80152" w:rsidRPr="006107D2" w:rsidRDefault="00E80152" w:rsidP="00E80152">
      <w:pPr>
        <w:rPr>
          <w:rFonts w:ascii="Arial" w:hAnsi="Arial" w:cs="Arial"/>
        </w:rPr>
      </w:pPr>
      <w:r w:rsidRPr="006107D2">
        <w:rPr>
          <w:rFonts w:ascii="Arial" w:hAnsi="Arial" w:cs="Arial"/>
          <w:b/>
          <w:bCs/>
        </w:rPr>
        <w:t>Component 2</w:t>
      </w:r>
      <w:r w:rsidRPr="006107D2">
        <w:rPr>
          <w:rFonts w:ascii="Arial" w:hAnsi="Arial" w:cs="Arial"/>
        </w:rPr>
        <w:t xml:space="preserve">: Report on </w:t>
      </w:r>
      <w:r w:rsidR="00AD6D72" w:rsidRPr="006107D2">
        <w:rPr>
          <w:rFonts w:ascii="Arial" w:hAnsi="Arial" w:cs="Arial"/>
        </w:rPr>
        <w:t>Person-centered</w:t>
      </w:r>
      <w:r w:rsidRPr="006107D2">
        <w:rPr>
          <w:rFonts w:ascii="Arial" w:hAnsi="Arial" w:cs="Arial"/>
        </w:rPr>
        <w:t xml:space="preserve"> care and Partnership working</w:t>
      </w:r>
    </w:p>
    <w:p w14:paraId="2A192AB4" w14:textId="77777777" w:rsidR="00E80152" w:rsidRDefault="00E80152"/>
    <w:p w14:paraId="59B86B97" w14:textId="77777777" w:rsidR="00E80152" w:rsidRDefault="00E80152"/>
    <w:p w14:paraId="2D6CBFBD" w14:textId="77777777" w:rsidR="00E80152" w:rsidRDefault="00E80152"/>
    <w:p w14:paraId="04FD0CFC" w14:textId="77777777" w:rsidR="00E80152" w:rsidRDefault="00E80152"/>
    <w:p w14:paraId="2A9FFE77" w14:textId="68D1C38A" w:rsidR="00E80152" w:rsidRDefault="0056182B">
      <w:r>
        <w:rPr>
          <w:noProof/>
        </w:rPr>
        <w:drawing>
          <wp:inline distT="0" distB="0" distL="0" distR="0" wp14:anchorId="524768F0" wp14:editId="68A5EC80">
            <wp:extent cx="5731510" cy="4598488"/>
            <wp:effectExtent l="0" t="0" r="2540" b="0"/>
            <wp:docPr id="635535497" name="Picture 1" descr="A group of people putting their hands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35497" name="Picture 1" descr="A group of people putting their hands together&#10;&#10;AI-generated content may be incorrect."/>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6019" cy="4602105"/>
                    </a:xfrm>
                    <a:prstGeom prst="rect">
                      <a:avLst/>
                    </a:prstGeom>
                  </pic:spPr>
                </pic:pic>
              </a:graphicData>
            </a:graphic>
          </wp:inline>
        </w:drawing>
      </w:r>
    </w:p>
    <w:p w14:paraId="196ADB33" w14:textId="77777777" w:rsidR="00E80152" w:rsidRDefault="00E80152"/>
    <w:p w14:paraId="3585D27B" w14:textId="77777777" w:rsidR="00E80152" w:rsidRDefault="00E80152"/>
    <w:p w14:paraId="1BA8A094" w14:textId="77777777" w:rsidR="00E80152" w:rsidRDefault="00E80152"/>
    <w:p w14:paraId="390100F5" w14:textId="77777777" w:rsidR="00E80152" w:rsidRDefault="00E80152"/>
    <w:p w14:paraId="5315E5A5" w14:textId="77777777" w:rsidR="00E80152" w:rsidRDefault="00E80152"/>
    <w:p w14:paraId="4DB3F504" w14:textId="77777777" w:rsidR="00E80152" w:rsidRDefault="00E80152"/>
    <w:p w14:paraId="18AEE21C" w14:textId="77777777" w:rsidR="00E80152" w:rsidRDefault="00E80152"/>
    <w:p w14:paraId="5F0DD9BC" w14:textId="41224642" w:rsidR="00E80152" w:rsidRPr="00104B4E" w:rsidRDefault="00E80152">
      <w:pPr>
        <w:rPr>
          <w:b/>
          <w:bCs/>
        </w:rPr>
      </w:pPr>
      <w:r w:rsidRPr="00104B4E">
        <w:rPr>
          <w:b/>
          <w:bCs/>
        </w:rPr>
        <w:t>Table of contents</w:t>
      </w:r>
    </w:p>
    <w:p w14:paraId="7F5E53B9" w14:textId="77777777" w:rsidR="00E80152" w:rsidRDefault="00E80152"/>
    <w:p w14:paraId="139A6601" w14:textId="4ECF93C6" w:rsidR="00E80152" w:rsidRDefault="00E80152">
      <w:r>
        <w:t>Page 1</w:t>
      </w:r>
      <w:r>
        <w:tab/>
      </w:r>
      <w:r>
        <w:tab/>
      </w:r>
      <w:r w:rsidR="00104B4E">
        <w:t>Abstract</w:t>
      </w:r>
      <w:r w:rsidR="006F14BA">
        <w:t xml:space="preserve"> </w:t>
      </w:r>
    </w:p>
    <w:p w14:paraId="4C3CA924" w14:textId="2EE47746" w:rsidR="00E80152" w:rsidRDefault="00E80152">
      <w:r>
        <w:t>Page 2</w:t>
      </w:r>
      <w:r>
        <w:tab/>
      </w:r>
      <w:r>
        <w:tab/>
      </w:r>
      <w:r w:rsidR="006F14BA">
        <w:t xml:space="preserve">Introduction </w:t>
      </w:r>
    </w:p>
    <w:p w14:paraId="498B8EB2" w14:textId="4FD3FF64" w:rsidR="00E80152" w:rsidRDefault="00E80152">
      <w:r>
        <w:t>Page 3</w:t>
      </w:r>
      <w:r>
        <w:tab/>
      </w:r>
      <w:r>
        <w:tab/>
        <w:t>What is Partnership working</w:t>
      </w:r>
      <w:r w:rsidR="006F14BA">
        <w:t xml:space="preserve"> and </w:t>
      </w:r>
      <w:r w:rsidR="00E32EB6">
        <w:t>Person-centered</w:t>
      </w:r>
      <w:r w:rsidR="006F14BA">
        <w:t xml:space="preserve"> care </w:t>
      </w:r>
    </w:p>
    <w:p w14:paraId="05357561" w14:textId="33B8C186" w:rsidR="00E80152" w:rsidRDefault="00E80152">
      <w:r>
        <w:t>Page 4</w:t>
      </w:r>
      <w:r>
        <w:tab/>
      </w:r>
      <w:r>
        <w:tab/>
      </w:r>
      <w:r w:rsidR="006F14BA">
        <w:t>How does Partnership working improve outcomes</w:t>
      </w:r>
    </w:p>
    <w:p w14:paraId="222FD9DD" w14:textId="04540098" w:rsidR="00E80152" w:rsidRDefault="00E80152" w:rsidP="006F14BA">
      <w:pPr>
        <w:ind w:left="1440" w:hanging="1440"/>
      </w:pPr>
      <w:r>
        <w:t>Page 5</w:t>
      </w:r>
      <w:r w:rsidR="00104B4E">
        <w:tab/>
      </w:r>
      <w:r w:rsidR="006F14BA">
        <w:t>P</w:t>
      </w:r>
      <w:r>
        <w:t>artne</w:t>
      </w:r>
      <w:r w:rsidR="006F14BA">
        <w:t xml:space="preserve">rship working and </w:t>
      </w:r>
      <w:r w:rsidR="008A7BCF">
        <w:t>person-centered</w:t>
      </w:r>
      <w:r w:rsidR="006F14BA">
        <w:t xml:space="preserve"> care</w:t>
      </w:r>
      <w:r w:rsidR="006931F9">
        <w:t xml:space="preserve"> application</w:t>
      </w:r>
      <w:r w:rsidR="006F14BA">
        <w:t xml:space="preserve"> in </w:t>
      </w:r>
      <w:r w:rsidR="00292508">
        <w:t>the</w:t>
      </w:r>
      <w:r w:rsidR="006931F9">
        <w:t xml:space="preserve"> </w:t>
      </w:r>
      <w:r w:rsidR="006B06D4">
        <w:t>community</w:t>
      </w:r>
    </w:p>
    <w:p w14:paraId="08220DC3" w14:textId="59325A69" w:rsidR="006F14BA" w:rsidRDefault="006F14BA" w:rsidP="006F14BA">
      <w:pPr>
        <w:ind w:left="1440" w:hanging="1440"/>
      </w:pPr>
      <w:r>
        <w:t>Page 6</w:t>
      </w:r>
      <w:r>
        <w:tab/>
        <w:t xml:space="preserve"> </w:t>
      </w:r>
      <w:r w:rsidR="00292508">
        <w:t>Case study</w:t>
      </w:r>
      <w:r w:rsidR="00EC640F">
        <w:t xml:space="preserve"> of Mrs Peters</w:t>
      </w:r>
    </w:p>
    <w:p w14:paraId="4ED0D26C" w14:textId="15519141" w:rsidR="00104B4E" w:rsidRDefault="00104B4E" w:rsidP="007C2322">
      <w:pPr>
        <w:ind w:left="1440" w:hanging="1440"/>
      </w:pPr>
      <w:r>
        <w:t xml:space="preserve">Page </w:t>
      </w:r>
      <w:r w:rsidR="00AF6CAE">
        <w:t>7</w:t>
      </w:r>
      <w:r>
        <w:tab/>
      </w:r>
      <w:r w:rsidR="0067202F">
        <w:t>Conclusion</w:t>
      </w:r>
    </w:p>
    <w:p w14:paraId="732FCD6E" w14:textId="0FF810AF" w:rsidR="00104B4E" w:rsidRDefault="00104B4E" w:rsidP="006F14BA">
      <w:pPr>
        <w:ind w:left="1440" w:hanging="1440"/>
      </w:pPr>
      <w:r>
        <w:t>Page 8</w:t>
      </w:r>
      <w:r>
        <w:tab/>
        <w:t>Reference page</w:t>
      </w:r>
    </w:p>
    <w:p w14:paraId="58716599" w14:textId="77777777" w:rsidR="00E80152" w:rsidRDefault="00E80152"/>
    <w:p w14:paraId="1A2EECF6" w14:textId="77777777" w:rsidR="00853868" w:rsidRDefault="00853868" w:rsidP="00853868"/>
    <w:p w14:paraId="1FBB7F78" w14:textId="77777777" w:rsidR="00853868" w:rsidRDefault="00853868" w:rsidP="00853868">
      <w:pPr>
        <w:jc w:val="center"/>
      </w:pPr>
    </w:p>
    <w:p w14:paraId="1DCF2FB1" w14:textId="77777777" w:rsidR="00853868" w:rsidRDefault="00853868" w:rsidP="00853868">
      <w:pPr>
        <w:jc w:val="center"/>
      </w:pPr>
    </w:p>
    <w:p w14:paraId="3CEE158C" w14:textId="77777777" w:rsidR="00853868" w:rsidRDefault="00853868" w:rsidP="00853868">
      <w:pPr>
        <w:jc w:val="center"/>
      </w:pPr>
    </w:p>
    <w:p w14:paraId="41EEF5FF" w14:textId="77777777" w:rsidR="00853868" w:rsidRDefault="00853868" w:rsidP="00853868">
      <w:pPr>
        <w:jc w:val="center"/>
      </w:pPr>
    </w:p>
    <w:p w14:paraId="08CDE68D" w14:textId="77777777" w:rsidR="00853868" w:rsidRDefault="00853868" w:rsidP="00853868">
      <w:pPr>
        <w:jc w:val="center"/>
      </w:pPr>
    </w:p>
    <w:p w14:paraId="03867183" w14:textId="77777777" w:rsidR="00853868" w:rsidRDefault="00853868" w:rsidP="00853868">
      <w:pPr>
        <w:jc w:val="center"/>
      </w:pPr>
    </w:p>
    <w:p w14:paraId="1795F5C8" w14:textId="77777777" w:rsidR="00853868" w:rsidRDefault="00853868" w:rsidP="00853868">
      <w:pPr>
        <w:jc w:val="center"/>
      </w:pPr>
    </w:p>
    <w:p w14:paraId="5645712D" w14:textId="77777777" w:rsidR="00853868" w:rsidRDefault="00853868" w:rsidP="00853868">
      <w:pPr>
        <w:jc w:val="center"/>
      </w:pPr>
    </w:p>
    <w:p w14:paraId="2AA6693F" w14:textId="77777777" w:rsidR="00853868" w:rsidRDefault="00853868" w:rsidP="00853868">
      <w:pPr>
        <w:jc w:val="center"/>
      </w:pPr>
    </w:p>
    <w:p w14:paraId="70374691" w14:textId="77777777" w:rsidR="00853868" w:rsidRDefault="00853868" w:rsidP="00853868">
      <w:pPr>
        <w:jc w:val="center"/>
      </w:pPr>
    </w:p>
    <w:p w14:paraId="420916A9" w14:textId="77777777" w:rsidR="00853868" w:rsidRDefault="00853868" w:rsidP="00853868">
      <w:pPr>
        <w:jc w:val="center"/>
      </w:pPr>
    </w:p>
    <w:p w14:paraId="17F1B1C7" w14:textId="77777777" w:rsidR="00853868" w:rsidRDefault="00853868" w:rsidP="00853868">
      <w:pPr>
        <w:jc w:val="center"/>
      </w:pPr>
    </w:p>
    <w:p w14:paraId="054916FB" w14:textId="77777777" w:rsidR="00B0179D" w:rsidRDefault="00B0179D" w:rsidP="00853868">
      <w:pPr>
        <w:rPr>
          <w:b/>
          <w:bCs/>
        </w:rPr>
      </w:pPr>
    </w:p>
    <w:p w14:paraId="6AC7727C" w14:textId="258BB67F" w:rsidR="00AE4DF1" w:rsidRPr="002A563C" w:rsidRDefault="00853868" w:rsidP="00AE4DF1">
      <w:pPr>
        <w:rPr>
          <w:b/>
          <w:bCs/>
        </w:rPr>
      </w:pPr>
      <w:r w:rsidRPr="00853868">
        <w:rPr>
          <w:b/>
          <w:bCs/>
        </w:rPr>
        <w:t>Abstract</w:t>
      </w:r>
    </w:p>
    <w:p w14:paraId="007FE002" w14:textId="30C48E2D" w:rsidR="00AE4DF1" w:rsidRPr="002A563C" w:rsidRDefault="00AE4DF1" w:rsidP="00AE4DF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63C">
        <w:rPr>
          <w:rFonts w:ascii="Times New Roman" w:eastAsia="Times New Roman" w:hAnsi="Times New Roman" w:cs="Times New Roman"/>
          <w:kern w:val="0"/>
          <w:lang w:eastAsia="en-GB"/>
          <w14:ligatures w14:val="none"/>
        </w:rPr>
        <w:t>This report critically evaluates the principles and application of person-centred care (PCC) and partnership working within a community care context, focusing on their importance in delivering holistic, high-quality health and social care. It explores the origins and philosophy of PCC, its relationship with partnership working, and how these approaches enhance patient outcomes through collaboration, empathy, and shared decision-making. Legislative and ethical frameworks, including the Health and Social Care Act 2022, are examined to highlight their role in supporting integrated care delivery. The report also analyses challenges associated with partnership working, such as resource limitations, communication barriers, and organisational differences. A case study of Mrs Mertle Peters</w:t>
      </w:r>
      <w:r w:rsidR="006A0557">
        <w:rPr>
          <w:rFonts w:ascii="Times New Roman" w:eastAsia="Times New Roman" w:hAnsi="Times New Roman" w:cs="Times New Roman"/>
          <w:kern w:val="0"/>
          <w:lang w:eastAsia="en-GB"/>
          <w14:ligatures w14:val="none"/>
        </w:rPr>
        <w:t>,</w:t>
      </w:r>
      <w:r w:rsidRPr="002A563C">
        <w:rPr>
          <w:rFonts w:ascii="Times New Roman" w:eastAsia="Times New Roman" w:hAnsi="Times New Roman" w:cs="Times New Roman"/>
          <w:kern w:val="0"/>
          <w:lang w:eastAsia="en-GB"/>
          <w14:ligatures w14:val="none"/>
        </w:rPr>
        <w:t xml:space="preserve"> an elderly Jamaican woman receiving palliative care at home</w:t>
      </w:r>
      <w:r w:rsidR="006A0557">
        <w:rPr>
          <w:rFonts w:ascii="Times New Roman" w:eastAsia="Times New Roman" w:hAnsi="Times New Roman" w:cs="Times New Roman"/>
          <w:kern w:val="0"/>
          <w:lang w:eastAsia="en-GB"/>
          <w14:ligatures w14:val="none"/>
        </w:rPr>
        <w:t>,</w:t>
      </w:r>
      <w:r w:rsidRPr="002A563C">
        <w:rPr>
          <w:rFonts w:ascii="Times New Roman" w:eastAsia="Times New Roman" w:hAnsi="Times New Roman" w:cs="Times New Roman"/>
          <w:kern w:val="0"/>
          <w:lang w:eastAsia="en-GB"/>
          <w14:ligatures w14:val="none"/>
        </w:rPr>
        <w:t xml:space="preserve"> is used to demonstrate the practical application of person-centred and partnership principles in community-based palliative care. The analysis concludes that embedding PCC and collaborative practice within health and social care systems promotes dignity, empowerment, and compassion, while improving continuity, efficiency, and outcomes for service users and professionals alike.</w:t>
      </w:r>
    </w:p>
    <w:p w14:paraId="7E6EFDD3" w14:textId="77777777" w:rsidR="00853868" w:rsidRDefault="00853868" w:rsidP="00853868">
      <w:pPr>
        <w:rPr>
          <w:b/>
          <w:bCs/>
        </w:rPr>
      </w:pPr>
    </w:p>
    <w:p w14:paraId="12ADAF58" w14:textId="77777777" w:rsidR="00853868" w:rsidRDefault="00853868" w:rsidP="00853868">
      <w:pPr>
        <w:rPr>
          <w:b/>
          <w:bCs/>
        </w:rPr>
      </w:pPr>
    </w:p>
    <w:p w14:paraId="40F3FA26" w14:textId="77777777" w:rsidR="00853868" w:rsidRDefault="00853868" w:rsidP="00853868">
      <w:pPr>
        <w:rPr>
          <w:b/>
          <w:bCs/>
        </w:rPr>
      </w:pPr>
    </w:p>
    <w:p w14:paraId="57744B4D" w14:textId="77777777" w:rsidR="00853868" w:rsidRDefault="00853868" w:rsidP="00853868">
      <w:pPr>
        <w:rPr>
          <w:b/>
          <w:bCs/>
        </w:rPr>
      </w:pPr>
    </w:p>
    <w:p w14:paraId="0DE3462B" w14:textId="77777777" w:rsidR="00853868" w:rsidRDefault="00853868" w:rsidP="00853868">
      <w:pPr>
        <w:rPr>
          <w:b/>
          <w:bCs/>
        </w:rPr>
      </w:pPr>
    </w:p>
    <w:p w14:paraId="3389446E" w14:textId="77777777" w:rsidR="00853868" w:rsidRDefault="00853868" w:rsidP="00853868">
      <w:pPr>
        <w:rPr>
          <w:b/>
          <w:bCs/>
        </w:rPr>
      </w:pPr>
    </w:p>
    <w:p w14:paraId="56A2EF37" w14:textId="77777777" w:rsidR="00853868" w:rsidRDefault="00853868" w:rsidP="00853868">
      <w:pPr>
        <w:rPr>
          <w:b/>
          <w:bCs/>
        </w:rPr>
      </w:pPr>
    </w:p>
    <w:p w14:paraId="383DE252" w14:textId="77777777" w:rsidR="00853868" w:rsidRDefault="00853868" w:rsidP="00853868">
      <w:pPr>
        <w:rPr>
          <w:b/>
          <w:bCs/>
        </w:rPr>
      </w:pPr>
    </w:p>
    <w:p w14:paraId="2173C2FF" w14:textId="77777777" w:rsidR="00853868" w:rsidRDefault="00853868" w:rsidP="00853868">
      <w:pPr>
        <w:rPr>
          <w:b/>
          <w:bCs/>
        </w:rPr>
      </w:pPr>
    </w:p>
    <w:p w14:paraId="03D6B94C" w14:textId="77777777" w:rsidR="00853868" w:rsidRDefault="00853868" w:rsidP="00853868">
      <w:pPr>
        <w:rPr>
          <w:b/>
          <w:bCs/>
        </w:rPr>
      </w:pPr>
    </w:p>
    <w:p w14:paraId="16DCBFE0" w14:textId="77777777" w:rsidR="00853868" w:rsidRDefault="00853868" w:rsidP="00853868">
      <w:pPr>
        <w:rPr>
          <w:b/>
          <w:bCs/>
        </w:rPr>
      </w:pPr>
    </w:p>
    <w:p w14:paraId="473DDE4C" w14:textId="77777777" w:rsidR="00853868" w:rsidRDefault="00853868" w:rsidP="00853868">
      <w:pPr>
        <w:rPr>
          <w:b/>
          <w:bCs/>
        </w:rPr>
      </w:pPr>
    </w:p>
    <w:p w14:paraId="4AAD01DD" w14:textId="77777777" w:rsidR="00853868" w:rsidRDefault="00853868" w:rsidP="00853868">
      <w:pPr>
        <w:rPr>
          <w:b/>
          <w:bCs/>
        </w:rPr>
      </w:pPr>
    </w:p>
    <w:p w14:paraId="673BC8E6" w14:textId="77777777" w:rsidR="00853868" w:rsidRDefault="00853868" w:rsidP="00853868">
      <w:pPr>
        <w:rPr>
          <w:b/>
          <w:bCs/>
        </w:rPr>
      </w:pPr>
    </w:p>
    <w:p w14:paraId="6E7F3499" w14:textId="77777777" w:rsidR="00853868" w:rsidRDefault="00853868" w:rsidP="00853868">
      <w:pPr>
        <w:rPr>
          <w:b/>
          <w:bCs/>
        </w:rPr>
      </w:pPr>
    </w:p>
    <w:p w14:paraId="3EDB951E" w14:textId="77777777" w:rsidR="00853868" w:rsidRDefault="00853868" w:rsidP="00853868">
      <w:pPr>
        <w:rPr>
          <w:b/>
          <w:bCs/>
        </w:rPr>
      </w:pPr>
    </w:p>
    <w:p w14:paraId="04B93AC3" w14:textId="77777777" w:rsidR="00AE4DF1" w:rsidRDefault="00AE4DF1" w:rsidP="00853868">
      <w:pPr>
        <w:rPr>
          <w:b/>
          <w:bCs/>
        </w:rPr>
      </w:pPr>
    </w:p>
    <w:p w14:paraId="4DDEABE8" w14:textId="7725EB1A" w:rsidR="00853868" w:rsidRDefault="00853868" w:rsidP="00853868">
      <w:pPr>
        <w:rPr>
          <w:b/>
          <w:bCs/>
        </w:rPr>
      </w:pPr>
      <w:r>
        <w:rPr>
          <w:b/>
          <w:bCs/>
        </w:rPr>
        <w:t xml:space="preserve">Introduction </w:t>
      </w:r>
    </w:p>
    <w:p w14:paraId="568AA9EA" w14:textId="229BC47D" w:rsidR="00DD76EC" w:rsidRPr="00DD76EC" w:rsidRDefault="00DD76EC" w:rsidP="00853868">
      <w:pPr>
        <w:rPr>
          <w:rFonts w:ascii="Arial" w:hAnsi="Arial" w:cs="Arial"/>
          <w:b/>
          <w:bCs/>
          <w:sz w:val="22"/>
          <w:szCs w:val="22"/>
        </w:rPr>
      </w:pPr>
      <w:r w:rsidRPr="00DD76EC">
        <w:rPr>
          <w:rFonts w:ascii="Arial" w:hAnsi="Arial" w:cs="Arial"/>
          <w:sz w:val="22"/>
          <w:szCs w:val="22"/>
        </w:rPr>
        <w:t>This report will evaluate the concept of person-centred care (PCC), its definition, and its significance within a community care setting. It will explore how PCC promotes holistic, individualised support that empowers people to participate actively in decisions about their health and wellbeing. The discussion will also address the benefits of community-based care, such as continuity, accessibility, and the promotion of independence, while acknowledging the challenges faced by health and social care professionals in implementing this approach effectively. Furthermore, the report will examine how person-centred care works collaboratively with partnership working, highlighting that successful delivery relies on effective communication, trust, and shared goals between multidisciplinary teams. The advantages and disadvantages of partnership working and multi-agency collaboration will be critically analysed, alongside the potential consequences when these relationships break down and the resulting impact on both service users and healthcare professionals within the community care context.</w:t>
      </w:r>
    </w:p>
    <w:p w14:paraId="014FC838" w14:textId="134D9C77" w:rsidR="005F2D14" w:rsidRPr="001D54D7" w:rsidRDefault="000C3B32" w:rsidP="0036183D">
      <w:pPr>
        <w:spacing w:line="240" w:lineRule="auto"/>
        <w:rPr>
          <w:rFonts w:ascii="Arial" w:hAnsi="Arial" w:cs="Arial"/>
          <w:sz w:val="22"/>
          <w:szCs w:val="22"/>
        </w:rPr>
      </w:pPr>
      <w:r w:rsidRPr="001D54D7">
        <w:rPr>
          <w:rFonts w:ascii="Arial" w:hAnsi="Arial" w:cs="Arial"/>
          <w:sz w:val="22"/>
          <w:szCs w:val="22"/>
        </w:rPr>
        <w:t>.</w:t>
      </w:r>
    </w:p>
    <w:p w14:paraId="303DAF8B" w14:textId="587C7233" w:rsidR="00D32D4C" w:rsidRDefault="007F3C9F" w:rsidP="00853868">
      <w:pPr>
        <w:rPr>
          <w:b/>
          <w:bCs/>
        </w:rPr>
      </w:pPr>
      <w:r w:rsidRPr="007F3C9F">
        <w:rPr>
          <w:b/>
          <w:bCs/>
        </w:rPr>
        <w:t xml:space="preserve">What is </w:t>
      </w:r>
      <w:r>
        <w:rPr>
          <w:b/>
          <w:bCs/>
        </w:rPr>
        <w:t>person-centred</w:t>
      </w:r>
      <w:r w:rsidRPr="007F3C9F">
        <w:rPr>
          <w:b/>
          <w:bCs/>
        </w:rPr>
        <w:t xml:space="preserve"> care</w:t>
      </w:r>
      <w:r w:rsidR="009B0085">
        <w:rPr>
          <w:b/>
          <w:bCs/>
        </w:rPr>
        <w:t xml:space="preserve"> and partnership </w:t>
      </w:r>
      <w:r w:rsidR="00093795">
        <w:rPr>
          <w:b/>
          <w:bCs/>
        </w:rPr>
        <w:t>working</w:t>
      </w:r>
      <w:r w:rsidR="00093795" w:rsidRPr="007F3C9F">
        <w:rPr>
          <w:b/>
          <w:bCs/>
        </w:rPr>
        <w:t>?</w:t>
      </w:r>
    </w:p>
    <w:p w14:paraId="70BB671A" w14:textId="26FA9024" w:rsidR="00BD22DD" w:rsidRPr="006C29A4" w:rsidRDefault="00BD22DD" w:rsidP="00F143C0">
      <w:pPr>
        <w:spacing w:after="0" w:line="240" w:lineRule="auto"/>
        <w:rPr>
          <w:rFonts w:ascii="Arial" w:eastAsia="Times New Roman" w:hAnsi="Arial" w:cs="Arial"/>
          <w:kern w:val="0"/>
          <w:sz w:val="22"/>
          <w:szCs w:val="22"/>
          <w:lang w:eastAsia="en-GB"/>
          <w14:ligatures w14:val="none"/>
        </w:rPr>
      </w:pPr>
      <w:r w:rsidRPr="006C29A4">
        <w:rPr>
          <w:rFonts w:ascii="Arial" w:hAnsi="Arial" w:cs="Arial"/>
          <w:color w:val="1B1B1B"/>
          <w:sz w:val="22"/>
          <w:szCs w:val="22"/>
        </w:rPr>
        <w:t>Person-centred care</w:t>
      </w:r>
      <w:r w:rsidR="00635E2E" w:rsidRPr="006C29A4">
        <w:rPr>
          <w:rFonts w:ascii="Arial" w:hAnsi="Arial" w:cs="Arial"/>
          <w:color w:val="1B1B1B"/>
          <w:sz w:val="22"/>
          <w:szCs w:val="22"/>
        </w:rPr>
        <w:t xml:space="preserve"> (PCC)</w:t>
      </w:r>
      <w:r w:rsidRPr="006C29A4">
        <w:rPr>
          <w:rFonts w:ascii="Arial" w:hAnsi="Arial" w:cs="Arial"/>
          <w:color w:val="1B1B1B"/>
          <w:sz w:val="22"/>
          <w:szCs w:val="22"/>
        </w:rPr>
        <w:t xml:space="preserve"> involves treating patients as individuals and as equal partners in their wellness journey</w:t>
      </w:r>
      <w:r w:rsidR="003B38CF">
        <w:rPr>
          <w:rFonts w:ascii="Arial" w:hAnsi="Arial" w:cs="Arial"/>
          <w:color w:val="1B1B1B"/>
          <w:sz w:val="22"/>
          <w:szCs w:val="22"/>
        </w:rPr>
        <w:t>. It</w:t>
      </w:r>
      <w:r w:rsidRPr="006C29A4">
        <w:rPr>
          <w:rFonts w:ascii="Arial" w:hAnsi="Arial" w:cs="Arial"/>
          <w:color w:val="1B1B1B"/>
          <w:sz w:val="22"/>
          <w:szCs w:val="22"/>
        </w:rPr>
        <w:t xml:space="preserve"> is personalised, coordinated, and enabling</w:t>
      </w:r>
      <w:r w:rsidR="00ED07C7" w:rsidRPr="006C29A4">
        <w:rPr>
          <w:rFonts w:ascii="Arial" w:hAnsi="Arial" w:cs="Arial"/>
          <w:color w:val="1B1B1B"/>
          <w:sz w:val="22"/>
          <w:szCs w:val="22"/>
        </w:rPr>
        <w:t>.</w:t>
      </w:r>
    </w:p>
    <w:p w14:paraId="0B366834" w14:textId="02D80AD9" w:rsidR="00F143C0" w:rsidRPr="006C29A4" w:rsidRDefault="00F143C0" w:rsidP="00F143C0">
      <w:pPr>
        <w:spacing w:after="0" w:line="240" w:lineRule="auto"/>
        <w:rPr>
          <w:rFonts w:ascii="Arial" w:eastAsia="Times New Roman" w:hAnsi="Arial" w:cs="Arial"/>
          <w:kern w:val="0"/>
          <w:sz w:val="22"/>
          <w:szCs w:val="22"/>
          <w:lang w:eastAsia="en-GB"/>
          <w14:ligatures w14:val="none"/>
        </w:rPr>
      </w:pPr>
      <w:r w:rsidRPr="006C29A4">
        <w:rPr>
          <w:rFonts w:ascii="Arial" w:eastAsia="Times New Roman" w:hAnsi="Arial" w:cs="Arial"/>
          <w:kern w:val="0"/>
          <w:sz w:val="22"/>
          <w:szCs w:val="22"/>
          <w:lang w:eastAsia="en-GB"/>
          <w14:ligatures w14:val="none"/>
        </w:rPr>
        <w:t>Person-centred care</w:t>
      </w:r>
      <w:r w:rsidR="00AC10CF">
        <w:rPr>
          <w:rFonts w:ascii="Arial" w:eastAsia="Times New Roman" w:hAnsi="Arial" w:cs="Arial"/>
          <w:kern w:val="0"/>
          <w:sz w:val="22"/>
          <w:szCs w:val="22"/>
          <w:lang w:eastAsia="en-GB"/>
          <w14:ligatures w14:val="none"/>
        </w:rPr>
        <w:t xml:space="preserve"> </w:t>
      </w:r>
      <w:r w:rsidR="00F37B2B" w:rsidRPr="006C29A4">
        <w:rPr>
          <w:rFonts w:ascii="Arial" w:eastAsia="Times New Roman" w:hAnsi="Arial" w:cs="Arial"/>
          <w:kern w:val="0"/>
          <w:sz w:val="22"/>
          <w:szCs w:val="22"/>
          <w:lang w:eastAsia="en-GB"/>
          <w14:ligatures w14:val="none"/>
        </w:rPr>
        <w:t xml:space="preserve">is </w:t>
      </w:r>
      <w:r w:rsidRPr="006C29A4">
        <w:rPr>
          <w:rFonts w:ascii="Arial" w:eastAsia="Times New Roman" w:hAnsi="Arial" w:cs="Arial"/>
          <w:kern w:val="0"/>
          <w:sz w:val="22"/>
          <w:szCs w:val="22"/>
          <w:lang w:eastAsia="en-GB"/>
          <w14:ligatures w14:val="none"/>
        </w:rPr>
        <w:t xml:space="preserve">tailored to address the specific </w:t>
      </w:r>
      <w:r w:rsidR="00792248" w:rsidRPr="006C29A4">
        <w:rPr>
          <w:rFonts w:ascii="Arial" w:eastAsia="Times New Roman" w:hAnsi="Arial" w:cs="Arial"/>
          <w:kern w:val="0"/>
          <w:sz w:val="22"/>
          <w:szCs w:val="22"/>
          <w:lang w:eastAsia="en-GB"/>
          <w14:ligatures w14:val="none"/>
        </w:rPr>
        <w:t>health</w:t>
      </w:r>
      <w:r w:rsidR="00414BF1" w:rsidRPr="006C29A4">
        <w:rPr>
          <w:rFonts w:ascii="Arial" w:eastAsia="Times New Roman" w:hAnsi="Arial" w:cs="Arial"/>
          <w:kern w:val="0"/>
          <w:sz w:val="22"/>
          <w:szCs w:val="22"/>
          <w:lang w:eastAsia="en-GB"/>
          <w14:ligatures w14:val="none"/>
        </w:rPr>
        <w:t xml:space="preserve"> and social care </w:t>
      </w:r>
      <w:r w:rsidRPr="006C29A4">
        <w:rPr>
          <w:rFonts w:ascii="Arial" w:eastAsia="Times New Roman" w:hAnsi="Arial" w:cs="Arial"/>
          <w:kern w:val="0"/>
          <w:sz w:val="22"/>
          <w:szCs w:val="22"/>
          <w:lang w:eastAsia="en-GB"/>
          <w14:ligatures w14:val="none"/>
        </w:rPr>
        <w:t>requirements of the individual and is a fundamental principle in delivering high-quality care.</w:t>
      </w:r>
      <w:r w:rsidR="001D54D7" w:rsidRPr="006C29A4">
        <w:rPr>
          <w:rFonts w:ascii="Arial" w:eastAsia="Times New Roman" w:hAnsi="Arial" w:cs="Arial"/>
          <w:kern w:val="0"/>
          <w:sz w:val="22"/>
          <w:szCs w:val="22"/>
          <w:lang w:eastAsia="en-GB"/>
          <w14:ligatures w14:val="none"/>
        </w:rPr>
        <w:t xml:space="preserve"> </w:t>
      </w:r>
      <w:r w:rsidR="00181654" w:rsidRPr="006C29A4">
        <w:rPr>
          <w:rFonts w:ascii="Arial" w:eastAsia="Times New Roman" w:hAnsi="Arial" w:cs="Arial"/>
          <w:kern w:val="0"/>
          <w:sz w:val="22"/>
          <w:szCs w:val="22"/>
          <w:lang w:eastAsia="en-GB"/>
          <w14:ligatures w14:val="none"/>
        </w:rPr>
        <w:t>PCC</w:t>
      </w:r>
      <w:r w:rsidR="00D818E7" w:rsidRPr="006C29A4">
        <w:rPr>
          <w:rFonts w:ascii="Arial" w:eastAsia="Times New Roman" w:hAnsi="Arial" w:cs="Arial"/>
          <w:kern w:val="0"/>
          <w:sz w:val="22"/>
          <w:szCs w:val="22"/>
          <w:lang w:eastAsia="en-GB"/>
          <w14:ligatures w14:val="none"/>
        </w:rPr>
        <w:t xml:space="preserve"> is multidisciplinary</w:t>
      </w:r>
      <w:r w:rsidR="00247119" w:rsidRPr="006C29A4">
        <w:rPr>
          <w:rFonts w:ascii="Arial" w:eastAsia="Times New Roman" w:hAnsi="Arial" w:cs="Arial"/>
          <w:kern w:val="0"/>
          <w:sz w:val="22"/>
          <w:szCs w:val="22"/>
          <w:lang w:eastAsia="en-GB"/>
          <w14:ligatures w14:val="none"/>
        </w:rPr>
        <w:t xml:space="preserve">, as it requires several specialists to work together to deliver holistic care and </w:t>
      </w:r>
      <w:r w:rsidR="00BD29E0" w:rsidRPr="006C29A4">
        <w:rPr>
          <w:rFonts w:ascii="Arial" w:eastAsia="Times New Roman" w:hAnsi="Arial" w:cs="Arial"/>
          <w:kern w:val="0"/>
          <w:sz w:val="22"/>
          <w:szCs w:val="22"/>
          <w:lang w:eastAsia="en-GB"/>
          <w14:ligatures w14:val="none"/>
        </w:rPr>
        <w:t>ensure the best possible outcome for the patient.</w:t>
      </w:r>
      <w:r w:rsidR="00C53ADC" w:rsidRPr="006C29A4">
        <w:rPr>
          <w:rFonts w:ascii="Arial" w:eastAsia="Times New Roman" w:hAnsi="Arial" w:cs="Arial"/>
          <w:kern w:val="0"/>
          <w:sz w:val="22"/>
          <w:szCs w:val="22"/>
          <w:lang w:eastAsia="en-GB"/>
          <w14:ligatures w14:val="none"/>
        </w:rPr>
        <w:t xml:space="preserve"> </w:t>
      </w:r>
      <w:r w:rsidR="00EA576C" w:rsidRPr="006C29A4">
        <w:rPr>
          <w:rFonts w:ascii="Arial" w:eastAsia="Times New Roman" w:hAnsi="Arial" w:cs="Arial"/>
          <w:kern w:val="0"/>
          <w:sz w:val="22"/>
          <w:szCs w:val="22"/>
          <w:lang w:eastAsia="en-GB"/>
          <w14:ligatures w14:val="none"/>
        </w:rPr>
        <w:t>(Coulter A, et al)</w:t>
      </w:r>
    </w:p>
    <w:p w14:paraId="4DB82FD0" w14:textId="77777777" w:rsidR="00050BE0" w:rsidRPr="006C29A4" w:rsidRDefault="00050BE0" w:rsidP="00F143C0">
      <w:pPr>
        <w:spacing w:after="0" w:line="240" w:lineRule="auto"/>
        <w:rPr>
          <w:rFonts w:ascii="Arial" w:eastAsia="Times New Roman" w:hAnsi="Arial" w:cs="Arial"/>
          <w:kern w:val="0"/>
          <w:sz w:val="22"/>
          <w:szCs w:val="22"/>
          <w:lang w:eastAsia="en-GB"/>
          <w14:ligatures w14:val="none"/>
        </w:rPr>
      </w:pPr>
    </w:p>
    <w:p w14:paraId="68D9A6F6" w14:textId="77777777" w:rsidR="00247119" w:rsidRPr="006C29A4" w:rsidRDefault="00247119" w:rsidP="00F143C0">
      <w:pPr>
        <w:spacing w:after="0" w:line="240" w:lineRule="auto"/>
        <w:rPr>
          <w:rFonts w:ascii="Arial" w:eastAsia="Times New Roman" w:hAnsi="Arial" w:cs="Arial"/>
          <w:kern w:val="0"/>
          <w:sz w:val="22"/>
          <w:szCs w:val="22"/>
          <w:lang w:eastAsia="en-GB"/>
          <w14:ligatures w14:val="none"/>
        </w:rPr>
      </w:pPr>
    </w:p>
    <w:p w14:paraId="3B6900C9" w14:textId="6975682F" w:rsidR="00247119" w:rsidRPr="006C29A4" w:rsidRDefault="00247119" w:rsidP="00F143C0">
      <w:pPr>
        <w:spacing w:after="0" w:line="240" w:lineRule="auto"/>
        <w:rPr>
          <w:rFonts w:ascii="Arial" w:eastAsia="Times New Roman" w:hAnsi="Arial" w:cs="Arial"/>
          <w:kern w:val="0"/>
          <w:sz w:val="22"/>
          <w:szCs w:val="22"/>
          <w:lang w:eastAsia="en-GB"/>
          <w14:ligatures w14:val="none"/>
        </w:rPr>
      </w:pPr>
      <w:r w:rsidRPr="006C29A4">
        <w:rPr>
          <w:rFonts w:ascii="Arial" w:eastAsia="Times New Roman" w:hAnsi="Arial" w:cs="Arial"/>
          <w:kern w:val="0"/>
          <w:sz w:val="22"/>
          <w:szCs w:val="22"/>
          <w:lang w:eastAsia="en-GB"/>
          <w14:ligatures w14:val="none"/>
        </w:rPr>
        <w:t xml:space="preserve">Person-centred therapy was introduced in the early 1940s by Carl Rogers, who many consider to be the greatest Psychologist of all time. It was initially called non-directive or </w:t>
      </w:r>
      <w:r w:rsidR="00B64D94" w:rsidRPr="006C29A4">
        <w:rPr>
          <w:rFonts w:ascii="Arial" w:eastAsia="Times New Roman" w:hAnsi="Arial" w:cs="Arial"/>
          <w:kern w:val="0"/>
          <w:sz w:val="22"/>
          <w:szCs w:val="22"/>
          <w:lang w:eastAsia="en-GB"/>
          <w14:ligatures w14:val="none"/>
        </w:rPr>
        <w:t>client-centred</w:t>
      </w:r>
      <w:r w:rsidRPr="006C29A4">
        <w:rPr>
          <w:rFonts w:ascii="Arial" w:eastAsia="Times New Roman" w:hAnsi="Arial" w:cs="Arial"/>
          <w:kern w:val="0"/>
          <w:sz w:val="22"/>
          <w:szCs w:val="22"/>
          <w:lang w:eastAsia="en-GB"/>
          <w14:ligatures w14:val="none"/>
        </w:rPr>
        <w:t xml:space="preserve"> therapy. </w:t>
      </w:r>
      <w:r w:rsidR="00B64D94" w:rsidRPr="006C29A4">
        <w:rPr>
          <w:rFonts w:ascii="Arial" w:eastAsia="Times New Roman" w:hAnsi="Arial" w:cs="Arial"/>
          <w:kern w:val="0"/>
          <w:sz w:val="22"/>
          <w:szCs w:val="22"/>
          <w:lang w:eastAsia="en-GB"/>
          <w14:ligatures w14:val="none"/>
        </w:rPr>
        <w:t>This</w:t>
      </w:r>
      <w:r w:rsidRPr="006C29A4">
        <w:rPr>
          <w:rFonts w:ascii="Arial" w:eastAsia="Times New Roman" w:hAnsi="Arial" w:cs="Arial"/>
          <w:kern w:val="0"/>
          <w:sz w:val="22"/>
          <w:szCs w:val="22"/>
          <w:lang w:eastAsia="en-GB"/>
          <w14:ligatures w14:val="none"/>
        </w:rPr>
        <w:t xml:space="preserve"> called for therapy to no longer </w:t>
      </w:r>
      <w:r w:rsidR="00B64D94" w:rsidRPr="006C29A4">
        <w:rPr>
          <w:rFonts w:ascii="Arial" w:eastAsia="Times New Roman" w:hAnsi="Arial" w:cs="Arial"/>
          <w:kern w:val="0"/>
          <w:sz w:val="22"/>
          <w:szCs w:val="22"/>
          <w:lang w:eastAsia="en-GB"/>
          <w14:ligatures w14:val="none"/>
        </w:rPr>
        <w:t xml:space="preserve">be </w:t>
      </w:r>
      <w:r w:rsidRPr="006C29A4">
        <w:rPr>
          <w:rFonts w:ascii="Arial" w:eastAsia="Times New Roman" w:hAnsi="Arial" w:cs="Arial"/>
          <w:kern w:val="0"/>
          <w:sz w:val="22"/>
          <w:szCs w:val="22"/>
          <w:lang w:eastAsia="en-GB"/>
          <w14:ligatures w14:val="none"/>
        </w:rPr>
        <w:t xml:space="preserve">delivered by a therapist, but </w:t>
      </w:r>
      <w:r w:rsidR="00B64D94" w:rsidRPr="006C29A4">
        <w:rPr>
          <w:rFonts w:ascii="Arial" w:eastAsia="Times New Roman" w:hAnsi="Arial" w:cs="Arial"/>
          <w:kern w:val="0"/>
          <w:sz w:val="22"/>
          <w:szCs w:val="22"/>
          <w:lang w:eastAsia="en-GB"/>
          <w14:ligatures w14:val="none"/>
        </w:rPr>
        <w:t xml:space="preserve">for </w:t>
      </w:r>
      <w:r w:rsidRPr="006C29A4">
        <w:rPr>
          <w:rFonts w:ascii="Arial" w:eastAsia="Times New Roman" w:hAnsi="Arial" w:cs="Arial"/>
          <w:kern w:val="0"/>
          <w:sz w:val="22"/>
          <w:szCs w:val="22"/>
          <w:lang w:eastAsia="en-GB"/>
          <w14:ligatures w14:val="none"/>
        </w:rPr>
        <w:t xml:space="preserve">the individual to be encouraged and informed to make their own health care decision. </w:t>
      </w:r>
      <w:r w:rsidR="00B64D94" w:rsidRPr="006C29A4">
        <w:rPr>
          <w:rFonts w:ascii="Arial" w:eastAsia="Times New Roman" w:hAnsi="Arial" w:cs="Arial"/>
          <w:kern w:val="0"/>
          <w:sz w:val="22"/>
          <w:szCs w:val="22"/>
          <w:lang w:eastAsia="en-GB"/>
          <w14:ligatures w14:val="none"/>
        </w:rPr>
        <w:t>The therapist</w:t>
      </w:r>
      <w:r w:rsidRPr="006C29A4">
        <w:rPr>
          <w:rFonts w:ascii="Arial" w:eastAsia="Times New Roman" w:hAnsi="Arial" w:cs="Arial"/>
          <w:kern w:val="0"/>
          <w:sz w:val="22"/>
          <w:szCs w:val="22"/>
          <w:lang w:eastAsia="en-GB"/>
          <w14:ligatures w14:val="none"/>
        </w:rPr>
        <w:t xml:space="preserve"> adopting this approach must be genuine, empathetic, transparent</w:t>
      </w:r>
      <w:r w:rsidR="00B64D94" w:rsidRPr="006C29A4">
        <w:rPr>
          <w:rFonts w:ascii="Arial" w:eastAsia="Times New Roman" w:hAnsi="Arial" w:cs="Arial"/>
          <w:kern w:val="0"/>
          <w:sz w:val="22"/>
          <w:szCs w:val="22"/>
          <w:lang w:eastAsia="en-GB"/>
          <w14:ligatures w14:val="none"/>
        </w:rPr>
        <w:t>,</w:t>
      </w:r>
      <w:r w:rsidRPr="006C29A4">
        <w:rPr>
          <w:rFonts w:ascii="Arial" w:eastAsia="Times New Roman" w:hAnsi="Arial" w:cs="Arial"/>
          <w:kern w:val="0"/>
          <w:sz w:val="22"/>
          <w:szCs w:val="22"/>
          <w:lang w:eastAsia="en-GB"/>
          <w14:ligatures w14:val="none"/>
        </w:rPr>
        <w:t xml:space="preserve"> and understand that the Patient</w:t>
      </w:r>
      <w:r w:rsidR="00B64D94" w:rsidRPr="006C29A4">
        <w:rPr>
          <w:rFonts w:ascii="Arial" w:eastAsia="Times New Roman" w:hAnsi="Arial" w:cs="Arial"/>
          <w:kern w:val="0"/>
          <w:sz w:val="22"/>
          <w:szCs w:val="22"/>
          <w:lang w:eastAsia="en-GB"/>
          <w14:ligatures w14:val="none"/>
        </w:rPr>
        <w:t xml:space="preserve"> knows what’s best for themselves. (</w:t>
      </w:r>
      <w:proofErr w:type="gramStart"/>
      <w:r w:rsidR="00B64D94" w:rsidRPr="006C29A4">
        <w:rPr>
          <w:rFonts w:ascii="Arial" w:eastAsia="Times New Roman" w:hAnsi="Arial" w:cs="Arial"/>
          <w:kern w:val="0"/>
          <w:sz w:val="22"/>
          <w:szCs w:val="22"/>
          <w:lang w:eastAsia="en-GB"/>
          <w14:ligatures w14:val="none"/>
        </w:rPr>
        <w:t>Joseph.S.A</w:t>
      </w:r>
      <w:proofErr w:type="gramEnd"/>
      <w:r w:rsidR="00B64D94" w:rsidRPr="006C29A4">
        <w:rPr>
          <w:rFonts w:ascii="Arial" w:eastAsia="Times New Roman" w:hAnsi="Arial" w:cs="Arial"/>
          <w:kern w:val="0"/>
          <w:sz w:val="22"/>
          <w:szCs w:val="22"/>
          <w:lang w:eastAsia="en-GB"/>
          <w14:ligatures w14:val="none"/>
        </w:rPr>
        <w:t>,2025)</w:t>
      </w:r>
    </w:p>
    <w:p w14:paraId="7D1506AE" w14:textId="77777777" w:rsidR="006844E2" w:rsidRPr="006C29A4" w:rsidRDefault="006844E2" w:rsidP="00F143C0">
      <w:pPr>
        <w:spacing w:after="0" w:line="240" w:lineRule="auto"/>
        <w:rPr>
          <w:rFonts w:ascii="Arial" w:eastAsia="Times New Roman" w:hAnsi="Arial" w:cs="Arial"/>
          <w:kern w:val="0"/>
          <w:sz w:val="22"/>
          <w:szCs w:val="22"/>
          <w:lang w:eastAsia="en-GB"/>
          <w14:ligatures w14:val="none"/>
        </w:rPr>
      </w:pPr>
    </w:p>
    <w:p w14:paraId="770B141D" w14:textId="3D0588D7" w:rsidR="006844E2" w:rsidRPr="006C29A4" w:rsidRDefault="006844E2" w:rsidP="00F143C0">
      <w:pPr>
        <w:spacing w:after="0" w:line="240" w:lineRule="auto"/>
        <w:rPr>
          <w:rFonts w:ascii="Arial" w:eastAsia="Times New Roman" w:hAnsi="Arial" w:cs="Arial"/>
          <w:kern w:val="0"/>
          <w:sz w:val="22"/>
          <w:szCs w:val="22"/>
          <w:lang w:eastAsia="en-GB"/>
          <w14:ligatures w14:val="none"/>
        </w:rPr>
      </w:pPr>
      <w:r w:rsidRPr="006C29A4">
        <w:rPr>
          <w:rFonts w:ascii="Arial" w:hAnsi="Arial" w:cs="Arial"/>
          <w:sz w:val="22"/>
          <w:szCs w:val="22"/>
        </w:rPr>
        <w:t>A person-centred approach places individuals, families, and communities at the core of health, care, and wellbeing. It emphasises empowering people to express what truly matters to them while ensuring that healthcare professionals actively listen and understand their needs. This approach fosters collaboration, mutual respect, and shared decision-making, enabling individuals and staff to feel valued, supported, and motivated. By promoting control and engagement for all involved, a person-centred system enhances quality of care and overall wellbeing (Health Education England, 2021).</w:t>
      </w:r>
    </w:p>
    <w:p w14:paraId="4BB91EEC" w14:textId="77777777" w:rsidR="005C1009" w:rsidRPr="006C29A4" w:rsidRDefault="005C1009" w:rsidP="00F143C0">
      <w:pPr>
        <w:spacing w:after="0" w:line="240" w:lineRule="auto"/>
        <w:rPr>
          <w:rFonts w:ascii="Arial" w:eastAsia="Times New Roman" w:hAnsi="Arial" w:cs="Arial"/>
          <w:kern w:val="0"/>
          <w:sz w:val="22"/>
          <w:szCs w:val="22"/>
          <w:lang w:eastAsia="en-GB"/>
          <w14:ligatures w14:val="none"/>
        </w:rPr>
      </w:pPr>
    </w:p>
    <w:p w14:paraId="4AE39066" w14:textId="6739E4BA" w:rsidR="009B0085" w:rsidRPr="006C29A4" w:rsidRDefault="005C1009" w:rsidP="00F143C0">
      <w:pPr>
        <w:spacing w:after="0" w:line="240" w:lineRule="auto"/>
        <w:rPr>
          <w:rFonts w:ascii="Arial" w:hAnsi="Arial" w:cs="Arial"/>
          <w:color w:val="1B1B1B"/>
          <w:sz w:val="22"/>
          <w:szCs w:val="22"/>
        </w:rPr>
      </w:pPr>
      <w:r w:rsidRPr="006C29A4">
        <w:rPr>
          <w:rFonts w:ascii="Arial" w:hAnsi="Arial" w:cs="Arial"/>
          <w:color w:val="1B1B1B"/>
          <w:sz w:val="22"/>
          <w:szCs w:val="22"/>
        </w:rPr>
        <w:t>Working as a team means recognizing people’s limitations and potential to manage and improve their health, instead of viewing them as victims of disease</w:t>
      </w:r>
      <w:r w:rsidR="00B979F3" w:rsidRPr="006C29A4">
        <w:rPr>
          <w:rFonts w:ascii="Arial" w:hAnsi="Arial" w:cs="Arial"/>
          <w:color w:val="1B1B1B"/>
          <w:sz w:val="22"/>
          <w:szCs w:val="22"/>
        </w:rPr>
        <w:t xml:space="preserve">, </w:t>
      </w:r>
      <w:r w:rsidR="00231DED" w:rsidRPr="006C29A4">
        <w:rPr>
          <w:rFonts w:ascii="Arial" w:hAnsi="Arial" w:cs="Arial"/>
          <w:color w:val="1B1B1B"/>
          <w:sz w:val="22"/>
          <w:szCs w:val="22"/>
        </w:rPr>
        <w:t>solely</w:t>
      </w:r>
      <w:r w:rsidR="000C17B8" w:rsidRPr="006C29A4">
        <w:rPr>
          <w:rFonts w:ascii="Arial" w:hAnsi="Arial" w:cs="Arial"/>
          <w:color w:val="1B1B1B"/>
          <w:sz w:val="22"/>
          <w:szCs w:val="22"/>
        </w:rPr>
        <w:t xml:space="preserve"> focusing on the illnes</w:t>
      </w:r>
      <w:r w:rsidR="00B979F3" w:rsidRPr="006C29A4">
        <w:rPr>
          <w:rFonts w:ascii="Arial" w:hAnsi="Arial" w:cs="Arial"/>
          <w:color w:val="1B1B1B"/>
          <w:sz w:val="22"/>
          <w:szCs w:val="22"/>
        </w:rPr>
        <w:t>s.</w:t>
      </w:r>
      <w:r w:rsidR="000B2C28" w:rsidRPr="006C29A4">
        <w:rPr>
          <w:rFonts w:ascii="Arial" w:hAnsi="Arial" w:cs="Arial"/>
          <w:color w:val="1B1B1B"/>
          <w:sz w:val="22"/>
          <w:szCs w:val="22"/>
        </w:rPr>
        <w:t xml:space="preserve"> </w:t>
      </w:r>
      <w:r w:rsidR="00B979F3" w:rsidRPr="006C29A4">
        <w:rPr>
          <w:rFonts w:ascii="Arial" w:hAnsi="Arial" w:cs="Arial"/>
          <w:color w:val="1B1B1B"/>
          <w:sz w:val="22"/>
          <w:szCs w:val="22"/>
        </w:rPr>
        <w:t>They are loo</w:t>
      </w:r>
      <w:r w:rsidR="00CE6D19" w:rsidRPr="006C29A4">
        <w:rPr>
          <w:rFonts w:ascii="Arial" w:hAnsi="Arial" w:cs="Arial"/>
          <w:color w:val="1B1B1B"/>
          <w:sz w:val="22"/>
          <w:szCs w:val="22"/>
        </w:rPr>
        <w:t>ked at as a person first</w:t>
      </w:r>
      <w:r w:rsidR="00231DED" w:rsidRPr="006C29A4">
        <w:rPr>
          <w:rFonts w:ascii="Arial" w:hAnsi="Arial" w:cs="Arial"/>
          <w:color w:val="1B1B1B"/>
          <w:sz w:val="22"/>
          <w:szCs w:val="22"/>
        </w:rPr>
        <w:t>,</w:t>
      </w:r>
      <w:r w:rsidR="00CE6D19" w:rsidRPr="006C29A4">
        <w:rPr>
          <w:rFonts w:ascii="Arial" w:hAnsi="Arial" w:cs="Arial"/>
          <w:color w:val="1B1B1B"/>
          <w:sz w:val="22"/>
          <w:szCs w:val="22"/>
        </w:rPr>
        <w:t xml:space="preserve"> and their i</w:t>
      </w:r>
      <w:r w:rsidR="001723F8" w:rsidRPr="006C29A4">
        <w:rPr>
          <w:rFonts w:ascii="Arial" w:hAnsi="Arial" w:cs="Arial"/>
          <w:color w:val="1B1B1B"/>
          <w:sz w:val="22"/>
          <w:szCs w:val="22"/>
        </w:rPr>
        <w:t xml:space="preserve">llness comes </w:t>
      </w:r>
      <w:r w:rsidR="00050BE0" w:rsidRPr="006C29A4">
        <w:rPr>
          <w:rFonts w:ascii="Arial" w:hAnsi="Arial" w:cs="Arial"/>
          <w:color w:val="1B1B1B"/>
          <w:sz w:val="22"/>
          <w:szCs w:val="22"/>
        </w:rPr>
        <w:t>second</w:t>
      </w:r>
      <w:r w:rsidR="001723F8" w:rsidRPr="006C29A4">
        <w:rPr>
          <w:rFonts w:ascii="Arial" w:hAnsi="Arial" w:cs="Arial"/>
          <w:color w:val="1B1B1B"/>
          <w:sz w:val="22"/>
          <w:szCs w:val="22"/>
        </w:rPr>
        <w:t>.</w:t>
      </w:r>
      <w:r w:rsidR="005E5E3C" w:rsidRPr="006C29A4">
        <w:rPr>
          <w:rFonts w:ascii="Arial" w:hAnsi="Arial" w:cs="Arial"/>
          <w:color w:val="1B1B1B"/>
          <w:sz w:val="22"/>
          <w:szCs w:val="22"/>
        </w:rPr>
        <w:t xml:space="preserve"> This </w:t>
      </w:r>
      <w:r w:rsidR="00231DED" w:rsidRPr="006C29A4">
        <w:rPr>
          <w:rFonts w:ascii="Arial" w:hAnsi="Arial" w:cs="Arial"/>
          <w:color w:val="1B1B1B"/>
          <w:sz w:val="22"/>
          <w:szCs w:val="22"/>
        </w:rPr>
        <w:t>contrasts with</w:t>
      </w:r>
      <w:r w:rsidR="005E5E3C" w:rsidRPr="006C29A4">
        <w:rPr>
          <w:rFonts w:ascii="Arial" w:hAnsi="Arial" w:cs="Arial"/>
          <w:color w:val="1B1B1B"/>
          <w:sz w:val="22"/>
          <w:szCs w:val="22"/>
        </w:rPr>
        <w:t xml:space="preserve"> the medical model</w:t>
      </w:r>
      <w:r w:rsidR="000106FB" w:rsidRPr="006C29A4">
        <w:rPr>
          <w:rFonts w:ascii="Arial" w:hAnsi="Arial" w:cs="Arial"/>
          <w:color w:val="1B1B1B"/>
          <w:sz w:val="22"/>
          <w:szCs w:val="22"/>
        </w:rPr>
        <w:t xml:space="preserve"> that focuses on </w:t>
      </w:r>
      <w:r w:rsidR="00B64D94" w:rsidRPr="006C29A4">
        <w:rPr>
          <w:rFonts w:ascii="Arial" w:hAnsi="Arial" w:cs="Arial"/>
          <w:color w:val="1B1B1B"/>
          <w:sz w:val="22"/>
          <w:szCs w:val="22"/>
        </w:rPr>
        <w:t xml:space="preserve">the physical presence of illness and disease. </w:t>
      </w:r>
      <w:r w:rsidR="00231DED" w:rsidRPr="006C29A4">
        <w:rPr>
          <w:rFonts w:ascii="Arial" w:hAnsi="Arial" w:cs="Arial"/>
          <w:color w:val="1B1B1B"/>
          <w:sz w:val="22"/>
          <w:szCs w:val="22"/>
        </w:rPr>
        <w:t>Which can sometimes have no physical signs, and moreover, ill health can look different to different people depending on social, cultural</w:t>
      </w:r>
      <w:r w:rsidR="00050BE0" w:rsidRPr="006C29A4">
        <w:rPr>
          <w:rFonts w:ascii="Arial" w:hAnsi="Arial" w:cs="Arial"/>
          <w:color w:val="1B1B1B"/>
          <w:sz w:val="22"/>
          <w:szCs w:val="22"/>
        </w:rPr>
        <w:t>,</w:t>
      </w:r>
      <w:r w:rsidR="00231DED" w:rsidRPr="006C29A4">
        <w:rPr>
          <w:rFonts w:ascii="Arial" w:hAnsi="Arial" w:cs="Arial"/>
          <w:color w:val="1B1B1B"/>
          <w:sz w:val="22"/>
          <w:szCs w:val="22"/>
        </w:rPr>
        <w:t xml:space="preserve"> and psychological factors.</w:t>
      </w:r>
      <w:r w:rsidR="00050BE0" w:rsidRPr="006C29A4">
        <w:rPr>
          <w:rFonts w:ascii="Arial" w:hAnsi="Arial" w:cs="Arial"/>
          <w:color w:val="1B1B1B"/>
          <w:sz w:val="22"/>
          <w:szCs w:val="22"/>
        </w:rPr>
        <w:t xml:space="preserve"> </w:t>
      </w:r>
      <w:r w:rsidR="00231DED" w:rsidRPr="006C29A4">
        <w:rPr>
          <w:rFonts w:ascii="Arial" w:hAnsi="Arial" w:cs="Arial"/>
          <w:color w:val="1B1B1B"/>
          <w:sz w:val="22"/>
          <w:szCs w:val="22"/>
        </w:rPr>
        <w:t>(Farre</w:t>
      </w:r>
      <w:r w:rsidR="003F4339" w:rsidRPr="006C29A4">
        <w:rPr>
          <w:rFonts w:ascii="Arial" w:hAnsi="Arial" w:cs="Arial"/>
          <w:color w:val="1B1B1B"/>
          <w:sz w:val="22"/>
          <w:szCs w:val="22"/>
        </w:rPr>
        <w:t xml:space="preserve"> </w:t>
      </w:r>
      <w:r w:rsidR="00231DED" w:rsidRPr="006C29A4">
        <w:rPr>
          <w:rFonts w:ascii="Arial" w:hAnsi="Arial" w:cs="Arial"/>
          <w:color w:val="1B1B1B"/>
          <w:sz w:val="22"/>
          <w:szCs w:val="22"/>
        </w:rPr>
        <w:t>and Rapley 2017)</w:t>
      </w:r>
      <w:r w:rsidR="00050BE0" w:rsidRPr="006C29A4">
        <w:rPr>
          <w:rFonts w:ascii="Arial" w:hAnsi="Arial" w:cs="Arial"/>
          <w:color w:val="1B1B1B"/>
          <w:sz w:val="22"/>
          <w:szCs w:val="22"/>
        </w:rPr>
        <w:t>.</w:t>
      </w:r>
      <w:r w:rsidR="00231DED" w:rsidRPr="006C29A4">
        <w:rPr>
          <w:rFonts w:ascii="Arial" w:hAnsi="Arial" w:cs="Arial"/>
          <w:color w:val="1B1B1B"/>
          <w:sz w:val="22"/>
          <w:szCs w:val="22"/>
        </w:rPr>
        <w:t xml:space="preserve"> </w:t>
      </w:r>
    </w:p>
    <w:p w14:paraId="609A7F69" w14:textId="77777777" w:rsidR="009B0085" w:rsidRPr="006C29A4" w:rsidRDefault="009B0085" w:rsidP="00F143C0">
      <w:pPr>
        <w:spacing w:after="0" w:line="240" w:lineRule="auto"/>
        <w:rPr>
          <w:rFonts w:ascii="Arial" w:hAnsi="Arial" w:cs="Arial"/>
          <w:color w:val="1B1B1B"/>
          <w:sz w:val="22"/>
          <w:szCs w:val="22"/>
        </w:rPr>
      </w:pPr>
    </w:p>
    <w:p w14:paraId="250A652E" w14:textId="31CB208F" w:rsidR="005C1009" w:rsidRPr="006C29A4" w:rsidRDefault="00231DED" w:rsidP="00F143C0">
      <w:pPr>
        <w:spacing w:after="0" w:line="240" w:lineRule="auto"/>
        <w:rPr>
          <w:rFonts w:ascii="Arial" w:hAnsi="Arial" w:cs="Arial"/>
          <w:color w:val="1B1B1B"/>
          <w:sz w:val="22"/>
          <w:szCs w:val="22"/>
        </w:rPr>
      </w:pPr>
      <w:r w:rsidRPr="006C29A4">
        <w:rPr>
          <w:rFonts w:ascii="Arial" w:hAnsi="Arial" w:cs="Arial"/>
          <w:color w:val="1B1B1B"/>
          <w:sz w:val="22"/>
          <w:szCs w:val="22"/>
        </w:rPr>
        <w:lastRenderedPageBreak/>
        <w:t xml:space="preserve">The Medical model would look at someone with diabetes as having an insulin </w:t>
      </w:r>
      <w:r w:rsidR="00050BE0" w:rsidRPr="006C29A4">
        <w:rPr>
          <w:rFonts w:ascii="Arial" w:hAnsi="Arial" w:cs="Arial"/>
          <w:color w:val="1B1B1B"/>
          <w:sz w:val="22"/>
          <w:szCs w:val="22"/>
        </w:rPr>
        <w:t>deficiency</w:t>
      </w:r>
      <w:r w:rsidRPr="006C29A4">
        <w:rPr>
          <w:rFonts w:ascii="Arial" w:hAnsi="Arial" w:cs="Arial"/>
          <w:color w:val="1B1B1B"/>
          <w:sz w:val="22"/>
          <w:szCs w:val="22"/>
        </w:rPr>
        <w:t xml:space="preserve"> and treat it with medication. Which is a good place to start</w:t>
      </w:r>
      <w:r w:rsidR="00050BE0" w:rsidRPr="006C29A4">
        <w:rPr>
          <w:rFonts w:ascii="Arial" w:hAnsi="Arial" w:cs="Arial"/>
          <w:color w:val="1B1B1B"/>
          <w:sz w:val="22"/>
          <w:szCs w:val="22"/>
        </w:rPr>
        <w:t>,</w:t>
      </w:r>
      <w:r w:rsidRPr="006C29A4">
        <w:rPr>
          <w:rFonts w:ascii="Arial" w:hAnsi="Arial" w:cs="Arial"/>
          <w:color w:val="1B1B1B"/>
          <w:sz w:val="22"/>
          <w:szCs w:val="22"/>
        </w:rPr>
        <w:t xml:space="preserve"> but for person-centred care to be delivered</w:t>
      </w:r>
      <w:r w:rsidR="00050BE0" w:rsidRPr="006C29A4">
        <w:rPr>
          <w:rFonts w:ascii="Arial" w:hAnsi="Arial" w:cs="Arial"/>
          <w:color w:val="1B1B1B"/>
          <w:sz w:val="22"/>
          <w:szCs w:val="22"/>
        </w:rPr>
        <w:t>,</w:t>
      </w:r>
      <w:r w:rsidRPr="006C29A4">
        <w:rPr>
          <w:rFonts w:ascii="Arial" w:hAnsi="Arial" w:cs="Arial"/>
          <w:color w:val="1B1B1B"/>
          <w:sz w:val="22"/>
          <w:szCs w:val="22"/>
        </w:rPr>
        <w:t xml:space="preserve"> the </w:t>
      </w:r>
      <w:r w:rsidR="000B4E95">
        <w:rPr>
          <w:rFonts w:ascii="Arial" w:hAnsi="Arial" w:cs="Arial"/>
          <w:color w:val="1B1B1B"/>
          <w:sz w:val="22"/>
          <w:szCs w:val="22"/>
        </w:rPr>
        <w:t>incorporation</w:t>
      </w:r>
      <w:r w:rsidRPr="006C29A4">
        <w:rPr>
          <w:rFonts w:ascii="Arial" w:hAnsi="Arial" w:cs="Arial"/>
          <w:color w:val="1B1B1B"/>
          <w:sz w:val="22"/>
          <w:szCs w:val="22"/>
        </w:rPr>
        <w:t xml:space="preserve"> of several different </w:t>
      </w:r>
      <w:r w:rsidR="00050BE0" w:rsidRPr="006C29A4">
        <w:rPr>
          <w:rFonts w:ascii="Arial" w:hAnsi="Arial" w:cs="Arial"/>
          <w:color w:val="1B1B1B"/>
          <w:sz w:val="22"/>
          <w:szCs w:val="22"/>
        </w:rPr>
        <w:t>theories</w:t>
      </w:r>
      <w:r w:rsidRPr="006C29A4">
        <w:rPr>
          <w:rFonts w:ascii="Arial" w:hAnsi="Arial" w:cs="Arial"/>
          <w:color w:val="1B1B1B"/>
          <w:sz w:val="22"/>
          <w:szCs w:val="22"/>
        </w:rPr>
        <w:t xml:space="preserve"> may be necessary to ensure the client is being </w:t>
      </w:r>
      <w:r w:rsidR="00050BE0" w:rsidRPr="006C29A4">
        <w:rPr>
          <w:rFonts w:ascii="Arial" w:hAnsi="Arial" w:cs="Arial"/>
          <w:color w:val="1B1B1B"/>
          <w:sz w:val="22"/>
          <w:szCs w:val="22"/>
        </w:rPr>
        <w:t>treated</w:t>
      </w:r>
      <w:r w:rsidRPr="006C29A4">
        <w:rPr>
          <w:rFonts w:ascii="Arial" w:hAnsi="Arial" w:cs="Arial"/>
          <w:color w:val="1B1B1B"/>
          <w:sz w:val="22"/>
          <w:szCs w:val="22"/>
        </w:rPr>
        <w:t xml:space="preserve"> </w:t>
      </w:r>
      <w:r w:rsidR="00050BE0" w:rsidRPr="006C29A4">
        <w:rPr>
          <w:rFonts w:ascii="Arial" w:hAnsi="Arial" w:cs="Arial"/>
          <w:color w:val="1B1B1B"/>
          <w:sz w:val="22"/>
          <w:szCs w:val="22"/>
        </w:rPr>
        <w:t>holistically</w:t>
      </w:r>
      <w:r w:rsidRPr="006C29A4">
        <w:rPr>
          <w:rFonts w:ascii="Arial" w:hAnsi="Arial" w:cs="Arial"/>
          <w:color w:val="1B1B1B"/>
          <w:sz w:val="22"/>
          <w:szCs w:val="22"/>
        </w:rPr>
        <w:t>. Also</w:t>
      </w:r>
      <w:r w:rsidR="00050BE0" w:rsidRPr="006C29A4">
        <w:rPr>
          <w:rFonts w:ascii="Arial" w:hAnsi="Arial" w:cs="Arial"/>
          <w:color w:val="1B1B1B"/>
          <w:sz w:val="22"/>
          <w:szCs w:val="22"/>
        </w:rPr>
        <w:t>,</w:t>
      </w:r>
      <w:r w:rsidRPr="006C29A4">
        <w:rPr>
          <w:rFonts w:ascii="Arial" w:hAnsi="Arial" w:cs="Arial"/>
          <w:color w:val="1B1B1B"/>
          <w:sz w:val="22"/>
          <w:szCs w:val="22"/>
        </w:rPr>
        <w:t xml:space="preserve"> taking into consideration risk factors</w:t>
      </w:r>
      <w:r w:rsidR="00050BE0" w:rsidRPr="006C29A4">
        <w:rPr>
          <w:rFonts w:ascii="Arial" w:hAnsi="Arial" w:cs="Arial"/>
          <w:color w:val="1B1B1B"/>
          <w:sz w:val="22"/>
          <w:szCs w:val="22"/>
        </w:rPr>
        <w:t>, biology</w:t>
      </w:r>
      <w:r w:rsidR="003F4339" w:rsidRPr="006C29A4">
        <w:rPr>
          <w:rFonts w:ascii="Arial" w:hAnsi="Arial" w:cs="Arial"/>
          <w:color w:val="1B1B1B"/>
          <w:sz w:val="22"/>
          <w:szCs w:val="22"/>
        </w:rPr>
        <w:t>,</w:t>
      </w:r>
      <w:r w:rsidRPr="006C29A4">
        <w:rPr>
          <w:rFonts w:ascii="Arial" w:hAnsi="Arial" w:cs="Arial"/>
          <w:color w:val="1B1B1B"/>
          <w:sz w:val="22"/>
          <w:szCs w:val="22"/>
        </w:rPr>
        <w:t xml:space="preserve"> and lifestyle habits</w:t>
      </w:r>
      <w:r w:rsidR="00050BE0" w:rsidRPr="006C29A4">
        <w:rPr>
          <w:rFonts w:ascii="Arial" w:hAnsi="Arial" w:cs="Arial"/>
          <w:color w:val="1B1B1B"/>
          <w:sz w:val="22"/>
          <w:szCs w:val="22"/>
        </w:rPr>
        <w:t>,</w:t>
      </w:r>
      <w:r w:rsidRPr="006C29A4">
        <w:rPr>
          <w:rFonts w:ascii="Arial" w:hAnsi="Arial" w:cs="Arial"/>
          <w:color w:val="1B1B1B"/>
          <w:sz w:val="22"/>
          <w:szCs w:val="22"/>
        </w:rPr>
        <w:t xml:space="preserve"> and addressing the root cause </w:t>
      </w:r>
      <w:r w:rsidR="00050BE0" w:rsidRPr="006C29A4">
        <w:rPr>
          <w:rFonts w:ascii="Arial" w:hAnsi="Arial" w:cs="Arial"/>
          <w:color w:val="1B1B1B"/>
          <w:sz w:val="22"/>
          <w:szCs w:val="22"/>
        </w:rPr>
        <w:t>to prevent</w:t>
      </w:r>
      <w:r w:rsidRPr="006C29A4">
        <w:rPr>
          <w:rFonts w:ascii="Arial" w:hAnsi="Arial" w:cs="Arial"/>
          <w:color w:val="1B1B1B"/>
          <w:sz w:val="22"/>
          <w:szCs w:val="22"/>
        </w:rPr>
        <w:t xml:space="preserve"> symptoms</w:t>
      </w:r>
      <w:r w:rsidR="00050BE0" w:rsidRPr="006C29A4">
        <w:rPr>
          <w:rFonts w:ascii="Arial" w:hAnsi="Arial" w:cs="Arial"/>
          <w:color w:val="1B1B1B"/>
          <w:sz w:val="22"/>
          <w:szCs w:val="22"/>
        </w:rPr>
        <w:t xml:space="preserve"> from worsening</w:t>
      </w:r>
      <w:r w:rsidRPr="006C29A4">
        <w:rPr>
          <w:rFonts w:ascii="Arial" w:hAnsi="Arial" w:cs="Arial"/>
          <w:color w:val="1B1B1B"/>
          <w:sz w:val="22"/>
          <w:szCs w:val="22"/>
        </w:rPr>
        <w:t xml:space="preserve"> or even </w:t>
      </w:r>
      <w:r w:rsidR="00050BE0" w:rsidRPr="006C29A4">
        <w:rPr>
          <w:rFonts w:ascii="Arial" w:hAnsi="Arial" w:cs="Arial"/>
          <w:color w:val="1B1B1B"/>
          <w:sz w:val="22"/>
          <w:szCs w:val="22"/>
        </w:rPr>
        <w:t>reversing</w:t>
      </w:r>
      <w:r w:rsidRPr="006C29A4">
        <w:rPr>
          <w:rFonts w:ascii="Arial" w:hAnsi="Arial" w:cs="Arial"/>
          <w:color w:val="1B1B1B"/>
          <w:sz w:val="22"/>
          <w:szCs w:val="22"/>
        </w:rPr>
        <w:t xml:space="preserve"> them.</w:t>
      </w:r>
    </w:p>
    <w:p w14:paraId="03777475" w14:textId="77777777" w:rsidR="00231DED" w:rsidRPr="007831E2" w:rsidRDefault="00231DED" w:rsidP="00F143C0">
      <w:pPr>
        <w:spacing w:after="0" w:line="240" w:lineRule="auto"/>
        <w:rPr>
          <w:rFonts w:ascii="Arial" w:eastAsia="Times New Roman" w:hAnsi="Arial" w:cs="Arial"/>
          <w:kern w:val="0"/>
          <w:sz w:val="22"/>
          <w:szCs w:val="22"/>
          <w:lang w:eastAsia="en-GB"/>
          <w14:ligatures w14:val="none"/>
        </w:rPr>
      </w:pPr>
    </w:p>
    <w:p w14:paraId="6DE2FEEB" w14:textId="796214D3" w:rsidR="00D32D4C" w:rsidRPr="007831E2" w:rsidRDefault="00050BE0" w:rsidP="00853868">
      <w:pPr>
        <w:rPr>
          <w:rFonts w:ascii="Arial" w:hAnsi="Arial" w:cs="Arial"/>
          <w:sz w:val="22"/>
          <w:szCs w:val="22"/>
        </w:rPr>
      </w:pPr>
      <w:r w:rsidRPr="007831E2">
        <w:rPr>
          <w:rFonts w:ascii="Arial" w:hAnsi="Arial" w:cs="Arial"/>
          <w:sz w:val="22"/>
          <w:szCs w:val="22"/>
        </w:rPr>
        <w:t xml:space="preserve">The </w:t>
      </w:r>
      <w:r w:rsidR="009B0085" w:rsidRPr="007831E2">
        <w:rPr>
          <w:rFonts w:ascii="Arial" w:hAnsi="Arial" w:cs="Arial"/>
          <w:sz w:val="22"/>
          <w:szCs w:val="22"/>
        </w:rPr>
        <w:t>Health</w:t>
      </w:r>
      <w:r w:rsidRPr="007831E2">
        <w:rPr>
          <w:rFonts w:ascii="Arial" w:hAnsi="Arial" w:cs="Arial"/>
          <w:sz w:val="22"/>
          <w:szCs w:val="22"/>
        </w:rPr>
        <w:t xml:space="preserve"> and </w:t>
      </w:r>
      <w:r w:rsidR="009B0085" w:rsidRPr="007831E2">
        <w:rPr>
          <w:rFonts w:ascii="Arial" w:hAnsi="Arial" w:cs="Arial"/>
          <w:sz w:val="22"/>
          <w:szCs w:val="22"/>
        </w:rPr>
        <w:t>Social Care Act</w:t>
      </w:r>
      <w:r w:rsidRPr="007831E2">
        <w:rPr>
          <w:rFonts w:ascii="Arial" w:hAnsi="Arial" w:cs="Arial"/>
          <w:sz w:val="22"/>
          <w:szCs w:val="22"/>
        </w:rPr>
        <w:t xml:space="preserve"> 2022</w:t>
      </w:r>
      <w:r w:rsidR="009B0085" w:rsidRPr="007831E2">
        <w:rPr>
          <w:rFonts w:ascii="Arial" w:hAnsi="Arial" w:cs="Arial"/>
          <w:sz w:val="22"/>
          <w:szCs w:val="22"/>
        </w:rPr>
        <w:t xml:space="preserve"> is set out to encourage Partnership working and integrated services for patients.  That will assist in the individual's speedy recovery and the inclusion of the patient's opinions and preferences.</w:t>
      </w:r>
      <w:r w:rsidR="009B0085" w:rsidRPr="00D71568">
        <w:rPr>
          <w:rFonts w:ascii="Arial" w:hAnsi="Arial" w:cs="Arial"/>
          <w:sz w:val="22"/>
          <w:szCs w:val="22"/>
        </w:rPr>
        <w:t xml:space="preserve"> (</w:t>
      </w:r>
      <w:hyperlink r:id="rId10" w:history="1">
        <w:r w:rsidR="009B0085" w:rsidRPr="00D71568">
          <w:rPr>
            <w:rStyle w:val="Hyperlink"/>
            <w:rFonts w:ascii="Arial" w:hAnsi="Arial" w:cs="Arial"/>
            <w:color w:val="auto"/>
            <w:sz w:val="22"/>
            <w:szCs w:val="22"/>
          </w:rPr>
          <w:t>legislation.gov.uk</w:t>
        </w:r>
      </w:hyperlink>
      <w:r w:rsidR="009B0085" w:rsidRPr="007831E2">
        <w:rPr>
          <w:rFonts w:ascii="Arial" w:hAnsi="Arial" w:cs="Arial"/>
          <w:sz w:val="22"/>
          <w:szCs w:val="22"/>
        </w:rPr>
        <w:t>) As well as legislation</w:t>
      </w:r>
      <w:r w:rsidR="008B66FA" w:rsidRPr="007831E2">
        <w:rPr>
          <w:rFonts w:ascii="Arial" w:hAnsi="Arial" w:cs="Arial"/>
          <w:sz w:val="22"/>
          <w:szCs w:val="22"/>
        </w:rPr>
        <w:t>,</w:t>
      </w:r>
      <w:r w:rsidR="009B0085" w:rsidRPr="007831E2">
        <w:rPr>
          <w:rFonts w:ascii="Arial" w:hAnsi="Arial" w:cs="Arial"/>
          <w:sz w:val="22"/>
          <w:szCs w:val="22"/>
        </w:rPr>
        <w:t xml:space="preserve"> there are also ethical </w:t>
      </w:r>
      <w:r w:rsidR="00A630A3" w:rsidRPr="007831E2">
        <w:rPr>
          <w:rFonts w:ascii="Arial" w:hAnsi="Arial" w:cs="Arial"/>
          <w:sz w:val="22"/>
          <w:szCs w:val="22"/>
        </w:rPr>
        <w:t>considerations that</w:t>
      </w:r>
      <w:r w:rsidR="009B0085" w:rsidRPr="007831E2">
        <w:rPr>
          <w:rFonts w:ascii="Arial" w:hAnsi="Arial" w:cs="Arial"/>
          <w:sz w:val="22"/>
          <w:szCs w:val="22"/>
        </w:rPr>
        <w:t xml:space="preserve"> include:</w:t>
      </w:r>
    </w:p>
    <w:p w14:paraId="457D774B" w14:textId="2734C606" w:rsidR="009B0085" w:rsidRPr="007831E2" w:rsidRDefault="00FA77F0" w:rsidP="00FA77F0">
      <w:pPr>
        <w:pStyle w:val="ListParagraph"/>
        <w:numPr>
          <w:ilvl w:val="0"/>
          <w:numId w:val="1"/>
        </w:numPr>
        <w:rPr>
          <w:rFonts w:ascii="Arial" w:hAnsi="Arial" w:cs="Arial"/>
          <w:sz w:val="22"/>
          <w:szCs w:val="22"/>
        </w:rPr>
      </w:pPr>
      <w:r w:rsidRPr="007831E2">
        <w:rPr>
          <w:rFonts w:ascii="Arial" w:hAnsi="Arial" w:cs="Arial"/>
          <w:sz w:val="22"/>
          <w:szCs w:val="22"/>
        </w:rPr>
        <w:t>Non-maleficence</w:t>
      </w:r>
    </w:p>
    <w:p w14:paraId="6ABF3067" w14:textId="25B17480" w:rsidR="009B008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Justice and Equality</w:t>
      </w:r>
    </w:p>
    <w:p w14:paraId="5D07813C" w14:textId="12ACCFC5" w:rsidR="00F6492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Respect for Autonomy</w:t>
      </w:r>
    </w:p>
    <w:p w14:paraId="70760FF9" w14:textId="16533ABB" w:rsidR="00F6492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Beneficence</w:t>
      </w:r>
    </w:p>
    <w:p w14:paraId="4537796B" w14:textId="02E38909" w:rsidR="00F6492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Confidentiality and Privacy</w:t>
      </w:r>
    </w:p>
    <w:p w14:paraId="7ED1474C" w14:textId="1EB64472" w:rsidR="00F6492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Honesty</w:t>
      </w:r>
    </w:p>
    <w:p w14:paraId="4B86F6E9" w14:textId="0BE63DA7" w:rsidR="00F64925" w:rsidRPr="007831E2" w:rsidRDefault="00F64925" w:rsidP="00FA77F0">
      <w:pPr>
        <w:pStyle w:val="ListParagraph"/>
        <w:numPr>
          <w:ilvl w:val="0"/>
          <w:numId w:val="1"/>
        </w:numPr>
        <w:rPr>
          <w:rFonts w:ascii="Arial" w:hAnsi="Arial" w:cs="Arial"/>
          <w:sz w:val="22"/>
          <w:szCs w:val="22"/>
        </w:rPr>
      </w:pPr>
      <w:r w:rsidRPr="007831E2">
        <w:rPr>
          <w:rFonts w:ascii="Arial" w:hAnsi="Arial" w:cs="Arial"/>
          <w:sz w:val="22"/>
          <w:szCs w:val="22"/>
        </w:rPr>
        <w:t>Professional boundaries</w:t>
      </w:r>
    </w:p>
    <w:p w14:paraId="06192E44" w14:textId="77777777" w:rsidR="00F64925" w:rsidRPr="007831E2" w:rsidRDefault="00F64925" w:rsidP="00853868">
      <w:pPr>
        <w:rPr>
          <w:rFonts w:ascii="Arial" w:hAnsi="Arial" w:cs="Arial"/>
          <w:b/>
          <w:bCs/>
          <w:sz w:val="22"/>
          <w:szCs w:val="22"/>
        </w:rPr>
      </w:pPr>
    </w:p>
    <w:p w14:paraId="679C2F53" w14:textId="2C2235F0" w:rsidR="00F64925" w:rsidRPr="007831E2" w:rsidRDefault="00F64925" w:rsidP="00853868">
      <w:pPr>
        <w:rPr>
          <w:rFonts w:ascii="Arial" w:hAnsi="Arial" w:cs="Arial"/>
          <w:sz w:val="22"/>
          <w:szCs w:val="22"/>
        </w:rPr>
      </w:pPr>
      <w:r w:rsidRPr="007831E2">
        <w:rPr>
          <w:rFonts w:ascii="Arial" w:hAnsi="Arial" w:cs="Arial"/>
          <w:sz w:val="22"/>
          <w:szCs w:val="22"/>
        </w:rPr>
        <w:t>Considering these principles when supporting those with terminal illnesses can ensure care that is effective and respectful of the person's dignity, values, and rights.</w:t>
      </w:r>
    </w:p>
    <w:p w14:paraId="55F20372" w14:textId="55400834" w:rsidR="00F57356" w:rsidRPr="007831E2" w:rsidRDefault="00257409" w:rsidP="00F57356">
      <w:pPr>
        <w:rPr>
          <w:rFonts w:ascii="Arial" w:hAnsi="Arial" w:cs="Arial"/>
          <w:sz w:val="22"/>
          <w:szCs w:val="22"/>
        </w:rPr>
      </w:pPr>
      <w:r w:rsidRPr="007831E2">
        <w:rPr>
          <w:rFonts w:ascii="Arial" w:hAnsi="Arial" w:cs="Arial"/>
          <w:sz w:val="22"/>
          <w:szCs w:val="22"/>
        </w:rPr>
        <w:t>Partnership working improves outcomes by bringing together professionals, organisations, and service users to share knowledge, skills, and resources. This collaborative approach promotes coordinated, person-centred care and reduces service fragmentation. Through effective communication and shared decision-making, partners can address complex needs more holistically, leading to improved patient experiences and more efficient service delivery. Partnership working also encourages innovation, accountability, and mutual learning across health, social care, and the voluntary sector. As a result, it enhances the quality, safety, and sustainability of care (Glasby and Dickinson, 2014).</w:t>
      </w:r>
    </w:p>
    <w:p w14:paraId="141C8E24" w14:textId="0CFC6396" w:rsidR="0037527E" w:rsidRPr="007831E2" w:rsidRDefault="0037527E" w:rsidP="00F57356">
      <w:pPr>
        <w:rPr>
          <w:rFonts w:ascii="Arial" w:hAnsi="Arial" w:cs="Arial"/>
          <w:sz w:val="22"/>
          <w:szCs w:val="22"/>
        </w:rPr>
      </w:pPr>
      <w:r w:rsidRPr="007831E2">
        <w:rPr>
          <w:rFonts w:ascii="Arial" w:hAnsi="Arial" w:cs="Arial"/>
          <w:sz w:val="22"/>
          <w:szCs w:val="22"/>
        </w:rPr>
        <w:t>Partnership working and person-centred care, while essential for improving health and social care outcomes, present several challenges. Differences in organisational cultures, priorities, and communication styles can hinder collaboration and create tension between professionals. Information sharing is another challenge, particularly when data systems are incompatible or confidentiality concerns limit transparency. Time constraints and workload pressures may also reduce opportunities for joint planning and reflection. In person-centred care, balancing individual preferences with limited resources or clinical priorities can be difficult, sometimes leading to ethical dilemmas. Additionally, power imbalances between professionals and service users can undermine genuine partnership and shared decision-making. Overcoming these challenges requires strong leadership, trust, and clear governance structures that support collaboration and mutual respect (Glasby and Dickinson, 2014).</w:t>
      </w:r>
    </w:p>
    <w:p w14:paraId="7158E711" w14:textId="1A3409AF" w:rsidR="005A2890" w:rsidRDefault="00035B36" w:rsidP="00035B36">
      <w:pPr>
        <w:pStyle w:val="NormalWeb"/>
        <w:rPr>
          <w:rFonts w:ascii="Arial" w:hAnsi="Arial" w:cs="Arial"/>
          <w:sz w:val="22"/>
          <w:szCs w:val="22"/>
        </w:rPr>
      </w:pPr>
      <w:r w:rsidRPr="00461F75">
        <w:rPr>
          <w:rFonts w:ascii="Arial" w:hAnsi="Arial" w:cs="Arial"/>
          <w:sz w:val="22"/>
          <w:szCs w:val="22"/>
        </w:rPr>
        <w:t>Partnership working and person-centred care are vital in health and social care because they promote holistic, coordinated, and responsive support tailored to individual needs. By collaborating across sectors, such as health, social care, and voluntary services</w:t>
      </w:r>
      <w:r w:rsidR="00033BEB" w:rsidRPr="00461F75">
        <w:rPr>
          <w:rFonts w:ascii="Arial" w:hAnsi="Arial" w:cs="Arial"/>
          <w:sz w:val="22"/>
          <w:szCs w:val="22"/>
        </w:rPr>
        <w:t>,</w:t>
      </w:r>
      <w:r w:rsidRPr="00461F75">
        <w:rPr>
          <w:rFonts w:ascii="Arial" w:hAnsi="Arial" w:cs="Arial"/>
          <w:sz w:val="22"/>
          <w:szCs w:val="22"/>
        </w:rPr>
        <w:t xml:space="preserve"> professionals can share expertise, reduce service duplication, and address the wider </w:t>
      </w:r>
      <w:r w:rsidRPr="00461F75">
        <w:rPr>
          <w:rFonts w:ascii="Arial" w:hAnsi="Arial" w:cs="Arial"/>
          <w:sz w:val="22"/>
          <w:szCs w:val="22"/>
        </w:rPr>
        <w:lastRenderedPageBreak/>
        <w:t xml:space="preserve">determinants of health. Person-centred care ensures that individuals are treated with dignity, respect, and compassion, empowering them to participate actively in decisions about their care. Together, these approaches enhance communication, improve patient experiences, and lead to better health outcomes. Effective partnership working also supports early intervention, continuity of care, and more efficient use of resources. Ultimately, integrating partnership and person-centred principles </w:t>
      </w:r>
      <w:r w:rsidR="00C95328">
        <w:rPr>
          <w:rFonts w:ascii="Arial" w:hAnsi="Arial" w:cs="Arial"/>
          <w:sz w:val="22"/>
          <w:szCs w:val="22"/>
        </w:rPr>
        <w:t>is</w:t>
      </w:r>
      <w:r w:rsidRPr="00461F75">
        <w:rPr>
          <w:rFonts w:ascii="Arial" w:hAnsi="Arial" w:cs="Arial"/>
          <w:sz w:val="22"/>
          <w:szCs w:val="22"/>
        </w:rPr>
        <w:t xml:space="preserve"> founded on trust, accountability, and a culture </w:t>
      </w:r>
    </w:p>
    <w:p w14:paraId="180A3E2C" w14:textId="2E57B4AC" w:rsidR="007C6E54" w:rsidRPr="00442323" w:rsidRDefault="007C6E54" w:rsidP="00035B36">
      <w:pPr>
        <w:pStyle w:val="NormalWeb"/>
        <w:rPr>
          <w:rFonts w:ascii="Arial" w:hAnsi="Arial" w:cs="Arial"/>
          <w:sz w:val="22"/>
          <w:szCs w:val="22"/>
        </w:rPr>
      </w:pPr>
      <w:r w:rsidRPr="00442323">
        <w:rPr>
          <w:rFonts w:ascii="Arial" w:hAnsi="Arial" w:cs="Arial"/>
          <w:sz w:val="22"/>
          <w:szCs w:val="22"/>
        </w:rPr>
        <w:t>Furthermore, the adoption of PCC reflects a shift in healthcare culture towards shared power and collaboration between patients and professionals. The King’s Fund (2022) highlights that person-centred care not only enhances patient satisfaction but also improves adherence to treatment plans and health outcomes, as individuals feel more valued and involved in their care. This approach also aligns with the principles of the NHS Constitution, which advocates for respect, dignity, and partnership in all health and social care interactions (NHS England, 2023).</w:t>
      </w:r>
    </w:p>
    <w:p w14:paraId="023A3046" w14:textId="405619DD" w:rsidR="004A26C1" w:rsidRDefault="00DB0930" w:rsidP="009424AC">
      <w:pPr>
        <w:rPr>
          <w:rFonts w:ascii="Arial" w:hAnsi="Arial" w:cs="Arial"/>
          <w:b/>
          <w:bCs/>
        </w:rPr>
      </w:pPr>
      <w:r>
        <w:rPr>
          <w:rFonts w:ascii="Arial" w:hAnsi="Arial" w:cs="Arial"/>
          <w:b/>
          <w:bCs/>
        </w:rPr>
        <w:t xml:space="preserve">Person-centred </w:t>
      </w:r>
      <w:r w:rsidR="00064850">
        <w:rPr>
          <w:rFonts w:ascii="Arial" w:hAnsi="Arial" w:cs="Arial"/>
          <w:b/>
          <w:bCs/>
        </w:rPr>
        <w:t>Palliative</w:t>
      </w:r>
      <w:r w:rsidR="004A26C1">
        <w:rPr>
          <w:rFonts w:ascii="Arial" w:hAnsi="Arial" w:cs="Arial"/>
          <w:b/>
          <w:bCs/>
        </w:rPr>
        <w:t xml:space="preserve"> care </w:t>
      </w:r>
      <w:r w:rsidR="00886ED0">
        <w:rPr>
          <w:rFonts w:ascii="Arial" w:hAnsi="Arial" w:cs="Arial"/>
          <w:b/>
          <w:bCs/>
        </w:rPr>
        <w:t>in a community setting</w:t>
      </w:r>
    </w:p>
    <w:p w14:paraId="7DFCECBB" w14:textId="77777777" w:rsidR="00E44C7A" w:rsidRPr="00B84CCE" w:rsidRDefault="00E44C7A" w:rsidP="00E44C7A">
      <w:pPr>
        <w:pStyle w:val="NormalWeb"/>
        <w:rPr>
          <w:rFonts w:ascii="Arial" w:hAnsi="Arial" w:cs="Arial"/>
          <w:color w:val="000000" w:themeColor="text1"/>
          <w:sz w:val="22"/>
          <w:szCs w:val="22"/>
        </w:rPr>
      </w:pPr>
      <w:r w:rsidRPr="00B84CCE">
        <w:rPr>
          <w:rFonts w:ascii="Arial" w:hAnsi="Arial" w:cs="Arial"/>
          <w:color w:val="000000" w:themeColor="text1"/>
          <w:sz w:val="22"/>
          <w:szCs w:val="22"/>
        </w:rPr>
        <w:t>In community settings, person-centred palliative care is delivered collaboratively by multidisciplinary teams, including nurses, general practitioners, social workers, and volunteers, ensuring continuity and coordination across services (NHS England, 2023). Care is often provided at home or in hospices, where people feel more comfortable and supported by loved ones. Effective communication, empathy, and shared decision-making are key elements that strengthen trust between professionals, patients, and families (World Health Organization, 2020).</w:t>
      </w:r>
    </w:p>
    <w:p w14:paraId="4228BC8A" w14:textId="77777777" w:rsidR="00F05F6F" w:rsidRDefault="00F05F6F" w:rsidP="009424AC">
      <w:pPr>
        <w:rPr>
          <w:rFonts w:ascii="Arial" w:hAnsi="Arial" w:cs="Arial"/>
          <w:b/>
          <w:bCs/>
        </w:rPr>
      </w:pPr>
    </w:p>
    <w:p w14:paraId="00DFFA66" w14:textId="73C3C067" w:rsidR="00F57356" w:rsidRPr="00BB7387" w:rsidRDefault="009A4FC5" w:rsidP="009424AC">
      <w:pPr>
        <w:rPr>
          <w:rFonts w:ascii="Arial" w:hAnsi="Arial" w:cs="Arial"/>
          <w:b/>
          <w:bCs/>
        </w:rPr>
      </w:pPr>
      <w:r w:rsidRPr="00BB7387">
        <w:rPr>
          <w:rFonts w:ascii="Arial" w:hAnsi="Arial" w:cs="Arial"/>
          <w:b/>
          <w:bCs/>
        </w:rPr>
        <w:t>Case Study</w:t>
      </w:r>
      <w:r w:rsidR="009424AC" w:rsidRPr="00BB7387">
        <w:rPr>
          <w:rFonts w:ascii="Arial" w:hAnsi="Arial" w:cs="Arial"/>
          <w:b/>
          <w:bCs/>
        </w:rPr>
        <w:t xml:space="preserve"> of Mrs </w:t>
      </w:r>
      <w:r w:rsidR="00A471E2" w:rsidRPr="00BB7387">
        <w:rPr>
          <w:rFonts w:ascii="Arial" w:hAnsi="Arial" w:cs="Arial"/>
          <w:b/>
          <w:bCs/>
        </w:rPr>
        <w:t>Myrt</w:t>
      </w:r>
      <w:r w:rsidR="00A471E2">
        <w:rPr>
          <w:rFonts w:ascii="Arial" w:hAnsi="Arial" w:cs="Arial"/>
          <w:b/>
          <w:bCs/>
        </w:rPr>
        <w:t>l</w:t>
      </w:r>
      <w:r w:rsidR="00A471E2" w:rsidRPr="00BB7387">
        <w:rPr>
          <w:rFonts w:ascii="Arial" w:hAnsi="Arial" w:cs="Arial"/>
          <w:b/>
          <w:bCs/>
        </w:rPr>
        <w:t>e</w:t>
      </w:r>
      <w:r w:rsidR="009424AC" w:rsidRPr="00BB7387">
        <w:rPr>
          <w:rFonts w:ascii="Arial" w:hAnsi="Arial" w:cs="Arial"/>
          <w:b/>
          <w:bCs/>
        </w:rPr>
        <w:t xml:space="preserve"> Peters</w:t>
      </w:r>
      <w:r w:rsidR="00EE4515">
        <w:rPr>
          <w:rFonts w:ascii="Arial" w:hAnsi="Arial" w:cs="Arial"/>
          <w:b/>
          <w:bCs/>
        </w:rPr>
        <w:t>: P</w:t>
      </w:r>
      <w:r w:rsidR="00654127">
        <w:rPr>
          <w:rFonts w:ascii="Arial" w:hAnsi="Arial" w:cs="Arial"/>
          <w:b/>
          <w:bCs/>
        </w:rPr>
        <w:t>alliative</w:t>
      </w:r>
      <w:r w:rsidR="003549C3">
        <w:rPr>
          <w:rFonts w:ascii="Arial" w:hAnsi="Arial" w:cs="Arial"/>
          <w:b/>
          <w:bCs/>
        </w:rPr>
        <w:t xml:space="preserve"> care at home.</w:t>
      </w:r>
    </w:p>
    <w:p w14:paraId="24DA8142" w14:textId="77777777" w:rsidR="00E54099" w:rsidRPr="00E54099" w:rsidRDefault="00E54099" w:rsidP="00E54099">
      <w:pPr>
        <w:pStyle w:val="NormalWeb"/>
        <w:rPr>
          <w:rFonts w:ascii="Arial" w:hAnsi="Arial" w:cs="Arial"/>
          <w:sz w:val="22"/>
          <w:szCs w:val="22"/>
        </w:rPr>
      </w:pPr>
      <w:r w:rsidRPr="00E54099">
        <w:rPr>
          <w:rFonts w:ascii="Arial" w:hAnsi="Arial" w:cs="Arial"/>
          <w:sz w:val="22"/>
          <w:szCs w:val="22"/>
        </w:rPr>
        <w:t>Mertle Peters, an 82-year-old retired nurse with multiple comorbidities, exemplifies the importance of person-centred palliative care in a community setting. Following two debilitating strokes, stage 3 kidney failure, and a poor prognosis, the multidisciplinary team (MDT) appropriately shifted focus from curative to palliative care. This transition aligns with the principles of person-centred care, which prioritise dignity, comfort, and the individual’s preferences at the end of life (Health Education England, 2021).</w:t>
      </w:r>
    </w:p>
    <w:p w14:paraId="6D9D8E4D" w14:textId="77777777" w:rsidR="00E54099" w:rsidRPr="00E54099" w:rsidRDefault="00E54099" w:rsidP="00E54099">
      <w:pPr>
        <w:pStyle w:val="NormalWeb"/>
        <w:rPr>
          <w:rFonts w:ascii="Arial" w:hAnsi="Arial" w:cs="Arial"/>
          <w:sz w:val="22"/>
          <w:szCs w:val="22"/>
        </w:rPr>
      </w:pPr>
      <w:r w:rsidRPr="00E54099">
        <w:rPr>
          <w:rFonts w:ascii="Arial" w:hAnsi="Arial" w:cs="Arial"/>
          <w:sz w:val="22"/>
          <w:szCs w:val="22"/>
        </w:rPr>
        <w:t>The consultant’s transparent communication with Mertle and her family demonstrates respect for autonomy and informed decision-making — both central to ethical care (Beauchamp and Childress, 2019). By involving Mertle and her children in discussions about her prognosis and place of care, the MDT upheld shared decision-making principles, fostering trust and emotional preparedness. Allowing Mertle to receive care at home honours her personal values, cultural identity, and emotional comfort, which are key aspects of holistic palliative practice (World Health Organization, 2020).</w:t>
      </w:r>
    </w:p>
    <w:p w14:paraId="50690B32" w14:textId="77777777" w:rsidR="00E54099" w:rsidRPr="00E54099" w:rsidRDefault="00E54099" w:rsidP="00E54099">
      <w:pPr>
        <w:pStyle w:val="NormalWeb"/>
        <w:rPr>
          <w:rFonts w:ascii="Arial" w:hAnsi="Arial" w:cs="Arial"/>
          <w:sz w:val="22"/>
          <w:szCs w:val="22"/>
        </w:rPr>
      </w:pPr>
      <w:r w:rsidRPr="00E54099">
        <w:rPr>
          <w:rFonts w:ascii="Arial" w:hAnsi="Arial" w:cs="Arial"/>
          <w:sz w:val="22"/>
          <w:szCs w:val="22"/>
        </w:rPr>
        <w:t>From a cultural perspective, recognising Mertle’s Jamaican heritage is essential, as beliefs around death, spirituality, and family involvement may influence her preferences. Partnership working between healthcare professionals, social services, and family members ensures her physical, emotional, and spiritual needs are met while preventing isolation and distress (Glasby and Dickinson, 2014).</w:t>
      </w:r>
    </w:p>
    <w:p w14:paraId="68DF544E" w14:textId="77777777" w:rsidR="00E54099" w:rsidRPr="00E54099" w:rsidRDefault="00E54099" w:rsidP="00E54099">
      <w:pPr>
        <w:pStyle w:val="NormalWeb"/>
        <w:rPr>
          <w:rFonts w:ascii="Arial" w:hAnsi="Arial" w:cs="Arial"/>
          <w:sz w:val="22"/>
          <w:szCs w:val="22"/>
        </w:rPr>
      </w:pPr>
      <w:r w:rsidRPr="00E54099">
        <w:rPr>
          <w:rFonts w:ascii="Arial" w:hAnsi="Arial" w:cs="Arial"/>
          <w:sz w:val="22"/>
          <w:szCs w:val="22"/>
        </w:rPr>
        <w:t xml:space="preserve">However, the situation also presents challenges. Coordinating community-based palliative care demands effective communication, resource availability, and emotional support for family caregivers. Nonetheless, by adopting a person-centred, ethically grounded approach, </w:t>
      </w:r>
      <w:r w:rsidRPr="00E54099">
        <w:rPr>
          <w:rFonts w:ascii="Arial" w:hAnsi="Arial" w:cs="Arial"/>
          <w:sz w:val="22"/>
          <w:szCs w:val="22"/>
        </w:rPr>
        <w:lastRenderedPageBreak/>
        <w:t>the MDT maximises Mertle’s quality of life and ensures her final weeks are managed with compassion, dignity, and respect.</w:t>
      </w:r>
    </w:p>
    <w:p w14:paraId="78758869" w14:textId="099C60C5" w:rsidR="00B84CCE" w:rsidRPr="00B84CCE" w:rsidRDefault="00B84CCE" w:rsidP="00B84CCE">
      <w:pPr>
        <w:pStyle w:val="NormalWeb"/>
        <w:rPr>
          <w:rFonts w:ascii="Arial" w:hAnsi="Arial" w:cs="Arial"/>
          <w:color w:val="000000" w:themeColor="text1"/>
          <w:sz w:val="22"/>
          <w:szCs w:val="22"/>
        </w:rPr>
      </w:pPr>
      <w:r w:rsidRPr="00B84CCE">
        <w:rPr>
          <w:rFonts w:ascii="Arial" w:hAnsi="Arial" w:cs="Arial"/>
          <w:color w:val="000000" w:themeColor="text1"/>
          <w:sz w:val="22"/>
          <w:szCs w:val="22"/>
        </w:rPr>
        <w:t>Person-centred palliative care in a community setting focuses on providing holistic, compassionate, and individualised support for people with life-limiting or terminal conditions. It recognises the person beyond their illness, prioritising their physical comfort, emotional wellbeing, spiritual needs, and personal values. Central to this approach is empowering individuals and their families to make informed decisions about their care, respecting their autonomy, dignity, and cultural preferences (Health Education England, 2021).</w:t>
      </w:r>
    </w:p>
    <w:p w14:paraId="57D744C1" w14:textId="5C8DC150" w:rsidR="00B84CCE" w:rsidRPr="009609E4" w:rsidRDefault="009609E4" w:rsidP="0025586B">
      <w:pPr>
        <w:rPr>
          <w:rFonts w:ascii="Arial" w:hAnsi="Arial" w:cs="Arial"/>
          <w:color w:val="000000" w:themeColor="text1"/>
          <w:sz w:val="22"/>
          <w:szCs w:val="22"/>
        </w:rPr>
      </w:pPr>
      <w:r w:rsidRPr="009609E4">
        <w:rPr>
          <w:rFonts w:ascii="Arial" w:hAnsi="Arial" w:cs="Arial"/>
          <w:color w:val="000000" w:themeColor="text1"/>
          <w:sz w:val="22"/>
          <w:szCs w:val="22"/>
        </w:rPr>
        <w:t>This approach not only alleviates physical pain and psychological distress but also supports families through bereavement, promoting dignity and quality of life until the end. Ultimately, person-centred palliative care in the community reflects a holistic understanding of health and wellbeing, where compassion, respect, and partnership underpin every aspect of care</w:t>
      </w:r>
    </w:p>
    <w:p w14:paraId="7DD0ACBD" w14:textId="0A65E461" w:rsidR="00AE4DF1" w:rsidRPr="00461F75" w:rsidRDefault="00AE4DF1" w:rsidP="00AE4DF1">
      <w:pPr>
        <w:pStyle w:val="NormalWeb"/>
        <w:rPr>
          <w:rFonts w:ascii="Arial" w:hAnsi="Arial" w:cs="Arial"/>
          <w:sz w:val="22"/>
          <w:szCs w:val="22"/>
        </w:rPr>
      </w:pPr>
      <w:r w:rsidRPr="00461F75">
        <w:rPr>
          <w:rStyle w:val="Strong"/>
          <w:rFonts w:ascii="Arial" w:eastAsiaTheme="majorEastAsia" w:hAnsi="Arial" w:cs="Arial"/>
          <w:sz w:val="22"/>
          <w:szCs w:val="22"/>
        </w:rPr>
        <w:t>Conclusion</w:t>
      </w:r>
      <w:r w:rsidRPr="00461F75">
        <w:rPr>
          <w:rFonts w:ascii="Arial" w:hAnsi="Arial" w:cs="Arial"/>
          <w:sz w:val="22"/>
          <w:szCs w:val="22"/>
        </w:rPr>
        <w:br/>
        <w:t xml:space="preserve">Person-centred care and partnership working are fundamental to delivering high-quality, holistic health and social care. Together, they prioritise the individual’s needs, preferences, and values while promoting collaboration among multidisciplinary teams and organisations. This approach enhances communication, ensures coordinated care, and improves patient outcomes by addressing the complex interconnected factors </w:t>
      </w:r>
      <w:r w:rsidR="00893DA1">
        <w:rPr>
          <w:rFonts w:ascii="Arial" w:hAnsi="Arial" w:cs="Arial"/>
          <w:sz w:val="22"/>
          <w:szCs w:val="22"/>
        </w:rPr>
        <w:t>affecting</w:t>
      </w:r>
      <w:r w:rsidRPr="00461F75">
        <w:rPr>
          <w:rFonts w:ascii="Arial" w:hAnsi="Arial" w:cs="Arial"/>
          <w:sz w:val="22"/>
          <w:szCs w:val="22"/>
        </w:rPr>
        <w:t xml:space="preserve"> health. Although challenges such as resource constraints, differing organisational priorities, and ethical dilemmas exist, these can be mitigated through effective leadership, shared accountability, and trust-building. Implementing PCC and partnership working fosters empowerment, dignity, and respect for service users, while encouraging innovation, mutual learning, and professional development among staff. Ultimately, embedding these principles creates a culture of integrated, compassionate, and sustainable care that benefits both patients and the wider health and social care system</w:t>
      </w:r>
      <w:r>
        <w:rPr>
          <w:rFonts w:ascii="Arial" w:hAnsi="Arial" w:cs="Arial"/>
          <w:sz w:val="22"/>
          <w:szCs w:val="22"/>
        </w:rPr>
        <w:t>s, sharing</w:t>
      </w:r>
      <w:r w:rsidRPr="00461F75">
        <w:rPr>
          <w:rFonts w:ascii="Arial" w:hAnsi="Arial" w:cs="Arial"/>
          <w:sz w:val="22"/>
          <w:szCs w:val="22"/>
        </w:rPr>
        <w:t xml:space="preserve"> responsibility in care delivery (Department of Health and Social Care, 2022).</w:t>
      </w:r>
    </w:p>
    <w:p w14:paraId="42B5072F" w14:textId="4B171EAB" w:rsidR="00462C6E" w:rsidRPr="00715F60" w:rsidRDefault="00462C6E" w:rsidP="00F57356">
      <w:pPr>
        <w:ind w:firstLine="720"/>
        <w:rPr>
          <w:rFonts w:ascii="Arial" w:hAnsi="Arial" w:cs="Arial"/>
          <w:color w:val="EE0000"/>
        </w:rPr>
      </w:pPr>
    </w:p>
    <w:p w14:paraId="23056766" w14:textId="77777777" w:rsidR="00462C6E" w:rsidRDefault="00462C6E" w:rsidP="00F57356">
      <w:pPr>
        <w:ind w:firstLine="720"/>
        <w:rPr>
          <w:rFonts w:ascii="Arial" w:hAnsi="Arial" w:cs="Arial"/>
        </w:rPr>
      </w:pPr>
    </w:p>
    <w:p w14:paraId="750A4F63" w14:textId="77777777" w:rsidR="00462C6E" w:rsidRDefault="00462C6E" w:rsidP="00F57356">
      <w:pPr>
        <w:ind w:firstLine="720"/>
        <w:rPr>
          <w:rFonts w:ascii="Arial" w:hAnsi="Arial" w:cs="Arial"/>
        </w:rPr>
      </w:pPr>
    </w:p>
    <w:p w14:paraId="09929A9C" w14:textId="77777777" w:rsidR="00462C6E" w:rsidRDefault="00462C6E" w:rsidP="00F57356">
      <w:pPr>
        <w:ind w:firstLine="720"/>
        <w:rPr>
          <w:rFonts w:ascii="Arial" w:hAnsi="Arial" w:cs="Arial"/>
        </w:rPr>
      </w:pPr>
    </w:p>
    <w:p w14:paraId="7720DAEA" w14:textId="77777777" w:rsidR="00462C6E" w:rsidRDefault="00462C6E" w:rsidP="00F57356">
      <w:pPr>
        <w:ind w:firstLine="720"/>
        <w:rPr>
          <w:rFonts w:ascii="Arial" w:hAnsi="Arial" w:cs="Arial"/>
        </w:rPr>
      </w:pPr>
    </w:p>
    <w:p w14:paraId="0CD42B8B" w14:textId="77777777" w:rsidR="00462C6E" w:rsidRDefault="00462C6E" w:rsidP="00F57356">
      <w:pPr>
        <w:ind w:firstLine="720"/>
        <w:rPr>
          <w:rFonts w:ascii="Arial" w:hAnsi="Arial" w:cs="Arial"/>
        </w:rPr>
      </w:pPr>
    </w:p>
    <w:p w14:paraId="25693C80" w14:textId="77777777" w:rsidR="00BD01EC" w:rsidRDefault="00BD01EC" w:rsidP="00BD01EC">
      <w:pPr>
        <w:rPr>
          <w:rFonts w:ascii="Arial" w:hAnsi="Arial" w:cs="Arial"/>
          <w:b/>
          <w:bCs/>
        </w:rPr>
      </w:pPr>
    </w:p>
    <w:p w14:paraId="0871E677" w14:textId="77777777" w:rsidR="00BD01EC" w:rsidRDefault="00BD01EC" w:rsidP="00BD01EC">
      <w:pPr>
        <w:rPr>
          <w:rFonts w:ascii="Arial" w:hAnsi="Arial" w:cs="Arial"/>
          <w:b/>
          <w:bCs/>
        </w:rPr>
      </w:pPr>
    </w:p>
    <w:p w14:paraId="52C16BDC" w14:textId="77777777" w:rsidR="00BD01EC" w:rsidRDefault="00BD01EC" w:rsidP="00BD01EC">
      <w:pPr>
        <w:rPr>
          <w:rFonts w:ascii="Arial" w:hAnsi="Arial" w:cs="Arial"/>
          <w:b/>
          <w:bCs/>
        </w:rPr>
      </w:pPr>
    </w:p>
    <w:p w14:paraId="65433CE5" w14:textId="77777777" w:rsidR="00BD01EC" w:rsidRDefault="00BD01EC" w:rsidP="00BD01EC">
      <w:pPr>
        <w:rPr>
          <w:rFonts w:ascii="Arial" w:hAnsi="Arial" w:cs="Arial"/>
          <w:b/>
          <w:bCs/>
        </w:rPr>
      </w:pPr>
    </w:p>
    <w:p w14:paraId="66E4C5D7" w14:textId="77777777" w:rsidR="00BD01EC" w:rsidRDefault="00BD01EC" w:rsidP="00BD01EC">
      <w:pPr>
        <w:rPr>
          <w:rFonts w:ascii="Arial" w:hAnsi="Arial" w:cs="Arial"/>
          <w:b/>
          <w:bCs/>
        </w:rPr>
      </w:pPr>
    </w:p>
    <w:p w14:paraId="58A9A71B" w14:textId="77777777" w:rsidR="00BD01EC" w:rsidRDefault="00BD01EC" w:rsidP="00BD01EC">
      <w:pPr>
        <w:rPr>
          <w:rFonts w:ascii="Arial" w:hAnsi="Arial" w:cs="Arial"/>
          <w:b/>
          <w:bCs/>
        </w:rPr>
      </w:pPr>
    </w:p>
    <w:p w14:paraId="6AE269A9" w14:textId="77777777" w:rsidR="00BD01EC" w:rsidRDefault="00BD01EC" w:rsidP="00BD01EC">
      <w:pPr>
        <w:rPr>
          <w:rFonts w:ascii="Arial" w:hAnsi="Arial" w:cs="Arial"/>
          <w:b/>
          <w:bCs/>
        </w:rPr>
      </w:pPr>
    </w:p>
    <w:p w14:paraId="1048B802" w14:textId="77777777" w:rsidR="000054E7" w:rsidRDefault="000054E7" w:rsidP="00BD01EC">
      <w:pPr>
        <w:rPr>
          <w:rFonts w:ascii="Arial" w:hAnsi="Arial" w:cs="Arial"/>
          <w:b/>
          <w:bCs/>
        </w:rPr>
      </w:pPr>
    </w:p>
    <w:p w14:paraId="1C42A5A3" w14:textId="77777777" w:rsidR="000054E7" w:rsidRDefault="000054E7" w:rsidP="00BD01EC">
      <w:pPr>
        <w:rPr>
          <w:rFonts w:ascii="Arial" w:hAnsi="Arial" w:cs="Arial"/>
          <w:b/>
          <w:bCs/>
        </w:rPr>
      </w:pPr>
    </w:p>
    <w:p w14:paraId="7A7FB9D9" w14:textId="77777777" w:rsidR="000054E7" w:rsidRDefault="000054E7" w:rsidP="00BD01EC">
      <w:pPr>
        <w:rPr>
          <w:rFonts w:ascii="Arial" w:hAnsi="Arial" w:cs="Arial"/>
          <w:b/>
          <w:bCs/>
        </w:rPr>
      </w:pPr>
    </w:p>
    <w:p w14:paraId="5312CCDF" w14:textId="43D91822" w:rsidR="00BD01EC" w:rsidRPr="00BD01EC" w:rsidRDefault="00FB1288" w:rsidP="00BD01EC">
      <w:pPr>
        <w:rPr>
          <w:rFonts w:ascii="Arial" w:hAnsi="Arial" w:cs="Arial"/>
          <w:b/>
          <w:bCs/>
        </w:rPr>
      </w:pPr>
      <w:r w:rsidRPr="00900984">
        <w:rPr>
          <w:rFonts w:ascii="Arial" w:hAnsi="Arial" w:cs="Arial"/>
          <w:b/>
          <w:bCs/>
        </w:rPr>
        <w:t>Reference</w:t>
      </w:r>
      <w:r w:rsidR="00BD01EC">
        <w:rPr>
          <w:rFonts w:ascii="Arial" w:hAnsi="Arial" w:cs="Arial"/>
          <w:b/>
          <w:bCs/>
        </w:rPr>
        <w:t>s</w:t>
      </w:r>
    </w:p>
    <w:p w14:paraId="134A65F3"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Beauchamp, T.L. and Childress, J.F. (2019) </w:t>
      </w:r>
      <w:r w:rsidRPr="00BD01EC">
        <w:rPr>
          <w:rFonts w:ascii="Segoe UI" w:eastAsia="Times New Roman" w:hAnsi="Segoe UI" w:cs="Segoe UI"/>
          <w:i/>
          <w:iCs/>
          <w:kern w:val="0"/>
          <w:sz w:val="21"/>
          <w:szCs w:val="21"/>
          <w:lang w:eastAsia="en-GB"/>
          <w14:ligatures w14:val="none"/>
        </w:rPr>
        <w:t>Principles of biomedical ethics</w:t>
      </w:r>
      <w:r w:rsidRPr="00BD01EC">
        <w:rPr>
          <w:rFonts w:ascii="Segoe UI" w:eastAsia="Times New Roman" w:hAnsi="Segoe UI" w:cs="Segoe UI"/>
          <w:kern w:val="0"/>
          <w:sz w:val="21"/>
          <w:szCs w:val="21"/>
          <w:lang w:eastAsia="en-GB"/>
          <w14:ligatures w14:val="none"/>
        </w:rPr>
        <w:t>. 8th ed. New York: Oxford University Press.</w:t>
      </w:r>
    </w:p>
    <w:p w14:paraId="2835D413"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Coulter, A., Entwistle, V.A. and Eccles, A. (2015) ‘Personalised care planning for adults with chronic or long-term health conditions’, </w:t>
      </w:r>
      <w:r w:rsidRPr="00BD01EC">
        <w:rPr>
          <w:rFonts w:ascii="Segoe UI" w:eastAsia="Times New Roman" w:hAnsi="Segoe UI" w:cs="Segoe UI"/>
          <w:i/>
          <w:iCs/>
          <w:kern w:val="0"/>
          <w:sz w:val="21"/>
          <w:szCs w:val="21"/>
          <w:lang w:eastAsia="en-GB"/>
          <w14:ligatures w14:val="none"/>
        </w:rPr>
        <w:t>Cochrane Database of Systematic Reviews</w:t>
      </w:r>
      <w:r w:rsidRPr="00BD01EC">
        <w:rPr>
          <w:rFonts w:ascii="Segoe UI" w:eastAsia="Times New Roman" w:hAnsi="Segoe UI" w:cs="Segoe UI"/>
          <w:kern w:val="0"/>
          <w:sz w:val="21"/>
          <w:szCs w:val="21"/>
          <w:lang w:eastAsia="en-GB"/>
          <w14:ligatures w14:val="none"/>
        </w:rPr>
        <w:t>, 3(3), pp. 1–43.</w:t>
      </w:r>
    </w:p>
    <w:p w14:paraId="3415AA9B"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Coulter, A., Roberts, S. and Dixon, A. (2015) </w:t>
      </w:r>
      <w:r w:rsidRPr="00BD01EC">
        <w:rPr>
          <w:rFonts w:ascii="Segoe UI" w:eastAsia="Times New Roman" w:hAnsi="Segoe UI" w:cs="Segoe UI"/>
          <w:i/>
          <w:iCs/>
          <w:kern w:val="0"/>
          <w:sz w:val="21"/>
          <w:szCs w:val="21"/>
          <w:lang w:eastAsia="en-GB"/>
          <w14:ligatures w14:val="none"/>
        </w:rPr>
        <w:t>Delivering better services for people with long-term conditions: building the house of care</w:t>
      </w:r>
      <w:r w:rsidRPr="00BD01EC">
        <w:rPr>
          <w:rFonts w:ascii="Segoe UI" w:eastAsia="Times New Roman" w:hAnsi="Segoe UI" w:cs="Segoe UI"/>
          <w:kern w:val="0"/>
          <w:sz w:val="21"/>
          <w:szCs w:val="21"/>
          <w:lang w:eastAsia="en-GB"/>
          <w14:ligatures w14:val="none"/>
        </w:rPr>
        <w:t>. London: King’s Fund.</w:t>
      </w:r>
    </w:p>
    <w:p w14:paraId="3E3EBDA6"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Department of Health and Social Care (2022) </w:t>
      </w:r>
      <w:r w:rsidRPr="00BD01EC">
        <w:rPr>
          <w:rFonts w:ascii="Segoe UI" w:eastAsia="Times New Roman" w:hAnsi="Segoe UI" w:cs="Segoe UI"/>
          <w:i/>
          <w:iCs/>
          <w:kern w:val="0"/>
          <w:sz w:val="21"/>
          <w:szCs w:val="21"/>
          <w:lang w:eastAsia="en-GB"/>
          <w14:ligatures w14:val="none"/>
        </w:rPr>
        <w:t>Health and Care Integration: Joining Up Care for People, Places and Populations</w:t>
      </w:r>
      <w:r w:rsidRPr="00BD01EC">
        <w:rPr>
          <w:rFonts w:ascii="Segoe UI" w:eastAsia="Times New Roman" w:hAnsi="Segoe UI" w:cs="Segoe UI"/>
          <w:kern w:val="0"/>
          <w:sz w:val="21"/>
          <w:szCs w:val="21"/>
          <w:lang w:eastAsia="en-GB"/>
          <w14:ligatures w14:val="none"/>
        </w:rPr>
        <w:t>. London: DHSC.</w:t>
      </w:r>
    </w:p>
    <w:p w14:paraId="07FE4BC5"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Farre, A. and Rapley, T. (2017) ‘The new old (and old new) medical model: Four decades navigating the biomedical and psychosocial understandings of health and illness’, </w:t>
      </w:r>
      <w:r w:rsidRPr="00BD01EC">
        <w:rPr>
          <w:rFonts w:ascii="Segoe UI" w:eastAsia="Times New Roman" w:hAnsi="Segoe UI" w:cs="Segoe UI"/>
          <w:i/>
          <w:iCs/>
          <w:kern w:val="0"/>
          <w:sz w:val="21"/>
          <w:szCs w:val="21"/>
          <w:lang w:eastAsia="en-GB"/>
          <w14:ligatures w14:val="none"/>
        </w:rPr>
        <w:t>Healthcare</w:t>
      </w:r>
      <w:r w:rsidRPr="00BD01EC">
        <w:rPr>
          <w:rFonts w:ascii="Segoe UI" w:eastAsia="Times New Roman" w:hAnsi="Segoe UI" w:cs="Segoe UI"/>
          <w:kern w:val="0"/>
          <w:sz w:val="21"/>
          <w:szCs w:val="21"/>
          <w:lang w:eastAsia="en-GB"/>
          <w14:ligatures w14:val="none"/>
        </w:rPr>
        <w:t>, 5(4), pp. 88–102.</w:t>
      </w:r>
    </w:p>
    <w:p w14:paraId="41AD7C77"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Farre, A. and Rapley, T. (2017) ‘The social model of health and illness: a key concept in understanding and improving health care’, </w:t>
      </w:r>
      <w:r w:rsidRPr="00BD01EC">
        <w:rPr>
          <w:rFonts w:ascii="Segoe UI" w:eastAsia="Times New Roman" w:hAnsi="Segoe UI" w:cs="Segoe UI"/>
          <w:i/>
          <w:iCs/>
          <w:kern w:val="0"/>
          <w:sz w:val="21"/>
          <w:szCs w:val="21"/>
          <w:lang w:eastAsia="en-GB"/>
          <w14:ligatures w14:val="none"/>
        </w:rPr>
        <w:t>Journal of Health Services Research &amp; Policy</w:t>
      </w:r>
      <w:r w:rsidRPr="00BD01EC">
        <w:rPr>
          <w:rFonts w:ascii="Segoe UI" w:eastAsia="Times New Roman" w:hAnsi="Segoe UI" w:cs="Segoe UI"/>
          <w:kern w:val="0"/>
          <w:sz w:val="21"/>
          <w:szCs w:val="21"/>
          <w:lang w:eastAsia="en-GB"/>
          <w14:ligatures w14:val="none"/>
        </w:rPr>
        <w:t>, 22(4), pp. 234–239.</w:t>
      </w:r>
    </w:p>
    <w:p w14:paraId="378CA80A"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Glasby, J. and Dickinson, H. (2014) </w:t>
      </w:r>
      <w:r w:rsidRPr="00BD01EC">
        <w:rPr>
          <w:rFonts w:ascii="Segoe UI" w:eastAsia="Times New Roman" w:hAnsi="Segoe UI" w:cs="Segoe UI"/>
          <w:i/>
          <w:iCs/>
          <w:kern w:val="0"/>
          <w:sz w:val="21"/>
          <w:szCs w:val="21"/>
          <w:lang w:eastAsia="en-GB"/>
          <w14:ligatures w14:val="none"/>
        </w:rPr>
        <w:t>Partnership working in health and social care: What is integrated care and how can we deliver it?</w:t>
      </w:r>
      <w:r w:rsidRPr="00BD01EC">
        <w:rPr>
          <w:rFonts w:ascii="Segoe UI" w:eastAsia="Times New Roman" w:hAnsi="Segoe UI" w:cs="Segoe UI"/>
          <w:kern w:val="0"/>
          <w:sz w:val="21"/>
          <w:szCs w:val="21"/>
          <w:lang w:eastAsia="en-GB"/>
          <w14:ligatures w14:val="none"/>
        </w:rPr>
        <w:t xml:space="preserve"> 2nd ed. Bristol: Policy Press.</w:t>
      </w:r>
    </w:p>
    <w:p w14:paraId="2A175410"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Health Education England (2021) </w:t>
      </w:r>
      <w:r w:rsidRPr="00BD01EC">
        <w:rPr>
          <w:rFonts w:ascii="Segoe UI" w:eastAsia="Times New Roman" w:hAnsi="Segoe UI" w:cs="Segoe UI"/>
          <w:i/>
          <w:iCs/>
          <w:kern w:val="0"/>
          <w:sz w:val="21"/>
          <w:szCs w:val="21"/>
          <w:lang w:eastAsia="en-GB"/>
          <w14:ligatures w14:val="none"/>
        </w:rPr>
        <w:t>Person-centred approaches: Core skills education and training framework</w:t>
      </w:r>
      <w:r w:rsidRPr="00BD01EC">
        <w:rPr>
          <w:rFonts w:ascii="Segoe UI" w:eastAsia="Times New Roman" w:hAnsi="Segoe UI" w:cs="Segoe UI"/>
          <w:kern w:val="0"/>
          <w:sz w:val="21"/>
          <w:szCs w:val="21"/>
          <w:lang w:eastAsia="en-GB"/>
          <w14:ligatures w14:val="none"/>
        </w:rPr>
        <w:t>. London: HEE.</w:t>
      </w:r>
    </w:p>
    <w:p w14:paraId="5C00A7C7"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Joseph, S.A. (2025) </w:t>
      </w:r>
      <w:r w:rsidRPr="00BD01EC">
        <w:rPr>
          <w:rFonts w:ascii="Segoe UI" w:eastAsia="Times New Roman" w:hAnsi="Segoe UI" w:cs="Segoe UI"/>
          <w:i/>
          <w:iCs/>
          <w:kern w:val="0"/>
          <w:sz w:val="21"/>
          <w:szCs w:val="21"/>
          <w:lang w:eastAsia="en-GB"/>
          <w14:ligatures w14:val="none"/>
        </w:rPr>
        <w:t>An introduction to person-centred therapy</w:t>
      </w:r>
      <w:r w:rsidRPr="00BD01EC">
        <w:rPr>
          <w:rFonts w:ascii="Segoe UI" w:eastAsia="Times New Roman" w:hAnsi="Segoe UI" w:cs="Segoe UI"/>
          <w:kern w:val="0"/>
          <w:sz w:val="21"/>
          <w:szCs w:val="21"/>
          <w:lang w:eastAsia="en-GB"/>
          <w14:ligatures w14:val="none"/>
        </w:rPr>
        <w:t>. 3rd ed. London: Sage Publications.</w:t>
      </w:r>
    </w:p>
    <w:p w14:paraId="20315F74"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Joseph, S.A. (2025) </w:t>
      </w:r>
      <w:r w:rsidRPr="00BD01EC">
        <w:rPr>
          <w:rFonts w:ascii="Segoe UI" w:eastAsia="Times New Roman" w:hAnsi="Segoe UI" w:cs="Segoe UI"/>
          <w:i/>
          <w:iCs/>
          <w:kern w:val="0"/>
          <w:sz w:val="21"/>
          <w:szCs w:val="21"/>
          <w:lang w:eastAsia="en-GB"/>
          <w14:ligatures w14:val="none"/>
        </w:rPr>
        <w:t>Person-Centred Therapy: Foundations and Applications</w:t>
      </w:r>
      <w:r w:rsidRPr="00BD01EC">
        <w:rPr>
          <w:rFonts w:ascii="Segoe UI" w:eastAsia="Times New Roman" w:hAnsi="Segoe UI" w:cs="Segoe UI"/>
          <w:kern w:val="0"/>
          <w:sz w:val="21"/>
          <w:szCs w:val="21"/>
          <w:lang w:eastAsia="en-GB"/>
          <w14:ligatures w14:val="none"/>
        </w:rPr>
        <w:t>. London: Routledge.</w:t>
      </w:r>
    </w:p>
    <w:p w14:paraId="212796AC"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NHS England (2023) </w:t>
      </w:r>
      <w:r w:rsidRPr="00BD01EC">
        <w:rPr>
          <w:rFonts w:ascii="Segoe UI" w:eastAsia="Times New Roman" w:hAnsi="Segoe UI" w:cs="Segoe UI"/>
          <w:i/>
          <w:iCs/>
          <w:kern w:val="0"/>
          <w:sz w:val="21"/>
          <w:szCs w:val="21"/>
          <w:lang w:eastAsia="en-GB"/>
          <w14:ligatures w14:val="none"/>
        </w:rPr>
        <w:t>The NHS Constitution for England</w:t>
      </w:r>
      <w:r w:rsidRPr="00BD01EC">
        <w:rPr>
          <w:rFonts w:ascii="Segoe UI" w:eastAsia="Times New Roman" w:hAnsi="Segoe UI" w:cs="Segoe UI"/>
          <w:kern w:val="0"/>
          <w:sz w:val="21"/>
          <w:szCs w:val="21"/>
          <w:lang w:eastAsia="en-GB"/>
          <w14:ligatures w14:val="none"/>
        </w:rPr>
        <w:t>. London: NHS England.</w:t>
      </w:r>
    </w:p>
    <w:p w14:paraId="06CBFA70"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The King’s Fund (2022) </w:t>
      </w:r>
      <w:r w:rsidRPr="00BD01EC">
        <w:rPr>
          <w:rFonts w:ascii="Segoe UI" w:eastAsia="Times New Roman" w:hAnsi="Segoe UI" w:cs="Segoe UI"/>
          <w:i/>
          <w:iCs/>
          <w:kern w:val="0"/>
          <w:sz w:val="21"/>
          <w:szCs w:val="21"/>
          <w:lang w:eastAsia="en-GB"/>
          <w14:ligatures w14:val="none"/>
        </w:rPr>
        <w:t>What is person-centred care?</w:t>
      </w:r>
      <w:r w:rsidRPr="00BD01EC">
        <w:rPr>
          <w:rFonts w:ascii="Segoe UI" w:eastAsia="Times New Roman" w:hAnsi="Segoe UI" w:cs="Segoe UI"/>
          <w:kern w:val="0"/>
          <w:sz w:val="21"/>
          <w:szCs w:val="21"/>
          <w:lang w:eastAsia="en-GB"/>
          <w14:ligatures w14:val="none"/>
        </w:rPr>
        <w:t xml:space="preserve"> Available at: https://www.kingsfund.org.uk (Accessed: 6 November 2025).</w:t>
      </w:r>
    </w:p>
    <w:p w14:paraId="5A5345C5" w14:textId="77777777" w:rsidR="00BD01EC" w:rsidRPr="00BD01EC" w:rsidRDefault="00BD01EC" w:rsidP="00BD01EC">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BD01EC">
        <w:rPr>
          <w:rFonts w:ascii="Segoe UI" w:eastAsia="Times New Roman" w:hAnsi="Segoe UI" w:cs="Segoe UI"/>
          <w:kern w:val="0"/>
          <w:sz w:val="21"/>
          <w:szCs w:val="21"/>
          <w:lang w:eastAsia="en-GB"/>
          <w14:ligatures w14:val="none"/>
        </w:rPr>
        <w:t xml:space="preserve">World Health Organization (2020) </w:t>
      </w:r>
      <w:r w:rsidRPr="00BD01EC">
        <w:rPr>
          <w:rFonts w:ascii="Segoe UI" w:eastAsia="Times New Roman" w:hAnsi="Segoe UI" w:cs="Segoe UI"/>
          <w:i/>
          <w:iCs/>
          <w:kern w:val="0"/>
          <w:sz w:val="21"/>
          <w:szCs w:val="21"/>
          <w:lang w:eastAsia="en-GB"/>
          <w14:ligatures w14:val="none"/>
        </w:rPr>
        <w:t>Integrating palliative care and symptom relief into primary health care: A WHO guide</w:t>
      </w:r>
      <w:r w:rsidRPr="00BD01EC">
        <w:rPr>
          <w:rFonts w:ascii="Segoe UI" w:eastAsia="Times New Roman" w:hAnsi="Segoe UI" w:cs="Segoe UI"/>
          <w:kern w:val="0"/>
          <w:sz w:val="21"/>
          <w:szCs w:val="21"/>
          <w:lang w:eastAsia="en-GB"/>
          <w14:ligatures w14:val="none"/>
        </w:rPr>
        <w:t>. Geneva: WHO.</w:t>
      </w:r>
    </w:p>
    <w:p w14:paraId="118064C8" w14:textId="77777777" w:rsidR="00BD01EC" w:rsidRPr="00BD01EC" w:rsidRDefault="00BD01EC" w:rsidP="00BD01EC">
      <w:pPr>
        <w:rPr>
          <w:rFonts w:ascii="Arial" w:hAnsi="Arial" w:cs="Arial"/>
          <w:b/>
          <w:bCs/>
        </w:rPr>
      </w:pPr>
    </w:p>
    <w:tbl>
      <w:tblPr>
        <w:tblpPr w:leftFromText="180" w:rightFromText="180" w:vertAnchor="text" w:horzAnchor="page" w:tblpX="1" w:tblpY="340"/>
        <w:tblW w:w="14454" w:type="dxa"/>
        <w:tblCellSpacing w:w="0" w:type="dxa"/>
        <w:tblCellMar>
          <w:left w:w="0" w:type="dxa"/>
          <w:right w:w="0" w:type="dxa"/>
        </w:tblCellMar>
        <w:tblLook w:val="04A0" w:firstRow="1" w:lastRow="0" w:firstColumn="1" w:lastColumn="0" w:noHBand="0" w:noVBand="1"/>
      </w:tblPr>
      <w:tblGrid>
        <w:gridCol w:w="14454"/>
      </w:tblGrid>
      <w:tr w:rsidR="00B64D94" w:rsidRPr="00B64D94" w14:paraId="7BEC07F5" w14:textId="77777777" w:rsidTr="00333DFB">
        <w:trPr>
          <w:tblCellSpacing w:w="0" w:type="dxa"/>
        </w:trPr>
        <w:tc>
          <w:tcPr>
            <w:tcW w:w="0" w:type="auto"/>
          </w:tcPr>
          <w:p w14:paraId="66057F28" w14:textId="1F16928F" w:rsidR="00B64D94" w:rsidRPr="00C741BE" w:rsidRDefault="00B64D94" w:rsidP="00B64D94">
            <w:pPr>
              <w:spacing w:after="315" w:line="240" w:lineRule="auto"/>
              <w:outlineLvl w:val="0"/>
              <w:rPr>
                <w:i/>
                <w:iCs/>
              </w:rPr>
            </w:pPr>
          </w:p>
        </w:tc>
      </w:tr>
      <w:tr w:rsidR="00B64D94" w:rsidRPr="00B64D94" w14:paraId="2A00DAD4" w14:textId="77777777" w:rsidTr="00B64D94">
        <w:trPr>
          <w:tblCellSpacing w:w="0" w:type="dxa"/>
        </w:trPr>
        <w:tc>
          <w:tcPr>
            <w:tcW w:w="0" w:type="auto"/>
          </w:tcPr>
          <w:p w14:paraId="233B0378" w14:textId="3BB8392B" w:rsidR="00B64D94" w:rsidRPr="006E4BA3" w:rsidRDefault="00B64D94" w:rsidP="006E4BA3">
            <w:pPr>
              <w:spacing w:after="315" w:line="240" w:lineRule="auto"/>
              <w:outlineLvl w:val="0"/>
              <w:rPr>
                <w:i/>
                <w:iCs/>
              </w:rPr>
            </w:pPr>
          </w:p>
        </w:tc>
      </w:tr>
      <w:tr w:rsidR="006E4BA3" w:rsidRPr="00B64D94" w14:paraId="66F1F97A" w14:textId="77777777" w:rsidTr="00B64D94">
        <w:trPr>
          <w:tblCellSpacing w:w="0" w:type="dxa"/>
        </w:trPr>
        <w:tc>
          <w:tcPr>
            <w:tcW w:w="0" w:type="auto"/>
          </w:tcPr>
          <w:p w14:paraId="55014D52" w14:textId="77777777" w:rsidR="000D15C7" w:rsidRDefault="000D15C7" w:rsidP="000D15C7">
            <w:pPr>
              <w:pStyle w:val="NormalWeb"/>
            </w:pPr>
          </w:p>
          <w:p w14:paraId="46A94612" w14:textId="246A1011" w:rsidR="006E4BA3" w:rsidRDefault="006E4BA3" w:rsidP="000A3D33">
            <w:pPr>
              <w:pStyle w:val="NormalWeb"/>
            </w:pPr>
          </w:p>
        </w:tc>
      </w:tr>
    </w:tbl>
    <w:p w14:paraId="7F2D8954" w14:textId="77777777" w:rsidR="00900984" w:rsidRDefault="00900984" w:rsidP="00DC7FAA">
      <w:pPr>
        <w:pStyle w:val="NormalWeb"/>
      </w:pPr>
    </w:p>
    <w:p w14:paraId="67EEEA22" w14:textId="78186320" w:rsidR="00DC7FAA" w:rsidRDefault="00DC7FAA" w:rsidP="00DC7FAA">
      <w:pPr>
        <w:pStyle w:val="NormalWeb"/>
      </w:pPr>
      <w:r>
        <w:t>.</w:t>
      </w:r>
    </w:p>
    <w:p w14:paraId="0812B39E" w14:textId="35833231" w:rsidR="00B64D94" w:rsidRPr="00B64D94" w:rsidRDefault="00B64D94" w:rsidP="00B64D94">
      <w:pPr>
        <w:shd w:val="clear" w:color="auto" w:fill="FFFFFF"/>
        <w:spacing w:before="100" w:beforeAutospacing="1" w:after="100" w:afterAutospacing="1" w:line="240" w:lineRule="auto"/>
        <w:rPr>
          <w:rFonts w:ascii="Arial" w:eastAsia="Times New Roman" w:hAnsi="Arial" w:cs="Arial"/>
          <w:color w:val="1155CC"/>
          <w:kern w:val="0"/>
          <w:sz w:val="20"/>
          <w:szCs w:val="20"/>
          <w:lang w:eastAsia="en-GB"/>
          <w14:ligatures w14:val="none"/>
        </w:rPr>
      </w:pPr>
    </w:p>
    <w:p w14:paraId="4936024D" w14:textId="77777777" w:rsidR="00FB1288" w:rsidRPr="00B64D94" w:rsidRDefault="00FB1288" w:rsidP="00F57356">
      <w:pPr>
        <w:ind w:firstLine="720"/>
        <w:rPr>
          <w:rFonts w:ascii="Arial" w:hAnsi="Arial" w:cs="Arial"/>
          <w:sz w:val="22"/>
          <w:szCs w:val="22"/>
        </w:rPr>
      </w:pPr>
    </w:p>
    <w:sectPr w:rsidR="00FB1288" w:rsidRPr="00B64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15DAB"/>
    <w:multiLevelType w:val="hybridMultilevel"/>
    <w:tmpl w:val="8C8A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3072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152"/>
    <w:rsid w:val="000054E7"/>
    <w:rsid w:val="000106FB"/>
    <w:rsid w:val="00011BAC"/>
    <w:rsid w:val="000235D3"/>
    <w:rsid w:val="00033BEB"/>
    <w:rsid w:val="00035143"/>
    <w:rsid w:val="00035B36"/>
    <w:rsid w:val="00050BE0"/>
    <w:rsid w:val="00063618"/>
    <w:rsid w:val="00064850"/>
    <w:rsid w:val="0006769F"/>
    <w:rsid w:val="00080931"/>
    <w:rsid w:val="00084C16"/>
    <w:rsid w:val="00093795"/>
    <w:rsid w:val="000A05FD"/>
    <w:rsid w:val="000A3D33"/>
    <w:rsid w:val="000A5BEA"/>
    <w:rsid w:val="000A6821"/>
    <w:rsid w:val="000B2C28"/>
    <w:rsid w:val="000B4E95"/>
    <w:rsid w:val="000C17B8"/>
    <w:rsid w:val="000C3B32"/>
    <w:rsid w:val="000D15C7"/>
    <w:rsid w:val="00104B4E"/>
    <w:rsid w:val="001158B4"/>
    <w:rsid w:val="00122A46"/>
    <w:rsid w:val="001318A8"/>
    <w:rsid w:val="00143A4B"/>
    <w:rsid w:val="00152553"/>
    <w:rsid w:val="001554DB"/>
    <w:rsid w:val="001723F8"/>
    <w:rsid w:val="0018147C"/>
    <w:rsid w:val="00181654"/>
    <w:rsid w:val="001A1E4E"/>
    <w:rsid w:val="001B3F2E"/>
    <w:rsid w:val="001B62C8"/>
    <w:rsid w:val="001D54D7"/>
    <w:rsid w:val="001E7E62"/>
    <w:rsid w:val="001F573C"/>
    <w:rsid w:val="00231DED"/>
    <w:rsid w:val="00246421"/>
    <w:rsid w:val="00246FD5"/>
    <w:rsid w:val="00247119"/>
    <w:rsid w:val="0025586B"/>
    <w:rsid w:val="00257409"/>
    <w:rsid w:val="00276571"/>
    <w:rsid w:val="00292508"/>
    <w:rsid w:val="002947C5"/>
    <w:rsid w:val="00295F54"/>
    <w:rsid w:val="00296AD5"/>
    <w:rsid w:val="002A2CDC"/>
    <w:rsid w:val="002C295E"/>
    <w:rsid w:val="002C6CB8"/>
    <w:rsid w:val="00333DFB"/>
    <w:rsid w:val="00345A7A"/>
    <w:rsid w:val="003549C3"/>
    <w:rsid w:val="00356639"/>
    <w:rsid w:val="0036183D"/>
    <w:rsid w:val="00362BE3"/>
    <w:rsid w:val="0037527E"/>
    <w:rsid w:val="00393648"/>
    <w:rsid w:val="00396577"/>
    <w:rsid w:val="003A2CBD"/>
    <w:rsid w:val="003B1D3A"/>
    <w:rsid w:val="003B38CF"/>
    <w:rsid w:val="003B59D7"/>
    <w:rsid w:val="003D540D"/>
    <w:rsid w:val="003E1509"/>
    <w:rsid w:val="003E44CB"/>
    <w:rsid w:val="003F4339"/>
    <w:rsid w:val="004011B9"/>
    <w:rsid w:val="00405699"/>
    <w:rsid w:val="0041210D"/>
    <w:rsid w:val="00414BF1"/>
    <w:rsid w:val="0041562C"/>
    <w:rsid w:val="004203FC"/>
    <w:rsid w:val="004306F5"/>
    <w:rsid w:val="004321F9"/>
    <w:rsid w:val="004346E6"/>
    <w:rsid w:val="00434E93"/>
    <w:rsid w:val="00436BE3"/>
    <w:rsid w:val="00442323"/>
    <w:rsid w:val="00445306"/>
    <w:rsid w:val="00461F75"/>
    <w:rsid w:val="00462C6E"/>
    <w:rsid w:val="004729CF"/>
    <w:rsid w:val="00481779"/>
    <w:rsid w:val="00481C3E"/>
    <w:rsid w:val="004A18D2"/>
    <w:rsid w:val="004A26C1"/>
    <w:rsid w:val="004C0EE2"/>
    <w:rsid w:val="004F36B9"/>
    <w:rsid w:val="00516035"/>
    <w:rsid w:val="00541714"/>
    <w:rsid w:val="0056182B"/>
    <w:rsid w:val="0056286D"/>
    <w:rsid w:val="0057151E"/>
    <w:rsid w:val="005735B5"/>
    <w:rsid w:val="005A2890"/>
    <w:rsid w:val="005B56A0"/>
    <w:rsid w:val="005C0A5F"/>
    <w:rsid w:val="005C1009"/>
    <w:rsid w:val="005C6BF3"/>
    <w:rsid w:val="005E4BF9"/>
    <w:rsid w:val="005E5E3C"/>
    <w:rsid w:val="005F2D14"/>
    <w:rsid w:val="00603280"/>
    <w:rsid w:val="006107D2"/>
    <w:rsid w:val="00635E2E"/>
    <w:rsid w:val="0065053F"/>
    <w:rsid w:val="00654127"/>
    <w:rsid w:val="006546CC"/>
    <w:rsid w:val="00657420"/>
    <w:rsid w:val="00661269"/>
    <w:rsid w:val="00663F3F"/>
    <w:rsid w:val="006640D6"/>
    <w:rsid w:val="0067202F"/>
    <w:rsid w:val="00672D3D"/>
    <w:rsid w:val="0068394F"/>
    <w:rsid w:val="006844E2"/>
    <w:rsid w:val="00692AC5"/>
    <w:rsid w:val="006931F9"/>
    <w:rsid w:val="006A0557"/>
    <w:rsid w:val="006A18D5"/>
    <w:rsid w:val="006B06D4"/>
    <w:rsid w:val="006B4A69"/>
    <w:rsid w:val="006C29A4"/>
    <w:rsid w:val="006E4BA3"/>
    <w:rsid w:val="006F14BA"/>
    <w:rsid w:val="00710C69"/>
    <w:rsid w:val="007137CB"/>
    <w:rsid w:val="00715F60"/>
    <w:rsid w:val="007253E4"/>
    <w:rsid w:val="00727776"/>
    <w:rsid w:val="00730B25"/>
    <w:rsid w:val="007371A8"/>
    <w:rsid w:val="00755950"/>
    <w:rsid w:val="00770978"/>
    <w:rsid w:val="007717DD"/>
    <w:rsid w:val="007772AC"/>
    <w:rsid w:val="007831E2"/>
    <w:rsid w:val="00786A6A"/>
    <w:rsid w:val="00787C28"/>
    <w:rsid w:val="00792248"/>
    <w:rsid w:val="00795CEE"/>
    <w:rsid w:val="007A78AF"/>
    <w:rsid w:val="007B2552"/>
    <w:rsid w:val="007C22EC"/>
    <w:rsid w:val="007C2322"/>
    <w:rsid w:val="007C6E54"/>
    <w:rsid w:val="007F163F"/>
    <w:rsid w:val="007F3C9F"/>
    <w:rsid w:val="00820546"/>
    <w:rsid w:val="008441EA"/>
    <w:rsid w:val="00853868"/>
    <w:rsid w:val="00886ED0"/>
    <w:rsid w:val="008937FE"/>
    <w:rsid w:val="00893DA1"/>
    <w:rsid w:val="008A72BD"/>
    <w:rsid w:val="008A7BCF"/>
    <w:rsid w:val="008B66FA"/>
    <w:rsid w:val="008D16C4"/>
    <w:rsid w:val="008D2C9A"/>
    <w:rsid w:val="008D4A58"/>
    <w:rsid w:val="00900984"/>
    <w:rsid w:val="009039CB"/>
    <w:rsid w:val="0090542C"/>
    <w:rsid w:val="00916398"/>
    <w:rsid w:val="0094006A"/>
    <w:rsid w:val="009424AC"/>
    <w:rsid w:val="009609E4"/>
    <w:rsid w:val="009617DE"/>
    <w:rsid w:val="009772E3"/>
    <w:rsid w:val="00981EC0"/>
    <w:rsid w:val="009A4FC5"/>
    <w:rsid w:val="009B0085"/>
    <w:rsid w:val="009C4578"/>
    <w:rsid w:val="009F5CEF"/>
    <w:rsid w:val="00A006FC"/>
    <w:rsid w:val="00A471E2"/>
    <w:rsid w:val="00A61162"/>
    <w:rsid w:val="00A630A3"/>
    <w:rsid w:val="00A75CA8"/>
    <w:rsid w:val="00A842D7"/>
    <w:rsid w:val="00A95233"/>
    <w:rsid w:val="00A96F33"/>
    <w:rsid w:val="00AA6989"/>
    <w:rsid w:val="00AC10CF"/>
    <w:rsid w:val="00AC1EFC"/>
    <w:rsid w:val="00AD6D72"/>
    <w:rsid w:val="00AE4DF1"/>
    <w:rsid w:val="00AF6CAE"/>
    <w:rsid w:val="00B0179D"/>
    <w:rsid w:val="00B4718E"/>
    <w:rsid w:val="00B64D94"/>
    <w:rsid w:val="00B77037"/>
    <w:rsid w:val="00B81848"/>
    <w:rsid w:val="00B81F44"/>
    <w:rsid w:val="00B84CCE"/>
    <w:rsid w:val="00B965B4"/>
    <w:rsid w:val="00B979F3"/>
    <w:rsid w:val="00BB7387"/>
    <w:rsid w:val="00BD01EC"/>
    <w:rsid w:val="00BD22DD"/>
    <w:rsid w:val="00BD29E0"/>
    <w:rsid w:val="00BE3E3B"/>
    <w:rsid w:val="00BE4C96"/>
    <w:rsid w:val="00BE64DD"/>
    <w:rsid w:val="00BF1B18"/>
    <w:rsid w:val="00C0180F"/>
    <w:rsid w:val="00C022DD"/>
    <w:rsid w:val="00C3116E"/>
    <w:rsid w:val="00C35330"/>
    <w:rsid w:val="00C360A3"/>
    <w:rsid w:val="00C40713"/>
    <w:rsid w:val="00C53ADC"/>
    <w:rsid w:val="00C61D31"/>
    <w:rsid w:val="00C741BE"/>
    <w:rsid w:val="00C95328"/>
    <w:rsid w:val="00CB7A1A"/>
    <w:rsid w:val="00CE5CF4"/>
    <w:rsid w:val="00CE6D19"/>
    <w:rsid w:val="00CE77BB"/>
    <w:rsid w:val="00CF3FDE"/>
    <w:rsid w:val="00CF4716"/>
    <w:rsid w:val="00D1459E"/>
    <w:rsid w:val="00D32D4C"/>
    <w:rsid w:val="00D35136"/>
    <w:rsid w:val="00D40EDC"/>
    <w:rsid w:val="00D413E3"/>
    <w:rsid w:val="00D4791A"/>
    <w:rsid w:val="00D64165"/>
    <w:rsid w:val="00D71568"/>
    <w:rsid w:val="00D818E7"/>
    <w:rsid w:val="00DB0930"/>
    <w:rsid w:val="00DB5EC1"/>
    <w:rsid w:val="00DC7FAA"/>
    <w:rsid w:val="00DD4D7E"/>
    <w:rsid w:val="00DD76EC"/>
    <w:rsid w:val="00DE1FAE"/>
    <w:rsid w:val="00DF33DE"/>
    <w:rsid w:val="00DF395D"/>
    <w:rsid w:val="00E00681"/>
    <w:rsid w:val="00E32EB6"/>
    <w:rsid w:val="00E44C7A"/>
    <w:rsid w:val="00E54099"/>
    <w:rsid w:val="00E57191"/>
    <w:rsid w:val="00E80152"/>
    <w:rsid w:val="00EA576C"/>
    <w:rsid w:val="00EA66FE"/>
    <w:rsid w:val="00EB595D"/>
    <w:rsid w:val="00EC069E"/>
    <w:rsid w:val="00EC640F"/>
    <w:rsid w:val="00ED06EA"/>
    <w:rsid w:val="00ED07C7"/>
    <w:rsid w:val="00EE4515"/>
    <w:rsid w:val="00F05F6F"/>
    <w:rsid w:val="00F143C0"/>
    <w:rsid w:val="00F31AE4"/>
    <w:rsid w:val="00F34B7C"/>
    <w:rsid w:val="00F37B2B"/>
    <w:rsid w:val="00F40000"/>
    <w:rsid w:val="00F42410"/>
    <w:rsid w:val="00F4627D"/>
    <w:rsid w:val="00F57356"/>
    <w:rsid w:val="00F64925"/>
    <w:rsid w:val="00F7594A"/>
    <w:rsid w:val="00F829B6"/>
    <w:rsid w:val="00F95552"/>
    <w:rsid w:val="00FA77F0"/>
    <w:rsid w:val="00FB1288"/>
    <w:rsid w:val="00FF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75ACB3"/>
  <w15:chartTrackingRefBased/>
  <w15:docId w15:val="{B70A7368-4FAD-41CD-BBB5-C09B2DF3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52"/>
  </w:style>
  <w:style w:type="paragraph" w:styleId="Heading1">
    <w:name w:val="heading 1"/>
    <w:basedOn w:val="Normal"/>
    <w:next w:val="Normal"/>
    <w:link w:val="Heading1Char"/>
    <w:uiPriority w:val="9"/>
    <w:qFormat/>
    <w:rsid w:val="00E80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152"/>
    <w:rPr>
      <w:rFonts w:eastAsiaTheme="majorEastAsia" w:cstheme="majorBidi"/>
      <w:color w:val="272727" w:themeColor="text1" w:themeTint="D8"/>
    </w:rPr>
  </w:style>
  <w:style w:type="paragraph" w:styleId="Title">
    <w:name w:val="Title"/>
    <w:basedOn w:val="Normal"/>
    <w:next w:val="Normal"/>
    <w:link w:val="TitleChar"/>
    <w:uiPriority w:val="10"/>
    <w:qFormat/>
    <w:rsid w:val="00E80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152"/>
    <w:pPr>
      <w:spacing w:before="160"/>
      <w:jc w:val="center"/>
    </w:pPr>
    <w:rPr>
      <w:i/>
      <w:iCs/>
      <w:color w:val="404040" w:themeColor="text1" w:themeTint="BF"/>
    </w:rPr>
  </w:style>
  <w:style w:type="character" w:customStyle="1" w:styleId="QuoteChar">
    <w:name w:val="Quote Char"/>
    <w:basedOn w:val="DefaultParagraphFont"/>
    <w:link w:val="Quote"/>
    <w:uiPriority w:val="29"/>
    <w:rsid w:val="00E80152"/>
    <w:rPr>
      <w:i/>
      <w:iCs/>
      <w:color w:val="404040" w:themeColor="text1" w:themeTint="BF"/>
    </w:rPr>
  </w:style>
  <w:style w:type="paragraph" w:styleId="ListParagraph">
    <w:name w:val="List Paragraph"/>
    <w:basedOn w:val="Normal"/>
    <w:uiPriority w:val="34"/>
    <w:qFormat/>
    <w:rsid w:val="00E80152"/>
    <w:pPr>
      <w:ind w:left="720"/>
      <w:contextualSpacing/>
    </w:pPr>
  </w:style>
  <w:style w:type="character" w:styleId="IntenseEmphasis">
    <w:name w:val="Intense Emphasis"/>
    <w:basedOn w:val="DefaultParagraphFont"/>
    <w:uiPriority w:val="21"/>
    <w:qFormat/>
    <w:rsid w:val="00E80152"/>
    <w:rPr>
      <w:i/>
      <w:iCs/>
      <w:color w:val="0F4761" w:themeColor="accent1" w:themeShade="BF"/>
    </w:rPr>
  </w:style>
  <w:style w:type="paragraph" w:styleId="IntenseQuote">
    <w:name w:val="Intense Quote"/>
    <w:basedOn w:val="Normal"/>
    <w:next w:val="Normal"/>
    <w:link w:val="IntenseQuoteChar"/>
    <w:uiPriority w:val="30"/>
    <w:qFormat/>
    <w:rsid w:val="00E80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152"/>
    <w:rPr>
      <w:i/>
      <w:iCs/>
      <w:color w:val="0F4761" w:themeColor="accent1" w:themeShade="BF"/>
    </w:rPr>
  </w:style>
  <w:style w:type="character" w:styleId="IntenseReference">
    <w:name w:val="Intense Reference"/>
    <w:basedOn w:val="DefaultParagraphFont"/>
    <w:uiPriority w:val="32"/>
    <w:qFormat/>
    <w:rsid w:val="00E80152"/>
    <w:rPr>
      <w:b/>
      <w:bCs/>
      <w:smallCaps/>
      <w:color w:val="0F4761" w:themeColor="accent1" w:themeShade="BF"/>
      <w:spacing w:val="5"/>
    </w:rPr>
  </w:style>
  <w:style w:type="character" w:customStyle="1" w:styleId="css-0">
    <w:name w:val="css-0"/>
    <w:basedOn w:val="DefaultParagraphFont"/>
    <w:rsid w:val="004011B9"/>
  </w:style>
  <w:style w:type="character" w:customStyle="1" w:styleId="css-1tmeul0">
    <w:name w:val="css-1tmeul0"/>
    <w:basedOn w:val="DefaultParagraphFont"/>
    <w:rsid w:val="004011B9"/>
  </w:style>
  <w:style w:type="character" w:customStyle="1" w:styleId="css-1g9q2al">
    <w:name w:val="css-1g9q2al"/>
    <w:basedOn w:val="DefaultParagraphFont"/>
    <w:rsid w:val="004011B9"/>
  </w:style>
  <w:style w:type="character" w:styleId="Hyperlink">
    <w:name w:val="Hyperlink"/>
    <w:basedOn w:val="DefaultParagraphFont"/>
    <w:uiPriority w:val="99"/>
    <w:unhideWhenUsed/>
    <w:rsid w:val="009B0085"/>
    <w:rPr>
      <w:color w:val="467886" w:themeColor="hyperlink"/>
      <w:u w:val="single"/>
    </w:rPr>
  </w:style>
  <w:style w:type="character" w:styleId="UnresolvedMention">
    <w:name w:val="Unresolved Mention"/>
    <w:basedOn w:val="DefaultParagraphFont"/>
    <w:uiPriority w:val="99"/>
    <w:semiHidden/>
    <w:unhideWhenUsed/>
    <w:rsid w:val="009B0085"/>
    <w:rPr>
      <w:color w:val="605E5C"/>
      <w:shd w:val="clear" w:color="auto" w:fill="E1DFDD"/>
    </w:rPr>
  </w:style>
  <w:style w:type="character" w:styleId="Emphasis">
    <w:name w:val="Emphasis"/>
    <w:basedOn w:val="DefaultParagraphFont"/>
    <w:uiPriority w:val="20"/>
    <w:qFormat/>
    <w:rsid w:val="006E4BA3"/>
    <w:rPr>
      <w:i/>
      <w:iCs/>
    </w:rPr>
  </w:style>
  <w:style w:type="paragraph" w:styleId="NormalWeb">
    <w:name w:val="Normal (Web)"/>
    <w:basedOn w:val="Normal"/>
    <w:uiPriority w:val="99"/>
    <w:semiHidden/>
    <w:unhideWhenUsed/>
    <w:rsid w:val="00730B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79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6353">
      <w:bodyDiv w:val="1"/>
      <w:marLeft w:val="0"/>
      <w:marRight w:val="0"/>
      <w:marTop w:val="0"/>
      <w:marBottom w:val="0"/>
      <w:divBdr>
        <w:top w:val="none" w:sz="0" w:space="0" w:color="auto"/>
        <w:left w:val="none" w:sz="0" w:space="0" w:color="auto"/>
        <w:bottom w:val="none" w:sz="0" w:space="0" w:color="auto"/>
        <w:right w:val="none" w:sz="0" w:space="0" w:color="auto"/>
      </w:divBdr>
    </w:div>
    <w:div w:id="909970542">
      <w:bodyDiv w:val="1"/>
      <w:marLeft w:val="0"/>
      <w:marRight w:val="0"/>
      <w:marTop w:val="0"/>
      <w:marBottom w:val="0"/>
      <w:divBdr>
        <w:top w:val="none" w:sz="0" w:space="0" w:color="auto"/>
        <w:left w:val="none" w:sz="0" w:space="0" w:color="auto"/>
        <w:bottom w:val="none" w:sz="0" w:space="0" w:color="auto"/>
        <w:right w:val="none" w:sz="0" w:space="0" w:color="auto"/>
      </w:divBdr>
    </w:div>
    <w:div w:id="1628314958">
      <w:bodyDiv w:val="1"/>
      <w:marLeft w:val="0"/>
      <w:marRight w:val="0"/>
      <w:marTop w:val="0"/>
      <w:marBottom w:val="0"/>
      <w:divBdr>
        <w:top w:val="none" w:sz="0" w:space="0" w:color="auto"/>
        <w:left w:val="none" w:sz="0" w:space="0" w:color="auto"/>
        <w:bottom w:val="none" w:sz="0" w:space="0" w:color="auto"/>
        <w:right w:val="none" w:sz="0" w:space="0" w:color="auto"/>
      </w:divBdr>
      <w:divsChild>
        <w:div w:id="710035548">
          <w:marLeft w:val="0"/>
          <w:marRight w:val="0"/>
          <w:marTop w:val="0"/>
          <w:marBottom w:val="0"/>
          <w:divBdr>
            <w:top w:val="none" w:sz="0" w:space="0" w:color="auto"/>
            <w:left w:val="none" w:sz="0" w:space="0" w:color="auto"/>
            <w:bottom w:val="none" w:sz="0" w:space="0" w:color="auto"/>
            <w:right w:val="none" w:sz="0" w:space="0" w:color="auto"/>
          </w:divBdr>
          <w:divsChild>
            <w:div w:id="1340740020">
              <w:marLeft w:val="0"/>
              <w:marRight w:val="0"/>
              <w:marTop w:val="0"/>
              <w:marBottom w:val="0"/>
              <w:divBdr>
                <w:top w:val="none" w:sz="0" w:space="0" w:color="auto"/>
                <w:left w:val="none" w:sz="0" w:space="0" w:color="auto"/>
                <w:bottom w:val="none" w:sz="0" w:space="0" w:color="auto"/>
                <w:right w:val="none" w:sz="0" w:space="0" w:color="auto"/>
              </w:divBdr>
              <w:divsChild>
                <w:div w:id="1342927382">
                  <w:marLeft w:val="0"/>
                  <w:marRight w:val="0"/>
                  <w:marTop w:val="0"/>
                  <w:marBottom w:val="0"/>
                  <w:divBdr>
                    <w:top w:val="none" w:sz="0" w:space="0" w:color="auto"/>
                    <w:left w:val="none" w:sz="0" w:space="0" w:color="auto"/>
                    <w:bottom w:val="none" w:sz="0" w:space="0" w:color="auto"/>
                    <w:right w:val="none" w:sz="0" w:space="0" w:color="auto"/>
                  </w:divBdr>
                  <w:divsChild>
                    <w:div w:id="1225608730">
                      <w:marLeft w:val="0"/>
                      <w:marRight w:val="0"/>
                      <w:marTop w:val="630"/>
                      <w:marBottom w:val="0"/>
                      <w:divBdr>
                        <w:top w:val="none" w:sz="0" w:space="0" w:color="auto"/>
                        <w:left w:val="none" w:sz="0" w:space="0" w:color="auto"/>
                        <w:bottom w:val="none" w:sz="0" w:space="0" w:color="auto"/>
                        <w:right w:val="none" w:sz="0" w:space="0" w:color="auto"/>
                      </w:divBdr>
                    </w:div>
                  </w:divsChild>
                </w:div>
              </w:divsChild>
            </w:div>
          </w:divsChild>
        </w:div>
        <w:div w:id="1842697708">
          <w:marLeft w:val="0"/>
          <w:marRight w:val="0"/>
          <w:marTop w:val="0"/>
          <w:marBottom w:val="0"/>
          <w:divBdr>
            <w:top w:val="none" w:sz="0" w:space="0" w:color="auto"/>
            <w:left w:val="none" w:sz="0" w:space="0" w:color="auto"/>
            <w:bottom w:val="none" w:sz="0" w:space="0" w:color="auto"/>
            <w:right w:val="none" w:sz="0" w:space="0" w:color="auto"/>
          </w:divBdr>
          <w:divsChild>
            <w:div w:id="1640184285">
              <w:marLeft w:val="0"/>
              <w:marRight w:val="0"/>
              <w:marTop w:val="0"/>
              <w:marBottom w:val="0"/>
              <w:divBdr>
                <w:top w:val="none" w:sz="0" w:space="0" w:color="auto"/>
                <w:left w:val="none" w:sz="0" w:space="0" w:color="auto"/>
                <w:bottom w:val="none" w:sz="0" w:space="0" w:color="auto"/>
                <w:right w:val="none" w:sz="0" w:space="0" w:color="auto"/>
              </w:divBdr>
              <w:divsChild>
                <w:div w:id="117719717">
                  <w:marLeft w:val="0"/>
                  <w:marRight w:val="3480"/>
                  <w:marTop w:val="0"/>
                  <w:marBottom w:val="0"/>
                  <w:divBdr>
                    <w:top w:val="none" w:sz="0" w:space="0" w:color="auto"/>
                    <w:left w:val="none" w:sz="0" w:space="0" w:color="auto"/>
                    <w:bottom w:val="none" w:sz="0" w:space="0" w:color="auto"/>
                    <w:right w:val="none" w:sz="0" w:space="0" w:color="auto"/>
                  </w:divBdr>
                  <w:divsChild>
                    <w:div w:id="612708906">
                      <w:marLeft w:val="0"/>
                      <w:marRight w:val="0"/>
                      <w:marTop w:val="0"/>
                      <w:marBottom w:val="240"/>
                      <w:divBdr>
                        <w:top w:val="none" w:sz="0" w:space="0" w:color="auto"/>
                        <w:left w:val="none" w:sz="0" w:space="0" w:color="auto"/>
                        <w:bottom w:val="none" w:sz="0" w:space="0" w:color="auto"/>
                        <w:right w:val="none" w:sz="0" w:space="0" w:color="auto"/>
                      </w:divBdr>
                      <w:divsChild>
                        <w:div w:id="192302210">
                          <w:marLeft w:val="0"/>
                          <w:marRight w:val="0"/>
                          <w:marTop w:val="0"/>
                          <w:marBottom w:val="0"/>
                          <w:divBdr>
                            <w:top w:val="none" w:sz="0" w:space="0" w:color="auto"/>
                            <w:left w:val="none" w:sz="0" w:space="0" w:color="auto"/>
                            <w:bottom w:val="none" w:sz="0" w:space="0" w:color="auto"/>
                            <w:right w:val="none" w:sz="0" w:space="0" w:color="auto"/>
                          </w:divBdr>
                          <w:divsChild>
                            <w:div w:id="1765108210">
                              <w:marLeft w:val="0"/>
                              <w:marRight w:val="0"/>
                              <w:marTop w:val="0"/>
                              <w:marBottom w:val="0"/>
                              <w:divBdr>
                                <w:top w:val="none" w:sz="0" w:space="0" w:color="auto"/>
                                <w:left w:val="none" w:sz="0" w:space="0" w:color="auto"/>
                                <w:bottom w:val="none" w:sz="0" w:space="0" w:color="auto"/>
                                <w:right w:val="none" w:sz="0" w:space="0" w:color="auto"/>
                              </w:divBdr>
                              <w:divsChild>
                                <w:div w:id="2128893692">
                                  <w:marLeft w:val="0"/>
                                  <w:marRight w:val="180"/>
                                  <w:marTop w:val="0"/>
                                  <w:marBottom w:val="0"/>
                                  <w:divBdr>
                                    <w:top w:val="none" w:sz="0" w:space="0" w:color="auto"/>
                                    <w:left w:val="none" w:sz="0" w:space="0" w:color="auto"/>
                                    <w:bottom w:val="none" w:sz="0" w:space="0" w:color="auto"/>
                                    <w:right w:val="none" w:sz="0" w:space="0" w:color="auto"/>
                                  </w:divBdr>
                                </w:div>
                                <w:div w:id="1102186725">
                                  <w:marLeft w:val="0"/>
                                  <w:marRight w:val="0"/>
                                  <w:marTop w:val="0"/>
                                  <w:marBottom w:val="30"/>
                                  <w:divBdr>
                                    <w:top w:val="none" w:sz="0" w:space="0" w:color="auto"/>
                                    <w:left w:val="none" w:sz="0" w:space="0" w:color="auto"/>
                                    <w:bottom w:val="none" w:sz="0" w:space="0" w:color="auto"/>
                                    <w:right w:val="none" w:sz="0" w:space="0" w:color="auto"/>
                                  </w:divBdr>
                                  <w:divsChild>
                                    <w:div w:id="894510934">
                                      <w:marLeft w:val="0"/>
                                      <w:marRight w:val="0"/>
                                      <w:marTop w:val="48"/>
                                      <w:marBottom w:val="48"/>
                                      <w:divBdr>
                                        <w:top w:val="none" w:sz="0" w:space="0" w:color="auto"/>
                                        <w:left w:val="none" w:sz="0" w:space="0" w:color="auto"/>
                                        <w:bottom w:val="none" w:sz="0" w:space="0" w:color="auto"/>
                                        <w:right w:val="none" w:sz="0" w:space="0" w:color="auto"/>
                                      </w:divBdr>
                                    </w:div>
                                    <w:div w:id="35246314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legislation.gov.uk" TargetMode="External"/><Relationship Id="rId4" Type="http://schemas.openxmlformats.org/officeDocument/2006/relationships/numbering" Target="numbering.xml"/><Relationship Id="rId9" Type="http://schemas.openxmlformats.org/officeDocument/2006/relationships/hyperlink" Target="https://pxhere.com/en/photo/1550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f9d119ba31cd6889fcd8e6164e733846">
  <xsd:schema xmlns:xsd="http://www.w3.org/2001/XMLSchema" xmlns:xs="http://www.w3.org/2001/XMLSchema" xmlns:p="http://schemas.microsoft.com/office/2006/metadata/properties" xmlns:ns3="2fb9b754-ff8e-487c-b2c9-9bb8e92e13c5" targetNamespace="http://schemas.microsoft.com/office/2006/metadata/properties" ma:root="true" ma:fieldsID="bdb28b458d971a956b16587408736e52"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531576-FB47-48AE-A96A-7AC282FE7B18}">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1258C783-4809-415A-8085-9681EA9A0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D70A8B-B9BA-4E03-99B5-A2DED054DC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83043</TotalTime>
  <Pages>9</Pages>
  <Words>2132</Words>
  <Characters>13635</Characters>
  <Application>Microsoft Office Word</Application>
  <DocSecurity>0</DocSecurity>
  <Lines>287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117</cp:revision>
  <dcterms:created xsi:type="dcterms:W3CDTF">2025-07-30T16:50:00Z</dcterms:created>
  <dcterms:modified xsi:type="dcterms:W3CDTF">2025-11-11T10:56:00Z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db6f5a72-dff1-49bb-ab93-76bb7c388809</vt:lpwstr>
  </property>
  <property fmtid="{D5CDD505-2E9C-101B-9397-08002B2CF9AE}" pid="3" name="ContentTypeId">
    <vt:lpwstr>0x010100609FB0070A83184A8206E8AB722F60C7</vt:lpwstr>
  </property>
</Properties>
</file>