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6EF8C" w14:textId="4082FD92" w:rsidR="00AF7C56" w:rsidRDefault="70FFCF0A" w:rsidP="00ED13EA">
      <w:pPr>
        <w:spacing w:before="360" w:after="0" w:line="240" w:lineRule="auto"/>
      </w:pPr>
      <w:r>
        <w:rPr>
          <w:noProof/>
        </w:rPr>
        <w:drawing>
          <wp:inline distT="0" distB="0" distL="0" distR="0" wp14:anchorId="5AEE3384" wp14:editId="7F3B38C0">
            <wp:extent cx="5915611" cy="3638704"/>
            <wp:effectExtent l="0" t="0" r="0" b="0"/>
            <wp:docPr id="360131080" name="drawing" descr="Blog para el uso educativo « Tecnología, Aprendizaje y Educació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31080" name="Picture 360131080"/>
                    <pic:cNvPicPr/>
                  </pic:nvPicPr>
                  <pic:blipFill>
                    <a:blip r:embed="rId7">
                      <a:extLst>
                        <a:ext uri="{28A0092B-C50C-407E-A947-70E740481C1C}">
                          <a14:useLocalDpi xmlns:a14="http://schemas.microsoft.com/office/drawing/2010/main"/>
                        </a:ext>
                      </a:extLst>
                    </a:blip>
                    <a:stretch>
                      <a:fillRect/>
                    </a:stretch>
                  </pic:blipFill>
                  <pic:spPr>
                    <a:xfrm>
                      <a:off x="0" y="0"/>
                      <a:ext cx="5915611" cy="3638704"/>
                    </a:xfrm>
                    <a:prstGeom prst="rect">
                      <a:avLst/>
                    </a:prstGeom>
                  </pic:spPr>
                </pic:pic>
              </a:graphicData>
            </a:graphic>
          </wp:inline>
        </w:drawing>
      </w:r>
    </w:p>
    <w:p w14:paraId="7D707BC9" w14:textId="77777777" w:rsidR="75DD5314" w:rsidRDefault="75DD5314" w:rsidP="75DD5314">
      <w:pPr>
        <w:spacing w:before="360" w:after="0" w:line="240" w:lineRule="auto"/>
        <w:jc w:val="center"/>
        <w:rPr>
          <w:rFonts w:ascii="Arial Nova" w:eastAsia="Arial Nova" w:hAnsi="Arial Nova" w:cs="Arial Nova"/>
          <w:b/>
          <w:bCs/>
          <w:color w:val="365F91"/>
          <w:sz w:val="40"/>
          <w:szCs w:val="40"/>
        </w:rPr>
      </w:pPr>
    </w:p>
    <w:p w14:paraId="5F49DB7C" w14:textId="77777777" w:rsidR="00AF7C56" w:rsidRDefault="56BFBBBD" w:rsidP="554C77F0">
      <w:pPr>
        <w:spacing w:before="360" w:after="0" w:line="240" w:lineRule="auto"/>
        <w:jc w:val="center"/>
        <w:rPr>
          <w:rFonts w:ascii="Arial Nova" w:eastAsia="Arial Nova" w:hAnsi="Arial Nova" w:cs="Arial Nova"/>
          <w:color w:val="365F91"/>
          <w:sz w:val="40"/>
          <w:szCs w:val="40"/>
        </w:rPr>
      </w:pPr>
      <w:r w:rsidRPr="75DD5314">
        <w:rPr>
          <w:rFonts w:ascii="Arial Nova" w:eastAsia="Arial Nova" w:hAnsi="Arial Nova" w:cs="Arial Nova"/>
          <w:b/>
          <w:bCs/>
          <w:color w:val="365F91"/>
          <w:sz w:val="40"/>
          <w:szCs w:val="40"/>
        </w:rPr>
        <w:t>Module: Managing projects in the Organisations</w:t>
      </w:r>
    </w:p>
    <w:p w14:paraId="2F75FB7D" w14:textId="77777777" w:rsidR="75DD5314" w:rsidRDefault="75DD5314" w:rsidP="75DD5314">
      <w:pPr>
        <w:spacing w:after="150" w:line="240" w:lineRule="auto"/>
        <w:jc w:val="center"/>
        <w:rPr>
          <w:rFonts w:ascii="Arial Nova" w:eastAsia="Arial Nova" w:hAnsi="Arial Nova" w:cs="Arial Nova"/>
          <w:b/>
          <w:bCs/>
          <w:color w:val="000000" w:themeColor="text1"/>
          <w:sz w:val="32"/>
          <w:szCs w:val="32"/>
        </w:rPr>
      </w:pPr>
    </w:p>
    <w:p w14:paraId="5C3DC346" w14:textId="77777777" w:rsidR="00AF7C56" w:rsidRDefault="56BFBBBD" w:rsidP="554C77F0">
      <w:pPr>
        <w:spacing w:after="150" w:line="240" w:lineRule="auto"/>
        <w:jc w:val="center"/>
        <w:rPr>
          <w:rFonts w:ascii="Arial Nova" w:eastAsia="Arial Nova" w:hAnsi="Arial Nova" w:cs="Arial Nova"/>
          <w:color w:val="000000" w:themeColor="text1"/>
          <w:sz w:val="32"/>
          <w:szCs w:val="32"/>
        </w:rPr>
      </w:pPr>
      <w:r w:rsidRPr="554C77F0">
        <w:rPr>
          <w:rFonts w:ascii="Arial Nova" w:eastAsia="Arial Nova" w:hAnsi="Arial Nova" w:cs="Arial Nova"/>
          <w:b/>
          <w:bCs/>
          <w:color w:val="000000" w:themeColor="text1"/>
          <w:sz w:val="32"/>
          <w:szCs w:val="32"/>
        </w:rPr>
        <w:t>BMSW5009</w:t>
      </w:r>
    </w:p>
    <w:p w14:paraId="48793E9A" w14:textId="77777777" w:rsidR="00AF7C56" w:rsidRDefault="56BFBBBD" w:rsidP="554C77F0">
      <w:pPr>
        <w:spacing w:after="150" w:line="240" w:lineRule="auto"/>
        <w:jc w:val="center"/>
        <w:rPr>
          <w:rFonts w:ascii="Arial Nova" w:eastAsia="Arial Nova" w:hAnsi="Arial Nova" w:cs="Arial Nova"/>
          <w:color w:val="000000" w:themeColor="text1"/>
          <w:sz w:val="32"/>
          <w:szCs w:val="32"/>
        </w:rPr>
      </w:pPr>
      <w:r w:rsidRPr="554C77F0">
        <w:rPr>
          <w:rFonts w:ascii="Arial Nova" w:eastAsia="Arial Nova" w:hAnsi="Arial Nova" w:cs="Arial Nova"/>
          <w:b/>
          <w:bCs/>
          <w:color w:val="000000" w:themeColor="text1"/>
          <w:sz w:val="32"/>
          <w:szCs w:val="32"/>
        </w:rPr>
        <w:t>Student Name: Rana Rajjoub</w:t>
      </w:r>
    </w:p>
    <w:p w14:paraId="6E63828B" w14:textId="77777777" w:rsidR="00AF7C56" w:rsidRDefault="56BFBBBD" w:rsidP="554C77F0">
      <w:pPr>
        <w:spacing w:after="150" w:line="240" w:lineRule="auto"/>
        <w:jc w:val="center"/>
        <w:rPr>
          <w:rFonts w:ascii="Arial Nova" w:eastAsia="Arial Nova" w:hAnsi="Arial Nova" w:cs="Arial Nova"/>
          <w:color w:val="000000" w:themeColor="text1"/>
          <w:sz w:val="32"/>
          <w:szCs w:val="32"/>
        </w:rPr>
      </w:pPr>
      <w:r w:rsidRPr="554C77F0">
        <w:rPr>
          <w:rFonts w:ascii="Arial Nova" w:eastAsia="Arial Nova" w:hAnsi="Arial Nova" w:cs="Arial Nova"/>
          <w:b/>
          <w:bCs/>
          <w:color w:val="000000" w:themeColor="text1"/>
          <w:sz w:val="32"/>
          <w:szCs w:val="32"/>
        </w:rPr>
        <w:t>Student ID: 2312015</w:t>
      </w:r>
    </w:p>
    <w:p w14:paraId="7A93FE36" w14:textId="77777777" w:rsidR="00AF7C56" w:rsidRDefault="7D15CCF7" w:rsidP="554C77F0">
      <w:pPr>
        <w:rPr>
          <w:rFonts w:ascii="Arial Nova" w:eastAsia="Arial Nova" w:hAnsi="Arial Nova" w:cs="Arial Nova"/>
          <w:color w:val="000000" w:themeColor="text1"/>
          <w:sz w:val="32"/>
          <w:szCs w:val="32"/>
        </w:rPr>
      </w:pPr>
      <w:r w:rsidRPr="554C77F0">
        <w:rPr>
          <w:rFonts w:ascii="Arial Nova" w:eastAsia="Arial Nova" w:hAnsi="Arial Nova" w:cs="Arial Nova"/>
          <w:b/>
          <w:bCs/>
          <w:color w:val="000000" w:themeColor="text1"/>
          <w:sz w:val="32"/>
          <w:szCs w:val="32"/>
        </w:rPr>
        <w:t xml:space="preserve">                                  </w:t>
      </w:r>
      <w:r w:rsidR="56BFBBBD" w:rsidRPr="554C77F0">
        <w:rPr>
          <w:rFonts w:ascii="Arial Nova" w:eastAsia="Arial Nova" w:hAnsi="Arial Nova" w:cs="Arial Nova"/>
          <w:b/>
          <w:bCs/>
          <w:color w:val="000000" w:themeColor="text1"/>
          <w:sz w:val="32"/>
          <w:szCs w:val="32"/>
        </w:rPr>
        <w:t>Module Lead: Lan Zhang</w:t>
      </w:r>
      <w:r>
        <w:br/>
      </w:r>
      <w:r w:rsidR="1D62C060" w:rsidRPr="554C77F0">
        <w:rPr>
          <w:rFonts w:ascii="Arial Nova" w:eastAsia="Arial Nova" w:hAnsi="Arial Nova" w:cs="Arial Nova"/>
          <w:b/>
          <w:bCs/>
          <w:color w:val="000000" w:themeColor="text1"/>
          <w:sz w:val="32"/>
          <w:szCs w:val="32"/>
        </w:rPr>
        <w:t xml:space="preserve">                      </w:t>
      </w:r>
      <w:r w:rsidR="56BFBBBD" w:rsidRPr="554C77F0">
        <w:rPr>
          <w:rFonts w:ascii="Arial Nova" w:eastAsia="Arial Nova" w:hAnsi="Arial Nova" w:cs="Arial Nova"/>
          <w:b/>
          <w:bCs/>
          <w:color w:val="000000" w:themeColor="text1"/>
          <w:sz w:val="32"/>
          <w:szCs w:val="32"/>
        </w:rPr>
        <w:t>University of Wales Trinity Saint David</w:t>
      </w:r>
    </w:p>
    <w:p w14:paraId="1A8C573A" w14:textId="77777777" w:rsidR="00AF7C56" w:rsidRDefault="56BFBBBD" w:rsidP="554C77F0">
      <w:pPr>
        <w:spacing w:after="150" w:line="240" w:lineRule="auto"/>
        <w:jc w:val="center"/>
        <w:rPr>
          <w:rFonts w:ascii="Arial Nova" w:eastAsia="Arial Nova" w:hAnsi="Arial Nova" w:cs="Arial Nova"/>
          <w:color w:val="000000" w:themeColor="text1"/>
          <w:sz w:val="32"/>
          <w:szCs w:val="32"/>
        </w:rPr>
      </w:pPr>
      <w:r w:rsidRPr="554C77F0">
        <w:rPr>
          <w:rFonts w:ascii="Arial Nova" w:eastAsia="Arial Nova" w:hAnsi="Arial Nova" w:cs="Arial Nova"/>
          <w:b/>
          <w:bCs/>
          <w:color w:val="000000" w:themeColor="text1"/>
          <w:sz w:val="32"/>
          <w:szCs w:val="32"/>
        </w:rPr>
        <w:t>Date of submission: 19</w:t>
      </w:r>
      <w:r w:rsidRPr="554C77F0">
        <w:rPr>
          <w:rFonts w:ascii="Arial Nova" w:eastAsia="Arial Nova" w:hAnsi="Arial Nova" w:cs="Arial Nova"/>
          <w:b/>
          <w:bCs/>
          <w:color w:val="000000" w:themeColor="text1"/>
          <w:sz w:val="32"/>
          <w:szCs w:val="32"/>
          <w:vertAlign w:val="superscript"/>
        </w:rPr>
        <w:t>th of</w:t>
      </w:r>
      <w:r w:rsidRPr="554C77F0">
        <w:rPr>
          <w:rFonts w:ascii="Arial Nova" w:eastAsia="Arial Nova" w:hAnsi="Arial Nova" w:cs="Arial Nova"/>
          <w:b/>
          <w:bCs/>
          <w:color w:val="000000" w:themeColor="text1"/>
          <w:sz w:val="32"/>
          <w:szCs w:val="32"/>
        </w:rPr>
        <w:t xml:space="preserve"> June 2026</w:t>
      </w:r>
      <w:r>
        <w:br/>
      </w:r>
      <w:r w:rsidRPr="554C77F0">
        <w:rPr>
          <w:rFonts w:ascii="Arial Nova" w:eastAsia="Arial Nova" w:hAnsi="Arial Nova" w:cs="Arial Nova"/>
          <w:b/>
          <w:bCs/>
          <w:color w:val="000000" w:themeColor="text1"/>
          <w:sz w:val="32"/>
          <w:szCs w:val="32"/>
        </w:rPr>
        <w:t>Academic Year: 2025–2026</w:t>
      </w:r>
    </w:p>
    <w:p w14:paraId="14FB1E6B" w14:textId="77777777" w:rsidR="554C77F0" w:rsidRDefault="554C77F0" w:rsidP="554C77F0">
      <w:pPr>
        <w:spacing w:after="150" w:line="240" w:lineRule="auto"/>
        <w:jc w:val="center"/>
        <w:rPr>
          <w:rFonts w:ascii="Arial Nova" w:eastAsia="Arial Nova" w:hAnsi="Arial Nova" w:cs="Arial Nova"/>
          <w:b/>
          <w:bCs/>
          <w:color w:val="000000" w:themeColor="text1"/>
          <w:sz w:val="32"/>
          <w:szCs w:val="32"/>
        </w:rPr>
      </w:pPr>
    </w:p>
    <w:p w14:paraId="60DBB326" w14:textId="581F36B7" w:rsidR="554C77F0" w:rsidRDefault="554C77F0" w:rsidP="00ED13EA">
      <w:r>
        <w:br w:type="page"/>
      </w:r>
    </w:p>
    <w:p w14:paraId="6774AFB7" w14:textId="77777777" w:rsidR="12BEA3EA" w:rsidRDefault="12BEA3EA" w:rsidP="568A650E">
      <w:pPr>
        <w:jc w:val="center"/>
        <w:rPr>
          <w:b/>
          <w:bCs/>
          <w:color w:val="215E99" w:themeColor="text2" w:themeTint="BF"/>
          <w:sz w:val="36"/>
          <w:szCs w:val="36"/>
        </w:rPr>
      </w:pPr>
      <w:r w:rsidRPr="75DD5314">
        <w:rPr>
          <w:rFonts w:ascii="Aptos" w:eastAsia="Aptos" w:hAnsi="Aptos" w:cs="Aptos"/>
          <w:b/>
          <w:bCs/>
          <w:color w:val="215E99" w:themeColor="text2" w:themeTint="BF"/>
          <w:sz w:val="36"/>
          <w:szCs w:val="36"/>
        </w:rPr>
        <w:lastRenderedPageBreak/>
        <w:t xml:space="preserve"> </w:t>
      </w:r>
      <w:r w:rsidR="3F75F906" w:rsidRPr="75DD5314">
        <w:rPr>
          <w:rFonts w:ascii="Aptos" w:eastAsia="Aptos" w:hAnsi="Aptos" w:cs="Aptos"/>
          <w:b/>
          <w:bCs/>
          <w:color w:val="215E99" w:themeColor="text2" w:themeTint="BF"/>
          <w:sz w:val="36"/>
          <w:szCs w:val="36"/>
        </w:rPr>
        <w:t>Attend-X Project: Reflective Blog</w:t>
      </w:r>
      <w:r w:rsidR="0B781F2B" w:rsidRPr="75DD5314">
        <w:rPr>
          <w:rFonts w:ascii="Aptos" w:eastAsia="Aptos" w:hAnsi="Aptos" w:cs="Aptos"/>
          <w:b/>
          <w:bCs/>
          <w:color w:val="215E99" w:themeColor="text2" w:themeTint="BF"/>
          <w:sz w:val="36"/>
          <w:szCs w:val="36"/>
        </w:rPr>
        <w:t>s</w:t>
      </w:r>
    </w:p>
    <w:p w14:paraId="0285E370" w14:textId="2A11B4C2" w:rsidR="568A650E" w:rsidRDefault="568A650E" w:rsidP="568A650E">
      <w:pPr>
        <w:jc w:val="center"/>
        <w:rPr>
          <w:rFonts w:ascii="Aptos" w:eastAsia="Aptos" w:hAnsi="Aptos" w:cs="Aptos"/>
          <w:sz w:val="32"/>
          <w:szCs w:val="32"/>
        </w:rPr>
      </w:pPr>
    </w:p>
    <w:p w14:paraId="3A68ED66" w14:textId="77777777" w:rsidR="007A7673" w:rsidRDefault="007A7673" w:rsidP="568A650E">
      <w:pPr>
        <w:jc w:val="center"/>
        <w:rPr>
          <w:rFonts w:ascii="Aptos" w:eastAsia="Aptos" w:hAnsi="Aptos" w:cs="Aptos"/>
          <w:sz w:val="32"/>
          <w:szCs w:val="32"/>
        </w:rPr>
      </w:pPr>
    </w:p>
    <w:p w14:paraId="47A653AC" w14:textId="77777777" w:rsidR="007A7673" w:rsidRDefault="007A7673" w:rsidP="568A650E">
      <w:pPr>
        <w:jc w:val="center"/>
        <w:rPr>
          <w:rFonts w:ascii="Aptos" w:eastAsia="Aptos" w:hAnsi="Aptos" w:cs="Aptos"/>
          <w:sz w:val="32"/>
          <w:szCs w:val="32"/>
        </w:rPr>
      </w:pPr>
    </w:p>
    <w:p w14:paraId="6572FF00" w14:textId="77777777" w:rsidR="00690842" w:rsidRPr="007A7673" w:rsidRDefault="00000000">
      <w:pPr>
        <w:rPr>
          <w:rFonts w:ascii="Aptos" w:eastAsia="Aptos" w:hAnsi="Aptos" w:cs="Aptos"/>
          <w:b/>
          <w:sz w:val="48"/>
          <w:szCs w:val="48"/>
        </w:rPr>
      </w:pPr>
      <w:r w:rsidRPr="007A7673">
        <w:rPr>
          <w:rFonts w:ascii="Aptos" w:eastAsia="Aptos" w:hAnsi="Aptos" w:cs="Aptos"/>
          <w:b/>
          <w:sz w:val="48"/>
          <w:szCs w:val="48"/>
        </w:rPr>
        <w:t>Table of Contents</w:t>
      </w:r>
    </w:p>
    <w:p w14:paraId="07AD8F81" w14:textId="0954813F" w:rsidR="00690842" w:rsidRPr="007A7673" w:rsidRDefault="00000000">
      <w:pPr>
        <w:pStyle w:val="TOC1"/>
        <w:rPr>
          <w:sz w:val="32"/>
          <w:szCs w:val="32"/>
        </w:rPr>
      </w:pPr>
      <w:r w:rsidRPr="007A7673">
        <w:rPr>
          <w:rFonts w:ascii="Aptos" w:eastAsia="Aptos" w:hAnsi="Aptos" w:cs="Aptos"/>
          <w:sz w:val="36"/>
          <w:szCs w:val="36"/>
        </w:rPr>
        <w:t>1. Introduction and Team Role</w:t>
      </w:r>
    </w:p>
    <w:p w14:paraId="2866EC94" w14:textId="77777777" w:rsidR="00690842" w:rsidRPr="007A7673" w:rsidRDefault="00000000">
      <w:pPr>
        <w:pStyle w:val="TOC1"/>
        <w:rPr>
          <w:sz w:val="32"/>
          <w:szCs w:val="32"/>
        </w:rPr>
      </w:pPr>
      <w:r w:rsidRPr="007A7673">
        <w:rPr>
          <w:rFonts w:ascii="Aptos" w:eastAsia="Aptos" w:hAnsi="Aptos" w:cs="Aptos"/>
          <w:sz w:val="36"/>
          <w:szCs w:val="36"/>
        </w:rPr>
        <w:t>2. Goal, Objectives, and Scope</w:t>
      </w:r>
    </w:p>
    <w:p w14:paraId="0F8EC3C2" w14:textId="0545CA18" w:rsidR="00690842" w:rsidRPr="007A7673" w:rsidRDefault="00000000">
      <w:pPr>
        <w:pStyle w:val="TOC1"/>
        <w:rPr>
          <w:sz w:val="32"/>
          <w:szCs w:val="32"/>
        </w:rPr>
      </w:pPr>
      <w:r w:rsidRPr="007A7673">
        <w:rPr>
          <w:rFonts w:ascii="Aptos" w:eastAsia="Aptos" w:hAnsi="Aptos" w:cs="Aptos"/>
          <w:sz w:val="36"/>
          <w:szCs w:val="36"/>
        </w:rPr>
        <w:t>3. Stakeholder Analysis and Communication Plan</w:t>
      </w:r>
    </w:p>
    <w:p w14:paraId="72F8A2B8" w14:textId="77777777" w:rsidR="00690842" w:rsidRPr="007A7673" w:rsidRDefault="00000000">
      <w:pPr>
        <w:pStyle w:val="TOC1"/>
        <w:rPr>
          <w:sz w:val="32"/>
          <w:szCs w:val="32"/>
        </w:rPr>
      </w:pPr>
      <w:r w:rsidRPr="007A7673">
        <w:rPr>
          <w:rFonts w:ascii="Aptos" w:eastAsia="Aptos" w:hAnsi="Aptos" w:cs="Aptos"/>
          <w:sz w:val="36"/>
          <w:szCs w:val="36"/>
        </w:rPr>
        <w:t>4. Project Planning Using WBS and Gantt Charts</w:t>
      </w:r>
    </w:p>
    <w:p w14:paraId="4787645B" w14:textId="1CE5EB52" w:rsidR="00690842" w:rsidRPr="007A7673" w:rsidRDefault="00000000">
      <w:pPr>
        <w:pStyle w:val="TOC1"/>
        <w:rPr>
          <w:sz w:val="32"/>
          <w:szCs w:val="32"/>
        </w:rPr>
      </w:pPr>
      <w:r w:rsidRPr="007A7673">
        <w:rPr>
          <w:rFonts w:ascii="Aptos" w:eastAsia="Aptos" w:hAnsi="Aptos" w:cs="Aptos"/>
          <w:sz w:val="36"/>
          <w:szCs w:val="36"/>
        </w:rPr>
        <w:t>5. Reflection, Challenges, and Personal</w:t>
      </w:r>
      <w:r w:rsidR="007A7673" w:rsidRPr="007A7673">
        <w:rPr>
          <w:rFonts w:ascii="Aptos" w:eastAsia="Aptos" w:hAnsi="Aptos" w:cs="Aptos"/>
          <w:sz w:val="36"/>
          <w:szCs w:val="36"/>
        </w:rPr>
        <w:t xml:space="preserve"> d</w:t>
      </w:r>
      <w:r w:rsidRPr="007A7673">
        <w:rPr>
          <w:rFonts w:ascii="Aptos" w:eastAsia="Aptos" w:hAnsi="Aptos" w:cs="Aptos"/>
          <w:sz w:val="36"/>
          <w:szCs w:val="36"/>
        </w:rPr>
        <w:t>evelopment</w:t>
      </w:r>
    </w:p>
    <w:p w14:paraId="1AB9EBDA" w14:textId="4DD6693E" w:rsidR="00690842" w:rsidRPr="007A7673" w:rsidRDefault="00000000" w:rsidP="00CC5627">
      <w:pPr>
        <w:pStyle w:val="TOC1"/>
        <w:rPr>
          <w:rFonts w:ascii="Aptos" w:eastAsia="Aptos" w:hAnsi="Aptos" w:cs="Aptos"/>
          <w:sz w:val="40"/>
          <w:szCs w:val="40"/>
        </w:rPr>
      </w:pPr>
      <w:r w:rsidRPr="007A7673">
        <w:rPr>
          <w:rFonts w:ascii="Aptos" w:eastAsia="Aptos" w:hAnsi="Aptos" w:cs="Aptos"/>
          <w:sz w:val="36"/>
          <w:szCs w:val="36"/>
        </w:rPr>
        <w:t>References</w:t>
      </w:r>
      <w:r w:rsidRPr="007A7673">
        <w:rPr>
          <w:rFonts w:ascii="Aptos" w:eastAsia="Aptos" w:hAnsi="Aptos" w:cs="Aptos"/>
          <w:sz w:val="40"/>
          <w:szCs w:val="40"/>
        </w:rPr>
        <w:t xml:space="preserve"> </w:t>
      </w:r>
    </w:p>
    <w:p w14:paraId="3BC7E5B9" w14:textId="77777777" w:rsidR="007A7673" w:rsidRPr="007A7673" w:rsidRDefault="007A7673" w:rsidP="007A7673">
      <w:pPr>
        <w:rPr>
          <w:sz w:val="36"/>
          <w:szCs w:val="36"/>
        </w:rPr>
      </w:pPr>
    </w:p>
    <w:p w14:paraId="5F765CF3" w14:textId="77777777" w:rsidR="007A7673" w:rsidRDefault="007A7673" w:rsidP="007A7673"/>
    <w:p w14:paraId="48AC60C2" w14:textId="77777777" w:rsidR="007A7673" w:rsidRDefault="007A7673" w:rsidP="007A7673"/>
    <w:p w14:paraId="220F2E12" w14:textId="77777777" w:rsidR="007A7673" w:rsidRDefault="007A7673" w:rsidP="007A7673"/>
    <w:p w14:paraId="7DF553C2" w14:textId="0555883B" w:rsidR="007A7673" w:rsidRDefault="007A7673" w:rsidP="007A7673"/>
    <w:p w14:paraId="2A200D07" w14:textId="77777777" w:rsidR="007A7673" w:rsidRDefault="007A7673" w:rsidP="007A7673"/>
    <w:p w14:paraId="6BC50A2A" w14:textId="4BFD7732" w:rsidR="007A7673" w:rsidRDefault="007A7673" w:rsidP="007A7673"/>
    <w:p w14:paraId="57431D1A" w14:textId="2553A5C8" w:rsidR="007A7673" w:rsidRDefault="007A7673" w:rsidP="007A7673"/>
    <w:p w14:paraId="22ACF29C" w14:textId="7596CEAF" w:rsidR="007A7673" w:rsidRDefault="007A7673" w:rsidP="007A7673"/>
    <w:p w14:paraId="4C70DD3F" w14:textId="3EF2B6F5" w:rsidR="007A7673" w:rsidRDefault="007A7673" w:rsidP="007A7673"/>
    <w:p w14:paraId="40D4AD1A" w14:textId="77777777" w:rsidR="007A7673" w:rsidRDefault="007A7673" w:rsidP="007A7673"/>
    <w:p w14:paraId="6A86B6D4" w14:textId="77777777" w:rsidR="007A7673" w:rsidRDefault="007A7673" w:rsidP="007A7673"/>
    <w:p w14:paraId="212A83FF" w14:textId="77777777" w:rsidR="007A7673" w:rsidRPr="007A7673" w:rsidRDefault="007A7673" w:rsidP="007A7673"/>
    <w:p w14:paraId="6999CF34" w14:textId="5C1E36E5" w:rsidR="1D376586" w:rsidRDefault="5F2A93AB" w:rsidP="75DD5314">
      <w:pPr>
        <w:pStyle w:val="Heading1"/>
        <w:rPr>
          <w:rFonts w:ascii="Aptos" w:eastAsia="Aptos" w:hAnsi="Aptos" w:cs="Aptos"/>
          <w:b/>
          <w:bCs/>
          <w:color w:val="215E99" w:themeColor="text2" w:themeTint="BF"/>
          <w:sz w:val="32"/>
          <w:szCs w:val="32"/>
        </w:rPr>
      </w:pPr>
      <w:r w:rsidRPr="75DD5314">
        <w:rPr>
          <w:rFonts w:ascii="Aptos" w:eastAsia="Aptos" w:hAnsi="Aptos" w:cs="Aptos"/>
          <w:b/>
          <w:bCs/>
          <w:color w:val="215E99" w:themeColor="text2" w:themeTint="BF"/>
          <w:sz w:val="32"/>
          <w:szCs w:val="32"/>
        </w:rPr>
        <w:lastRenderedPageBreak/>
        <w:t>1.</w:t>
      </w:r>
      <w:r w:rsidR="1D376586" w:rsidRPr="75DD5314">
        <w:rPr>
          <w:rFonts w:ascii="Aptos" w:eastAsia="Aptos" w:hAnsi="Aptos" w:cs="Aptos"/>
          <w:b/>
          <w:bCs/>
          <w:color w:val="215E99" w:themeColor="text2" w:themeTint="BF"/>
          <w:sz w:val="32"/>
          <w:szCs w:val="32"/>
        </w:rPr>
        <w:t>Introduction and Team Role</w:t>
      </w:r>
    </w:p>
    <w:p w14:paraId="6C433F55" w14:textId="33C04DF2" w:rsidR="12BEA3EA" w:rsidRDefault="007A7673" w:rsidP="75DD5314">
      <w:pPr>
        <w:ind w:left="720"/>
        <w:rPr>
          <w:rFonts w:ascii="Aptos" w:eastAsia="Aptos" w:hAnsi="Aptos" w:cs="Aptos"/>
          <w:b/>
          <w:bCs/>
          <w:color w:val="0E2740"/>
          <w:sz w:val="32"/>
          <w:szCs w:val="32"/>
        </w:rPr>
      </w:pPr>
      <w:r>
        <w:rPr>
          <w:noProof/>
        </w:rPr>
        <w:drawing>
          <wp:anchor distT="0" distB="0" distL="114300" distR="114300" simplePos="0" relativeHeight="251658240" behindDoc="0" locked="0" layoutInCell="1" allowOverlap="1" wp14:anchorId="1DFD09E0" wp14:editId="737B0A9D">
            <wp:simplePos x="0" y="0"/>
            <wp:positionH relativeFrom="margin">
              <wp:align>left</wp:align>
            </wp:positionH>
            <wp:positionV relativeFrom="paragraph">
              <wp:posOffset>85725</wp:posOffset>
            </wp:positionV>
            <wp:extent cx="4058920" cy="1711325"/>
            <wp:effectExtent l="0" t="0" r="0" b="3175"/>
            <wp:wrapSquare wrapText="bothSides"/>
            <wp:docPr id="490285157" name="drawing" descr="Pensamiento Administrativo: Los 13 roles positivos y negativos en l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85157" name="Picture 490285157"/>
                    <pic:cNvPicPr/>
                  </pic:nvPicPr>
                  <pic:blipFill>
                    <a:blip r:embed="rId8">
                      <a:extLst>
                        <a:ext uri="{28A0092B-C50C-407E-A947-70E740481C1C}">
                          <a14:useLocalDpi xmlns:a14="http://schemas.microsoft.com/office/drawing/2010/main" val="0"/>
                        </a:ext>
                      </a:extLst>
                    </a:blip>
                    <a:stretch>
                      <a:fillRect/>
                    </a:stretch>
                  </pic:blipFill>
                  <pic:spPr>
                    <a:xfrm>
                      <a:off x="0" y="0"/>
                      <a:ext cx="4058920" cy="1711325"/>
                    </a:xfrm>
                    <a:prstGeom prst="rect">
                      <a:avLst/>
                    </a:prstGeom>
                  </pic:spPr>
                </pic:pic>
              </a:graphicData>
            </a:graphic>
            <wp14:sizeRelH relativeFrom="margin">
              <wp14:pctWidth>0</wp14:pctWidth>
            </wp14:sizeRelH>
            <wp14:sizeRelV relativeFrom="margin">
              <wp14:pctHeight>0</wp14:pctHeight>
            </wp14:sizeRelV>
          </wp:anchor>
        </w:drawing>
      </w:r>
    </w:p>
    <w:p w14:paraId="1C8E9A1D" w14:textId="14058B5E" w:rsidR="00CC5627" w:rsidRDefault="00CC5627">
      <w:pPr>
        <w:rPr>
          <w:rFonts w:ascii="Aptos" w:eastAsia="Aptos" w:hAnsi="Aptos" w:cs="Aptos"/>
          <w:sz w:val="32"/>
          <w:szCs w:val="32"/>
        </w:rPr>
      </w:pPr>
    </w:p>
    <w:p w14:paraId="1205C6E3" w14:textId="0114D715" w:rsidR="00CC5627" w:rsidRDefault="00CC5627">
      <w:pPr>
        <w:rPr>
          <w:rFonts w:ascii="Aptos" w:eastAsia="Aptos" w:hAnsi="Aptos" w:cs="Aptos"/>
          <w:sz w:val="32"/>
          <w:szCs w:val="32"/>
        </w:rPr>
      </w:pPr>
    </w:p>
    <w:p w14:paraId="0CB0EFBF" w14:textId="77777777" w:rsidR="00CC5627" w:rsidRDefault="00CC5627">
      <w:pPr>
        <w:rPr>
          <w:rFonts w:ascii="Aptos" w:eastAsia="Aptos" w:hAnsi="Aptos" w:cs="Aptos"/>
          <w:sz w:val="32"/>
          <w:szCs w:val="32"/>
        </w:rPr>
      </w:pPr>
    </w:p>
    <w:p w14:paraId="1FAA2F77" w14:textId="77777777" w:rsidR="00CC5627" w:rsidRDefault="00CC5627">
      <w:pPr>
        <w:rPr>
          <w:rFonts w:ascii="Aptos" w:eastAsia="Aptos" w:hAnsi="Aptos" w:cs="Aptos"/>
          <w:sz w:val="32"/>
          <w:szCs w:val="32"/>
        </w:rPr>
      </w:pPr>
    </w:p>
    <w:p w14:paraId="00AA1647" w14:textId="77777777" w:rsidR="007A7673" w:rsidRDefault="003649C3" w:rsidP="007A7673">
      <w:r w:rsidRPr="003649C3">
        <w:rPr>
          <w:rFonts w:ascii="Aptos" w:eastAsia="Aptos" w:hAnsi="Aptos" w:cs="Aptos"/>
          <w:sz w:val="32"/>
          <w:szCs w:val="32"/>
        </w:rPr>
        <w:t>Attend-X is a QR code-based attendance management system for university settings intended to allow for efficient and accurate methods of recording student attendance. It streamlines the whole process of recording attendance, replacing traditional attendance methods where professors manually input student attendance, which is time-consuming and subject to human error. Students can simply register for attendance on the basis of scanning a QR code, and a professor can view real-time accurate records of student attendance.</w:t>
      </w:r>
      <w:r w:rsidR="12BEA3EA" w:rsidRPr="568A650E">
        <w:rPr>
          <w:rFonts w:ascii="Aptos" w:eastAsia="Aptos" w:hAnsi="Aptos" w:cs="Aptos"/>
          <w:sz w:val="32"/>
          <w:szCs w:val="32"/>
        </w:rPr>
        <w:t xml:space="preserve"> </w:t>
      </w:r>
    </w:p>
    <w:p w14:paraId="1D1F9F63" w14:textId="525310BC" w:rsidR="003649C3" w:rsidRPr="003649C3" w:rsidRDefault="003649C3" w:rsidP="007A7673">
      <w:r w:rsidRPr="003649C3">
        <w:rPr>
          <w:rFonts w:asciiTheme="majorHAnsi" w:eastAsiaTheme="majorEastAsia" w:hAnsiTheme="majorHAnsi" w:cstheme="majorBidi"/>
          <w:color w:val="000000" w:themeColor="text1"/>
          <w:sz w:val="32"/>
          <w:szCs w:val="32"/>
        </w:rPr>
        <w:t>The main users are students and faculty, with the following advantages: students will be able to take attendance more quickly and easily than before; while faculty will experience less administrative burdens and will have accurate attendance records. The University Administration indirectly benefits from this system as it is helping them to track and report on attendance more easily and accurately. These benefits to stakeholders are aligned with the Project Management Institute's (PMI) standards for project-related stakeholder value</w:t>
      </w:r>
      <w:r>
        <w:rPr>
          <w:rFonts w:asciiTheme="majorHAnsi" w:eastAsiaTheme="majorEastAsia" w:hAnsiTheme="majorHAnsi" w:cstheme="majorBidi"/>
          <w:color w:val="000000" w:themeColor="text1"/>
          <w:sz w:val="32"/>
          <w:szCs w:val="32"/>
        </w:rPr>
        <w:t xml:space="preserve"> </w:t>
      </w:r>
      <w:r w:rsidRPr="003649C3">
        <w:rPr>
          <w:rFonts w:asciiTheme="majorHAnsi" w:eastAsiaTheme="majorEastAsia" w:hAnsiTheme="majorHAnsi" w:cstheme="majorBidi"/>
          <w:color w:val="000000" w:themeColor="text1"/>
          <w:sz w:val="32"/>
          <w:szCs w:val="32"/>
        </w:rPr>
        <w:t>meaning that both student and faculty user experiences will create value for the organisation, as well as align with PMI standards for projects providing value to stakeholders that are effectively aligned with the organisation’s business objectives (PMI, 2021).</w:t>
      </w:r>
    </w:p>
    <w:p w14:paraId="2B0A2C30" w14:textId="77777777" w:rsidR="003649C3" w:rsidRDefault="003649C3" w:rsidP="75DD5314">
      <w:pPr>
        <w:pStyle w:val="Heading1"/>
        <w:rPr>
          <w:rFonts w:ascii="Aptos" w:eastAsia="Aptos" w:hAnsi="Aptos" w:cs="Aptos"/>
          <w:color w:val="auto"/>
          <w:sz w:val="32"/>
          <w:szCs w:val="32"/>
        </w:rPr>
      </w:pPr>
      <w:r w:rsidRPr="003649C3">
        <w:rPr>
          <w:rFonts w:ascii="Aptos" w:eastAsia="Aptos" w:hAnsi="Aptos" w:cs="Aptos"/>
          <w:color w:val="auto"/>
          <w:sz w:val="32"/>
          <w:szCs w:val="32"/>
        </w:rPr>
        <w:lastRenderedPageBreak/>
        <w:t>My involvement as part of the team covered areas such as project documentation, planning and research. Some of my responsibilities were identifying project requirements, supporting the stakeholder analysis and contributing to both reports and presentations. My key strengths of organisation, written communication and attention to detail were the foundation for my taking ownership of the documentation tasks we were responsible for, and also ensuring that the teams execution of their work was structured during the early stages of the project. In terms of my contributions moving forward, I believe that my organisational skills will be highly beneficial during the planning and documentation phases. However, I also recognise that having the ability to effectively contribute to a group also includes having confidence in verbal communication, which I continue to work on developing. During my early interaction with the project team, I observed that there was initial uncertainty with regards to clearly defined roles and uneven contribution levels to the project, which Tuckman (1965) describes as the "storming" phase. When the project team moved closer to explicitly laying out all of the individual responsibilities, a noticeable improvement occurred in collaboration efforts and, as a result, Tuckman's "norming" phase began. This early experience has led me to realise that both the success or failure of a project will be based upon the individual current skill levels; however, it will also be based upon how a given project team effectively manages its own group dynamics.</w:t>
      </w:r>
    </w:p>
    <w:p w14:paraId="0A57D90A" w14:textId="77777777" w:rsidR="003649C3" w:rsidRDefault="003649C3" w:rsidP="75DD5314">
      <w:pPr>
        <w:pStyle w:val="Heading1"/>
        <w:rPr>
          <w:rFonts w:ascii="Aptos" w:eastAsia="Aptos" w:hAnsi="Aptos" w:cs="Aptos"/>
          <w:color w:val="auto"/>
          <w:sz w:val="32"/>
          <w:szCs w:val="32"/>
        </w:rPr>
      </w:pPr>
    </w:p>
    <w:p w14:paraId="6E445175" w14:textId="77777777" w:rsidR="003649C3" w:rsidRPr="003649C3" w:rsidRDefault="003649C3" w:rsidP="003649C3"/>
    <w:p w14:paraId="184EA31F" w14:textId="404DF90A" w:rsidR="568A650E" w:rsidRDefault="4EBA36D0" w:rsidP="75DD5314">
      <w:pPr>
        <w:pStyle w:val="Heading1"/>
        <w:rPr>
          <w:rFonts w:ascii="Aptos" w:eastAsia="Aptos" w:hAnsi="Aptos" w:cs="Aptos"/>
          <w:b/>
          <w:bCs/>
          <w:color w:val="215E99" w:themeColor="text2" w:themeTint="BF"/>
          <w:sz w:val="32"/>
          <w:szCs w:val="32"/>
        </w:rPr>
      </w:pPr>
      <w:r w:rsidRPr="75DD5314">
        <w:rPr>
          <w:rFonts w:ascii="Aptos" w:eastAsia="Aptos" w:hAnsi="Aptos" w:cs="Aptos"/>
          <w:b/>
          <w:bCs/>
          <w:color w:val="215E99" w:themeColor="text2" w:themeTint="BF"/>
          <w:sz w:val="32"/>
          <w:szCs w:val="32"/>
        </w:rPr>
        <w:lastRenderedPageBreak/>
        <w:t>2.</w:t>
      </w:r>
      <w:r w:rsidR="12BEA3EA" w:rsidRPr="75DD5314">
        <w:rPr>
          <w:rFonts w:ascii="Aptos" w:eastAsia="Aptos" w:hAnsi="Aptos" w:cs="Aptos"/>
          <w:b/>
          <w:bCs/>
          <w:color w:val="215E99" w:themeColor="text2" w:themeTint="BF"/>
          <w:sz w:val="32"/>
          <w:szCs w:val="32"/>
        </w:rPr>
        <w:t>Goal, Objectives, and Scope</w:t>
      </w:r>
    </w:p>
    <w:p w14:paraId="1BD4A64B" w14:textId="103BC5E8" w:rsidR="12BEA3EA" w:rsidRDefault="12BEA3EA">
      <w:r w:rsidRPr="75DD5314">
        <w:rPr>
          <w:rFonts w:ascii="Aptos" w:eastAsia="Aptos" w:hAnsi="Aptos" w:cs="Aptos"/>
          <w:sz w:val="32"/>
          <w:szCs w:val="32"/>
        </w:rPr>
        <w:t xml:space="preserve">As the project progressed, the team worked to develop Attend-X in a more structured and deliberate manner. One of the most important things I understood during this stage was what a project </w:t>
      </w:r>
      <w:r w:rsidR="00ED13EA" w:rsidRPr="75DD5314">
        <w:rPr>
          <w:rFonts w:ascii="Aptos" w:eastAsia="Aptos" w:hAnsi="Aptos" w:cs="Aptos"/>
          <w:sz w:val="32"/>
          <w:szCs w:val="32"/>
        </w:rPr>
        <w:t>means</w:t>
      </w:r>
      <w:r w:rsidRPr="75DD5314">
        <w:rPr>
          <w:rFonts w:ascii="Aptos" w:eastAsia="Aptos" w:hAnsi="Aptos" w:cs="Aptos"/>
          <w:sz w:val="32"/>
          <w:szCs w:val="32"/>
        </w:rPr>
        <w:t>, not just a task or an assignment, but something that must have a clear goal, defined deliverables, and a fixed timeframe. Before this module, I had not thought carefully about the difference between doing work and running a project. Understanding this distinction changed how I approached everything that followed. The overall aim was to improve attendance management in universities through a secure QR code-based system. Developing this aim required the group to discuss what problem we were actually solving, which led to a clearer shared understanding of the project’s purpose. This process of defining the aim early was important because, as Kerzner (2022) notes, projects without a clear objective lack the direction needed to align team efforts and measure progress.</w:t>
      </w:r>
    </w:p>
    <w:p w14:paraId="47FC5068" w14:textId="0CD13F7E" w:rsidR="12BEA3EA" w:rsidRDefault="12BEA3EA">
      <w:r w:rsidRPr="75DD5314">
        <w:rPr>
          <w:rFonts w:ascii="Aptos" w:eastAsia="Aptos" w:hAnsi="Aptos" w:cs="Aptos"/>
          <w:sz w:val="32"/>
          <w:szCs w:val="32"/>
        </w:rPr>
        <w:t xml:space="preserve">To translate the aim into actionable targets, the group developed four specific objectives: to design a user-friendly interface accessible to all students; to create a secure QR-based attendance registration process; to improve attendance recording accuracy compared to manual methods; and to reduce the administrative burden on lecturers. These objectives were developed through group discussion, where each member contributed ideas based on the </w:t>
      </w:r>
      <w:r w:rsidR="007A7673" w:rsidRPr="75DD5314">
        <w:rPr>
          <w:rFonts w:ascii="Aptos" w:eastAsia="Aptos" w:hAnsi="Aptos" w:cs="Aptos"/>
          <w:sz w:val="32"/>
          <w:szCs w:val="32"/>
        </w:rPr>
        <w:t>problems,</w:t>
      </w:r>
      <w:r w:rsidRPr="75DD5314">
        <w:rPr>
          <w:rFonts w:ascii="Aptos" w:eastAsia="Aptos" w:hAnsi="Aptos" w:cs="Aptos"/>
          <w:sz w:val="32"/>
          <w:szCs w:val="32"/>
        </w:rPr>
        <w:t xml:space="preserve"> they had personally observed in university settings. According to Kerzner (2022), clearly defined objectives improve project control by providing measurable outcomes against which progress can be evaluated, something our team found useful when deciding which features to prioritise.</w:t>
      </w:r>
    </w:p>
    <w:p w14:paraId="35A5725C" w14:textId="77777777" w:rsidR="12BEA3EA" w:rsidRDefault="12BEA3EA">
      <w:r w:rsidRPr="568A650E">
        <w:rPr>
          <w:rFonts w:ascii="Aptos" w:eastAsia="Aptos" w:hAnsi="Aptos" w:cs="Aptos"/>
          <w:sz w:val="32"/>
          <w:szCs w:val="32"/>
        </w:rPr>
        <w:lastRenderedPageBreak/>
        <w:t>Key deliverables included the project proposal, system prototype, project plan, stakeholder analysis, technical documentation, and final presentation. The project scope was carefully defined to maintain realism. Included activities consisted of system design, security validation, user experience development, planning, and documentation, while excluded activities included full university-wide implementation and facial recognition technologies. One challenge the group encountered when defining scope was around user interaction with the QR code itself, specifically, how to ensure students could reliably scan and register without technical difficulties. This was acknowledged as a limitation of the prototype phase rather than a flaw in the concept. The Iron Triangle model was particularly useful in assessing feasibility at this stage: since scope, time, and cost are closely interconnected (Lock, 2020), the group recognised that expanding the system to address every technical scenario would require more time and resources than were available. Keeping the scope realistic allowed the team to focus on producing a functional and well-documented prototype within the given constraints.</w:t>
      </w:r>
    </w:p>
    <w:p w14:paraId="2720FF53" w14:textId="60240EF9" w:rsidR="12BEA3EA" w:rsidRDefault="12BEA3EA" w:rsidP="75DD5314">
      <w:pPr>
        <w:pStyle w:val="Heading1"/>
        <w:spacing w:after="0" w:line="240" w:lineRule="auto"/>
        <w:rPr>
          <w:rFonts w:ascii="Aptos" w:eastAsia="Aptos" w:hAnsi="Aptos" w:cs="Aptos"/>
          <w:b/>
          <w:bCs/>
          <w:color w:val="215E99" w:themeColor="text2" w:themeTint="BF"/>
          <w:sz w:val="32"/>
          <w:szCs w:val="32"/>
        </w:rPr>
      </w:pPr>
      <w:r w:rsidRPr="75DD5314">
        <w:rPr>
          <w:rFonts w:ascii="Aptos" w:eastAsia="Aptos" w:hAnsi="Aptos" w:cs="Aptos"/>
          <w:sz w:val="32"/>
          <w:szCs w:val="32"/>
        </w:rPr>
        <w:lastRenderedPageBreak/>
        <w:t xml:space="preserve"> </w:t>
      </w:r>
      <w:r w:rsidR="72638369" w:rsidRPr="75DD5314">
        <w:rPr>
          <w:rFonts w:ascii="Aptos" w:eastAsia="Aptos" w:hAnsi="Aptos" w:cs="Aptos"/>
          <w:b/>
          <w:bCs/>
          <w:color w:val="215E99" w:themeColor="text2" w:themeTint="BF"/>
          <w:sz w:val="32"/>
          <w:szCs w:val="32"/>
        </w:rPr>
        <w:t>3.</w:t>
      </w:r>
      <w:r w:rsidRPr="75DD5314">
        <w:rPr>
          <w:rFonts w:ascii="Aptos" w:eastAsia="Aptos" w:hAnsi="Aptos" w:cs="Aptos"/>
          <w:b/>
          <w:bCs/>
          <w:color w:val="215E99" w:themeColor="text2" w:themeTint="BF"/>
          <w:sz w:val="32"/>
          <w:szCs w:val="32"/>
        </w:rPr>
        <w:t>Stakeholder Analysis and Communication Plan</w:t>
      </w:r>
      <w:r w:rsidR="1072FF14">
        <w:rPr>
          <w:noProof/>
        </w:rPr>
        <w:drawing>
          <wp:inline distT="0" distB="0" distL="0" distR="0" wp14:anchorId="6C063A9F" wp14:editId="4603E4EA">
            <wp:extent cx="5724525" cy="3819525"/>
            <wp:effectExtent l="0" t="0" r="0" b="0"/>
            <wp:docPr id="427434391" name="drawing" descr="Visual Aids | Business Communication: Written &amp; Verbal Present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34391" name="Picture 427434391"/>
                    <pic:cNvPicPr/>
                  </pic:nvPicPr>
                  <pic:blipFill>
                    <a:blip r:embed="rId9">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14:paraId="37EFED11" w14:textId="77777777" w:rsidR="568A650E" w:rsidRDefault="568A650E" w:rsidP="568A650E">
      <w:pPr>
        <w:rPr>
          <w:rFonts w:ascii="Aptos" w:eastAsia="Aptos" w:hAnsi="Aptos" w:cs="Aptos"/>
          <w:b/>
          <w:bCs/>
          <w:color w:val="215E99" w:themeColor="text2" w:themeTint="BF"/>
          <w:sz w:val="32"/>
          <w:szCs w:val="32"/>
        </w:rPr>
      </w:pPr>
    </w:p>
    <w:p w14:paraId="0A667DD2" w14:textId="77777777" w:rsidR="12BEA3EA" w:rsidRDefault="12BEA3EA">
      <w:r w:rsidRPr="568A650E">
        <w:rPr>
          <w:rFonts w:ascii="Aptos" w:eastAsia="Aptos" w:hAnsi="Aptos" w:cs="Aptos"/>
          <w:sz w:val="32"/>
          <w:szCs w:val="32"/>
        </w:rPr>
        <w:t xml:space="preserve"> </w:t>
      </w:r>
    </w:p>
    <w:p w14:paraId="18F59032" w14:textId="77777777" w:rsidR="12BEA3EA" w:rsidRDefault="12BEA3EA">
      <w:r w:rsidRPr="75DD5314">
        <w:rPr>
          <w:rFonts w:ascii="Aptos" w:eastAsia="Aptos" w:hAnsi="Aptos" w:cs="Aptos"/>
          <w:sz w:val="32"/>
          <w:szCs w:val="32"/>
        </w:rPr>
        <w:t>Stakeholder management became increasingly important as the project developed. Stakeholders are defined as individuals or groups who can affect or be affected by project outcomes (Freeman, 2010). Key stakeholders for Attend-X included students, lecturers, university administrators, project sponsors, and team members.</w:t>
      </w:r>
    </w:p>
    <w:p w14:paraId="1FA99CC4" w14:textId="77777777" w:rsidR="12BEA3EA" w:rsidRDefault="12BEA3EA">
      <w:r w:rsidRPr="568A650E">
        <w:rPr>
          <w:rFonts w:ascii="Aptos" w:eastAsia="Aptos" w:hAnsi="Aptos" w:cs="Aptos"/>
          <w:sz w:val="32"/>
          <w:szCs w:val="32"/>
        </w:rPr>
        <w:t xml:space="preserve">Students are primary stakeholders whose main concerns are ease of use, accessibility, and reliability. Lecturers require accurate records and efficient reporting tools, while administrators focus on data security and compliance. Sponsors have a financial interest in project development. Students and lecturers were considered the most important stakeholders, as project success ultimately depends on user acceptance. Even a </w:t>
      </w:r>
      <w:r w:rsidRPr="568A650E">
        <w:rPr>
          <w:rFonts w:ascii="Aptos" w:eastAsia="Aptos" w:hAnsi="Aptos" w:cs="Aptos"/>
          <w:sz w:val="32"/>
          <w:szCs w:val="32"/>
        </w:rPr>
        <w:lastRenderedPageBreak/>
        <w:t>technically successful system may fail if end users are unwilling to adopt it.</w:t>
      </w:r>
    </w:p>
    <w:p w14:paraId="48EFD36F" w14:textId="77777777" w:rsidR="12BEA3EA" w:rsidRDefault="12BEA3EA">
      <w:r w:rsidRPr="75DD5314">
        <w:rPr>
          <w:rFonts w:ascii="Aptos" w:eastAsia="Aptos" w:hAnsi="Aptos" w:cs="Aptos"/>
          <w:sz w:val="32"/>
          <w:szCs w:val="32"/>
        </w:rPr>
        <w:t>To ensure effective communication, the group planned to use meetings, presentations, progress reports, and collaborative online platforms. However, balancing stakeholder expectations presented challenges, as students preferred simplicity and speed, whereas administrators prioritised security and control. This demonstrated that stakeholder management often requires negotiation between competing priorities, making effective communication essential throughout the project life cycle (PMI, 2021).</w:t>
      </w:r>
    </w:p>
    <w:p w14:paraId="338F2710" w14:textId="77777777" w:rsidR="75DD5314" w:rsidRDefault="75DD5314" w:rsidP="75DD5314">
      <w:pPr>
        <w:rPr>
          <w:rFonts w:ascii="Aptos" w:eastAsia="Aptos" w:hAnsi="Aptos" w:cs="Aptos"/>
          <w:b/>
          <w:bCs/>
          <w:color w:val="215E99" w:themeColor="text2" w:themeTint="BF"/>
          <w:sz w:val="32"/>
          <w:szCs w:val="32"/>
        </w:rPr>
      </w:pPr>
    </w:p>
    <w:p w14:paraId="15DA4D35" w14:textId="77777777" w:rsidR="15498B31" w:rsidRDefault="15498B31" w:rsidP="568A650E">
      <w:pPr>
        <w:pStyle w:val="Heading1"/>
        <w:rPr>
          <w:rFonts w:ascii="Aptos" w:eastAsia="Aptos" w:hAnsi="Aptos" w:cs="Aptos"/>
          <w:b/>
          <w:bCs/>
          <w:color w:val="215E99" w:themeColor="text2" w:themeTint="BF"/>
          <w:sz w:val="32"/>
          <w:szCs w:val="32"/>
        </w:rPr>
      </w:pPr>
      <w:r w:rsidRPr="75DD5314">
        <w:rPr>
          <w:rFonts w:ascii="Aptos" w:eastAsia="Aptos" w:hAnsi="Aptos" w:cs="Aptos"/>
          <w:b/>
          <w:bCs/>
          <w:color w:val="215E99" w:themeColor="text2" w:themeTint="BF"/>
          <w:sz w:val="32"/>
          <w:szCs w:val="32"/>
        </w:rPr>
        <w:t xml:space="preserve">4. </w:t>
      </w:r>
      <w:r w:rsidR="12BEA3EA" w:rsidRPr="75DD5314">
        <w:rPr>
          <w:rFonts w:ascii="Aptos" w:eastAsia="Aptos" w:hAnsi="Aptos" w:cs="Aptos"/>
          <w:b/>
          <w:bCs/>
          <w:color w:val="215E99" w:themeColor="text2" w:themeTint="BF"/>
          <w:sz w:val="32"/>
          <w:szCs w:val="32"/>
        </w:rPr>
        <w:t>Project Planning Using WBS and Gantt Charts</w:t>
      </w:r>
    </w:p>
    <w:p w14:paraId="72D0AD29" w14:textId="77777777" w:rsidR="568A650E" w:rsidRDefault="568A650E"/>
    <w:p w14:paraId="4A9005F7" w14:textId="61B8E9D8" w:rsidR="09086C71" w:rsidRDefault="09086C71" w:rsidP="568A650E">
      <w:pPr>
        <w:rPr>
          <w:rFonts w:ascii="Aptos" w:eastAsia="Aptos" w:hAnsi="Aptos" w:cs="Aptos"/>
          <w:b/>
          <w:bCs/>
          <w:color w:val="215E99" w:themeColor="text2" w:themeTint="BF"/>
          <w:sz w:val="32"/>
          <w:szCs w:val="32"/>
        </w:rPr>
      </w:pPr>
      <w:r>
        <w:rPr>
          <w:noProof/>
        </w:rPr>
        <w:drawing>
          <wp:inline distT="0" distB="0" distL="0" distR="0" wp14:anchorId="1E71C84A" wp14:editId="0E1D8C36">
            <wp:extent cx="6115050" cy="3067050"/>
            <wp:effectExtent l="0" t="0" r="0" b="0"/>
            <wp:docPr id="84378702" name="drawing" descr="Oracle Primavera P6 em dicas: A barra mais tarde no Primavera P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491205" name="Picture 218491205"/>
                    <pic:cNvPicPr/>
                  </pic:nvPicPr>
                  <pic:blipFill>
                    <a:blip r:embed="rId10">
                      <a:extLst>
                        <a:ext uri="{28A0092B-C50C-407E-A947-70E740481C1C}">
                          <a14:useLocalDpi xmlns:a14="http://schemas.microsoft.com/office/drawing/2010/main"/>
                        </a:ext>
                      </a:extLst>
                    </a:blip>
                    <a:stretch>
                      <a:fillRect/>
                    </a:stretch>
                  </pic:blipFill>
                  <pic:spPr>
                    <a:xfrm>
                      <a:off x="0" y="0"/>
                      <a:ext cx="6115050" cy="3067050"/>
                    </a:xfrm>
                    <a:prstGeom prst="rect">
                      <a:avLst/>
                    </a:prstGeom>
                  </pic:spPr>
                </pic:pic>
              </a:graphicData>
            </a:graphic>
          </wp:inline>
        </w:drawing>
      </w:r>
      <w:r w:rsidRPr="568A650E">
        <w:rPr>
          <w:rFonts w:ascii="Aptos" w:eastAsia="Aptos" w:hAnsi="Aptos" w:cs="Aptos"/>
          <w:sz w:val="32"/>
          <w:szCs w:val="32"/>
        </w:rPr>
        <w:t xml:space="preserve"> </w:t>
      </w:r>
    </w:p>
    <w:p w14:paraId="1241A92E" w14:textId="77777777" w:rsidR="12BEA3EA" w:rsidRDefault="12BEA3EA">
      <w:r w:rsidRPr="75DD5314">
        <w:rPr>
          <w:rFonts w:ascii="Aptos" w:eastAsia="Aptos" w:hAnsi="Aptos" w:cs="Aptos"/>
          <w:sz w:val="32"/>
          <w:szCs w:val="32"/>
        </w:rPr>
        <w:t xml:space="preserve">Effective planning is fundamental to project management as it provides structure and helps ensure objectives are achieved within agreed constraints. During the Attend-X project, two key </w:t>
      </w:r>
      <w:r w:rsidRPr="75DD5314">
        <w:rPr>
          <w:rFonts w:ascii="Aptos" w:eastAsia="Aptos" w:hAnsi="Aptos" w:cs="Aptos"/>
          <w:sz w:val="32"/>
          <w:szCs w:val="32"/>
        </w:rPr>
        <w:lastRenderedPageBreak/>
        <w:t>planning tools were used: the Work Breakdown Structure (WBS) and the Gantt chart.</w:t>
      </w:r>
    </w:p>
    <w:p w14:paraId="7C03F205" w14:textId="77777777" w:rsidR="12BEA3EA" w:rsidRDefault="12BEA3EA">
      <w:r w:rsidRPr="568A650E">
        <w:rPr>
          <w:rFonts w:ascii="Aptos" w:eastAsia="Aptos" w:hAnsi="Aptos" w:cs="Aptos"/>
          <w:sz w:val="32"/>
          <w:szCs w:val="32"/>
        </w:rPr>
        <w:t>The WBS divided the project into smaller, manageable tasks including research, stakeholder analysis, budgeting, system design, testing, documentation, and presentation preparation. Importantly, the WBS was not just a planning document for us, it was the tool that actually solved our task distribution problem. Before using it, the team had struggled with uneven workloads and unclear ownership of tasks. Once we broke the project down into specific work packages and assigned each one to a team member, everyone knew exactly what they were responsible for. This removed the ambiguity that had caused friction earlier and made it much easier to hold each other accountable. According to Lock (2020), the WBS is one of the most effective tools for organising project activities and allocating resources, and our experience confirmed this directly.</w:t>
      </w:r>
    </w:p>
    <w:p w14:paraId="3E689F61" w14:textId="77777777" w:rsidR="12BEA3EA" w:rsidRDefault="12BEA3EA">
      <w:r w:rsidRPr="568A650E">
        <w:rPr>
          <w:rFonts w:ascii="Aptos" w:eastAsia="Aptos" w:hAnsi="Aptos" w:cs="Aptos"/>
          <w:sz w:val="32"/>
          <w:szCs w:val="32"/>
        </w:rPr>
        <w:t xml:space="preserve"> </w:t>
      </w:r>
    </w:p>
    <w:p w14:paraId="4EB725ED" w14:textId="77777777" w:rsidR="12BEA3EA" w:rsidRDefault="12BEA3EA">
      <w:r w:rsidRPr="568A650E">
        <w:rPr>
          <w:rFonts w:ascii="Aptos" w:eastAsia="Aptos" w:hAnsi="Aptos" w:cs="Aptos"/>
          <w:sz w:val="32"/>
          <w:szCs w:val="32"/>
        </w:rPr>
        <w:t>The Gantt chart was then used to organise our time across the full project timeline. It showed each task as a bar across a calendar, which made it immediately clear when tasks overlapped, which ones depended on others being finished first, and where we were at risk of running out of time. This visibility directly helped us manage our time better, when we could see that two major tasks were scheduled at the same time, we were able to adjust before it became a problem rather than after. Personally, I found the Gantt chart more useful than the WBS for day-to-day awareness, because it connected tasks to actual dates in a way that made the deadline feel real and manageable. Kerzner (2022) argues that scheduling tools improve project visibility and support decision-</w:t>
      </w:r>
      <w:r w:rsidRPr="568A650E">
        <w:rPr>
          <w:rFonts w:ascii="Aptos" w:eastAsia="Aptos" w:hAnsi="Aptos" w:cs="Aptos"/>
          <w:sz w:val="32"/>
          <w:szCs w:val="32"/>
        </w:rPr>
        <w:lastRenderedPageBreak/>
        <w:t>making throughout the project life cycle, and in practice this is exactly what it did for our team. One honest difficulty we had was estimating how long tasks would take, we tended to underestimate, which meant the chart had to be revised. But even that process was useful, because it forced us to think more carefully about realistic timeframes.</w:t>
      </w:r>
    </w:p>
    <w:p w14:paraId="4163F996" w14:textId="0DEFF118" w:rsidR="568A650E" w:rsidRPr="00BC08DF" w:rsidRDefault="12BEA3EA" w:rsidP="00BC08DF">
      <w:r w:rsidRPr="568A650E">
        <w:rPr>
          <w:rFonts w:ascii="Aptos" w:eastAsia="Aptos" w:hAnsi="Aptos" w:cs="Aptos"/>
          <w:sz w:val="32"/>
          <w:szCs w:val="32"/>
        </w:rPr>
        <w:t xml:space="preserve"> </w:t>
      </w:r>
    </w:p>
    <w:p w14:paraId="336AC24A" w14:textId="77777777" w:rsidR="68EB0493" w:rsidRDefault="68EB0493" w:rsidP="568A650E">
      <w:pPr>
        <w:pStyle w:val="Heading1"/>
        <w:rPr>
          <w:rFonts w:ascii="Aptos" w:eastAsia="Aptos" w:hAnsi="Aptos" w:cs="Aptos"/>
          <w:b/>
          <w:bCs/>
          <w:color w:val="215E99" w:themeColor="text2" w:themeTint="BF"/>
          <w:sz w:val="32"/>
          <w:szCs w:val="32"/>
        </w:rPr>
      </w:pPr>
      <w:r w:rsidRPr="75DD5314">
        <w:rPr>
          <w:rFonts w:ascii="Aptos" w:eastAsia="Aptos" w:hAnsi="Aptos" w:cs="Aptos"/>
          <w:b/>
          <w:bCs/>
          <w:color w:val="215E99" w:themeColor="text2" w:themeTint="BF"/>
          <w:sz w:val="32"/>
          <w:szCs w:val="32"/>
        </w:rPr>
        <w:t>5.</w:t>
      </w:r>
      <w:r w:rsidR="12BEA3EA" w:rsidRPr="75DD5314">
        <w:rPr>
          <w:rFonts w:ascii="Aptos" w:eastAsia="Aptos" w:hAnsi="Aptos" w:cs="Aptos"/>
          <w:b/>
          <w:bCs/>
          <w:color w:val="215E99" w:themeColor="text2" w:themeTint="BF"/>
          <w:sz w:val="32"/>
          <w:szCs w:val="32"/>
        </w:rPr>
        <w:t>Reflection, Challenges, and Personal Development</w:t>
      </w:r>
    </w:p>
    <w:p w14:paraId="21AC5FB6" w14:textId="3F1AD609" w:rsidR="0E3FB5BF" w:rsidRDefault="0E3FB5BF" w:rsidP="568A650E">
      <w:pPr>
        <w:spacing w:before="360" w:after="0" w:line="240" w:lineRule="auto"/>
        <w:rPr>
          <w:rFonts w:ascii="Aptos" w:eastAsia="Aptos" w:hAnsi="Aptos" w:cs="Aptos"/>
          <w:sz w:val="32"/>
          <w:szCs w:val="32"/>
        </w:rPr>
      </w:pPr>
      <w:r>
        <w:rPr>
          <w:noProof/>
        </w:rPr>
        <w:drawing>
          <wp:inline distT="0" distB="0" distL="0" distR="0" wp14:anchorId="1E98B87B" wp14:editId="63E9F763">
            <wp:extent cx="5724525" cy="3000375"/>
            <wp:effectExtent l="0" t="0" r="0" b="0"/>
            <wp:docPr id="262037807" name="drawing" descr="A Principal's Reflections: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37807" name="Picture 262037807"/>
                    <pic:cNvPicPr/>
                  </pic:nvPicPr>
                  <pic:blipFill>
                    <a:blip r:embed="rId11">
                      <a:extLst>
                        <a:ext uri="{28A0092B-C50C-407E-A947-70E740481C1C}">
                          <a14:useLocalDpi xmlns:a14="http://schemas.microsoft.com/office/drawing/2010/main"/>
                        </a:ext>
                      </a:extLst>
                    </a:blip>
                    <a:stretch>
                      <a:fillRect/>
                    </a:stretch>
                  </pic:blipFill>
                  <pic:spPr>
                    <a:xfrm>
                      <a:off x="0" y="0"/>
                      <a:ext cx="5724525" cy="3000375"/>
                    </a:xfrm>
                    <a:prstGeom prst="rect">
                      <a:avLst/>
                    </a:prstGeom>
                  </pic:spPr>
                </pic:pic>
              </a:graphicData>
            </a:graphic>
          </wp:inline>
        </w:drawing>
      </w:r>
      <w:r w:rsidR="12BEA3EA" w:rsidRPr="568A650E">
        <w:rPr>
          <w:rFonts w:ascii="Aptos" w:eastAsia="Aptos" w:hAnsi="Aptos" w:cs="Aptos"/>
          <w:sz w:val="32"/>
          <w:szCs w:val="32"/>
        </w:rPr>
        <w:t xml:space="preserve"> </w:t>
      </w:r>
    </w:p>
    <w:p w14:paraId="6CE07FE3" w14:textId="77777777" w:rsidR="568A650E" w:rsidRDefault="568A650E" w:rsidP="568A650E">
      <w:pPr>
        <w:rPr>
          <w:rFonts w:ascii="Aptos" w:eastAsia="Aptos" w:hAnsi="Aptos" w:cs="Aptos"/>
          <w:sz w:val="32"/>
          <w:szCs w:val="32"/>
        </w:rPr>
      </w:pPr>
    </w:p>
    <w:p w14:paraId="7B971F32" w14:textId="77777777" w:rsidR="12BEA3EA" w:rsidRDefault="12BEA3EA">
      <w:r w:rsidRPr="568A650E">
        <w:rPr>
          <w:rFonts w:ascii="Aptos" w:eastAsia="Aptos" w:hAnsi="Aptos" w:cs="Aptos"/>
          <w:sz w:val="32"/>
          <w:szCs w:val="32"/>
        </w:rPr>
        <w:t xml:space="preserve">Reflecting on the Attend-X project, several aspects went well. The team developed a clear project concept, established realistic objectives, identified key stakeholders, and produced structured planning documentation. Collaboration also improved over time as responsibilities became more clearly defined, allowing the team to work more efficiently in later stages. On a personal level, my contributions to documentation and research were consistent and well-received within the team.  However, there were also clear difficulties. One of the most significant challenges the group </w:t>
      </w:r>
      <w:r w:rsidRPr="568A650E">
        <w:rPr>
          <w:rFonts w:ascii="Aptos" w:eastAsia="Aptos" w:hAnsi="Aptos" w:cs="Aptos"/>
          <w:sz w:val="32"/>
          <w:szCs w:val="32"/>
        </w:rPr>
        <w:lastRenderedPageBreak/>
        <w:t>faced was ensuring that the QR code interaction worked reliably in practice. During testing, we encountered issues with students being unable to scan the code consistently, which raised questions about whether the technical solution was as straightforward as initially assumed. This highlighted an important gap between designing a system on paper and testing it in a realistic environment. From a risk management perspective, this was a challenge that could have been anticipated earlier through more thorough feasibility testing, which aligns with Hillson’s (2017) view that risk management should be a continuous rather than a one-time process.</w:t>
      </w:r>
    </w:p>
    <w:p w14:paraId="6F94CB8E" w14:textId="77777777" w:rsidR="12BEA3EA" w:rsidRDefault="12BEA3EA">
      <w:r w:rsidRPr="568A650E">
        <w:rPr>
          <w:rFonts w:ascii="Aptos" w:eastAsia="Aptos" w:hAnsi="Aptos" w:cs="Aptos"/>
          <w:sz w:val="32"/>
          <w:szCs w:val="32"/>
        </w:rPr>
        <w:t xml:space="preserve"> </w:t>
      </w:r>
    </w:p>
    <w:p w14:paraId="3A51F34F" w14:textId="77777777" w:rsidR="12BEA3EA" w:rsidRDefault="12BEA3EA">
      <w:r w:rsidRPr="568A650E">
        <w:rPr>
          <w:rFonts w:ascii="Aptos" w:eastAsia="Aptos" w:hAnsi="Aptos" w:cs="Aptos"/>
          <w:sz w:val="32"/>
          <w:szCs w:val="32"/>
        </w:rPr>
        <w:t>On a personal level, one of the most significant challenges I faced was during the final presentation. I found it difficult to communicate ideas confidently in front of an audience, and I was aware that my delivery did not fully reflect the quality of the work I had contributed. This is a known area of weakness for me, and while I recognise that presentation skills develop with practice, I understand that effective communication is a core professional competency that I need to actively work on. One specific instance during the stakeholder analysis phase also illustrated a team-level risk: a communication delay between members led to duplicated research being submitted, requiring last-minute reorganisation before a deadline. These experiences, though difficult, were genuinely instructive.</w:t>
      </w:r>
    </w:p>
    <w:p w14:paraId="74EFE6C0" w14:textId="77777777" w:rsidR="12BEA3EA" w:rsidRDefault="12BEA3EA">
      <w:r w:rsidRPr="568A650E">
        <w:rPr>
          <w:rFonts w:ascii="Aptos" w:eastAsia="Aptos" w:hAnsi="Aptos" w:cs="Aptos"/>
          <w:sz w:val="32"/>
          <w:szCs w:val="32"/>
        </w:rPr>
        <w:t xml:space="preserve"> </w:t>
      </w:r>
    </w:p>
    <w:p w14:paraId="327457C6" w14:textId="77777777" w:rsidR="12BEA3EA" w:rsidRDefault="12BEA3EA">
      <w:r w:rsidRPr="568A650E">
        <w:rPr>
          <w:rFonts w:ascii="Aptos" w:eastAsia="Aptos" w:hAnsi="Aptos" w:cs="Aptos"/>
          <w:sz w:val="32"/>
          <w:szCs w:val="32"/>
        </w:rPr>
        <w:t xml:space="preserve">Evaluating my own strengths and weaknesses, my strongest contribution was in organisation and written documentation, most visible when I helped restructure the WBS after the team’s </w:t>
      </w:r>
      <w:r w:rsidRPr="568A650E">
        <w:rPr>
          <w:rFonts w:ascii="Aptos" w:eastAsia="Aptos" w:hAnsi="Aptos" w:cs="Aptos"/>
          <w:sz w:val="32"/>
          <w:szCs w:val="32"/>
        </w:rPr>
        <w:lastRenderedPageBreak/>
        <w:t>initial draft lacked sufficient task granularity. It is also worth noting that the time management and task distribution challenges we faced earlier in the project were genuinely resolved once we properly applied the WBS and Gantt chart. These were not just tools we mentioned in a report, they actively changed how the team worked. After using them, everyone knew their responsibilities and deadlines, and the overlap and confusion that had caused friction earlier largely disappeared. This was a real outcome, not just a theoretical benefit. However, one weakness that remained throughout and was not resolved by any tool was my confidence in verbal presentations. I found it difficult to communicate ideas clearly in front of an audience during the final presentation, and I was aware my delivery did not reflect the quality of the work behind it. This is something I need to actively develop, as it cannot be fixed by planning tools alone. I also tended to hold back concerns in group discussions rather than raising them directly, which on a couple of occasions contributed to issues that could have been addressed earlier.</w:t>
      </w:r>
    </w:p>
    <w:p w14:paraId="345822DE" w14:textId="77777777" w:rsidR="12BEA3EA" w:rsidRDefault="12BEA3EA">
      <w:r w:rsidRPr="568A650E">
        <w:rPr>
          <w:rFonts w:ascii="Aptos" w:eastAsia="Aptos" w:hAnsi="Aptos" w:cs="Aptos"/>
          <w:sz w:val="32"/>
          <w:szCs w:val="32"/>
        </w:rPr>
        <w:t xml:space="preserve"> </w:t>
      </w:r>
    </w:p>
    <w:p w14:paraId="343E739E" w14:textId="6521B741" w:rsidR="12BEA3EA" w:rsidRDefault="12BEA3EA">
      <w:r w:rsidRPr="568A650E">
        <w:rPr>
          <w:rFonts w:ascii="Aptos" w:eastAsia="Aptos" w:hAnsi="Aptos" w:cs="Aptos"/>
          <w:sz w:val="32"/>
          <w:szCs w:val="32"/>
        </w:rPr>
        <w:t xml:space="preserve">To support my development, the following self-development plan outlines three focused areas: First, to improve presentation confidence, I will seek opportunities to present in low-stakes settings, such as volunteering to lead a section in group </w:t>
      </w:r>
      <w:r w:rsidR="00ED13EA" w:rsidRPr="568A650E">
        <w:rPr>
          <w:rFonts w:ascii="Aptos" w:eastAsia="Aptos" w:hAnsi="Aptos" w:cs="Aptos"/>
          <w:sz w:val="32"/>
          <w:szCs w:val="32"/>
        </w:rPr>
        <w:t>meetings and</w:t>
      </w:r>
      <w:r w:rsidRPr="568A650E">
        <w:rPr>
          <w:rFonts w:ascii="Aptos" w:eastAsia="Aptos" w:hAnsi="Aptos" w:cs="Aptos"/>
          <w:sz w:val="32"/>
          <w:szCs w:val="32"/>
        </w:rPr>
        <w:t xml:space="preserve"> will practise structuring spoken explanations before formal presentations. Second, to manage time more effectively under pressure, I will use time-blocking when juggling multiple academic deadlines, having found during this project that unstructured time led to last-minute task compression. Third, to become a more proactive team member, I will prepare talking points before group meetings rather than contributing only </w:t>
      </w:r>
      <w:r w:rsidR="00ED13EA" w:rsidRPr="568A650E">
        <w:rPr>
          <w:rFonts w:ascii="Aptos" w:eastAsia="Aptos" w:hAnsi="Aptos" w:cs="Aptos"/>
          <w:sz w:val="32"/>
          <w:szCs w:val="32"/>
        </w:rPr>
        <w:lastRenderedPageBreak/>
        <w:t>reactively and</w:t>
      </w:r>
      <w:r w:rsidRPr="568A650E">
        <w:rPr>
          <w:rFonts w:ascii="Aptos" w:eastAsia="Aptos" w:hAnsi="Aptos" w:cs="Aptos"/>
          <w:sz w:val="32"/>
          <w:szCs w:val="32"/>
        </w:rPr>
        <w:t xml:space="preserve"> will raise concerns earlier rather than waiting for problems to escalate. These are not abstract intentions; each one is a direct response to something specific that did not go as well as it should have during the Attend-X project.</w:t>
      </w:r>
    </w:p>
    <w:p w14:paraId="5AE64D7D" w14:textId="77777777" w:rsidR="12BEA3EA" w:rsidRDefault="12BEA3EA">
      <w:r w:rsidRPr="568A650E">
        <w:rPr>
          <w:rFonts w:ascii="Aptos" w:eastAsia="Aptos" w:hAnsi="Aptos" w:cs="Aptos"/>
          <w:sz w:val="32"/>
          <w:szCs w:val="32"/>
        </w:rPr>
        <w:t xml:space="preserve"> </w:t>
      </w:r>
    </w:p>
    <w:p w14:paraId="50378D20" w14:textId="6CAB56B5" w:rsidR="12BEA3EA" w:rsidRDefault="12BEA3EA" w:rsidP="568A650E">
      <w:r w:rsidRPr="568A650E">
        <w:rPr>
          <w:rFonts w:ascii="Aptos" w:eastAsia="Aptos" w:hAnsi="Aptos" w:cs="Aptos"/>
          <w:sz w:val="32"/>
          <w:szCs w:val="32"/>
        </w:rPr>
        <w:t xml:space="preserve">Overall, the Attend-X project moved beyond theoretical understanding of project management and made its frameworks genuinely practical. The difficulties encountered, particularly around QR code reliability, presentation delivery, and internal team communication, were as instructive as the successes. Engaging with tools such as the WBS, Gantt chart, and stakeholder analysis within a real team environment gave those concepts a relevance that coursework alone cannot </w:t>
      </w:r>
      <w:r w:rsidR="00ED13EA" w:rsidRPr="568A650E">
        <w:rPr>
          <w:rFonts w:ascii="Aptos" w:eastAsia="Aptos" w:hAnsi="Aptos" w:cs="Aptos"/>
          <w:sz w:val="32"/>
          <w:szCs w:val="32"/>
        </w:rPr>
        <w:t>replicate and</w:t>
      </w:r>
      <w:r w:rsidRPr="568A650E">
        <w:rPr>
          <w:rFonts w:ascii="Aptos" w:eastAsia="Aptos" w:hAnsi="Aptos" w:cs="Aptos"/>
          <w:sz w:val="32"/>
          <w:szCs w:val="32"/>
        </w:rPr>
        <w:t xml:space="preserve"> has left me with a clearer sense of both my strengths and the specific areas I need to develop.</w:t>
      </w:r>
    </w:p>
    <w:p w14:paraId="7E2DE0DC" w14:textId="77777777" w:rsidR="568A650E" w:rsidRDefault="568A650E" w:rsidP="568A650E">
      <w:pPr>
        <w:rPr>
          <w:rFonts w:ascii="Aptos" w:eastAsia="Aptos" w:hAnsi="Aptos" w:cs="Aptos"/>
          <w:sz w:val="32"/>
          <w:szCs w:val="32"/>
        </w:rPr>
      </w:pPr>
    </w:p>
    <w:p w14:paraId="411848C4" w14:textId="77777777" w:rsidR="75DD5314" w:rsidRDefault="75DD5314" w:rsidP="75DD5314">
      <w:pPr>
        <w:rPr>
          <w:rFonts w:ascii="Aptos" w:eastAsia="Aptos" w:hAnsi="Aptos" w:cs="Aptos"/>
          <w:b/>
          <w:bCs/>
          <w:color w:val="215E99" w:themeColor="text2" w:themeTint="BF"/>
          <w:sz w:val="32"/>
          <w:szCs w:val="32"/>
        </w:rPr>
      </w:pPr>
    </w:p>
    <w:p w14:paraId="1270DE9D" w14:textId="77777777" w:rsidR="00BC08DF" w:rsidRDefault="00BC08DF" w:rsidP="75DD5314">
      <w:pPr>
        <w:rPr>
          <w:rFonts w:ascii="Aptos" w:eastAsia="Aptos" w:hAnsi="Aptos" w:cs="Aptos"/>
          <w:b/>
          <w:bCs/>
          <w:color w:val="215E99" w:themeColor="text2" w:themeTint="BF"/>
          <w:sz w:val="32"/>
          <w:szCs w:val="32"/>
        </w:rPr>
      </w:pPr>
    </w:p>
    <w:p w14:paraId="4780FDBD" w14:textId="77777777" w:rsidR="00BC08DF" w:rsidRDefault="00BC08DF" w:rsidP="75DD5314">
      <w:pPr>
        <w:rPr>
          <w:rFonts w:ascii="Aptos" w:eastAsia="Aptos" w:hAnsi="Aptos" w:cs="Aptos"/>
          <w:b/>
          <w:bCs/>
          <w:color w:val="215E99" w:themeColor="text2" w:themeTint="BF"/>
          <w:sz w:val="32"/>
          <w:szCs w:val="32"/>
        </w:rPr>
      </w:pPr>
    </w:p>
    <w:p w14:paraId="35E395BC" w14:textId="77777777" w:rsidR="00BC08DF" w:rsidRDefault="00BC08DF" w:rsidP="75DD5314">
      <w:pPr>
        <w:rPr>
          <w:rFonts w:ascii="Aptos" w:eastAsia="Aptos" w:hAnsi="Aptos" w:cs="Aptos"/>
          <w:b/>
          <w:bCs/>
          <w:color w:val="215E99" w:themeColor="text2" w:themeTint="BF"/>
          <w:sz w:val="32"/>
          <w:szCs w:val="32"/>
        </w:rPr>
      </w:pPr>
    </w:p>
    <w:p w14:paraId="0FF2D6DD" w14:textId="77777777" w:rsidR="00BC08DF" w:rsidRDefault="00BC08DF" w:rsidP="75DD5314">
      <w:pPr>
        <w:rPr>
          <w:rFonts w:ascii="Aptos" w:eastAsia="Aptos" w:hAnsi="Aptos" w:cs="Aptos"/>
          <w:b/>
          <w:bCs/>
          <w:color w:val="215E99" w:themeColor="text2" w:themeTint="BF"/>
          <w:sz w:val="32"/>
          <w:szCs w:val="32"/>
        </w:rPr>
      </w:pPr>
    </w:p>
    <w:p w14:paraId="40D02E40" w14:textId="77777777" w:rsidR="00BC08DF" w:rsidRDefault="00BC08DF" w:rsidP="75DD5314">
      <w:pPr>
        <w:rPr>
          <w:rFonts w:ascii="Aptos" w:eastAsia="Aptos" w:hAnsi="Aptos" w:cs="Aptos"/>
          <w:b/>
          <w:bCs/>
          <w:color w:val="215E99" w:themeColor="text2" w:themeTint="BF"/>
          <w:sz w:val="32"/>
          <w:szCs w:val="32"/>
        </w:rPr>
      </w:pPr>
    </w:p>
    <w:p w14:paraId="30335A56" w14:textId="77777777" w:rsidR="00BC08DF" w:rsidRDefault="00BC08DF" w:rsidP="75DD5314">
      <w:pPr>
        <w:rPr>
          <w:rFonts w:ascii="Aptos" w:eastAsia="Aptos" w:hAnsi="Aptos" w:cs="Aptos"/>
          <w:b/>
          <w:bCs/>
          <w:color w:val="215E99" w:themeColor="text2" w:themeTint="BF"/>
          <w:sz w:val="32"/>
          <w:szCs w:val="32"/>
        </w:rPr>
      </w:pPr>
    </w:p>
    <w:p w14:paraId="2C16177E" w14:textId="77777777" w:rsidR="00BC08DF" w:rsidRDefault="00BC08DF" w:rsidP="75DD5314">
      <w:pPr>
        <w:rPr>
          <w:rFonts w:ascii="Aptos" w:eastAsia="Aptos" w:hAnsi="Aptos" w:cs="Aptos"/>
          <w:b/>
          <w:bCs/>
          <w:color w:val="215E99" w:themeColor="text2" w:themeTint="BF"/>
          <w:sz w:val="32"/>
          <w:szCs w:val="32"/>
        </w:rPr>
      </w:pPr>
    </w:p>
    <w:p w14:paraId="406FDA54" w14:textId="77777777" w:rsidR="00BC08DF" w:rsidRDefault="00BC08DF" w:rsidP="75DD5314">
      <w:pPr>
        <w:rPr>
          <w:rFonts w:ascii="Aptos" w:eastAsia="Aptos" w:hAnsi="Aptos" w:cs="Aptos"/>
          <w:b/>
          <w:bCs/>
          <w:color w:val="215E99" w:themeColor="text2" w:themeTint="BF"/>
          <w:sz w:val="32"/>
          <w:szCs w:val="32"/>
        </w:rPr>
      </w:pPr>
    </w:p>
    <w:p w14:paraId="0BB68EFE" w14:textId="77777777" w:rsidR="00BC08DF" w:rsidRDefault="00BC08DF" w:rsidP="75DD5314">
      <w:pPr>
        <w:rPr>
          <w:rFonts w:ascii="Aptos" w:eastAsia="Aptos" w:hAnsi="Aptos" w:cs="Aptos"/>
          <w:b/>
          <w:bCs/>
          <w:color w:val="215E99" w:themeColor="text2" w:themeTint="BF"/>
          <w:sz w:val="32"/>
          <w:szCs w:val="32"/>
        </w:rPr>
      </w:pPr>
    </w:p>
    <w:p w14:paraId="5BAC4FF5" w14:textId="77777777" w:rsidR="344588C9" w:rsidRDefault="344588C9" w:rsidP="568A650E">
      <w:pPr>
        <w:rPr>
          <w:rFonts w:ascii="Aptos" w:eastAsia="Aptos" w:hAnsi="Aptos" w:cs="Aptos"/>
          <w:b/>
          <w:bCs/>
          <w:color w:val="215E99" w:themeColor="text2" w:themeTint="BF"/>
          <w:sz w:val="32"/>
          <w:szCs w:val="32"/>
        </w:rPr>
      </w:pPr>
      <w:r w:rsidRPr="75DD5314">
        <w:rPr>
          <w:rFonts w:ascii="Aptos" w:eastAsia="Aptos" w:hAnsi="Aptos" w:cs="Aptos"/>
          <w:b/>
          <w:bCs/>
          <w:color w:val="215E99" w:themeColor="text2" w:themeTint="BF"/>
          <w:sz w:val="32"/>
          <w:szCs w:val="32"/>
        </w:rPr>
        <w:lastRenderedPageBreak/>
        <w:t>References:</w:t>
      </w:r>
    </w:p>
    <w:p w14:paraId="7C845227" w14:textId="77777777" w:rsidR="6679BF28" w:rsidRPr="00BC08DF" w:rsidRDefault="6679BF28">
      <w:pPr>
        <w:rPr>
          <w:sz w:val="22"/>
          <w:szCs w:val="22"/>
        </w:rPr>
      </w:pPr>
      <w:r w:rsidRPr="00BC08DF">
        <w:rPr>
          <w:rFonts w:ascii="Aptos" w:eastAsia="Aptos" w:hAnsi="Aptos" w:cs="Aptos"/>
          <w:sz w:val="28"/>
          <w:szCs w:val="28"/>
        </w:rPr>
        <w:t xml:space="preserve">Freeman, R. E. (2010). </w:t>
      </w:r>
      <w:r w:rsidRPr="00BC08DF">
        <w:rPr>
          <w:rFonts w:ascii="Aptos" w:eastAsia="Aptos" w:hAnsi="Aptos" w:cs="Aptos"/>
          <w:i/>
          <w:iCs/>
          <w:sz w:val="28"/>
          <w:szCs w:val="28"/>
        </w:rPr>
        <w:t>Strategic management: A stakeholder approach.</w:t>
      </w:r>
      <w:r w:rsidRPr="00BC08DF">
        <w:rPr>
          <w:rFonts w:ascii="Aptos" w:eastAsia="Aptos" w:hAnsi="Aptos" w:cs="Aptos"/>
          <w:sz w:val="28"/>
          <w:szCs w:val="28"/>
        </w:rPr>
        <w:t xml:space="preserve"> Cambridge University Press. https://doi.org/10.1017/CBO9781139192675</w:t>
      </w:r>
    </w:p>
    <w:p w14:paraId="7B508E70" w14:textId="77777777" w:rsidR="6679BF28" w:rsidRPr="00BC08DF" w:rsidRDefault="6679BF28">
      <w:pPr>
        <w:rPr>
          <w:sz w:val="22"/>
          <w:szCs w:val="22"/>
        </w:rPr>
      </w:pPr>
      <w:r w:rsidRPr="00BC08DF">
        <w:rPr>
          <w:rFonts w:ascii="Aptos" w:eastAsia="Aptos" w:hAnsi="Aptos" w:cs="Aptos"/>
          <w:color w:val="0563C1"/>
          <w:u w:val="single"/>
        </w:rPr>
        <w:t>https://www.cambridge.org/core/books/strategic-management/E3CC2E2CE01497062D7603B7A8B9337F</w:t>
      </w:r>
    </w:p>
    <w:p w14:paraId="5C754AA8" w14:textId="77777777" w:rsidR="6679BF28" w:rsidRPr="00BC08DF" w:rsidRDefault="6679BF28">
      <w:pPr>
        <w:rPr>
          <w:sz w:val="22"/>
          <w:szCs w:val="22"/>
        </w:rPr>
      </w:pPr>
      <w:r w:rsidRPr="00BC08DF">
        <w:rPr>
          <w:rFonts w:ascii="Aptos" w:eastAsia="Aptos" w:hAnsi="Aptos" w:cs="Aptos"/>
          <w:sz w:val="28"/>
          <w:szCs w:val="28"/>
        </w:rPr>
        <w:t xml:space="preserve"> </w:t>
      </w:r>
    </w:p>
    <w:p w14:paraId="1ABE057F" w14:textId="77777777" w:rsidR="6679BF28" w:rsidRPr="00BC08DF" w:rsidRDefault="6679BF28">
      <w:pPr>
        <w:rPr>
          <w:sz w:val="22"/>
          <w:szCs w:val="22"/>
        </w:rPr>
      </w:pPr>
      <w:r w:rsidRPr="00BC08DF">
        <w:rPr>
          <w:rFonts w:ascii="Aptos" w:eastAsia="Aptos" w:hAnsi="Aptos" w:cs="Aptos"/>
          <w:sz w:val="28"/>
          <w:szCs w:val="28"/>
        </w:rPr>
        <w:t xml:space="preserve">Hillson, D., &amp; Simon, P. (2020). </w:t>
      </w:r>
      <w:r w:rsidRPr="00BC08DF">
        <w:rPr>
          <w:rFonts w:ascii="Aptos" w:eastAsia="Aptos" w:hAnsi="Aptos" w:cs="Aptos"/>
          <w:i/>
          <w:iCs/>
          <w:sz w:val="28"/>
          <w:szCs w:val="28"/>
        </w:rPr>
        <w:t>Practical project risk management: The ATOM methodology</w:t>
      </w:r>
      <w:r w:rsidRPr="00BC08DF">
        <w:rPr>
          <w:rFonts w:ascii="Aptos" w:eastAsia="Aptos" w:hAnsi="Aptos" w:cs="Aptos"/>
          <w:sz w:val="28"/>
          <w:szCs w:val="28"/>
        </w:rPr>
        <w:t xml:space="preserve"> (3rd ed.). Berrett-Koehler Publishers.</w:t>
      </w:r>
    </w:p>
    <w:p w14:paraId="06E59349" w14:textId="77777777" w:rsidR="6679BF28" w:rsidRPr="00BC08DF" w:rsidRDefault="6679BF28">
      <w:pPr>
        <w:rPr>
          <w:sz w:val="22"/>
          <w:szCs w:val="22"/>
        </w:rPr>
      </w:pPr>
      <w:r w:rsidRPr="00BC08DF">
        <w:rPr>
          <w:rFonts w:ascii="Aptos" w:eastAsia="Aptos" w:hAnsi="Aptos" w:cs="Aptos"/>
          <w:color w:val="0563C1"/>
          <w:u w:val="single"/>
        </w:rPr>
        <w:t>https://www.amazon.com/Practical-Project-Risk-Management-Third/dp/1523089202</w:t>
      </w:r>
    </w:p>
    <w:p w14:paraId="30500933" w14:textId="77777777" w:rsidR="6679BF28" w:rsidRPr="00BC08DF" w:rsidRDefault="6679BF28">
      <w:pPr>
        <w:rPr>
          <w:sz w:val="22"/>
          <w:szCs w:val="22"/>
        </w:rPr>
      </w:pPr>
      <w:r w:rsidRPr="00BC08DF">
        <w:rPr>
          <w:rFonts w:ascii="Aptos" w:eastAsia="Aptos" w:hAnsi="Aptos" w:cs="Aptos"/>
          <w:sz w:val="28"/>
          <w:szCs w:val="28"/>
        </w:rPr>
        <w:t xml:space="preserve"> </w:t>
      </w:r>
    </w:p>
    <w:p w14:paraId="097DAD6B" w14:textId="77777777" w:rsidR="6679BF28" w:rsidRPr="00BC08DF" w:rsidRDefault="6679BF28">
      <w:pPr>
        <w:rPr>
          <w:sz w:val="22"/>
          <w:szCs w:val="22"/>
        </w:rPr>
      </w:pPr>
      <w:r w:rsidRPr="00BC08DF">
        <w:rPr>
          <w:rFonts w:ascii="Aptos" w:eastAsia="Aptos" w:hAnsi="Aptos" w:cs="Aptos"/>
          <w:sz w:val="28"/>
          <w:szCs w:val="28"/>
        </w:rPr>
        <w:t xml:space="preserve">Kerzner, H. (2022). </w:t>
      </w:r>
      <w:r w:rsidRPr="00BC08DF">
        <w:rPr>
          <w:rFonts w:ascii="Aptos" w:eastAsia="Aptos" w:hAnsi="Aptos" w:cs="Aptos"/>
          <w:i/>
          <w:iCs/>
          <w:sz w:val="28"/>
          <w:szCs w:val="28"/>
        </w:rPr>
        <w:t>Project management: A systems approach to planning, scheduling, and controlling</w:t>
      </w:r>
      <w:r w:rsidRPr="00BC08DF">
        <w:rPr>
          <w:rFonts w:ascii="Aptos" w:eastAsia="Aptos" w:hAnsi="Aptos" w:cs="Aptos"/>
          <w:sz w:val="28"/>
          <w:szCs w:val="28"/>
        </w:rPr>
        <w:t xml:space="preserve"> (13th ed.). Wiley.</w:t>
      </w:r>
    </w:p>
    <w:p w14:paraId="357284B7" w14:textId="77777777" w:rsidR="6679BF28" w:rsidRPr="00BC08DF" w:rsidRDefault="6679BF28">
      <w:pPr>
        <w:rPr>
          <w:sz w:val="22"/>
          <w:szCs w:val="22"/>
        </w:rPr>
      </w:pPr>
      <w:r w:rsidRPr="00BC08DF">
        <w:rPr>
          <w:rFonts w:ascii="Aptos" w:eastAsia="Aptos" w:hAnsi="Aptos" w:cs="Aptos"/>
          <w:color w:val="0563C1"/>
          <w:u w:val="single"/>
        </w:rPr>
        <w:t>https://books.wiley.com/titles/9781119805373/</w:t>
      </w:r>
    </w:p>
    <w:p w14:paraId="055A25B8" w14:textId="77777777" w:rsidR="6679BF28" w:rsidRPr="00BC08DF" w:rsidRDefault="6679BF28">
      <w:pPr>
        <w:rPr>
          <w:sz w:val="22"/>
          <w:szCs w:val="22"/>
        </w:rPr>
      </w:pPr>
      <w:r w:rsidRPr="00BC08DF">
        <w:rPr>
          <w:rFonts w:ascii="Aptos" w:eastAsia="Aptos" w:hAnsi="Aptos" w:cs="Aptos"/>
          <w:sz w:val="28"/>
          <w:szCs w:val="28"/>
        </w:rPr>
        <w:t xml:space="preserve"> </w:t>
      </w:r>
    </w:p>
    <w:p w14:paraId="6E65B106" w14:textId="77777777" w:rsidR="6679BF28" w:rsidRPr="00BC08DF" w:rsidRDefault="6679BF28">
      <w:pPr>
        <w:rPr>
          <w:sz w:val="22"/>
          <w:szCs w:val="22"/>
        </w:rPr>
      </w:pPr>
      <w:r w:rsidRPr="00BC08DF">
        <w:rPr>
          <w:rFonts w:ascii="Aptos" w:eastAsia="Aptos" w:hAnsi="Aptos" w:cs="Aptos"/>
          <w:sz w:val="28"/>
          <w:szCs w:val="28"/>
        </w:rPr>
        <w:t xml:space="preserve">Lock, D. (2020). </w:t>
      </w:r>
      <w:r w:rsidRPr="00BC08DF">
        <w:rPr>
          <w:rFonts w:ascii="Aptos" w:eastAsia="Aptos" w:hAnsi="Aptos" w:cs="Aptos"/>
          <w:i/>
          <w:iCs/>
          <w:sz w:val="28"/>
          <w:szCs w:val="28"/>
        </w:rPr>
        <w:t>Project management</w:t>
      </w:r>
      <w:r w:rsidRPr="00BC08DF">
        <w:rPr>
          <w:rFonts w:ascii="Aptos" w:eastAsia="Aptos" w:hAnsi="Aptos" w:cs="Aptos"/>
          <w:sz w:val="28"/>
          <w:szCs w:val="28"/>
        </w:rPr>
        <w:t xml:space="preserve"> (10th ed.). Routledge. https://doi.org/10.4324/9781315245911</w:t>
      </w:r>
    </w:p>
    <w:p w14:paraId="4E452153" w14:textId="77777777" w:rsidR="6679BF28" w:rsidRPr="00BC08DF" w:rsidRDefault="6679BF28">
      <w:pPr>
        <w:rPr>
          <w:sz w:val="22"/>
          <w:szCs w:val="22"/>
        </w:rPr>
      </w:pPr>
      <w:r w:rsidRPr="00BC08DF">
        <w:rPr>
          <w:rFonts w:ascii="Aptos" w:eastAsia="Aptos" w:hAnsi="Aptos" w:cs="Aptos"/>
          <w:color w:val="0563C1"/>
          <w:u w:val="single"/>
        </w:rPr>
        <w:t>https://www.taylorfrancis.com/books/mono/10.4324/9781315245911/project-management-dennis-lock-dennis-lock</w:t>
      </w:r>
    </w:p>
    <w:p w14:paraId="4D1C4797" w14:textId="77777777" w:rsidR="6679BF28" w:rsidRPr="00BC08DF" w:rsidRDefault="6679BF28">
      <w:pPr>
        <w:rPr>
          <w:sz w:val="22"/>
          <w:szCs w:val="22"/>
        </w:rPr>
      </w:pPr>
      <w:r w:rsidRPr="00BC08DF">
        <w:rPr>
          <w:rFonts w:ascii="Aptos" w:eastAsia="Aptos" w:hAnsi="Aptos" w:cs="Aptos"/>
          <w:sz w:val="28"/>
          <w:szCs w:val="28"/>
        </w:rPr>
        <w:t xml:space="preserve"> </w:t>
      </w:r>
    </w:p>
    <w:p w14:paraId="50F34EE9" w14:textId="77777777" w:rsidR="6679BF28" w:rsidRPr="00BC08DF" w:rsidRDefault="6679BF28">
      <w:pPr>
        <w:rPr>
          <w:sz w:val="22"/>
          <w:szCs w:val="22"/>
        </w:rPr>
      </w:pPr>
      <w:r w:rsidRPr="00BC08DF">
        <w:rPr>
          <w:rFonts w:ascii="Aptos" w:eastAsia="Aptos" w:hAnsi="Aptos" w:cs="Aptos"/>
          <w:sz w:val="28"/>
          <w:szCs w:val="28"/>
        </w:rPr>
        <w:t xml:space="preserve">Project Management Institute. (2021). </w:t>
      </w:r>
      <w:r w:rsidRPr="00BC08DF">
        <w:rPr>
          <w:rFonts w:ascii="Aptos" w:eastAsia="Aptos" w:hAnsi="Aptos" w:cs="Aptos"/>
          <w:i/>
          <w:iCs/>
          <w:sz w:val="28"/>
          <w:szCs w:val="28"/>
        </w:rPr>
        <w:t>A guide to the project management body of knowledge (PMBOK® guide)</w:t>
      </w:r>
      <w:r w:rsidRPr="00BC08DF">
        <w:rPr>
          <w:rFonts w:ascii="Aptos" w:eastAsia="Aptos" w:hAnsi="Aptos" w:cs="Aptos"/>
          <w:sz w:val="28"/>
          <w:szCs w:val="28"/>
        </w:rPr>
        <w:t xml:space="preserve"> (7th ed.). Project Management Institute.</w:t>
      </w:r>
    </w:p>
    <w:p w14:paraId="21271F6E" w14:textId="77777777" w:rsidR="6679BF28" w:rsidRPr="00BC08DF" w:rsidRDefault="6679BF28">
      <w:pPr>
        <w:rPr>
          <w:sz w:val="22"/>
          <w:szCs w:val="22"/>
        </w:rPr>
      </w:pPr>
      <w:r w:rsidRPr="00BC08DF">
        <w:rPr>
          <w:rFonts w:ascii="Aptos" w:eastAsia="Aptos" w:hAnsi="Aptos" w:cs="Aptos"/>
          <w:color w:val="0563C1"/>
          <w:u w:val="single"/>
        </w:rPr>
        <w:t>https://www.pmi.org/standards/pmbok</w:t>
      </w:r>
    </w:p>
    <w:p w14:paraId="74ED902E" w14:textId="77777777" w:rsidR="6679BF28" w:rsidRPr="00BC08DF" w:rsidRDefault="6679BF28">
      <w:pPr>
        <w:rPr>
          <w:sz w:val="22"/>
          <w:szCs w:val="22"/>
        </w:rPr>
      </w:pPr>
      <w:r w:rsidRPr="00BC08DF">
        <w:rPr>
          <w:rFonts w:ascii="Aptos" w:eastAsia="Aptos" w:hAnsi="Aptos" w:cs="Aptos"/>
          <w:sz w:val="28"/>
          <w:szCs w:val="28"/>
        </w:rPr>
        <w:t xml:space="preserve"> </w:t>
      </w:r>
    </w:p>
    <w:p w14:paraId="58C13104" w14:textId="77777777" w:rsidR="6679BF28" w:rsidRPr="00BC08DF" w:rsidRDefault="6679BF28">
      <w:pPr>
        <w:rPr>
          <w:sz w:val="22"/>
          <w:szCs w:val="22"/>
        </w:rPr>
      </w:pPr>
      <w:r w:rsidRPr="00BC08DF">
        <w:rPr>
          <w:rFonts w:ascii="Aptos" w:eastAsia="Aptos" w:hAnsi="Aptos" w:cs="Aptos"/>
          <w:sz w:val="28"/>
          <w:szCs w:val="28"/>
        </w:rPr>
        <w:t xml:space="preserve">Tuckman, B. W. (1965). Developmental sequence in small groups. </w:t>
      </w:r>
      <w:r w:rsidRPr="00BC08DF">
        <w:rPr>
          <w:rFonts w:ascii="Aptos" w:eastAsia="Aptos" w:hAnsi="Aptos" w:cs="Aptos"/>
          <w:i/>
          <w:iCs/>
          <w:sz w:val="28"/>
          <w:szCs w:val="28"/>
        </w:rPr>
        <w:t>Psychological Bulletin, 63</w:t>
      </w:r>
      <w:r w:rsidRPr="00BC08DF">
        <w:rPr>
          <w:rFonts w:ascii="Aptos" w:eastAsia="Aptos" w:hAnsi="Aptos" w:cs="Aptos"/>
          <w:sz w:val="28"/>
          <w:szCs w:val="28"/>
        </w:rPr>
        <w:t>(6), 384–399. https://doi.org/10.1037/h0022100</w:t>
      </w:r>
    </w:p>
    <w:p w14:paraId="06824D7C" w14:textId="77777777" w:rsidR="6679BF28" w:rsidRPr="00BC08DF" w:rsidRDefault="6679BF28">
      <w:pPr>
        <w:rPr>
          <w:sz w:val="22"/>
          <w:szCs w:val="22"/>
        </w:rPr>
      </w:pPr>
      <w:r w:rsidRPr="00BC08DF">
        <w:rPr>
          <w:rFonts w:ascii="Aptos" w:eastAsia="Aptos" w:hAnsi="Aptos" w:cs="Aptos"/>
          <w:color w:val="0563C1"/>
          <w:u w:val="single"/>
        </w:rPr>
        <w:t>https://doi.org/10.1037/h0022100</w:t>
      </w:r>
    </w:p>
    <w:p w14:paraId="4FE33828" w14:textId="77777777" w:rsidR="6679BF28" w:rsidRPr="00BC08DF" w:rsidRDefault="6679BF28">
      <w:pPr>
        <w:rPr>
          <w:sz w:val="22"/>
          <w:szCs w:val="22"/>
        </w:rPr>
      </w:pPr>
      <w:r w:rsidRPr="00BC08DF">
        <w:rPr>
          <w:rFonts w:ascii="Aptos" w:eastAsia="Aptos" w:hAnsi="Aptos" w:cs="Aptos"/>
          <w:sz w:val="28"/>
          <w:szCs w:val="28"/>
        </w:rPr>
        <w:t xml:space="preserve"> </w:t>
      </w:r>
    </w:p>
    <w:sectPr w:rsidR="6679BF28" w:rsidRPr="00BC08DF">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52D75" w14:textId="77777777" w:rsidR="003840D5" w:rsidRDefault="003840D5">
      <w:pPr>
        <w:spacing w:after="0" w:line="240" w:lineRule="auto"/>
      </w:pPr>
      <w:r>
        <w:separator/>
      </w:r>
    </w:p>
  </w:endnote>
  <w:endnote w:type="continuationSeparator" w:id="0">
    <w:p w14:paraId="64DAB091" w14:textId="77777777" w:rsidR="003840D5" w:rsidRDefault="00384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554C77F0" w14:paraId="7551DB28" w14:textId="77777777" w:rsidTr="554C77F0">
      <w:trPr>
        <w:trHeight w:val="300"/>
      </w:trPr>
      <w:tc>
        <w:tcPr>
          <w:tcW w:w="3005" w:type="dxa"/>
        </w:tcPr>
        <w:p w14:paraId="7896B7D0" w14:textId="77777777" w:rsidR="554C77F0" w:rsidRDefault="554C77F0" w:rsidP="554C77F0">
          <w:pPr>
            <w:pStyle w:val="Header"/>
            <w:ind w:left="-115"/>
          </w:pPr>
        </w:p>
      </w:tc>
      <w:tc>
        <w:tcPr>
          <w:tcW w:w="3005" w:type="dxa"/>
        </w:tcPr>
        <w:p w14:paraId="49169754" w14:textId="77777777" w:rsidR="554C77F0" w:rsidRDefault="554C77F0" w:rsidP="554C77F0">
          <w:pPr>
            <w:pStyle w:val="Header"/>
            <w:jc w:val="center"/>
          </w:pPr>
        </w:p>
      </w:tc>
      <w:tc>
        <w:tcPr>
          <w:tcW w:w="3005" w:type="dxa"/>
        </w:tcPr>
        <w:p w14:paraId="02B85998" w14:textId="77777777" w:rsidR="554C77F0" w:rsidRDefault="554C77F0" w:rsidP="554C77F0">
          <w:pPr>
            <w:pStyle w:val="Header"/>
            <w:ind w:right="-115"/>
            <w:jc w:val="right"/>
          </w:pPr>
        </w:p>
      </w:tc>
    </w:tr>
  </w:tbl>
  <w:p w14:paraId="60517D8D" w14:textId="77777777" w:rsidR="554C77F0" w:rsidRDefault="554C77F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3EB4E" w14:textId="77777777" w:rsidR="003840D5" w:rsidRDefault="003840D5">
      <w:pPr>
        <w:spacing w:after="0" w:line="240" w:lineRule="auto"/>
      </w:pPr>
      <w:r>
        <w:separator/>
      </w:r>
    </w:p>
  </w:footnote>
  <w:footnote w:type="continuationSeparator" w:id="0">
    <w:p w14:paraId="38D8E32C" w14:textId="77777777" w:rsidR="003840D5" w:rsidRDefault="00384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554C77F0" w14:paraId="44CB4420" w14:textId="77777777" w:rsidTr="554C77F0">
      <w:trPr>
        <w:trHeight w:val="300"/>
      </w:trPr>
      <w:tc>
        <w:tcPr>
          <w:tcW w:w="3005" w:type="dxa"/>
        </w:tcPr>
        <w:p w14:paraId="1CFBF36E" w14:textId="77777777" w:rsidR="554C77F0" w:rsidRDefault="554C77F0" w:rsidP="554C77F0">
          <w:pPr>
            <w:pStyle w:val="Header"/>
            <w:ind w:left="-115"/>
          </w:pPr>
        </w:p>
      </w:tc>
      <w:tc>
        <w:tcPr>
          <w:tcW w:w="3005" w:type="dxa"/>
        </w:tcPr>
        <w:p w14:paraId="08B6758B" w14:textId="77777777" w:rsidR="554C77F0" w:rsidRDefault="554C77F0" w:rsidP="554C77F0">
          <w:pPr>
            <w:pStyle w:val="Header"/>
            <w:jc w:val="center"/>
          </w:pPr>
        </w:p>
      </w:tc>
      <w:tc>
        <w:tcPr>
          <w:tcW w:w="3005" w:type="dxa"/>
        </w:tcPr>
        <w:p w14:paraId="5AC7F9E9" w14:textId="77777777" w:rsidR="554C77F0" w:rsidRDefault="554C77F0" w:rsidP="554C77F0">
          <w:pPr>
            <w:pStyle w:val="Header"/>
            <w:ind w:right="-115"/>
            <w:jc w:val="right"/>
          </w:pPr>
        </w:p>
      </w:tc>
    </w:tr>
  </w:tbl>
  <w:p w14:paraId="4501495B" w14:textId="77777777" w:rsidR="554C77F0" w:rsidRDefault="554C77F0" w:rsidP="554C77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2D4340"/>
    <w:multiLevelType w:val="hybridMultilevel"/>
    <w:tmpl w:val="0E10E5E0"/>
    <w:lvl w:ilvl="0" w:tplc="5E4E6100">
      <w:start w:val="1"/>
      <w:numFmt w:val="decimal"/>
      <w:lvlText w:val="%1."/>
      <w:lvlJc w:val="left"/>
      <w:pPr>
        <w:ind w:left="720" w:hanging="360"/>
      </w:pPr>
    </w:lvl>
    <w:lvl w:ilvl="1" w:tplc="A0324198">
      <w:start w:val="1"/>
      <w:numFmt w:val="lowerLetter"/>
      <w:lvlText w:val="%2."/>
      <w:lvlJc w:val="left"/>
      <w:pPr>
        <w:ind w:left="1440" w:hanging="360"/>
      </w:pPr>
    </w:lvl>
    <w:lvl w:ilvl="2" w:tplc="B3E61166">
      <w:start w:val="1"/>
      <w:numFmt w:val="lowerRoman"/>
      <w:lvlText w:val="%3."/>
      <w:lvlJc w:val="right"/>
      <w:pPr>
        <w:ind w:left="2160" w:hanging="180"/>
      </w:pPr>
    </w:lvl>
    <w:lvl w:ilvl="3" w:tplc="F852ECF8">
      <w:start w:val="1"/>
      <w:numFmt w:val="decimal"/>
      <w:lvlText w:val="%4."/>
      <w:lvlJc w:val="left"/>
      <w:pPr>
        <w:ind w:left="2880" w:hanging="360"/>
      </w:pPr>
    </w:lvl>
    <w:lvl w:ilvl="4" w:tplc="703E7466">
      <w:start w:val="1"/>
      <w:numFmt w:val="lowerLetter"/>
      <w:lvlText w:val="%5."/>
      <w:lvlJc w:val="left"/>
      <w:pPr>
        <w:ind w:left="3600" w:hanging="360"/>
      </w:pPr>
    </w:lvl>
    <w:lvl w:ilvl="5" w:tplc="CFB83D3A">
      <w:start w:val="1"/>
      <w:numFmt w:val="lowerRoman"/>
      <w:lvlText w:val="%6."/>
      <w:lvlJc w:val="right"/>
      <w:pPr>
        <w:ind w:left="4320" w:hanging="180"/>
      </w:pPr>
    </w:lvl>
    <w:lvl w:ilvl="6" w:tplc="5870228A">
      <w:start w:val="1"/>
      <w:numFmt w:val="decimal"/>
      <w:lvlText w:val="%7."/>
      <w:lvlJc w:val="left"/>
      <w:pPr>
        <w:ind w:left="5040" w:hanging="360"/>
      </w:pPr>
    </w:lvl>
    <w:lvl w:ilvl="7" w:tplc="7B5E67B6">
      <w:start w:val="1"/>
      <w:numFmt w:val="lowerLetter"/>
      <w:lvlText w:val="%8."/>
      <w:lvlJc w:val="left"/>
      <w:pPr>
        <w:ind w:left="5760" w:hanging="360"/>
      </w:pPr>
    </w:lvl>
    <w:lvl w:ilvl="8" w:tplc="17E65744">
      <w:start w:val="1"/>
      <w:numFmt w:val="lowerRoman"/>
      <w:lvlText w:val="%9."/>
      <w:lvlJc w:val="right"/>
      <w:pPr>
        <w:ind w:left="6480" w:hanging="180"/>
      </w:pPr>
    </w:lvl>
  </w:abstractNum>
  <w:abstractNum w:abstractNumId="1" w15:restartNumberingAfterBreak="0">
    <w:nsid w:val="599FB059"/>
    <w:multiLevelType w:val="hybridMultilevel"/>
    <w:tmpl w:val="1A580986"/>
    <w:lvl w:ilvl="0" w:tplc="D624ADEC">
      <w:start w:val="1"/>
      <w:numFmt w:val="decimal"/>
      <w:lvlText w:val="%1."/>
      <w:lvlJc w:val="left"/>
      <w:pPr>
        <w:ind w:left="1080" w:hanging="360"/>
      </w:pPr>
    </w:lvl>
    <w:lvl w:ilvl="1" w:tplc="C47EA3B0">
      <w:start w:val="1"/>
      <w:numFmt w:val="lowerLetter"/>
      <w:lvlText w:val="%2."/>
      <w:lvlJc w:val="left"/>
      <w:pPr>
        <w:ind w:left="1800" w:hanging="360"/>
      </w:pPr>
    </w:lvl>
    <w:lvl w:ilvl="2" w:tplc="3DCE8BB4">
      <w:start w:val="1"/>
      <w:numFmt w:val="lowerRoman"/>
      <w:lvlText w:val="%3."/>
      <w:lvlJc w:val="right"/>
      <w:pPr>
        <w:ind w:left="2520" w:hanging="180"/>
      </w:pPr>
    </w:lvl>
    <w:lvl w:ilvl="3" w:tplc="02A81FFC">
      <w:start w:val="1"/>
      <w:numFmt w:val="decimal"/>
      <w:lvlText w:val="%4."/>
      <w:lvlJc w:val="left"/>
      <w:pPr>
        <w:ind w:left="3240" w:hanging="360"/>
      </w:pPr>
    </w:lvl>
    <w:lvl w:ilvl="4" w:tplc="5B6C9F16">
      <w:start w:val="1"/>
      <w:numFmt w:val="lowerLetter"/>
      <w:lvlText w:val="%5."/>
      <w:lvlJc w:val="left"/>
      <w:pPr>
        <w:ind w:left="3960" w:hanging="360"/>
      </w:pPr>
    </w:lvl>
    <w:lvl w:ilvl="5" w:tplc="7EAADE1A">
      <w:start w:val="1"/>
      <w:numFmt w:val="lowerRoman"/>
      <w:lvlText w:val="%6."/>
      <w:lvlJc w:val="right"/>
      <w:pPr>
        <w:ind w:left="4680" w:hanging="180"/>
      </w:pPr>
    </w:lvl>
    <w:lvl w:ilvl="6" w:tplc="0C0A2D16">
      <w:start w:val="1"/>
      <w:numFmt w:val="decimal"/>
      <w:lvlText w:val="%7."/>
      <w:lvlJc w:val="left"/>
      <w:pPr>
        <w:ind w:left="5400" w:hanging="360"/>
      </w:pPr>
    </w:lvl>
    <w:lvl w:ilvl="7" w:tplc="31F875FE">
      <w:start w:val="1"/>
      <w:numFmt w:val="lowerLetter"/>
      <w:lvlText w:val="%8."/>
      <w:lvlJc w:val="left"/>
      <w:pPr>
        <w:ind w:left="6120" w:hanging="360"/>
      </w:pPr>
    </w:lvl>
    <w:lvl w:ilvl="8" w:tplc="F034AD44">
      <w:start w:val="1"/>
      <w:numFmt w:val="lowerRoman"/>
      <w:lvlText w:val="%9."/>
      <w:lvlJc w:val="right"/>
      <w:pPr>
        <w:ind w:left="6840" w:hanging="180"/>
      </w:pPr>
    </w:lvl>
  </w:abstractNum>
  <w:num w:numId="1" w16cid:durableId="1929461397">
    <w:abstractNumId w:val="1"/>
  </w:num>
  <w:num w:numId="2" w16cid:durableId="2137066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BA2981"/>
    <w:rsid w:val="0015436F"/>
    <w:rsid w:val="003649C3"/>
    <w:rsid w:val="003840D5"/>
    <w:rsid w:val="00690842"/>
    <w:rsid w:val="007A7673"/>
    <w:rsid w:val="00AF7C56"/>
    <w:rsid w:val="00BA4078"/>
    <w:rsid w:val="00BC08DF"/>
    <w:rsid w:val="00CC5627"/>
    <w:rsid w:val="00E20FD6"/>
    <w:rsid w:val="00ED13EA"/>
    <w:rsid w:val="022B0DC0"/>
    <w:rsid w:val="039F9239"/>
    <w:rsid w:val="03B4F2EE"/>
    <w:rsid w:val="0534C4E7"/>
    <w:rsid w:val="054FDD17"/>
    <w:rsid w:val="077B6C8B"/>
    <w:rsid w:val="08820CA9"/>
    <w:rsid w:val="08CA2778"/>
    <w:rsid w:val="09086C71"/>
    <w:rsid w:val="0A52BFA9"/>
    <w:rsid w:val="0B781F2B"/>
    <w:rsid w:val="0C229EF2"/>
    <w:rsid w:val="0C682D4E"/>
    <w:rsid w:val="0E1A7990"/>
    <w:rsid w:val="0E2ACCC9"/>
    <w:rsid w:val="0E3FB5BF"/>
    <w:rsid w:val="10016757"/>
    <w:rsid w:val="1072FF14"/>
    <w:rsid w:val="12BEA3EA"/>
    <w:rsid w:val="1512B704"/>
    <w:rsid w:val="15498B31"/>
    <w:rsid w:val="16ADA163"/>
    <w:rsid w:val="17C321B0"/>
    <w:rsid w:val="1877A7E0"/>
    <w:rsid w:val="1B2FDE36"/>
    <w:rsid w:val="1C6F81D2"/>
    <w:rsid w:val="1C75DAEC"/>
    <w:rsid w:val="1C7FA510"/>
    <w:rsid w:val="1D376586"/>
    <w:rsid w:val="1D62C060"/>
    <w:rsid w:val="21AB0B79"/>
    <w:rsid w:val="21EA4B95"/>
    <w:rsid w:val="224E74CD"/>
    <w:rsid w:val="2291B8F7"/>
    <w:rsid w:val="22BDACC6"/>
    <w:rsid w:val="23571D5A"/>
    <w:rsid w:val="2372DFFB"/>
    <w:rsid w:val="249639AF"/>
    <w:rsid w:val="26909E1D"/>
    <w:rsid w:val="26C6AC25"/>
    <w:rsid w:val="29A4A173"/>
    <w:rsid w:val="2ACF81ED"/>
    <w:rsid w:val="2C08AB35"/>
    <w:rsid w:val="2D1B7891"/>
    <w:rsid w:val="2F1D8AB6"/>
    <w:rsid w:val="301A1B17"/>
    <w:rsid w:val="30A32D93"/>
    <w:rsid w:val="30BA2981"/>
    <w:rsid w:val="332FAE38"/>
    <w:rsid w:val="3429C3DA"/>
    <w:rsid w:val="344588C9"/>
    <w:rsid w:val="373196D4"/>
    <w:rsid w:val="380EC785"/>
    <w:rsid w:val="38A0F6F8"/>
    <w:rsid w:val="3B398817"/>
    <w:rsid w:val="3D028E5B"/>
    <w:rsid w:val="3DA6E2F4"/>
    <w:rsid w:val="3DE7262F"/>
    <w:rsid w:val="3E40E650"/>
    <w:rsid w:val="3E5D320A"/>
    <w:rsid w:val="3ECFF378"/>
    <w:rsid w:val="3EEB10B7"/>
    <w:rsid w:val="3F75F906"/>
    <w:rsid w:val="40243ABD"/>
    <w:rsid w:val="4094DC45"/>
    <w:rsid w:val="43C69B21"/>
    <w:rsid w:val="44836CC3"/>
    <w:rsid w:val="458A80DB"/>
    <w:rsid w:val="46C253EF"/>
    <w:rsid w:val="473355C7"/>
    <w:rsid w:val="4A2FCE31"/>
    <w:rsid w:val="4BCC41FC"/>
    <w:rsid w:val="4E9B0076"/>
    <w:rsid w:val="4EBA36D0"/>
    <w:rsid w:val="5031E48C"/>
    <w:rsid w:val="513D848B"/>
    <w:rsid w:val="53C98C34"/>
    <w:rsid w:val="554C77F0"/>
    <w:rsid w:val="568A650E"/>
    <w:rsid w:val="56BFBBBD"/>
    <w:rsid w:val="57C50B91"/>
    <w:rsid w:val="57D10514"/>
    <w:rsid w:val="58C9CBEE"/>
    <w:rsid w:val="5D038DB9"/>
    <w:rsid w:val="5DF3DDA9"/>
    <w:rsid w:val="5F2A93AB"/>
    <w:rsid w:val="5F75FEF6"/>
    <w:rsid w:val="5F820F1E"/>
    <w:rsid w:val="5FD7B3A6"/>
    <w:rsid w:val="62DE9CAB"/>
    <w:rsid w:val="631C5566"/>
    <w:rsid w:val="63576CFA"/>
    <w:rsid w:val="637CBF8F"/>
    <w:rsid w:val="638067C8"/>
    <w:rsid w:val="63D4AE3B"/>
    <w:rsid w:val="643B8FEE"/>
    <w:rsid w:val="64655264"/>
    <w:rsid w:val="6579F1EA"/>
    <w:rsid w:val="65B5DAB5"/>
    <w:rsid w:val="6679BF28"/>
    <w:rsid w:val="6749B12D"/>
    <w:rsid w:val="67D98682"/>
    <w:rsid w:val="67FFA03D"/>
    <w:rsid w:val="68EB0493"/>
    <w:rsid w:val="69DB4526"/>
    <w:rsid w:val="6EC54EC1"/>
    <w:rsid w:val="6EDF1C40"/>
    <w:rsid w:val="6F4B1C7E"/>
    <w:rsid w:val="708309C8"/>
    <w:rsid w:val="70FFCF0A"/>
    <w:rsid w:val="72638369"/>
    <w:rsid w:val="727253C8"/>
    <w:rsid w:val="73536AD2"/>
    <w:rsid w:val="7394FA32"/>
    <w:rsid w:val="7484A450"/>
    <w:rsid w:val="75CC4B5A"/>
    <w:rsid w:val="75DD5314"/>
    <w:rsid w:val="76BB089B"/>
    <w:rsid w:val="7858B17A"/>
    <w:rsid w:val="7CB32ECF"/>
    <w:rsid w:val="7D15CCF7"/>
    <w:rsid w:val="7D8F5BF2"/>
    <w:rsid w:val="7D9743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E1FBB"/>
  <w15:chartTrackingRefBased/>
  <w15:docId w15:val="{19B04795-A4E2-4375-BE92-E93BBCBB0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54C7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54C77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54C77F0"/>
    <w:pPr>
      <w:ind w:left="720"/>
      <w:contextualSpacing/>
    </w:pPr>
  </w:style>
  <w:style w:type="paragraph" w:styleId="Header">
    <w:name w:val="header"/>
    <w:basedOn w:val="Normal"/>
    <w:uiPriority w:val="99"/>
    <w:unhideWhenUsed/>
    <w:rsid w:val="554C77F0"/>
    <w:pPr>
      <w:tabs>
        <w:tab w:val="center" w:pos="4680"/>
        <w:tab w:val="right" w:pos="9360"/>
      </w:tabs>
      <w:spacing w:after="0" w:line="240" w:lineRule="auto"/>
    </w:pPr>
  </w:style>
  <w:style w:type="paragraph" w:styleId="Footer">
    <w:name w:val="footer"/>
    <w:basedOn w:val="Normal"/>
    <w:uiPriority w:val="99"/>
    <w:unhideWhenUsed/>
    <w:rsid w:val="554C77F0"/>
    <w:pPr>
      <w:tabs>
        <w:tab w:val="center" w:pos="4680"/>
        <w:tab w:val="right" w:pos="9360"/>
      </w:tabs>
      <w:spacing w:after="0" w:line="240" w:lineRule="auto"/>
    </w:pPr>
  </w:style>
  <w:style w:type="character" w:styleId="Hyperlink">
    <w:name w:val="Hyperlink"/>
    <w:basedOn w:val="DefaultParagraphFont"/>
    <w:uiPriority w:val="99"/>
    <w:unhideWhenUsed/>
    <w:rsid w:val="554C77F0"/>
    <w:rPr>
      <w:color w:val="467886"/>
      <w:u w:val="single"/>
    </w:rPr>
  </w:style>
  <w:style w:type="paragraph" w:styleId="TOC1">
    <w:name w:val="toc 1"/>
    <w:basedOn w:val="Normal"/>
    <w:next w:val="Normal"/>
    <w:uiPriority w:val="39"/>
    <w:unhideWhenUsed/>
    <w:rsid w:val="554C77F0"/>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uiPriority w:val="39"/>
    <w:unhideWhenUsed/>
    <w:rsid w:val="568A650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32958">
      <w:bodyDiv w:val="1"/>
      <w:marLeft w:val="0"/>
      <w:marRight w:val="0"/>
      <w:marTop w:val="0"/>
      <w:marBottom w:val="0"/>
      <w:divBdr>
        <w:top w:val="none" w:sz="0" w:space="0" w:color="auto"/>
        <w:left w:val="none" w:sz="0" w:space="0" w:color="auto"/>
        <w:bottom w:val="none" w:sz="0" w:space="0" w:color="auto"/>
        <w:right w:val="none" w:sz="0" w:space="0" w:color="auto"/>
      </w:divBdr>
      <w:divsChild>
        <w:div w:id="1251232146">
          <w:marLeft w:val="0"/>
          <w:marRight w:val="0"/>
          <w:marTop w:val="180"/>
          <w:marBottom w:val="0"/>
          <w:divBdr>
            <w:top w:val="none" w:sz="0" w:space="0" w:color="auto"/>
            <w:left w:val="none" w:sz="0" w:space="0" w:color="auto"/>
            <w:bottom w:val="none" w:sz="0" w:space="0" w:color="auto"/>
            <w:right w:val="none" w:sz="0" w:space="0" w:color="auto"/>
          </w:divBdr>
          <w:divsChild>
            <w:div w:id="1419402809">
              <w:marLeft w:val="0"/>
              <w:marRight w:val="0"/>
              <w:marTop w:val="0"/>
              <w:marBottom w:val="0"/>
              <w:divBdr>
                <w:top w:val="none" w:sz="0" w:space="0" w:color="auto"/>
                <w:left w:val="none" w:sz="0" w:space="0" w:color="auto"/>
                <w:bottom w:val="none" w:sz="0" w:space="0" w:color="auto"/>
                <w:right w:val="none" w:sz="0" w:space="0" w:color="auto"/>
              </w:divBdr>
              <w:divsChild>
                <w:div w:id="460225937">
                  <w:marLeft w:val="0"/>
                  <w:marRight w:val="0"/>
                  <w:marTop w:val="0"/>
                  <w:marBottom w:val="0"/>
                  <w:divBdr>
                    <w:top w:val="none" w:sz="0" w:space="0" w:color="auto"/>
                    <w:left w:val="none" w:sz="0" w:space="0" w:color="auto"/>
                    <w:bottom w:val="none" w:sz="0" w:space="0" w:color="auto"/>
                    <w:right w:val="none" w:sz="0" w:space="0" w:color="auto"/>
                  </w:divBdr>
                  <w:divsChild>
                    <w:div w:id="1707754802">
                      <w:marLeft w:val="0"/>
                      <w:marRight w:val="0"/>
                      <w:marTop w:val="0"/>
                      <w:marBottom w:val="0"/>
                      <w:divBdr>
                        <w:top w:val="single" w:sz="6" w:space="9" w:color="D0D0D0"/>
                        <w:left w:val="single" w:sz="6" w:space="9" w:color="D0D0D0"/>
                        <w:bottom w:val="single" w:sz="6" w:space="9" w:color="D0D0D0"/>
                        <w:right w:val="single" w:sz="6" w:space="9" w:color="D0D0D0"/>
                      </w:divBdr>
                    </w:div>
                  </w:divsChild>
                </w:div>
              </w:divsChild>
            </w:div>
          </w:divsChild>
        </w:div>
      </w:divsChild>
    </w:div>
    <w:div w:id="178935119">
      <w:bodyDiv w:val="1"/>
      <w:marLeft w:val="0"/>
      <w:marRight w:val="0"/>
      <w:marTop w:val="0"/>
      <w:marBottom w:val="0"/>
      <w:divBdr>
        <w:top w:val="none" w:sz="0" w:space="0" w:color="auto"/>
        <w:left w:val="none" w:sz="0" w:space="0" w:color="auto"/>
        <w:bottom w:val="none" w:sz="0" w:space="0" w:color="auto"/>
        <w:right w:val="none" w:sz="0" w:space="0" w:color="auto"/>
      </w:divBdr>
      <w:divsChild>
        <w:div w:id="1858811931">
          <w:marLeft w:val="0"/>
          <w:marRight w:val="0"/>
          <w:marTop w:val="180"/>
          <w:marBottom w:val="0"/>
          <w:divBdr>
            <w:top w:val="none" w:sz="0" w:space="0" w:color="auto"/>
            <w:left w:val="none" w:sz="0" w:space="0" w:color="auto"/>
            <w:bottom w:val="none" w:sz="0" w:space="0" w:color="auto"/>
            <w:right w:val="none" w:sz="0" w:space="0" w:color="auto"/>
          </w:divBdr>
          <w:divsChild>
            <w:div w:id="1296329605">
              <w:marLeft w:val="0"/>
              <w:marRight w:val="0"/>
              <w:marTop w:val="0"/>
              <w:marBottom w:val="0"/>
              <w:divBdr>
                <w:top w:val="none" w:sz="0" w:space="0" w:color="auto"/>
                <w:left w:val="none" w:sz="0" w:space="0" w:color="auto"/>
                <w:bottom w:val="none" w:sz="0" w:space="0" w:color="auto"/>
                <w:right w:val="none" w:sz="0" w:space="0" w:color="auto"/>
              </w:divBdr>
              <w:divsChild>
                <w:div w:id="710958635">
                  <w:marLeft w:val="0"/>
                  <w:marRight w:val="0"/>
                  <w:marTop w:val="0"/>
                  <w:marBottom w:val="0"/>
                  <w:divBdr>
                    <w:top w:val="none" w:sz="0" w:space="0" w:color="auto"/>
                    <w:left w:val="none" w:sz="0" w:space="0" w:color="auto"/>
                    <w:bottom w:val="none" w:sz="0" w:space="0" w:color="auto"/>
                    <w:right w:val="none" w:sz="0" w:space="0" w:color="auto"/>
                  </w:divBdr>
                  <w:divsChild>
                    <w:div w:id="2059430754">
                      <w:marLeft w:val="0"/>
                      <w:marRight w:val="0"/>
                      <w:marTop w:val="0"/>
                      <w:marBottom w:val="0"/>
                      <w:divBdr>
                        <w:top w:val="single" w:sz="6" w:space="9" w:color="D0D0D0"/>
                        <w:left w:val="single" w:sz="6" w:space="9" w:color="D0D0D0"/>
                        <w:bottom w:val="single" w:sz="6" w:space="9" w:color="D0D0D0"/>
                        <w:right w:val="single" w:sz="6" w:space="9" w:color="D0D0D0"/>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2420</Words>
  <Characters>13795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Rajjoub (2312015)</dc:creator>
  <cp:keywords/>
  <dc:description/>
  <cp:lastModifiedBy>Dalaty, Hala Al (242804)</cp:lastModifiedBy>
  <cp:revision>9</cp:revision>
  <dcterms:created xsi:type="dcterms:W3CDTF">2026-06-19T16:51:00Z</dcterms:created>
  <dcterms:modified xsi:type="dcterms:W3CDTF">2026-06-19T21:09:00Z</dcterms:modified>
</cp:coreProperties>
</file>