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2E81DB" w14:textId="4D164729" w:rsidR="00AD0A40" w:rsidRDefault="00B422DC">
      <w:pPr>
        <w:rPr>
          <w:b/>
        </w:rPr>
      </w:pPr>
      <w:r>
        <w:rPr>
          <w:b/>
        </w:rPr>
        <w:t>Does activism have a place in anthropological practice?</w:t>
      </w:r>
    </w:p>
    <w:p w14:paraId="4CEC1A28" w14:textId="7766D408" w:rsidR="005352BE" w:rsidRDefault="00BB36A1" w:rsidP="005352BE">
      <w:pPr>
        <w:spacing w:after="0"/>
        <w:ind w:firstLine="720"/>
      </w:pPr>
      <w:r>
        <w:t xml:space="preserve">This essay will explore the </w:t>
      </w:r>
      <w:r w:rsidR="005352BE">
        <w:t>anthropological theory surrounding activism and the nature of anthropological practice. Through analysis of established theory – examining the ideas of Ingold</w:t>
      </w:r>
      <w:r w:rsidR="00EB4555">
        <w:t>,</w:t>
      </w:r>
      <w:r w:rsidR="005352BE">
        <w:t xml:space="preserve"> Graeber</w:t>
      </w:r>
      <w:r w:rsidR="00EB4555">
        <w:t xml:space="preserve"> and Scheper-Hughes</w:t>
      </w:r>
      <w:r w:rsidR="005352BE">
        <w:t xml:space="preserve"> – and critique of the nature and purpose of </w:t>
      </w:r>
      <w:r w:rsidR="00197283">
        <w:t>A</w:t>
      </w:r>
      <w:r w:rsidR="005352BE">
        <w:t>nthropology as a discipline, it will ultimately be argued that activism does have a place in anthropological practice</w:t>
      </w:r>
      <w:r w:rsidR="00C9161B">
        <w:t>. It will be concluded</w:t>
      </w:r>
      <w:r w:rsidR="005352BE">
        <w:t xml:space="preserve"> that the anthropologist ought not to be detached from their research material and</w:t>
      </w:r>
      <w:r w:rsidR="00A6443F">
        <w:t xml:space="preserve"> </w:t>
      </w:r>
      <w:r w:rsidR="008A09BE">
        <w:t xml:space="preserve">the people with whom they are </w:t>
      </w:r>
      <w:r w:rsidR="004A53FC">
        <w:t>carrying out their fieldwork</w:t>
      </w:r>
      <w:r w:rsidR="004A53FC">
        <w:rPr>
          <w:rStyle w:val="FootnoteReference"/>
        </w:rPr>
        <w:footnoteReference w:id="1"/>
      </w:r>
      <w:r w:rsidR="005352BE" w:rsidRPr="00A6443F">
        <w:t xml:space="preserve">, </w:t>
      </w:r>
      <w:r w:rsidR="005352BE">
        <w:t>but should instead be engaged in an active role as an advocate – a transceiver for the voices of less powerful and less heard groups of people both</w:t>
      </w:r>
      <w:r w:rsidR="001E587F">
        <w:t xml:space="preserve"> within a singular</w:t>
      </w:r>
      <w:r w:rsidR="005352BE">
        <w:t xml:space="preserve"> society and </w:t>
      </w:r>
      <w:r w:rsidR="001E587F">
        <w:t xml:space="preserve">within </w:t>
      </w:r>
      <w:r w:rsidR="005352BE">
        <w:t>the broader global community.</w:t>
      </w:r>
    </w:p>
    <w:p w14:paraId="62FB971C" w14:textId="77777777" w:rsidR="00DB3E4E" w:rsidRDefault="005352BE" w:rsidP="00B422DC">
      <w:pPr>
        <w:spacing w:after="0"/>
      </w:pPr>
      <w:r>
        <w:tab/>
      </w:r>
      <w:r w:rsidR="00705ED9">
        <w:t>In</w:t>
      </w:r>
      <w:r w:rsidR="00AE6648">
        <w:t xml:space="preserve">gold (2014) </w:t>
      </w:r>
      <w:r w:rsidR="00506CF9">
        <w:t xml:space="preserve">outlines a distinction between Anthropology and ethnography, which is important to establish in relation to this argument. He describes the anthropological (not ethnographic) practice of participant observation as a process of “correspondence” – when the anthropologist conducts participant observation, their life, behaviour and experience co-react and correspond with the group which they are observing. It is this practice, Ingold argues, that </w:t>
      </w:r>
      <w:r w:rsidR="00DB3E4E">
        <w:t>is integral to and that characterises the discipline of Anthropology.</w:t>
      </w:r>
    </w:p>
    <w:p w14:paraId="4F3F82DC" w14:textId="6332CF4A" w:rsidR="005352BE" w:rsidRDefault="00DB3E4E" w:rsidP="00B422DC">
      <w:pPr>
        <w:spacing w:after="0"/>
      </w:pPr>
      <w:r>
        <w:tab/>
        <w:t>Ethnography, on the other hand, Ingold declares is the description of these experiences. He criticises ethnography, saying that “this experience [of participant observation] is schizochronically put behind us, even as it is lived.” (2014</w:t>
      </w:r>
      <w:r w:rsidR="00B86390">
        <w:t xml:space="preserve">: </w:t>
      </w:r>
      <w:r>
        <w:t>393). In essence, ethnography – taken as the practice of writing up data obtained through participant observation – distorts the experience of anthropological fieldwork, insofar as it</w:t>
      </w:r>
      <w:r w:rsidR="00683E4D">
        <w:t xml:space="preserve"> inappropriately</w:t>
      </w:r>
      <w:r>
        <w:t xml:space="preserve"> </w:t>
      </w:r>
      <w:r w:rsidR="00683E4D">
        <w:t>places ongoing and open-ended experience in a particular frame of time and place.</w:t>
      </w:r>
    </w:p>
    <w:p w14:paraId="08776B97" w14:textId="65431B9E" w:rsidR="00683E4D" w:rsidRDefault="00683E4D" w:rsidP="00B422DC">
      <w:pPr>
        <w:spacing w:after="0"/>
      </w:pPr>
      <w:r>
        <w:tab/>
        <w:t>Anthropology is different from ethnography, Ingold goes on to explain, because its purpose is education (of the anthropologist). Where ethnography is the practice of gathering “data”, Anthropology is process of learning or being educated. Ingold suggests that Anthropology is thus the prelude to ethnography (p.391). The role of the anthropologist is to observe, correspond, and be educated</w:t>
      </w:r>
      <w:r w:rsidR="00600E4E">
        <w:t>.</w:t>
      </w:r>
    </w:p>
    <w:p w14:paraId="5A8759D5" w14:textId="0033F69C" w:rsidR="00600E4E" w:rsidRDefault="00600E4E" w:rsidP="00B422DC">
      <w:pPr>
        <w:spacing w:after="0"/>
      </w:pPr>
      <w:r>
        <w:tab/>
        <w:t>Having established this notion of the anthropologist as an engaged participant in not only the society or culture, but the lives of the</w:t>
      </w:r>
      <w:r w:rsidR="004A53FC">
        <w:t xml:space="preserve"> people with whom they are carrying out research</w:t>
      </w:r>
      <w:r>
        <w:t xml:space="preserve">, it can be taken further. That is to expand the role of the anthropologist beyond the field, and beyond its academic sphere (now the realm of ethnography) and out into the world – such is the purpose of education. If the anthropologist is to be truly engaged in the lifeworld of the group with whom they wish to work, they must surely be active both within and </w:t>
      </w:r>
      <w:r>
        <w:rPr>
          <w:i/>
        </w:rPr>
        <w:t>from within</w:t>
      </w:r>
      <w:r>
        <w:t xml:space="preserve"> this group. Ergo, it should be the role of the anthropologist to act, not on behalf of, but (at least) alongside th</w:t>
      </w:r>
      <w:r w:rsidR="004A53FC">
        <w:t>ose with whom they are working</w:t>
      </w:r>
      <w:r>
        <w:t>.</w:t>
      </w:r>
    </w:p>
    <w:p w14:paraId="0A784CE7" w14:textId="0D52D2F7" w:rsidR="00796493" w:rsidRDefault="00796493" w:rsidP="00B422DC">
      <w:pPr>
        <w:spacing w:after="0"/>
      </w:pPr>
      <w:r>
        <w:tab/>
      </w:r>
      <w:r w:rsidR="007E4C06">
        <w:t xml:space="preserve">Furthermore, Da Col and Graeber (2011) </w:t>
      </w:r>
      <w:r w:rsidR="00BD57A4">
        <w:t>discuss the decline of anthropological thinking in the absence of a purpose or place within the world or even within academia. In other words, the discipline is too introspective, without its theories and theorists contributing to any wider pool of knowledge or to the development of wider society.</w:t>
      </w:r>
      <w:r w:rsidR="0068043F">
        <w:t xml:space="preserve"> The remedy to this is to apply Anthropology not just to ethnography, but to the world and to wider matters and issues within it.</w:t>
      </w:r>
    </w:p>
    <w:p w14:paraId="0B03CD2A" w14:textId="297141E1" w:rsidR="00A523C0" w:rsidRDefault="00A523C0" w:rsidP="00B422DC">
      <w:pPr>
        <w:spacing w:after="0"/>
      </w:pPr>
      <w:r>
        <w:tab/>
      </w:r>
      <w:r w:rsidR="00A94C36">
        <w:t>A prime example of the application of Anthropology in political disputes is the 197</w:t>
      </w:r>
      <w:r w:rsidR="00F74F4A">
        <w:t>6</w:t>
      </w:r>
      <w:r w:rsidR="00A94C36">
        <w:t xml:space="preserve">-79 legal case of </w:t>
      </w:r>
      <w:r w:rsidR="00C47B05">
        <w:t>the Mashpe</w:t>
      </w:r>
      <w:r w:rsidR="00F74F4A">
        <w:t xml:space="preserve">e </w:t>
      </w:r>
      <w:r w:rsidR="00C47B05">
        <w:t xml:space="preserve">Tribe vs. </w:t>
      </w:r>
      <w:r w:rsidR="00F74F4A">
        <w:t xml:space="preserve">New Seabury Corp. The anthropological dimension to this case is examined in detail by Clifford (1988), who outlines that the </w:t>
      </w:r>
      <w:r w:rsidR="00B94589">
        <w:t xml:space="preserve">purpose of the lengthy trial was “to determine whether the group calling itself the Mashpee Tribe was in fact an Indian tribe, and the same tribe that in the mid-nineteenth century had lost its lands through a series of contested legislative acts.” (p.277) The intention of the Tribe was to sue for the ownership of land. During the trial, </w:t>
      </w:r>
      <w:r w:rsidR="00231626">
        <w:t>“expert testimony by professional anthropologists and historians played a major role” (Clifford, 1988</w:t>
      </w:r>
      <w:r w:rsidR="003F5EC7">
        <w:t xml:space="preserve">: </w:t>
      </w:r>
      <w:r w:rsidR="00231626">
        <w:t xml:space="preserve">317). The expert opinions of anthropologists were crucial to determining the group’s status as a tribe (the ethics of the necessity to prove this, while questionable, will not be discussed here), and thus anthropologists were indeed playing a part in the advocacy for rights of an indigenous group in this case. Whilst this contribution does not </w:t>
      </w:r>
      <w:r w:rsidR="00231626">
        <w:lastRenderedPageBreak/>
        <w:t>strictly constitute a form of activism in itself, it represents the beginnings of an activist anthropology</w:t>
      </w:r>
      <w:r w:rsidR="006C2FDD">
        <w:t>. It demonstrates the wider, non-academic need for anthropological expertise, which in turn suggests that anthropologists should not merely be passive observers, but active thinkers, advisers and advocates outside of the discipline’s own academic sphere. One may argue that it would be heedless of the anthropologist to ignore these broader pragmatic applications of anthropological research and thought.</w:t>
      </w:r>
    </w:p>
    <w:p w14:paraId="5099C3EE" w14:textId="7A9EFB19" w:rsidR="006C2FDD" w:rsidRDefault="006C2FDD" w:rsidP="00B422DC">
      <w:pPr>
        <w:spacing w:after="0"/>
      </w:pPr>
      <w:r>
        <w:tab/>
        <w:t>Of course, in such a case as the Mashpee trial, the anthropologist still plays a somewhat passive role, inasmuch as they are required to be impartial in their giving of factual (ethnographic) evidence. However, this is not to say that it is wrong or unethical for the anthropologist to take on a partial and active position in cases where possible. Ultimately, an anthropologist is not simply an observer of human beings, but a human being themselves, and as such will inevitably hold values and morals.</w:t>
      </w:r>
      <w:r w:rsidR="000C3BDE">
        <w:t xml:space="preserve"> Indeed, it would not be considered good practice as an anthropologist to fail to acknowledge </w:t>
      </w:r>
      <w:r w:rsidR="00FF6276">
        <w:t>one’s own preconceived values and understandings of the world.</w:t>
      </w:r>
    </w:p>
    <w:p w14:paraId="4013D555" w14:textId="6C4A9622" w:rsidR="00FF6276" w:rsidRDefault="00FF6276" w:rsidP="00B422DC">
      <w:pPr>
        <w:spacing w:after="0"/>
      </w:pPr>
      <w:r>
        <w:tab/>
        <w:t>Yet, paradoxically, it is the fundamental role of the anthropologist to gain an in-depth, personal and first-hand knowledge of a group of people. As Evans (2012</w:t>
      </w:r>
      <w:r w:rsidR="00FD3032">
        <w:t>: 99</w:t>
      </w:r>
      <w:r>
        <w:t>) describes:</w:t>
      </w:r>
    </w:p>
    <w:p w14:paraId="24BC4581" w14:textId="77777777" w:rsidR="00FF6276" w:rsidRDefault="00FF6276" w:rsidP="00FF6276">
      <w:pPr>
        <w:spacing w:after="0"/>
        <w:ind w:left="426" w:right="827"/>
        <w:rPr>
          <w:i/>
        </w:rPr>
      </w:pPr>
    </w:p>
    <w:p w14:paraId="56270D8D" w14:textId="363115BF" w:rsidR="00FF6276" w:rsidRDefault="00FF6276" w:rsidP="007A5D7E">
      <w:pPr>
        <w:spacing w:after="0"/>
        <w:ind w:left="567" w:right="827"/>
        <w:rPr>
          <w:i/>
        </w:rPr>
      </w:pPr>
      <w:r w:rsidRPr="00FF6276">
        <w:rPr>
          <w:i/>
        </w:rPr>
        <w:t>The objective</w:t>
      </w:r>
      <w:r>
        <w:t xml:space="preserve"> [of participant observation]</w:t>
      </w:r>
      <w:r w:rsidRPr="00FF6276">
        <w:rPr>
          <w:i/>
        </w:rPr>
        <w:t xml:space="preserve"> is to make an embodied, visceral journey into the socially and culturally distinctive way of life of a particular group of people in order to know what it is to inhabit their environment, live their social relations, understand their preoccupations and appreciate their values and feelings about each other and what matters in their world. The aim is to gain insight into what it is like to experience the world from a different point of view and to question, thereby, everything that is taken for granted about what it is to be human.</w:t>
      </w:r>
    </w:p>
    <w:p w14:paraId="141C22FF" w14:textId="1677459D" w:rsidR="00FF6276" w:rsidRDefault="00FF6276" w:rsidP="00FF6276">
      <w:pPr>
        <w:spacing w:after="0"/>
        <w:ind w:right="827"/>
        <w:rPr>
          <w:i/>
        </w:rPr>
      </w:pPr>
    </w:p>
    <w:p w14:paraId="78B65B9E" w14:textId="00C39476" w:rsidR="00FF6276" w:rsidRPr="00FF6276" w:rsidRDefault="00FF6276" w:rsidP="002C536C">
      <w:pPr>
        <w:spacing w:after="0"/>
        <w:ind w:right="-24" w:firstLine="426"/>
      </w:pPr>
      <w:r>
        <w:t xml:space="preserve">The anthropologist, it seems, is supposed to fully immerse themselves in the socio-cultural environment of a group, both acknowledging their own values and accepting those of the group in question. Yet they are </w:t>
      </w:r>
      <w:r w:rsidR="00F3520A">
        <w:t>apparently forbidden from connecting the two. Surely anthropological research should not be constricted to the writing of ethnography – should the researcher have the opportunity to advance the rights, freedoms or opportunities of a group, or to amplify their voice, and should the researcher</w:t>
      </w:r>
      <w:r w:rsidR="00FD7398">
        <w:t xml:space="preserve"> believe</w:t>
      </w:r>
      <w:r w:rsidR="00F3520A">
        <w:t xml:space="preserve"> strongly </w:t>
      </w:r>
      <w:r w:rsidR="00FD7398">
        <w:t>in this group’s case and cause</w:t>
      </w:r>
      <w:r w:rsidR="003B5A58">
        <w:t xml:space="preserve"> to gain</w:t>
      </w:r>
      <w:r w:rsidR="00F3520A">
        <w:t xml:space="preserve"> such rights, freedoms, opportunities or voice, then it is right for them to utilise their inherently privileged position to do so.</w:t>
      </w:r>
    </w:p>
    <w:p w14:paraId="44725C2C" w14:textId="25BDE6F2" w:rsidR="004A362C" w:rsidRDefault="006C2FDD" w:rsidP="00B422DC">
      <w:pPr>
        <w:spacing w:after="0"/>
      </w:pPr>
      <w:r>
        <w:tab/>
      </w:r>
      <w:r w:rsidR="00080EDE">
        <w:t>Hale (2007)</w:t>
      </w:r>
      <w:r w:rsidR="00A3044A">
        <w:t xml:space="preserve"> alludes to the decolonisation of Anthropology. As Lewis (1976) notes, Anthropology has its shady beginnings in the age of the British empire – the discipline emerged from evolutionist ideas about “primitive” societies, and with aims of gathering information about indigenous societies for the benefit of the colonising power. What Hale refers to is a kind of reinstatement of knowledge</w:t>
      </w:r>
      <w:r w:rsidR="00682085">
        <w:t>; making anthropological data available to those who have previously been debased as objects of study, and repurposing Anthropology and its data to benefit now marginalised groups of people, as opposed to the colonisers.</w:t>
      </w:r>
    </w:p>
    <w:p w14:paraId="01519DD2" w14:textId="28F41072" w:rsidR="00682085" w:rsidRDefault="00682085" w:rsidP="00B422DC">
      <w:pPr>
        <w:spacing w:after="0"/>
      </w:pPr>
      <w:r>
        <w:tab/>
        <w:t>It is important to note here that to urge anthropologists to aid the “liberation”, or perhaps more accurately the reestablishment, of such marginalised groups is not to imply that the</w:t>
      </w:r>
      <w:r w:rsidR="00646582">
        <w:t xml:space="preserve"> Western</w:t>
      </w:r>
      <w:r w:rsidR="004A53FC">
        <w:rPr>
          <w:rStyle w:val="FootnoteReference"/>
        </w:rPr>
        <w:footnoteReference w:id="2"/>
      </w:r>
      <w:r w:rsidR="00646582">
        <w:t xml:space="preserve"> anthropologist</w:t>
      </w:r>
      <w:r w:rsidRPr="005F4B97">
        <w:t xml:space="preserve"> </w:t>
      </w:r>
      <w:r>
        <w:t xml:space="preserve">is to be the saviour of the indigenous community. It is simply to </w:t>
      </w:r>
      <w:r w:rsidR="00202608">
        <w:t>recognise</w:t>
      </w:r>
      <w:r>
        <w:t xml:space="preserve"> the harm caused by early anthropologists and by the society from which th</w:t>
      </w:r>
      <w:r w:rsidR="00D40D4E">
        <w:t>e</w:t>
      </w:r>
      <w:r>
        <w:t xml:space="preserve"> discipline evolved, and to attempt to make recompense – to whatever extent possible – for this harm.</w:t>
      </w:r>
      <w:r w:rsidR="00257E8E">
        <w:t xml:space="preserve"> </w:t>
      </w:r>
      <w:r w:rsidR="00E527CB">
        <w:t>Indeed, Hale also argues the case for activist anthropology as a contrasting methodology to the paternalism inherent in the nineteenth century evolutionist anthropology of indigenous groups.</w:t>
      </w:r>
    </w:p>
    <w:p w14:paraId="0CCED05F" w14:textId="2FC377BF" w:rsidR="00A931DB" w:rsidRDefault="00202608" w:rsidP="00B422DC">
      <w:pPr>
        <w:spacing w:after="0"/>
      </w:pPr>
      <w:r>
        <w:tab/>
      </w:r>
      <w:r w:rsidR="000435DD">
        <w:t>In addition to the need for an activist anthropology, Hale goes on to describe that “conditions have never before been so propitious for the institutionalized practice of collaborative and politically engaged scholarship, a method I refer to as activist anthropology.”</w:t>
      </w:r>
      <w:r w:rsidR="00B22810">
        <w:t xml:space="preserve"> (</w:t>
      </w:r>
      <w:r w:rsidR="00153C8F">
        <w:t xml:space="preserve">2007: </w:t>
      </w:r>
      <w:r w:rsidR="00E53761">
        <w:t xml:space="preserve">104) </w:t>
      </w:r>
      <w:r w:rsidR="000435DD">
        <w:t>He argues that both the evolution of the academic discipline of Anthropology and the political climate of the twenty-first century further bolster the pragmatic case for activism within anthropological practice</w:t>
      </w:r>
      <w:r w:rsidR="00203A7F">
        <w:t>.</w:t>
      </w:r>
    </w:p>
    <w:p w14:paraId="28F268D6" w14:textId="77777777" w:rsidR="00152F86" w:rsidRDefault="00A931DB" w:rsidP="00B422DC">
      <w:pPr>
        <w:spacing w:after="0"/>
      </w:pPr>
      <w:r>
        <w:lastRenderedPageBreak/>
        <w:tab/>
      </w:r>
      <w:r w:rsidR="00942129">
        <w:t>Nan</w:t>
      </w:r>
      <w:r w:rsidR="00EF0A6C">
        <w:t xml:space="preserve">cy Scheper-Hughes (1992) makes a case against </w:t>
      </w:r>
      <w:r w:rsidR="002D0D55">
        <w:t xml:space="preserve">the somewhat hegemonic notion of </w:t>
      </w:r>
      <w:r w:rsidR="00EF0A6C">
        <w:t>cultural relativism</w:t>
      </w:r>
      <w:r w:rsidR="00416359">
        <w:t xml:space="preserve"> –defined by Paul Folorunso (2015) as “</w:t>
      </w:r>
      <w:r w:rsidR="00416359">
        <w:t>a denial of universality of rational procedure through which a cross-cultural understanding can be reached</w:t>
      </w:r>
      <w:r w:rsidR="00416359">
        <w:t>”</w:t>
      </w:r>
      <w:r w:rsidR="00934023">
        <w:t xml:space="preserve"> –</w:t>
      </w:r>
      <w:r w:rsidR="00EF0A6C">
        <w:t xml:space="preserve"> stating that “[i]f we cannot begin to think about cultural institutions and practices in moral or ethical terms, then anthropology strikes me as quite weak and useless.” (p.21) She goes on to </w:t>
      </w:r>
      <w:r w:rsidR="00B22810">
        <w:t>ask how anthropologists may go about “a moral and an ethical reflection on cultural practices that takes into account but does not privilege our own cultural presuppositions.”</w:t>
      </w:r>
      <w:r w:rsidR="00E53761">
        <w:t xml:space="preserve"> </w:t>
      </w:r>
      <w:r w:rsidR="000548C7">
        <w:t xml:space="preserve">(p.22) </w:t>
      </w:r>
      <w:r w:rsidR="00E53761">
        <w:t>In essence, it is vital not to fall into the trap of swapping cultural relativism for cultural assimilation.</w:t>
      </w:r>
    </w:p>
    <w:p w14:paraId="09147E72" w14:textId="2C33E65B" w:rsidR="00FC4300" w:rsidRDefault="00E53761" w:rsidP="00152F86">
      <w:pPr>
        <w:spacing w:after="0"/>
        <w:ind w:firstLine="720"/>
      </w:pPr>
      <w:r>
        <w:t xml:space="preserve">Within any society, </w:t>
      </w:r>
      <w:r w:rsidR="006268DA">
        <w:t xml:space="preserve">moral and ethical paradigms shift, and socio-cultural development occurs over time. It is not viewed with sadness or disdain that British society, for example, has evolved in terms of its morality to allow women to vote, same-sex couples to marry etc. So why should it be that attitudes of intolerance towards certain groups </w:t>
      </w:r>
      <w:r w:rsidR="009A136D">
        <w:t>are</w:t>
      </w:r>
      <w:r w:rsidR="006268DA">
        <w:t xml:space="preserve"> excused when </w:t>
      </w:r>
      <w:r w:rsidR="00E92458">
        <w:t>they</w:t>
      </w:r>
      <w:r w:rsidR="006268DA">
        <w:t xml:space="preserve"> exist</w:t>
      </w:r>
      <w:r w:rsidR="00E92458">
        <w:t xml:space="preserve"> </w:t>
      </w:r>
      <w:r w:rsidR="006268DA">
        <w:t xml:space="preserve">within other societies? Of course, it is not defensible to forcibly impose new moral or ethical standards upon a society or community from without, particularly not if this endeavour carries with it cultural hegemony. But when marginalised groups </w:t>
      </w:r>
      <w:r w:rsidR="006268DA">
        <w:rPr>
          <w:i/>
        </w:rPr>
        <w:t>within</w:t>
      </w:r>
      <w:r w:rsidR="006268DA">
        <w:t xml:space="preserve"> a society can </w:t>
      </w:r>
      <w:r w:rsidR="00F36150">
        <w:t xml:space="preserve">be </w:t>
      </w:r>
      <w:r w:rsidR="006268DA">
        <w:t>and wish to be aided in strengthening their position within said society, it is surely the place of the anthropologist – as an engaged scholar with genuine interest in the ongoing life of these people – to take on this supporting role.</w:t>
      </w:r>
    </w:p>
    <w:p w14:paraId="6366878F" w14:textId="65D831F1" w:rsidR="00A931DB" w:rsidRPr="00583E33" w:rsidRDefault="00FC4300" w:rsidP="00FC4300">
      <w:pPr>
        <w:spacing w:after="0"/>
        <w:ind w:firstLine="720"/>
        <w:rPr>
          <w:color w:val="00B0F0"/>
        </w:rPr>
      </w:pPr>
      <w:r>
        <w:t xml:space="preserve">It would not be prudent nor ethical of the anthropologist to exoticise the people with whom they are working; to freeze them in time through the ethnographising of their culture and society. This is precisely what is </w:t>
      </w:r>
      <w:r w:rsidR="00080698">
        <w:t>anachronistic within the discipline in its traditional, ethnography-centred form.</w:t>
      </w:r>
      <w:r w:rsidR="00A13158">
        <w:t xml:space="preserve"> Rather than looking upon </w:t>
      </w:r>
      <w:r w:rsidR="00A13158" w:rsidRPr="00045088">
        <w:t>non-</w:t>
      </w:r>
      <w:r w:rsidR="00045088">
        <w:t>hegemonic</w:t>
      </w:r>
      <w:r w:rsidR="00045088">
        <w:rPr>
          <w:rStyle w:val="FootnoteReference"/>
        </w:rPr>
        <w:footnoteReference w:id="3"/>
      </w:r>
      <w:r w:rsidR="00A13158">
        <w:t xml:space="preserve"> societies as exemplars of different ways of being human, the anthropologist should look upon them simply as societies. Societies do not stay the same. Just as European, American, “developed” societies have changed and evolved throughout their history, so </w:t>
      </w:r>
      <w:r w:rsidR="006A30D1">
        <w:t>have</w:t>
      </w:r>
      <w:r w:rsidR="00A13158">
        <w:t xml:space="preserve"> others. And in both cases, this process is ongoing and will continue. </w:t>
      </w:r>
      <w:r w:rsidR="0091500C">
        <w:t>When this is acknowledged, the traditional practice of ethnography becomes – to use Scheper-Hughes’ words – weak and useless. To document the lives and lifeworlds of a society at any one point in time is to merely do the job of a photographer or journalist. The role of the anthropologist should go beyond this, to work alongside the development</w:t>
      </w:r>
      <w:r w:rsidR="0091500C">
        <w:rPr>
          <w:rStyle w:val="FootnoteReference"/>
        </w:rPr>
        <w:footnoteReference w:id="4"/>
      </w:r>
      <w:r w:rsidR="00CA7733">
        <w:t xml:space="preserve"> </w:t>
      </w:r>
      <w:r w:rsidR="0091500C">
        <w:t xml:space="preserve">of societies in a positive, engaged, active and (most importantly) supportive capacity. This is not to impose development upon people, but to acknowledge and support an ongoing process. This is incumbent upon </w:t>
      </w:r>
      <w:r w:rsidR="0091500C" w:rsidRPr="00045088">
        <w:t>Euro-American</w:t>
      </w:r>
      <w:r w:rsidR="0091500C">
        <w:t xml:space="preserve"> societies in particular as the perpetrators of colonisation and empiricism.</w:t>
      </w:r>
    </w:p>
    <w:p w14:paraId="55CD14DE" w14:textId="2C3E5966" w:rsidR="00E53761" w:rsidRDefault="009F6A4B" w:rsidP="00B422DC">
      <w:pPr>
        <w:spacing w:after="0"/>
      </w:pPr>
      <w:r>
        <w:tab/>
        <w:t>Caroly</w:t>
      </w:r>
      <w:r w:rsidR="007C7860">
        <w:t>n</w:t>
      </w:r>
      <w:r>
        <w:t xml:space="preserve"> Fleuhr-Lobban (1995</w:t>
      </w:r>
      <w:r w:rsidR="00E01953">
        <w:t>: B1</w:t>
      </w:r>
      <w:r>
        <w:t>) clearly highlights the danger of cultural relativism:</w:t>
      </w:r>
    </w:p>
    <w:p w14:paraId="194804C0" w14:textId="77777777" w:rsidR="007A5D7E" w:rsidRDefault="007A5D7E" w:rsidP="00B422DC">
      <w:pPr>
        <w:spacing w:after="0"/>
      </w:pPr>
    </w:p>
    <w:p w14:paraId="0A90D3E0" w14:textId="6865C48D" w:rsidR="009F6A4B" w:rsidRDefault="005816FB" w:rsidP="007A5D7E">
      <w:pPr>
        <w:spacing w:after="0"/>
        <w:ind w:left="567" w:right="827"/>
        <w:rPr>
          <w:i/>
        </w:rPr>
      </w:pPr>
      <w:r>
        <w:rPr>
          <w:i/>
        </w:rPr>
        <w:t>[P]</w:t>
      </w:r>
      <w:r w:rsidR="007A5D7E" w:rsidRPr="007A5D7E">
        <w:rPr>
          <w:i/>
        </w:rPr>
        <w:t>ractices that violate individual rights or oppress particular groups have not been denounced. Anthropologists generally have not spoken out, for example, against the practice in many culture</w:t>
      </w:r>
      <w:r w:rsidR="007A5D7E">
        <w:rPr>
          <w:i/>
        </w:rPr>
        <w:t>s</w:t>
      </w:r>
      <w:r w:rsidR="007A5D7E" w:rsidRPr="007A5D7E">
        <w:rPr>
          <w:i/>
        </w:rPr>
        <w:t xml:space="preserve"> of female circumcision, which critics call a mutilation of women [</w:t>
      </w:r>
      <w:r w:rsidR="006B55A2">
        <w:rPr>
          <w:i/>
        </w:rPr>
        <w:t xml:space="preserve">the practice </w:t>
      </w:r>
      <w:r w:rsidR="007A5D7E" w:rsidRPr="007A5D7E">
        <w:rPr>
          <w:i/>
        </w:rPr>
        <w:t xml:space="preserve">now </w:t>
      </w:r>
      <w:r w:rsidR="006B55A2">
        <w:rPr>
          <w:i/>
        </w:rPr>
        <w:t xml:space="preserve">being </w:t>
      </w:r>
      <w:r w:rsidR="007A5D7E" w:rsidRPr="007A5D7E">
        <w:rPr>
          <w:i/>
        </w:rPr>
        <w:t>commonly referred to as female genital mutilation (FGM)]. They have been unwilling to pass judgment on such forms of culturally based homicide as the killing of infants or the aged. Some have withheld judgment on acts of communal violence, such as clashes between Hindus and Muslims in India or Tutsis and Hutus in Rwanda, perhaps because the animosities between those groups are of long standing.</w:t>
      </w:r>
    </w:p>
    <w:p w14:paraId="24FFB4B0" w14:textId="2204C906" w:rsidR="007A5D7E" w:rsidRDefault="007A5D7E" w:rsidP="00B422DC">
      <w:pPr>
        <w:spacing w:after="0"/>
        <w:rPr>
          <w:i/>
        </w:rPr>
      </w:pPr>
    </w:p>
    <w:p w14:paraId="2CA0B18A" w14:textId="6C024DA6" w:rsidR="007A5D7E" w:rsidRPr="007A5D7E" w:rsidRDefault="007A5D7E" w:rsidP="00B422DC">
      <w:pPr>
        <w:spacing w:after="0"/>
      </w:pPr>
      <w:r>
        <w:tab/>
        <w:t xml:space="preserve">At what point, then, do morals override ethics? Ought the anthropologist to stand by and remain impartial in the face of violent practices such as FGM? </w:t>
      </w:r>
      <w:r w:rsidR="007F65E3">
        <w:t xml:space="preserve">If they are to adhere to the ethical policy of cultural relativism, they must. But this is a coagent of the anachronistic ethnographic method of anthropological practice which has led to, as Da Col and Graeber (2011) describe, the decline of Anthropology into irrelevance and inaction. In sum: for societies to change is not a tragic loss. Put simply, that is what they do. And to insist upon the preservation of </w:t>
      </w:r>
      <w:r w:rsidR="00F310E5">
        <w:t>harmful, violent and violative cultural practices is to commit the otherisation and exoticism of people and societies which anthropologists are ever-cautious to avoid.</w:t>
      </w:r>
    </w:p>
    <w:p w14:paraId="41340CEC" w14:textId="6DE6BF07" w:rsidR="00203A7F" w:rsidRDefault="00203A7F" w:rsidP="00B422DC">
      <w:pPr>
        <w:spacing w:after="0"/>
      </w:pPr>
      <w:r>
        <w:lastRenderedPageBreak/>
        <w:tab/>
      </w:r>
      <w:r w:rsidR="0001626D">
        <w:t>In many ways</w:t>
      </w:r>
      <w:r w:rsidR="00502595">
        <w:t xml:space="preserve">, </w:t>
      </w:r>
      <w:r w:rsidR="00FF073F">
        <w:t xml:space="preserve">the debate of whether anthropologists should be activists can be stripped back to a broader debate about the nature of Anthropology. There is a difference between learning </w:t>
      </w:r>
      <w:r w:rsidR="00FF073F">
        <w:rPr>
          <w:i/>
        </w:rPr>
        <w:t xml:space="preserve">about </w:t>
      </w:r>
      <w:r w:rsidR="00FF073F">
        <w:t xml:space="preserve">people and learning </w:t>
      </w:r>
      <w:r w:rsidR="00FF073F">
        <w:rPr>
          <w:i/>
        </w:rPr>
        <w:t xml:space="preserve">from </w:t>
      </w:r>
      <w:r w:rsidR="00FF073F">
        <w:t>people</w:t>
      </w:r>
      <w:r w:rsidR="003D1F53">
        <w:t>; between knowledge-gaining and embodied learning</w:t>
      </w:r>
      <w:bookmarkStart w:id="0" w:name="_GoBack"/>
      <w:bookmarkEnd w:id="0"/>
      <w:r w:rsidR="00FF073F">
        <w:t xml:space="preserve">. An early anthropologist may have travelled to a country to “study” a group of people and learn </w:t>
      </w:r>
      <w:r w:rsidR="00FF073F">
        <w:rPr>
          <w:i/>
        </w:rPr>
        <w:t>about</w:t>
      </w:r>
      <w:r w:rsidR="00FF073F">
        <w:t xml:space="preserve"> them; to gain knowledge and data </w:t>
      </w:r>
      <w:r w:rsidR="00FF073F">
        <w:rPr>
          <w:i/>
        </w:rPr>
        <w:t>about</w:t>
      </w:r>
      <w:r w:rsidR="00FF073F">
        <w:t xml:space="preserve"> a particular people and the way in which they live. However, modern Anthropology is – or rather should be – geared far more towards learning </w:t>
      </w:r>
      <w:r w:rsidR="00FF073F">
        <w:rPr>
          <w:i/>
        </w:rPr>
        <w:t>from</w:t>
      </w:r>
      <w:r w:rsidR="00FF073F">
        <w:t xml:space="preserve"> the people in question. As previously mentioned in discussion of Ingold’s (2014) article, modern Anthropology can </w:t>
      </w:r>
      <w:r w:rsidR="00312FD0">
        <w:t>employ, in lieu of ethnography, a practice of being educated. The anthropologist, in contrast to</w:t>
      </w:r>
      <w:r w:rsidR="00A931DB">
        <w:t xml:space="preserve"> simply</w:t>
      </w:r>
      <w:r w:rsidR="00312FD0">
        <w:t xml:space="preserve"> </w:t>
      </w:r>
      <w:r w:rsidR="00312FD0" w:rsidRPr="00A931DB">
        <w:rPr>
          <w:i/>
        </w:rPr>
        <w:t>gathering data</w:t>
      </w:r>
      <w:r w:rsidR="00312FD0">
        <w:t xml:space="preserve"> to be shared with other academics, </w:t>
      </w:r>
      <w:r w:rsidR="00312FD0" w:rsidRPr="00A931DB">
        <w:rPr>
          <w:i/>
        </w:rPr>
        <w:t xml:space="preserve">learns </w:t>
      </w:r>
      <w:r w:rsidR="00312FD0">
        <w:t xml:space="preserve">the customs, norms and, crucially, the values and beliefs of a particular group of people. The second vital aspect of this approach to Anthropology is engagement with the information taught to the anthropologist. It is not enough for the anthropologist to simply “write up” their findings in a journal or ethnography – they must engage actively with them and explore new modes of thinking and being. After all, what is the point of learning </w:t>
      </w:r>
      <w:r w:rsidR="00312FD0">
        <w:rPr>
          <w:i/>
        </w:rPr>
        <w:t>about</w:t>
      </w:r>
      <w:r w:rsidR="00312FD0">
        <w:t xml:space="preserve"> a group of people, if the anthropologist does not also learn </w:t>
      </w:r>
      <w:r w:rsidR="00312FD0">
        <w:rPr>
          <w:i/>
        </w:rPr>
        <w:t>from</w:t>
      </w:r>
      <w:r w:rsidR="00312FD0">
        <w:t xml:space="preserve"> them?</w:t>
      </w:r>
    </w:p>
    <w:p w14:paraId="1CCBC320" w14:textId="2A1CEDA3" w:rsidR="008E26CC" w:rsidRDefault="00312FD0">
      <w:pPr>
        <w:spacing w:after="0"/>
      </w:pPr>
      <w:r>
        <w:tab/>
        <w:t xml:space="preserve">Such an approach – one which is engaged before ethnographic </w:t>
      </w:r>
      <w:r w:rsidR="004C17C0">
        <w:t>–</w:t>
      </w:r>
      <w:r>
        <w:t xml:space="preserve"> </w:t>
      </w:r>
      <w:r w:rsidR="004C17C0">
        <w:t xml:space="preserve">lends itself to an activist anthropology, as it is not, as is traditional Anthropology, limited to the confines of academia. Instead, </w:t>
      </w:r>
      <w:r w:rsidR="008E26CC">
        <w:t>this Anthropology can be taken beyond ethnography to become an active and constructive discipline which takes on and occupies fully its own clear standing both within and beyond academic discourse.</w:t>
      </w:r>
    </w:p>
    <w:p w14:paraId="5FA920C8" w14:textId="77777777" w:rsidR="00045088" w:rsidRDefault="00045088" w:rsidP="00045088"/>
    <w:p w14:paraId="02CAC5C1" w14:textId="1F6B12F9" w:rsidR="007A5D7E" w:rsidRDefault="007A5D7E">
      <w:pPr>
        <w:spacing w:after="0"/>
        <w:rPr>
          <w:sz w:val="20"/>
        </w:rPr>
      </w:pPr>
      <w:r>
        <w:rPr>
          <w:sz w:val="20"/>
        </w:rPr>
        <w:t>References:</w:t>
      </w:r>
    </w:p>
    <w:p w14:paraId="69C39F50" w14:textId="446D6DD8" w:rsidR="007A5D7E" w:rsidRPr="00045088" w:rsidRDefault="00F310E5">
      <w:pPr>
        <w:spacing w:after="0"/>
        <w:rPr>
          <w:sz w:val="20"/>
          <w:szCs w:val="20"/>
        </w:rPr>
      </w:pPr>
      <w:r w:rsidRPr="00045088">
        <w:rPr>
          <w:sz w:val="20"/>
          <w:szCs w:val="20"/>
        </w:rPr>
        <w:t xml:space="preserve">Clifford, J. (1988) </w:t>
      </w:r>
      <w:r w:rsidRPr="00045088">
        <w:rPr>
          <w:i/>
          <w:sz w:val="20"/>
          <w:szCs w:val="20"/>
        </w:rPr>
        <w:t>The Predicament of Culture: Twentieth-Century Ethnography, Literature, and Art</w:t>
      </w:r>
      <w:r w:rsidRPr="00045088">
        <w:rPr>
          <w:sz w:val="20"/>
          <w:szCs w:val="20"/>
        </w:rPr>
        <w:t>. London: Harvard University Press.</w:t>
      </w:r>
    </w:p>
    <w:p w14:paraId="351BC997" w14:textId="21C472FB" w:rsidR="00F310E5" w:rsidRPr="00045088" w:rsidRDefault="00045088">
      <w:pPr>
        <w:spacing w:after="0"/>
        <w:rPr>
          <w:rStyle w:val="Hyperlink"/>
          <w:sz w:val="20"/>
          <w:szCs w:val="20"/>
        </w:rPr>
      </w:pPr>
      <w:r w:rsidRPr="00045088">
        <w:rPr>
          <w:sz w:val="20"/>
          <w:szCs w:val="20"/>
        </w:rPr>
        <w:t xml:space="preserve">Da Col, G. and Graeber, D. (2011) ‘Foreword: The Return of Ethnographic Theory’, </w:t>
      </w:r>
      <w:r w:rsidRPr="00045088">
        <w:rPr>
          <w:i/>
          <w:sz w:val="20"/>
          <w:szCs w:val="20"/>
        </w:rPr>
        <w:t>HAU: Journal of Ethnographic Theory</w:t>
      </w:r>
      <w:r w:rsidRPr="00045088">
        <w:rPr>
          <w:sz w:val="20"/>
          <w:szCs w:val="20"/>
        </w:rPr>
        <w:t xml:space="preserve">, 1(1), pp.vi-xxxv. (online) Accessed 12 Mar 2019. URL: </w:t>
      </w:r>
      <w:hyperlink r:id="rId7" w:history="1">
        <w:r w:rsidRPr="00045088">
          <w:rPr>
            <w:rStyle w:val="Hyperlink"/>
            <w:sz w:val="20"/>
            <w:szCs w:val="20"/>
          </w:rPr>
          <w:t>https://search-proquest-com.ezproxy.uwtsd.ac.uk/docview/1850088509/fulltextPDF/50EE90EFB6DC4218PQ/1?accountid=130472</w:t>
        </w:r>
      </w:hyperlink>
    </w:p>
    <w:p w14:paraId="087BDBA2" w14:textId="3B83DC07" w:rsidR="00045088" w:rsidRPr="00045088" w:rsidRDefault="00045088">
      <w:pPr>
        <w:spacing w:after="0"/>
        <w:rPr>
          <w:rStyle w:val="Hyperlink"/>
          <w:sz w:val="20"/>
          <w:szCs w:val="20"/>
        </w:rPr>
      </w:pPr>
      <w:r w:rsidRPr="00045088">
        <w:rPr>
          <w:sz w:val="20"/>
          <w:szCs w:val="20"/>
        </w:rPr>
        <w:t xml:space="preserve">Evans, G. (2012) ‘Practising Participant Observation: An Anthropologist’s Account’, </w:t>
      </w:r>
      <w:r w:rsidRPr="00045088">
        <w:rPr>
          <w:i/>
          <w:sz w:val="20"/>
          <w:szCs w:val="20"/>
        </w:rPr>
        <w:t>Journal of Organisational Ethnography</w:t>
      </w:r>
      <w:r w:rsidRPr="00045088">
        <w:rPr>
          <w:sz w:val="20"/>
          <w:szCs w:val="20"/>
        </w:rPr>
        <w:t xml:space="preserve">, 1(1), pp.96-106. Accessed 13 Mar 2019. URL: </w:t>
      </w:r>
      <w:hyperlink r:id="rId8" w:history="1">
        <w:r w:rsidRPr="00045088">
          <w:rPr>
            <w:rStyle w:val="Hyperlink"/>
            <w:sz w:val="20"/>
            <w:szCs w:val="20"/>
          </w:rPr>
          <w:t>https://search-proquest-com.ezproxy.uwtsd.ac.uk/docview/1031192241/fulltextPDF/A1C82D8E0C8844CFPQ/1?accountid=130472</w:t>
        </w:r>
      </w:hyperlink>
    </w:p>
    <w:p w14:paraId="4C9CDE4C" w14:textId="10736EA7" w:rsidR="00045088" w:rsidRDefault="00045088">
      <w:pPr>
        <w:spacing w:after="0"/>
        <w:rPr>
          <w:sz w:val="20"/>
          <w:szCs w:val="20"/>
        </w:rPr>
      </w:pPr>
      <w:r w:rsidRPr="00045088">
        <w:rPr>
          <w:sz w:val="20"/>
          <w:szCs w:val="20"/>
        </w:rPr>
        <w:t xml:space="preserve">Fleuhr-Lobban, C. (1995) ‘Cultural Relativism and Universal Rights’, </w:t>
      </w:r>
      <w:r w:rsidRPr="00045088">
        <w:rPr>
          <w:i/>
          <w:sz w:val="20"/>
          <w:szCs w:val="20"/>
        </w:rPr>
        <w:t>The Chronicle of Higher Education</w:t>
      </w:r>
      <w:r w:rsidRPr="00045088">
        <w:rPr>
          <w:sz w:val="20"/>
          <w:szCs w:val="20"/>
        </w:rPr>
        <w:t>, 41(39), pp.B1-B2. Accessed 15</w:t>
      </w:r>
      <w:r w:rsidRPr="00045088">
        <w:rPr>
          <w:sz w:val="20"/>
          <w:szCs w:val="20"/>
          <w:vertAlign w:val="superscript"/>
        </w:rPr>
        <w:t>th</w:t>
      </w:r>
      <w:r w:rsidRPr="00045088">
        <w:rPr>
          <w:sz w:val="20"/>
          <w:szCs w:val="20"/>
        </w:rPr>
        <w:t xml:space="preserve"> Mar 2019. URL: </w:t>
      </w:r>
      <w:hyperlink r:id="rId9" w:history="1">
        <w:r w:rsidRPr="00045088">
          <w:rPr>
            <w:rStyle w:val="Hyperlink"/>
            <w:sz w:val="20"/>
            <w:szCs w:val="20"/>
          </w:rPr>
          <w:t>https:</w:t>
        </w:r>
        <w:r w:rsidRPr="00045088">
          <w:rPr>
            <w:rStyle w:val="Hyperlink"/>
            <w:sz w:val="20"/>
            <w:szCs w:val="20"/>
          </w:rPr>
          <w:t>//search-proquest-com.ezproxy.uwtsd.ac.uk/docview/214735014/fulltext/2C6DFA68C3B24523PQ/1?accountid=130472</w:t>
        </w:r>
      </w:hyperlink>
    </w:p>
    <w:p w14:paraId="3768A50E" w14:textId="75810BF0" w:rsidR="00416359" w:rsidRPr="00416359" w:rsidRDefault="00416359">
      <w:pPr>
        <w:spacing w:after="0"/>
        <w:rPr>
          <w:sz w:val="20"/>
          <w:szCs w:val="20"/>
        </w:rPr>
      </w:pPr>
      <w:r>
        <w:rPr>
          <w:sz w:val="20"/>
          <w:szCs w:val="20"/>
        </w:rPr>
        <w:t xml:space="preserve">Folorunso, P.O. (2015) ‘Cultural Relativism: An Impediment to Africa’s Development’, </w:t>
      </w:r>
      <w:r>
        <w:rPr>
          <w:i/>
          <w:sz w:val="20"/>
          <w:szCs w:val="20"/>
        </w:rPr>
        <w:t>Cogito</w:t>
      </w:r>
      <w:r>
        <w:rPr>
          <w:sz w:val="20"/>
          <w:szCs w:val="20"/>
        </w:rPr>
        <w:t>, 7(4), pp.22-32</w:t>
      </w:r>
      <w:r w:rsidR="00934023">
        <w:rPr>
          <w:sz w:val="20"/>
          <w:szCs w:val="20"/>
        </w:rPr>
        <w:t>. Accessed 15</w:t>
      </w:r>
      <w:r w:rsidR="00934023" w:rsidRPr="00934023">
        <w:rPr>
          <w:sz w:val="20"/>
          <w:szCs w:val="20"/>
          <w:vertAlign w:val="superscript"/>
        </w:rPr>
        <w:t>th</w:t>
      </w:r>
      <w:r w:rsidR="00934023">
        <w:rPr>
          <w:sz w:val="20"/>
          <w:szCs w:val="20"/>
        </w:rPr>
        <w:t xml:space="preserve"> Mar 2019. URL: </w:t>
      </w:r>
      <w:hyperlink r:id="rId10" w:history="1">
        <w:r w:rsidR="00934023" w:rsidRPr="00551C57">
          <w:rPr>
            <w:rStyle w:val="Hyperlink"/>
            <w:sz w:val="20"/>
            <w:szCs w:val="20"/>
          </w:rPr>
          <w:t>https://web-b-ebscohost-com.ezproxy.uwtsd.ac.uk/ehost/pdfviewer/pdfviewer?vid=3&amp;sid=e3a4c87e-564f-46bf-a1f9-cc850525fc5e%40sessionmgr102</w:t>
        </w:r>
      </w:hyperlink>
    </w:p>
    <w:p w14:paraId="4D2A3FDB" w14:textId="1ED53E1F" w:rsidR="00045088" w:rsidRPr="00045088" w:rsidRDefault="00045088">
      <w:pPr>
        <w:spacing w:after="0"/>
        <w:rPr>
          <w:sz w:val="20"/>
          <w:szCs w:val="20"/>
        </w:rPr>
      </w:pPr>
      <w:r w:rsidRPr="00045088">
        <w:rPr>
          <w:sz w:val="20"/>
          <w:szCs w:val="20"/>
        </w:rPr>
        <w:t xml:space="preserve">Hale, C.R. (2007) ‘In Praise of “Reckless Minds”: Making a Case for Activist Anthropology’, in: Field, L.W. and Fox, R.G. (eds.) (2007) ‘Anthropology Put to Work’, </w:t>
      </w:r>
      <w:r w:rsidRPr="00045088">
        <w:rPr>
          <w:i/>
          <w:sz w:val="20"/>
          <w:szCs w:val="20"/>
        </w:rPr>
        <w:t>Wenner-Gren International Symposium Series</w:t>
      </w:r>
      <w:r w:rsidRPr="00045088">
        <w:rPr>
          <w:sz w:val="20"/>
          <w:szCs w:val="20"/>
        </w:rPr>
        <w:t>. New York: Berg. Ch.5, pp.103-128. Accessed 14</w:t>
      </w:r>
      <w:r w:rsidRPr="00045088">
        <w:rPr>
          <w:sz w:val="20"/>
          <w:szCs w:val="20"/>
          <w:vertAlign w:val="superscript"/>
        </w:rPr>
        <w:t>th</w:t>
      </w:r>
      <w:r w:rsidRPr="00045088">
        <w:rPr>
          <w:sz w:val="20"/>
          <w:szCs w:val="20"/>
        </w:rPr>
        <w:t xml:space="preserve"> Mar 2019. URL: </w:t>
      </w:r>
      <w:hyperlink r:id="rId11" w:history="1">
        <w:r w:rsidRPr="00045088">
          <w:rPr>
            <w:rStyle w:val="Hyperlink"/>
            <w:sz w:val="20"/>
            <w:szCs w:val="20"/>
          </w:rPr>
          <w:t>https://www-dawsonera-com.ezproxy.uwtsd.ac.uk/readonline/9781847883339</w:t>
        </w:r>
      </w:hyperlink>
    </w:p>
    <w:p w14:paraId="75BCE301" w14:textId="135A8FED" w:rsidR="00045088" w:rsidRPr="00045088" w:rsidRDefault="00045088">
      <w:pPr>
        <w:spacing w:after="0"/>
        <w:rPr>
          <w:rStyle w:val="Hyperlink"/>
          <w:sz w:val="20"/>
          <w:szCs w:val="20"/>
        </w:rPr>
      </w:pPr>
      <w:r w:rsidRPr="00045088">
        <w:rPr>
          <w:sz w:val="20"/>
          <w:szCs w:val="20"/>
        </w:rPr>
        <w:t xml:space="preserve">Ingold, T. (2014) ‘That’s Enough About Ethnography!’, </w:t>
      </w:r>
      <w:r w:rsidRPr="00045088">
        <w:rPr>
          <w:i/>
          <w:sz w:val="20"/>
          <w:szCs w:val="20"/>
        </w:rPr>
        <w:t>HAU: Journal of Ethnographic Theory</w:t>
      </w:r>
      <w:r w:rsidRPr="00045088">
        <w:rPr>
          <w:sz w:val="20"/>
          <w:szCs w:val="20"/>
        </w:rPr>
        <w:t xml:space="preserve">, 4(1), pp.383-395. (online) Accessed 12 Mar 2019. URL: </w:t>
      </w:r>
      <w:hyperlink r:id="rId12" w:history="1">
        <w:r w:rsidRPr="00045088">
          <w:rPr>
            <w:rStyle w:val="Hyperlink"/>
            <w:sz w:val="20"/>
            <w:szCs w:val="20"/>
          </w:rPr>
          <w:t>https://moodle.uwtsd.ac.uk/pluginfile.php/241183/mod_resource/content/1/Ingold%202014.pdf</w:t>
        </w:r>
      </w:hyperlink>
    </w:p>
    <w:p w14:paraId="14502BDA" w14:textId="4B76830F" w:rsidR="00045088" w:rsidRPr="00045088" w:rsidRDefault="00045088">
      <w:pPr>
        <w:spacing w:after="0"/>
        <w:rPr>
          <w:rFonts w:cstheme="minorHAnsi"/>
          <w:sz w:val="20"/>
          <w:szCs w:val="20"/>
        </w:rPr>
      </w:pPr>
      <w:r w:rsidRPr="00045088">
        <w:rPr>
          <w:rFonts w:cstheme="minorHAnsi"/>
          <w:sz w:val="20"/>
          <w:szCs w:val="20"/>
        </w:rPr>
        <w:t xml:space="preserve">Lewis, I.M. (1976). </w:t>
      </w:r>
      <w:r w:rsidRPr="00045088">
        <w:rPr>
          <w:rFonts w:cstheme="minorHAnsi"/>
          <w:i/>
          <w:sz w:val="20"/>
          <w:szCs w:val="20"/>
        </w:rPr>
        <w:t>Social Anthropology in Perspective</w:t>
      </w:r>
      <w:r w:rsidRPr="00045088">
        <w:rPr>
          <w:rFonts w:cstheme="minorHAnsi"/>
          <w:sz w:val="20"/>
          <w:szCs w:val="20"/>
        </w:rPr>
        <w:t>. Middlesex: Penguin Books.</w:t>
      </w:r>
    </w:p>
    <w:p w14:paraId="1C8EA461" w14:textId="1748ACCF" w:rsidR="00045088" w:rsidRPr="00045088" w:rsidRDefault="00045088">
      <w:pPr>
        <w:spacing w:after="0"/>
        <w:rPr>
          <w:sz w:val="20"/>
          <w:szCs w:val="20"/>
        </w:rPr>
      </w:pPr>
      <w:r w:rsidRPr="00045088">
        <w:rPr>
          <w:sz w:val="20"/>
          <w:szCs w:val="20"/>
        </w:rPr>
        <w:t xml:space="preserve">Scheper-Hughes, N. (1992). </w:t>
      </w:r>
      <w:r w:rsidRPr="00045088">
        <w:rPr>
          <w:i/>
          <w:sz w:val="20"/>
          <w:szCs w:val="20"/>
        </w:rPr>
        <w:t>Death Without Weeping: The Violence of Everyday Life in Brazil</w:t>
      </w:r>
      <w:r w:rsidRPr="00045088">
        <w:rPr>
          <w:sz w:val="20"/>
          <w:szCs w:val="20"/>
        </w:rPr>
        <w:t>. London: University of California Press.</w:t>
      </w:r>
    </w:p>
    <w:sectPr w:rsidR="00045088" w:rsidRPr="00045088" w:rsidSect="00B422DC">
      <w:head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366E19" w14:textId="77777777" w:rsidR="002A7360" w:rsidRDefault="002A7360" w:rsidP="00B422DC">
      <w:pPr>
        <w:spacing w:after="0" w:line="240" w:lineRule="auto"/>
      </w:pPr>
      <w:r>
        <w:separator/>
      </w:r>
    </w:p>
  </w:endnote>
  <w:endnote w:type="continuationSeparator" w:id="0">
    <w:p w14:paraId="0F048D83" w14:textId="77777777" w:rsidR="002A7360" w:rsidRDefault="002A7360" w:rsidP="00B42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C6A815" w14:textId="77777777" w:rsidR="002A7360" w:rsidRDefault="002A7360" w:rsidP="00B422DC">
      <w:pPr>
        <w:spacing w:after="0" w:line="240" w:lineRule="auto"/>
      </w:pPr>
      <w:r>
        <w:separator/>
      </w:r>
    </w:p>
  </w:footnote>
  <w:footnote w:type="continuationSeparator" w:id="0">
    <w:p w14:paraId="2D11048A" w14:textId="77777777" w:rsidR="002A7360" w:rsidRDefault="002A7360" w:rsidP="00B422DC">
      <w:pPr>
        <w:spacing w:after="0" w:line="240" w:lineRule="auto"/>
      </w:pPr>
      <w:r>
        <w:continuationSeparator/>
      </w:r>
    </w:p>
  </w:footnote>
  <w:footnote w:id="1">
    <w:p w14:paraId="49DE80B7" w14:textId="5AAF2EED" w:rsidR="004A53FC" w:rsidRDefault="004A53FC">
      <w:pPr>
        <w:pStyle w:val="FootnoteText"/>
      </w:pPr>
      <w:r>
        <w:rPr>
          <w:rStyle w:val="FootnoteReference"/>
        </w:rPr>
        <w:footnoteRef/>
      </w:r>
      <w:r>
        <w:t xml:space="preserve"> I have refrained from referring to individuals as ‘participants’ or ‘informants’, as these terms have implications and connotations which may be problematic. Ie. ‘participant’ implies that the researcher is leading the process; ‘informant’ suggests a form of betrayal or underhandedness, and a closed-off temporariness to the relationship between the individual and the anthropologist.</w:t>
      </w:r>
    </w:p>
  </w:footnote>
  <w:footnote w:id="2">
    <w:p w14:paraId="07112D55" w14:textId="20ABC12B" w:rsidR="004A53FC" w:rsidRDefault="004A53FC">
      <w:pPr>
        <w:pStyle w:val="FootnoteText"/>
      </w:pPr>
      <w:r>
        <w:rPr>
          <w:rStyle w:val="FootnoteReference"/>
        </w:rPr>
        <w:footnoteRef/>
      </w:r>
      <w:r>
        <w:t xml:space="preserve"> Here I have used the term “Western” to illustrate the stereotype of what would commonly be referred to as “western” individuals imposing their ideas of development upon a society seen as “undeveloped”. It should be noted that the term is not accurate</w:t>
      </w:r>
      <w:r w:rsidR="00A931DB">
        <w:t>.</w:t>
      </w:r>
    </w:p>
  </w:footnote>
  <w:footnote w:id="3">
    <w:p w14:paraId="61BCD358" w14:textId="78E8288B" w:rsidR="00045088" w:rsidRDefault="00045088">
      <w:pPr>
        <w:pStyle w:val="FootnoteText"/>
      </w:pPr>
      <w:r>
        <w:rPr>
          <w:rStyle w:val="FootnoteReference"/>
        </w:rPr>
        <w:footnoteRef/>
      </w:r>
      <w:r>
        <w:t xml:space="preserve"> I have referred to hegemony to illustrate the political-cultural hegemony of what may commonly be called “western” societies.</w:t>
      </w:r>
    </w:p>
  </w:footnote>
  <w:footnote w:id="4">
    <w:p w14:paraId="46FC32DD" w14:textId="7AF3ABE2" w:rsidR="0091500C" w:rsidRDefault="0091500C">
      <w:pPr>
        <w:pStyle w:val="FootnoteText"/>
      </w:pPr>
      <w:r>
        <w:rPr>
          <w:rStyle w:val="FootnoteReference"/>
        </w:rPr>
        <w:footnoteRef/>
      </w:r>
      <w:r>
        <w:t xml:space="preserve"> Note that “development” here is not necessarily as in the traditional sense of the term, </w:t>
      </w:r>
      <w:r w:rsidR="00747D65">
        <w:t xml:space="preserve">nor is it necessarily linear, </w:t>
      </w:r>
      <w:r>
        <w:t>but relat</w:t>
      </w:r>
      <w:r w:rsidR="00747D65">
        <w:t>es</w:t>
      </w:r>
      <w:r>
        <w:t xml:space="preserve"> to the inherent changing nature of society and culture.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8423B2" w14:textId="09EE18CE" w:rsidR="00B422DC" w:rsidRDefault="00B422DC">
    <w:pPr>
      <w:pStyle w:val="Header"/>
    </w:pPr>
    <w:r>
      <w:t>Thom Kelly  1700248</w:t>
    </w:r>
    <w:r>
      <w:tab/>
    </w:r>
    <w:r>
      <w:tab/>
    </w:r>
    <w:r>
      <w:tab/>
      <w:t xml:space="preserve">  HPAN5006</w:t>
    </w:r>
  </w:p>
  <w:p w14:paraId="0E3A53C2" w14:textId="77777777" w:rsidR="00B422DC" w:rsidRDefault="00B422D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422DC"/>
    <w:rsid w:val="0001626D"/>
    <w:rsid w:val="000435DD"/>
    <w:rsid w:val="00045088"/>
    <w:rsid w:val="000548C7"/>
    <w:rsid w:val="00080698"/>
    <w:rsid w:val="00080EDE"/>
    <w:rsid w:val="000C3BDE"/>
    <w:rsid w:val="00107E56"/>
    <w:rsid w:val="00133B9D"/>
    <w:rsid w:val="00152F86"/>
    <w:rsid w:val="00153C8F"/>
    <w:rsid w:val="00197283"/>
    <w:rsid w:val="001A5407"/>
    <w:rsid w:val="001E587F"/>
    <w:rsid w:val="001F214E"/>
    <w:rsid w:val="001F735E"/>
    <w:rsid w:val="00202608"/>
    <w:rsid w:val="00203A7F"/>
    <w:rsid w:val="00231626"/>
    <w:rsid w:val="00257E8E"/>
    <w:rsid w:val="002A7360"/>
    <w:rsid w:val="002C536C"/>
    <w:rsid w:val="002D0D55"/>
    <w:rsid w:val="002E51F7"/>
    <w:rsid w:val="002F124B"/>
    <w:rsid w:val="00312FD0"/>
    <w:rsid w:val="00367F0C"/>
    <w:rsid w:val="003B5A58"/>
    <w:rsid w:val="003D1F53"/>
    <w:rsid w:val="003F5EC7"/>
    <w:rsid w:val="004021B9"/>
    <w:rsid w:val="00416359"/>
    <w:rsid w:val="004A362C"/>
    <w:rsid w:val="004A53FC"/>
    <w:rsid w:val="004C17C0"/>
    <w:rsid w:val="00502595"/>
    <w:rsid w:val="00506CF9"/>
    <w:rsid w:val="005352BE"/>
    <w:rsid w:val="00563374"/>
    <w:rsid w:val="005816FB"/>
    <w:rsid w:val="00583E33"/>
    <w:rsid w:val="005D1525"/>
    <w:rsid w:val="005F4B97"/>
    <w:rsid w:val="00600E4E"/>
    <w:rsid w:val="006268DA"/>
    <w:rsid w:val="00646582"/>
    <w:rsid w:val="0068043F"/>
    <w:rsid w:val="00682085"/>
    <w:rsid w:val="00683E4D"/>
    <w:rsid w:val="006A30D1"/>
    <w:rsid w:val="006B55A2"/>
    <w:rsid w:val="006C2FDD"/>
    <w:rsid w:val="00705ED9"/>
    <w:rsid w:val="00747D65"/>
    <w:rsid w:val="00785C6E"/>
    <w:rsid w:val="0079646E"/>
    <w:rsid w:val="00796493"/>
    <w:rsid w:val="007A5D7E"/>
    <w:rsid w:val="007C7860"/>
    <w:rsid w:val="007E4C06"/>
    <w:rsid w:val="007F65E3"/>
    <w:rsid w:val="008171D5"/>
    <w:rsid w:val="008A09BE"/>
    <w:rsid w:val="008E26CC"/>
    <w:rsid w:val="0091500C"/>
    <w:rsid w:val="00934023"/>
    <w:rsid w:val="00942129"/>
    <w:rsid w:val="009A136D"/>
    <w:rsid w:val="009D34EB"/>
    <w:rsid w:val="009F6A4B"/>
    <w:rsid w:val="00A13158"/>
    <w:rsid w:val="00A3044A"/>
    <w:rsid w:val="00A523C0"/>
    <w:rsid w:val="00A6443F"/>
    <w:rsid w:val="00A931DB"/>
    <w:rsid w:val="00A94C36"/>
    <w:rsid w:val="00AD0A40"/>
    <w:rsid w:val="00AE6648"/>
    <w:rsid w:val="00B22810"/>
    <w:rsid w:val="00B422DC"/>
    <w:rsid w:val="00B62FE9"/>
    <w:rsid w:val="00B6603F"/>
    <w:rsid w:val="00B86390"/>
    <w:rsid w:val="00B94589"/>
    <w:rsid w:val="00BB36A1"/>
    <w:rsid w:val="00BD57A4"/>
    <w:rsid w:val="00C47B05"/>
    <w:rsid w:val="00C9161B"/>
    <w:rsid w:val="00CA0CD6"/>
    <w:rsid w:val="00CA7733"/>
    <w:rsid w:val="00D40D4E"/>
    <w:rsid w:val="00D47ECA"/>
    <w:rsid w:val="00DB3E4E"/>
    <w:rsid w:val="00E01953"/>
    <w:rsid w:val="00E527CB"/>
    <w:rsid w:val="00E53761"/>
    <w:rsid w:val="00E56F8A"/>
    <w:rsid w:val="00E73E64"/>
    <w:rsid w:val="00E92458"/>
    <w:rsid w:val="00EB4555"/>
    <w:rsid w:val="00ED48AC"/>
    <w:rsid w:val="00EF0A6C"/>
    <w:rsid w:val="00F310E5"/>
    <w:rsid w:val="00F3520A"/>
    <w:rsid w:val="00F36150"/>
    <w:rsid w:val="00F74F4A"/>
    <w:rsid w:val="00F92016"/>
    <w:rsid w:val="00FC4300"/>
    <w:rsid w:val="00FD3032"/>
    <w:rsid w:val="00FD7398"/>
    <w:rsid w:val="00FF073F"/>
    <w:rsid w:val="00FF62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FFA745"/>
  <w15:chartTrackingRefBased/>
  <w15:docId w15:val="{D78CB341-7758-4D5B-BB58-FCAEEE8AB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22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22DC"/>
  </w:style>
  <w:style w:type="paragraph" w:styleId="Footer">
    <w:name w:val="footer"/>
    <w:basedOn w:val="Normal"/>
    <w:link w:val="FooterChar"/>
    <w:uiPriority w:val="99"/>
    <w:unhideWhenUsed/>
    <w:rsid w:val="00B422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22DC"/>
  </w:style>
  <w:style w:type="character" w:styleId="CommentReference">
    <w:name w:val="annotation reference"/>
    <w:basedOn w:val="DefaultParagraphFont"/>
    <w:uiPriority w:val="99"/>
    <w:semiHidden/>
    <w:unhideWhenUsed/>
    <w:rsid w:val="005352BE"/>
    <w:rPr>
      <w:sz w:val="16"/>
      <w:szCs w:val="16"/>
    </w:rPr>
  </w:style>
  <w:style w:type="paragraph" w:styleId="CommentText">
    <w:name w:val="annotation text"/>
    <w:basedOn w:val="Normal"/>
    <w:link w:val="CommentTextChar"/>
    <w:uiPriority w:val="99"/>
    <w:semiHidden/>
    <w:unhideWhenUsed/>
    <w:rsid w:val="005352BE"/>
    <w:pPr>
      <w:spacing w:line="240" w:lineRule="auto"/>
    </w:pPr>
    <w:rPr>
      <w:sz w:val="20"/>
      <w:szCs w:val="20"/>
    </w:rPr>
  </w:style>
  <w:style w:type="character" w:customStyle="1" w:styleId="CommentTextChar">
    <w:name w:val="Comment Text Char"/>
    <w:basedOn w:val="DefaultParagraphFont"/>
    <w:link w:val="CommentText"/>
    <w:uiPriority w:val="99"/>
    <w:semiHidden/>
    <w:rsid w:val="005352BE"/>
    <w:rPr>
      <w:sz w:val="20"/>
      <w:szCs w:val="20"/>
    </w:rPr>
  </w:style>
  <w:style w:type="paragraph" w:styleId="CommentSubject">
    <w:name w:val="annotation subject"/>
    <w:basedOn w:val="CommentText"/>
    <w:next w:val="CommentText"/>
    <w:link w:val="CommentSubjectChar"/>
    <w:uiPriority w:val="99"/>
    <w:semiHidden/>
    <w:unhideWhenUsed/>
    <w:rsid w:val="005352BE"/>
    <w:rPr>
      <w:b/>
      <w:bCs/>
    </w:rPr>
  </w:style>
  <w:style w:type="character" w:customStyle="1" w:styleId="CommentSubjectChar">
    <w:name w:val="Comment Subject Char"/>
    <w:basedOn w:val="CommentTextChar"/>
    <w:link w:val="CommentSubject"/>
    <w:uiPriority w:val="99"/>
    <w:semiHidden/>
    <w:rsid w:val="005352BE"/>
    <w:rPr>
      <w:b/>
      <w:bCs/>
      <w:sz w:val="20"/>
      <w:szCs w:val="20"/>
    </w:rPr>
  </w:style>
  <w:style w:type="paragraph" w:styleId="BalloonText">
    <w:name w:val="Balloon Text"/>
    <w:basedOn w:val="Normal"/>
    <w:link w:val="BalloonTextChar"/>
    <w:uiPriority w:val="99"/>
    <w:semiHidden/>
    <w:unhideWhenUsed/>
    <w:rsid w:val="005352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52BE"/>
    <w:rPr>
      <w:rFonts w:ascii="Segoe UI" w:hAnsi="Segoe UI" w:cs="Segoe UI"/>
      <w:sz w:val="18"/>
      <w:szCs w:val="18"/>
    </w:rPr>
  </w:style>
  <w:style w:type="character" w:styleId="Hyperlink">
    <w:name w:val="Hyperlink"/>
    <w:basedOn w:val="DefaultParagraphFont"/>
    <w:uiPriority w:val="99"/>
    <w:unhideWhenUsed/>
    <w:rsid w:val="009D34EB"/>
    <w:rPr>
      <w:color w:val="0000FF" w:themeColor="hyperlink"/>
      <w:u w:val="single"/>
    </w:rPr>
  </w:style>
  <w:style w:type="character" w:styleId="UnresolvedMention">
    <w:name w:val="Unresolved Mention"/>
    <w:basedOn w:val="DefaultParagraphFont"/>
    <w:uiPriority w:val="99"/>
    <w:semiHidden/>
    <w:unhideWhenUsed/>
    <w:rsid w:val="009D34EB"/>
    <w:rPr>
      <w:color w:val="605E5C"/>
      <w:shd w:val="clear" w:color="auto" w:fill="E1DFDD"/>
    </w:rPr>
  </w:style>
  <w:style w:type="character" w:styleId="FollowedHyperlink">
    <w:name w:val="FollowedHyperlink"/>
    <w:basedOn w:val="DefaultParagraphFont"/>
    <w:uiPriority w:val="99"/>
    <w:semiHidden/>
    <w:unhideWhenUsed/>
    <w:rsid w:val="00FF6276"/>
    <w:rPr>
      <w:color w:val="800080" w:themeColor="followedHyperlink"/>
      <w:u w:val="single"/>
    </w:rPr>
  </w:style>
  <w:style w:type="paragraph" w:styleId="FootnoteText">
    <w:name w:val="footnote text"/>
    <w:basedOn w:val="Normal"/>
    <w:link w:val="FootnoteTextChar"/>
    <w:uiPriority w:val="99"/>
    <w:semiHidden/>
    <w:unhideWhenUsed/>
    <w:rsid w:val="0056337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63374"/>
    <w:rPr>
      <w:sz w:val="20"/>
      <w:szCs w:val="20"/>
    </w:rPr>
  </w:style>
  <w:style w:type="character" w:styleId="FootnoteReference">
    <w:name w:val="footnote reference"/>
    <w:basedOn w:val="DefaultParagraphFont"/>
    <w:uiPriority w:val="99"/>
    <w:semiHidden/>
    <w:unhideWhenUsed/>
    <w:rsid w:val="0056337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proquest-com.ezproxy.uwtsd.ac.uk/docview/1031192241/fulltextPDF/A1C82D8E0C8844CFPQ/1?accountid=130472"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search-proquest-com.ezproxy.uwtsd.ac.uk/docview/1850088509/fulltextPDF/50EE90EFB6DC4218PQ/1?accountid=130472" TargetMode="External"/><Relationship Id="rId12" Type="http://schemas.openxmlformats.org/officeDocument/2006/relationships/hyperlink" Target="https://moodle.uwtsd.ac.uk/pluginfile.php/241183/mod_resource/content/1/Ingold%202014.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dawsonera-com.ezproxy.uwtsd.ac.uk/readonline/9781847883339"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eb-b-ebscohost-com.ezproxy.uwtsd.ac.uk/ehost/pdfviewer/pdfviewer?vid=3&amp;sid=e3a4c87e-564f-46bf-a1f9-cc850525fc5e%40sessionmgr102" TargetMode="External"/><Relationship Id="rId4" Type="http://schemas.openxmlformats.org/officeDocument/2006/relationships/webSettings" Target="webSettings.xml"/><Relationship Id="rId9" Type="http://schemas.openxmlformats.org/officeDocument/2006/relationships/hyperlink" Target="https://search-proquest-com.ezproxy.uwtsd.ac.uk/docview/214735014/fulltext/2C6DFA68C3B24523PQ/1?accountid=13047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14E076F-0B3C-4EF9-B398-4A9CE126D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1753</TotalTime>
  <Pages>4</Pages>
  <Words>2662</Words>
  <Characters>15174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 Kelly</dc:creator>
  <cp:keywords/>
  <dc:description/>
  <cp:lastModifiedBy>Thom Kelly</cp:lastModifiedBy>
  <cp:revision>37</cp:revision>
  <dcterms:created xsi:type="dcterms:W3CDTF">2019-03-09T16:17:00Z</dcterms:created>
  <dcterms:modified xsi:type="dcterms:W3CDTF">2019-03-15T17:10:00Z</dcterms:modified>
</cp:coreProperties>
</file>