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2BC9F" w14:textId="77777777" w:rsidR="00040E61" w:rsidRPr="00D212FD" w:rsidRDefault="00040E61" w:rsidP="00040E61">
      <w:pPr>
        <w:rPr>
          <w:color w:val="000000" w:themeColor="text1"/>
        </w:rPr>
      </w:pPr>
      <w:r w:rsidRPr="00D212FD">
        <w:rPr>
          <w:color w:val="000000" w:themeColor="text1"/>
        </w:rPr>
        <w:t xml:space="preserve">                   </w:t>
      </w:r>
    </w:p>
    <w:p w14:paraId="2C0B0BA9" w14:textId="77777777" w:rsidR="00040E61" w:rsidRPr="00D212FD" w:rsidRDefault="00040E61" w:rsidP="00040E61">
      <w:pPr>
        <w:jc w:val="center"/>
        <w:rPr>
          <w:color w:val="000000" w:themeColor="text1"/>
        </w:rPr>
      </w:pPr>
      <w:r w:rsidRPr="00D212FD">
        <w:rPr>
          <w:b/>
          <w:bCs/>
          <w:color w:val="000000" w:themeColor="text1"/>
          <w:u w:val="single"/>
        </w:rPr>
        <w:t>ASSIGNMENT 2</w:t>
      </w:r>
    </w:p>
    <w:p w14:paraId="3ECB1B73" w14:textId="165956F2" w:rsidR="00040E61" w:rsidRPr="00040E61" w:rsidRDefault="00040E61" w:rsidP="00040E61">
      <w:pPr>
        <w:jc w:val="center"/>
        <w:rPr>
          <w:b/>
          <w:bCs/>
          <w:color w:val="000000" w:themeColor="text1"/>
          <w:sz w:val="28"/>
          <w:szCs w:val="28"/>
        </w:rPr>
      </w:pPr>
      <w:r w:rsidRPr="00040E61">
        <w:rPr>
          <w:b/>
          <w:bCs/>
          <w:color w:val="000000" w:themeColor="text1"/>
          <w:sz w:val="28"/>
          <w:szCs w:val="28"/>
        </w:rPr>
        <w:t>Psychology in Health and Social Care</w:t>
      </w:r>
    </w:p>
    <w:p w14:paraId="10E8E871" w14:textId="77777777" w:rsidR="00040E61" w:rsidRPr="00D212FD" w:rsidRDefault="00040E61" w:rsidP="00040E61">
      <w:pPr>
        <w:rPr>
          <w:b/>
          <w:bCs/>
          <w:color w:val="000000" w:themeColor="text1"/>
          <w:u w:val="single"/>
        </w:rPr>
      </w:pPr>
    </w:p>
    <w:p w14:paraId="5229EC79" w14:textId="77777777" w:rsidR="00040E61" w:rsidRPr="00D212FD" w:rsidRDefault="00040E61" w:rsidP="00040E61">
      <w:pPr>
        <w:rPr>
          <w:b/>
          <w:bCs/>
          <w:color w:val="000000" w:themeColor="text1"/>
          <w:u w:val="single"/>
        </w:rPr>
      </w:pPr>
    </w:p>
    <w:p w14:paraId="2CB72372" w14:textId="77777777" w:rsidR="00040E61" w:rsidRPr="00D212FD" w:rsidRDefault="00040E61" w:rsidP="00040E61">
      <w:pPr>
        <w:rPr>
          <w:b/>
          <w:bCs/>
          <w:color w:val="000000" w:themeColor="text1"/>
          <w:u w:val="single"/>
        </w:rPr>
      </w:pPr>
    </w:p>
    <w:p w14:paraId="08D7A37C" w14:textId="77777777" w:rsidR="00040E61" w:rsidRPr="00D148A2" w:rsidRDefault="00040E61" w:rsidP="00040E61">
      <w:pPr>
        <w:rPr>
          <w:b/>
          <w:bCs/>
          <w:color w:val="000000" w:themeColor="text1"/>
        </w:rPr>
      </w:pPr>
      <w:r w:rsidRPr="00D212FD">
        <w:rPr>
          <w:b/>
          <w:bCs/>
          <w:color w:val="000000" w:themeColor="text1"/>
          <w:u w:val="single"/>
        </w:rPr>
        <w:t>Name of Student:</w:t>
      </w:r>
      <w:r>
        <w:rPr>
          <w:b/>
          <w:bCs/>
          <w:color w:val="000000" w:themeColor="text1"/>
          <w:u w:val="single"/>
        </w:rPr>
        <w:t xml:space="preserve"> </w:t>
      </w:r>
      <w:r>
        <w:rPr>
          <w:b/>
          <w:bCs/>
          <w:color w:val="000000" w:themeColor="text1"/>
        </w:rPr>
        <w:t>Yrlene Elie</w:t>
      </w:r>
    </w:p>
    <w:p w14:paraId="53A78212" w14:textId="77777777" w:rsidR="00040E61" w:rsidRPr="00D212FD" w:rsidRDefault="00040E61" w:rsidP="00040E61">
      <w:pPr>
        <w:rPr>
          <w:b/>
          <w:bCs/>
          <w:color w:val="000000" w:themeColor="text1"/>
          <w:u w:val="single"/>
        </w:rPr>
      </w:pPr>
    </w:p>
    <w:p w14:paraId="5C35C4F4" w14:textId="77777777" w:rsidR="00040E61" w:rsidRPr="00D212FD" w:rsidRDefault="00040E61" w:rsidP="00040E61">
      <w:pPr>
        <w:rPr>
          <w:b/>
          <w:bCs/>
          <w:color w:val="000000" w:themeColor="text1"/>
          <w:u w:val="single"/>
        </w:rPr>
      </w:pPr>
    </w:p>
    <w:p w14:paraId="15D1AB5F" w14:textId="77777777" w:rsidR="00040E61" w:rsidRPr="00D212FD" w:rsidRDefault="00040E61" w:rsidP="00040E61">
      <w:pPr>
        <w:rPr>
          <w:b/>
          <w:bCs/>
          <w:color w:val="000000" w:themeColor="text1"/>
          <w:u w:val="single"/>
        </w:rPr>
      </w:pPr>
    </w:p>
    <w:p w14:paraId="27A8101D" w14:textId="77777777" w:rsidR="00040E61" w:rsidRPr="00D212FD" w:rsidRDefault="00040E61" w:rsidP="00040E61">
      <w:pPr>
        <w:rPr>
          <w:b/>
          <w:bCs/>
          <w:color w:val="000000" w:themeColor="text1"/>
          <w:u w:val="single"/>
        </w:rPr>
      </w:pPr>
      <w:r w:rsidRPr="00D212FD">
        <w:rPr>
          <w:b/>
          <w:bCs/>
          <w:color w:val="000000" w:themeColor="text1"/>
          <w:u w:val="single"/>
        </w:rPr>
        <w:t>I.D. Number:</w:t>
      </w:r>
      <w:r w:rsidRPr="00DD1109">
        <w:rPr>
          <w:b/>
          <w:bCs/>
          <w:color w:val="000000" w:themeColor="text1"/>
        </w:rPr>
        <w:t>2430828</w:t>
      </w:r>
    </w:p>
    <w:p w14:paraId="757EEFA4" w14:textId="77777777" w:rsidR="00040E61" w:rsidRPr="00D212FD" w:rsidRDefault="00040E61" w:rsidP="00040E61">
      <w:pPr>
        <w:rPr>
          <w:b/>
          <w:bCs/>
          <w:color w:val="000000" w:themeColor="text1"/>
          <w:u w:val="single"/>
        </w:rPr>
      </w:pPr>
    </w:p>
    <w:p w14:paraId="21BC4EE1" w14:textId="77777777" w:rsidR="00040E61" w:rsidRPr="00D212FD" w:rsidRDefault="00040E61" w:rsidP="00040E61">
      <w:pPr>
        <w:rPr>
          <w:b/>
          <w:bCs/>
          <w:color w:val="000000" w:themeColor="text1"/>
          <w:u w:val="single"/>
        </w:rPr>
      </w:pPr>
    </w:p>
    <w:p w14:paraId="502AE195" w14:textId="77777777" w:rsidR="00040E61" w:rsidRPr="00D212FD" w:rsidRDefault="00040E61" w:rsidP="00040E61">
      <w:pPr>
        <w:rPr>
          <w:b/>
          <w:bCs/>
          <w:color w:val="000000" w:themeColor="text1"/>
          <w:u w:val="single"/>
        </w:rPr>
      </w:pPr>
    </w:p>
    <w:p w14:paraId="181CF4C9" w14:textId="1A4285F1" w:rsidR="00040E61" w:rsidRPr="00D148A2" w:rsidRDefault="00040E61" w:rsidP="00040E61">
      <w:pPr>
        <w:rPr>
          <w:b/>
          <w:bCs/>
          <w:color w:val="000000" w:themeColor="text1"/>
        </w:rPr>
      </w:pPr>
      <w:r w:rsidRPr="00D212FD">
        <w:rPr>
          <w:b/>
          <w:bCs/>
          <w:color w:val="000000" w:themeColor="text1"/>
          <w:u w:val="single"/>
        </w:rPr>
        <w:t>Name of Tutor:</w:t>
      </w:r>
      <w:r>
        <w:rPr>
          <w:b/>
          <w:bCs/>
          <w:color w:val="000000" w:themeColor="text1"/>
          <w:u w:val="single"/>
        </w:rPr>
        <w:t xml:space="preserve"> </w:t>
      </w:r>
      <w:r>
        <w:rPr>
          <w:b/>
          <w:bCs/>
          <w:color w:val="000000" w:themeColor="text1"/>
        </w:rPr>
        <w:t xml:space="preserve">Farah Wiita </w:t>
      </w:r>
    </w:p>
    <w:p w14:paraId="6B289490" w14:textId="77777777" w:rsidR="00040E61" w:rsidRDefault="00040E61" w:rsidP="00160C36">
      <w:pPr>
        <w:rPr>
          <w:rFonts w:ascii="Arial" w:hAnsi="Arial" w:cs="Arial"/>
          <w:b/>
          <w:bCs/>
          <w:sz w:val="28"/>
          <w:szCs w:val="28"/>
        </w:rPr>
      </w:pPr>
    </w:p>
    <w:p w14:paraId="1CAEB2F1" w14:textId="77777777" w:rsidR="00040E61" w:rsidRDefault="00040E61" w:rsidP="00160C36">
      <w:pPr>
        <w:rPr>
          <w:rFonts w:ascii="Arial" w:hAnsi="Arial" w:cs="Arial"/>
          <w:b/>
          <w:bCs/>
          <w:sz w:val="28"/>
          <w:szCs w:val="28"/>
        </w:rPr>
      </w:pPr>
    </w:p>
    <w:p w14:paraId="09381823" w14:textId="77777777" w:rsidR="00040E61" w:rsidRDefault="00040E61" w:rsidP="00160C36">
      <w:pPr>
        <w:rPr>
          <w:rFonts w:ascii="Arial" w:hAnsi="Arial" w:cs="Arial"/>
          <w:b/>
          <w:bCs/>
          <w:sz w:val="28"/>
          <w:szCs w:val="28"/>
        </w:rPr>
      </w:pPr>
    </w:p>
    <w:p w14:paraId="20F3F9DE" w14:textId="77777777" w:rsidR="00040E61" w:rsidRDefault="00040E61" w:rsidP="00160C36">
      <w:pPr>
        <w:rPr>
          <w:rFonts w:ascii="Arial" w:hAnsi="Arial" w:cs="Arial"/>
          <w:b/>
          <w:bCs/>
          <w:sz w:val="28"/>
          <w:szCs w:val="28"/>
        </w:rPr>
      </w:pPr>
    </w:p>
    <w:p w14:paraId="183C59A5" w14:textId="77777777" w:rsidR="00040E61" w:rsidRDefault="00040E61" w:rsidP="00160C36">
      <w:pPr>
        <w:rPr>
          <w:rFonts w:ascii="Arial" w:hAnsi="Arial" w:cs="Arial"/>
          <w:b/>
          <w:bCs/>
          <w:sz w:val="28"/>
          <w:szCs w:val="28"/>
        </w:rPr>
      </w:pPr>
    </w:p>
    <w:p w14:paraId="05784C54" w14:textId="77777777" w:rsidR="00040E61" w:rsidRDefault="00040E61" w:rsidP="00160C36">
      <w:pPr>
        <w:rPr>
          <w:rFonts w:ascii="Arial" w:hAnsi="Arial" w:cs="Arial"/>
          <w:b/>
          <w:bCs/>
          <w:sz w:val="28"/>
          <w:szCs w:val="28"/>
        </w:rPr>
      </w:pPr>
    </w:p>
    <w:p w14:paraId="015E0EC1" w14:textId="77777777" w:rsidR="00040E61" w:rsidRDefault="00040E61" w:rsidP="00160C36">
      <w:pPr>
        <w:rPr>
          <w:rFonts w:ascii="Arial" w:hAnsi="Arial" w:cs="Arial"/>
          <w:b/>
          <w:bCs/>
          <w:sz w:val="28"/>
          <w:szCs w:val="28"/>
        </w:rPr>
      </w:pPr>
    </w:p>
    <w:p w14:paraId="4BEF3F4A" w14:textId="77777777" w:rsidR="00040E61" w:rsidRDefault="00040E61" w:rsidP="00160C36">
      <w:pPr>
        <w:rPr>
          <w:rFonts w:ascii="Arial" w:hAnsi="Arial" w:cs="Arial"/>
          <w:b/>
          <w:bCs/>
          <w:sz w:val="28"/>
          <w:szCs w:val="28"/>
        </w:rPr>
      </w:pPr>
    </w:p>
    <w:p w14:paraId="4379DEFF" w14:textId="77777777" w:rsidR="00040E61" w:rsidRDefault="00040E61" w:rsidP="00160C36">
      <w:pPr>
        <w:rPr>
          <w:rFonts w:ascii="Arial" w:hAnsi="Arial" w:cs="Arial"/>
          <w:b/>
          <w:bCs/>
          <w:sz w:val="28"/>
          <w:szCs w:val="28"/>
        </w:rPr>
      </w:pPr>
    </w:p>
    <w:p w14:paraId="2861A3D2" w14:textId="77777777" w:rsidR="00040E61" w:rsidRDefault="00040E61" w:rsidP="00160C36">
      <w:pPr>
        <w:rPr>
          <w:rFonts w:ascii="Arial" w:hAnsi="Arial" w:cs="Arial"/>
          <w:b/>
          <w:bCs/>
          <w:sz w:val="28"/>
          <w:szCs w:val="28"/>
        </w:rPr>
      </w:pPr>
    </w:p>
    <w:p w14:paraId="70EAFB9D" w14:textId="77777777" w:rsidR="00040E61" w:rsidRDefault="00040E61" w:rsidP="00160C36">
      <w:pPr>
        <w:rPr>
          <w:rFonts w:ascii="Arial" w:hAnsi="Arial" w:cs="Arial"/>
          <w:b/>
          <w:bCs/>
          <w:sz w:val="28"/>
          <w:szCs w:val="28"/>
        </w:rPr>
      </w:pPr>
    </w:p>
    <w:p w14:paraId="483F416E" w14:textId="77777777" w:rsidR="00040E61" w:rsidRDefault="00040E61" w:rsidP="00160C36">
      <w:pPr>
        <w:rPr>
          <w:rFonts w:ascii="Arial" w:hAnsi="Arial" w:cs="Arial"/>
          <w:b/>
          <w:bCs/>
          <w:sz w:val="28"/>
          <w:szCs w:val="28"/>
        </w:rPr>
      </w:pPr>
    </w:p>
    <w:p w14:paraId="532F6DA6" w14:textId="77777777" w:rsidR="00040E61" w:rsidRPr="00D212FD" w:rsidRDefault="00040E61" w:rsidP="00040E61">
      <w:pPr>
        <w:rPr>
          <w:color w:val="000000" w:themeColor="text1"/>
        </w:rPr>
      </w:pPr>
    </w:p>
    <w:p w14:paraId="5D8E6DF7" w14:textId="22471833" w:rsidR="00040E61" w:rsidRPr="00040E61" w:rsidRDefault="00040E61" w:rsidP="00040E61">
      <w:pPr>
        <w:pStyle w:val="Title"/>
        <w:rPr>
          <w:color w:val="000000" w:themeColor="text1"/>
          <w:sz w:val="28"/>
          <w:szCs w:val="28"/>
        </w:rPr>
      </w:pPr>
      <w:r w:rsidRPr="00040E61">
        <w:rPr>
          <w:rFonts w:eastAsia="Verdana"/>
          <w:b/>
          <w:bCs/>
          <w:color w:val="000000" w:themeColor="text1"/>
          <w:sz w:val="28"/>
          <w:szCs w:val="28"/>
          <w:u w:val="single"/>
        </w:rPr>
        <w:t xml:space="preserve">Table of Contents  </w:t>
      </w:r>
      <w:r w:rsidRPr="00040E61">
        <w:rPr>
          <w:rFonts w:eastAsia="Verdana"/>
          <w:b/>
          <w:bCs/>
          <w:color w:val="000000" w:themeColor="text1"/>
          <w:sz w:val="28"/>
          <w:szCs w:val="28"/>
        </w:rPr>
        <w:t xml:space="preserve">                                                        </w:t>
      </w:r>
      <w:r>
        <w:rPr>
          <w:rFonts w:eastAsia="Verdana"/>
          <w:b/>
          <w:bCs/>
          <w:color w:val="000000" w:themeColor="text1"/>
          <w:sz w:val="28"/>
          <w:szCs w:val="28"/>
        </w:rPr>
        <w:t xml:space="preserve">                               </w:t>
      </w:r>
      <w:r w:rsidRPr="00040E61">
        <w:rPr>
          <w:rFonts w:eastAsia="Verdana"/>
          <w:b/>
          <w:bCs/>
          <w:color w:val="000000" w:themeColor="text1"/>
          <w:sz w:val="28"/>
          <w:szCs w:val="28"/>
          <w:u w:val="single"/>
        </w:rPr>
        <w:t>Page Number</w:t>
      </w:r>
    </w:p>
    <w:p w14:paraId="3AFEAC50" w14:textId="1C19B6C7" w:rsidR="00040E61" w:rsidRDefault="00040E61" w:rsidP="00160C36">
      <w:pPr>
        <w:rPr>
          <w:rFonts w:ascii="Arial" w:hAnsi="Arial" w:cs="Arial"/>
          <w:sz w:val="22"/>
          <w:szCs w:val="22"/>
        </w:rPr>
      </w:pPr>
      <w:r w:rsidRPr="00040E61">
        <w:rPr>
          <w:rFonts w:ascii="Arial" w:hAnsi="Arial" w:cs="Arial"/>
          <w:sz w:val="22"/>
          <w:szCs w:val="22"/>
        </w:rPr>
        <w:t>Part A: Bibliography</w:t>
      </w:r>
      <w:r>
        <w:rPr>
          <w:rFonts w:ascii="Arial" w:hAnsi="Arial" w:cs="Arial"/>
          <w:sz w:val="22"/>
          <w:szCs w:val="22"/>
        </w:rPr>
        <w:t>………………………………………………...3,4</w:t>
      </w:r>
    </w:p>
    <w:p w14:paraId="21E266CE" w14:textId="1EE88E3E" w:rsidR="00040E61" w:rsidRDefault="00040E61" w:rsidP="00160C36">
      <w:pPr>
        <w:rPr>
          <w:rFonts w:ascii="Arial" w:hAnsi="Arial" w:cs="Arial"/>
          <w:sz w:val="22"/>
          <w:szCs w:val="22"/>
        </w:rPr>
      </w:pPr>
      <w:r>
        <w:rPr>
          <w:rFonts w:ascii="Arial" w:hAnsi="Arial" w:cs="Arial"/>
          <w:sz w:val="22"/>
          <w:szCs w:val="22"/>
        </w:rPr>
        <w:t>Part B: Short Report………………………………………………...5,6</w:t>
      </w:r>
    </w:p>
    <w:p w14:paraId="69C19C81" w14:textId="2AD4E8CD" w:rsidR="00040E61" w:rsidRPr="00040E61" w:rsidRDefault="00040E61" w:rsidP="00160C36">
      <w:pPr>
        <w:rPr>
          <w:rFonts w:ascii="Arial" w:hAnsi="Arial" w:cs="Arial"/>
          <w:sz w:val="22"/>
          <w:szCs w:val="22"/>
        </w:rPr>
      </w:pPr>
      <w:r>
        <w:rPr>
          <w:rFonts w:ascii="Arial" w:hAnsi="Arial" w:cs="Arial"/>
          <w:sz w:val="22"/>
          <w:szCs w:val="22"/>
        </w:rPr>
        <w:t>References…………………………………………………………...7</w:t>
      </w:r>
    </w:p>
    <w:p w14:paraId="4C4C4C36" w14:textId="77777777" w:rsidR="00040E61" w:rsidRDefault="00040E61" w:rsidP="00040E61">
      <w:pPr>
        <w:rPr>
          <w:rFonts w:ascii="Arial" w:hAnsi="Arial" w:cs="Arial"/>
          <w:b/>
          <w:bCs/>
          <w:sz w:val="28"/>
          <w:szCs w:val="28"/>
        </w:rPr>
      </w:pPr>
    </w:p>
    <w:p w14:paraId="002434EB" w14:textId="77777777" w:rsidR="00040E61" w:rsidRDefault="00040E61" w:rsidP="00160C36">
      <w:pPr>
        <w:rPr>
          <w:rFonts w:ascii="Arial" w:hAnsi="Arial" w:cs="Arial"/>
          <w:b/>
          <w:bCs/>
          <w:sz w:val="28"/>
          <w:szCs w:val="28"/>
        </w:rPr>
      </w:pPr>
    </w:p>
    <w:p w14:paraId="3A47B656" w14:textId="77777777" w:rsidR="00040E61" w:rsidRDefault="00040E61" w:rsidP="00160C36">
      <w:pPr>
        <w:rPr>
          <w:rFonts w:ascii="Arial" w:hAnsi="Arial" w:cs="Arial"/>
          <w:b/>
          <w:bCs/>
          <w:sz w:val="28"/>
          <w:szCs w:val="28"/>
        </w:rPr>
      </w:pPr>
    </w:p>
    <w:p w14:paraId="406B8996" w14:textId="77777777" w:rsidR="00040E61" w:rsidRDefault="00040E61" w:rsidP="00160C36">
      <w:pPr>
        <w:rPr>
          <w:rFonts w:ascii="Arial" w:hAnsi="Arial" w:cs="Arial"/>
          <w:b/>
          <w:bCs/>
          <w:sz w:val="28"/>
          <w:szCs w:val="28"/>
        </w:rPr>
      </w:pPr>
    </w:p>
    <w:p w14:paraId="64932834" w14:textId="77777777" w:rsidR="00040E61" w:rsidRDefault="00040E61" w:rsidP="00160C36">
      <w:pPr>
        <w:rPr>
          <w:rFonts w:ascii="Arial" w:hAnsi="Arial" w:cs="Arial"/>
          <w:b/>
          <w:bCs/>
          <w:sz w:val="28"/>
          <w:szCs w:val="28"/>
        </w:rPr>
      </w:pPr>
    </w:p>
    <w:p w14:paraId="7B039AB3" w14:textId="77777777" w:rsidR="00040E61" w:rsidRDefault="00040E61" w:rsidP="00160C36">
      <w:pPr>
        <w:rPr>
          <w:rFonts w:ascii="Arial" w:hAnsi="Arial" w:cs="Arial"/>
          <w:b/>
          <w:bCs/>
          <w:sz w:val="28"/>
          <w:szCs w:val="28"/>
        </w:rPr>
      </w:pPr>
    </w:p>
    <w:p w14:paraId="04D2CC4A" w14:textId="77777777" w:rsidR="00040E61" w:rsidRDefault="00040E61" w:rsidP="00160C36">
      <w:pPr>
        <w:rPr>
          <w:rFonts w:ascii="Arial" w:hAnsi="Arial" w:cs="Arial"/>
          <w:b/>
          <w:bCs/>
          <w:sz w:val="28"/>
          <w:szCs w:val="28"/>
        </w:rPr>
      </w:pPr>
    </w:p>
    <w:p w14:paraId="1A0CBB42" w14:textId="77777777" w:rsidR="00040E61" w:rsidRDefault="00040E61" w:rsidP="00160C36">
      <w:pPr>
        <w:rPr>
          <w:rFonts w:ascii="Arial" w:hAnsi="Arial" w:cs="Arial"/>
          <w:b/>
          <w:bCs/>
          <w:sz w:val="28"/>
          <w:szCs w:val="28"/>
        </w:rPr>
      </w:pPr>
    </w:p>
    <w:p w14:paraId="2EA22118" w14:textId="77777777" w:rsidR="00040E61" w:rsidRDefault="00040E61" w:rsidP="00160C36">
      <w:pPr>
        <w:rPr>
          <w:rFonts w:ascii="Arial" w:hAnsi="Arial" w:cs="Arial"/>
          <w:b/>
          <w:bCs/>
          <w:sz w:val="28"/>
          <w:szCs w:val="28"/>
        </w:rPr>
      </w:pPr>
    </w:p>
    <w:p w14:paraId="4E9C9F09" w14:textId="77777777" w:rsidR="00040E61" w:rsidRDefault="00040E61" w:rsidP="00160C36">
      <w:pPr>
        <w:rPr>
          <w:rFonts w:ascii="Arial" w:hAnsi="Arial" w:cs="Arial"/>
          <w:b/>
          <w:bCs/>
          <w:sz w:val="28"/>
          <w:szCs w:val="28"/>
        </w:rPr>
      </w:pPr>
    </w:p>
    <w:p w14:paraId="07E20DEE" w14:textId="77777777" w:rsidR="00040E61" w:rsidRDefault="00040E61" w:rsidP="00160C36">
      <w:pPr>
        <w:rPr>
          <w:rFonts w:ascii="Arial" w:hAnsi="Arial" w:cs="Arial"/>
          <w:b/>
          <w:bCs/>
          <w:sz w:val="28"/>
          <w:szCs w:val="28"/>
        </w:rPr>
      </w:pPr>
    </w:p>
    <w:p w14:paraId="7335295F" w14:textId="77777777" w:rsidR="00040E61" w:rsidRDefault="00040E61" w:rsidP="00160C36">
      <w:pPr>
        <w:rPr>
          <w:rFonts w:ascii="Arial" w:hAnsi="Arial" w:cs="Arial"/>
          <w:b/>
          <w:bCs/>
          <w:sz w:val="28"/>
          <w:szCs w:val="28"/>
        </w:rPr>
      </w:pPr>
    </w:p>
    <w:p w14:paraId="47119C98" w14:textId="77777777" w:rsidR="00040E61" w:rsidRDefault="00040E61" w:rsidP="00160C36">
      <w:pPr>
        <w:rPr>
          <w:rFonts w:ascii="Arial" w:hAnsi="Arial" w:cs="Arial"/>
          <w:b/>
          <w:bCs/>
          <w:sz w:val="28"/>
          <w:szCs w:val="28"/>
        </w:rPr>
      </w:pPr>
    </w:p>
    <w:p w14:paraId="713C71C0" w14:textId="77777777" w:rsidR="00040E61" w:rsidRDefault="00040E61" w:rsidP="00160C36">
      <w:pPr>
        <w:rPr>
          <w:rFonts w:ascii="Arial" w:hAnsi="Arial" w:cs="Arial"/>
          <w:b/>
          <w:bCs/>
          <w:sz w:val="28"/>
          <w:szCs w:val="28"/>
        </w:rPr>
      </w:pPr>
    </w:p>
    <w:p w14:paraId="7F9DF914" w14:textId="77777777" w:rsidR="00040E61" w:rsidRDefault="00040E61" w:rsidP="00160C36">
      <w:pPr>
        <w:rPr>
          <w:rFonts w:ascii="Arial" w:hAnsi="Arial" w:cs="Arial"/>
          <w:b/>
          <w:bCs/>
          <w:sz w:val="28"/>
          <w:szCs w:val="28"/>
        </w:rPr>
      </w:pPr>
    </w:p>
    <w:p w14:paraId="6744B857" w14:textId="77777777" w:rsidR="00040E61" w:rsidRDefault="00040E61" w:rsidP="00160C36">
      <w:pPr>
        <w:rPr>
          <w:rFonts w:ascii="Arial" w:hAnsi="Arial" w:cs="Arial"/>
          <w:b/>
          <w:bCs/>
          <w:sz w:val="28"/>
          <w:szCs w:val="28"/>
        </w:rPr>
      </w:pPr>
    </w:p>
    <w:p w14:paraId="67F4C8B1" w14:textId="77777777" w:rsidR="00040E61" w:rsidRDefault="00040E61" w:rsidP="00160C36">
      <w:pPr>
        <w:rPr>
          <w:rFonts w:ascii="Arial" w:hAnsi="Arial" w:cs="Arial"/>
          <w:b/>
          <w:bCs/>
          <w:sz w:val="28"/>
          <w:szCs w:val="28"/>
        </w:rPr>
      </w:pPr>
    </w:p>
    <w:p w14:paraId="6119EBFF" w14:textId="77777777" w:rsidR="00040E61" w:rsidRDefault="00040E61" w:rsidP="00160C36">
      <w:pPr>
        <w:rPr>
          <w:rFonts w:ascii="Arial" w:hAnsi="Arial" w:cs="Arial"/>
          <w:b/>
          <w:bCs/>
          <w:sz w:val="28"/>
          <w:szCs w:val="28"/>
        </w:rPr>
      </w:pPr>
    </w:p>
    <w:p w14:paraId="4842F1B4" w14:textId="77777777" w:rsidR="00040E61" w:rsidRDefault="00040E61" w:rsidP="00160C36">
      <w:pPr>
        <w:rPr>
          <w:rFonts w:ascii="Arial" w:hAnsi="Arial" w:cs="Arial"/>
          <w:b/>
          <w:bCs/>
          <w:sz w:val="28"/>
          <w:szCs w:val="28"/>
        </w:rPr>
      </w:pPr>
    </w:p>
    <w:p w14:paraId="5B35D3C4" w14:textId="77777777" w:rsidR="00040E61" w:rsidRDefault="00040E61" w:rsidP="00160C36">
      <w:pPr>
        <w:rPr>
          <w:rFonts w:ascii="Arial" w:hAnsi="Arial" w:cs="Arial"/>
          <w:b/>
          <w:bCs/>
          <w:sz w:val="28"/>
          <w:szCs w:val="28"/>
        </w:rPr>
      </w:pPr>
    </w:p>
    <w:p w14:paraId="0668E636" w14:textId="77777777" w:rsidR="00040E61" w:rsidRDefault="00040E61" w:rsidP="00160C36">
      <w:pPr>
        <w:rPr>
          <w:rFonts w:ascii="Arial" w:hAnsi="Arial" w:cs="Arial"/>
          <w:b/>
          <w:bCs/>
          <w:sz w:val="28"/>
          <w:szCs w:val="28"/>
        </w:rPr>
      </w:pPr>
    </w:p>
    <w:p w14:paraId="1EB67F31" w14:textId="77777777" w:rsidR="00040E61" w:rsidRDefault="00040E61" w:rsidP="00160C36">
      <w:pPr>
        <w:rPr>
          <w:rFonts w:ascii="Arial" w:hAnsi="Arial" w:cs="Arial"/>
          <w:b/>
          <w:bCs/>
          <w:sz w:val="28"/>
          <w:szCs w:val="28"/>
        </w:rPr>
      </w:pPr>
    </w:p>
    <w:p w14:paraId="066FC710" w14:textId="77777777" w:rsidR="00040E61" w:rsidRDefault="00040E61" w:rsidP="00160C36">
      <w:pPr>
        <w:rPr>
          <w:rFonts w:ascii="Arial" w:hAnsi="Arial" w:cs="Arial"/>
          <w:b/>
          <w:bCs/>
          <w:sz w:val="28"/>
          <w:szCs w:val="28"/>
        </w:rPr>
      </w:pPr>
    </w:p>
    <w:p w14:paraId="3AE11214" w14:textId="77777777" w:rsidR="00040E61" w:rsidRDefault="00040E61" w:rsidP="00160C36">
      <w:pPr>
        <w:rPr>
          <w:rFonts w:ascii="Arial" w:hAnsi="Arial" w:cs="Arial"/>
          <w:b/>
          <w:bCs/>
          <w:sz w:val="28"/>
          <w:szCs w:val="28"/>
        </w:rPr>
      </w:pPr>
    </w:p>
    <w:p w14:paraId="0527D41F" w14:textId="77777777" w:rsidR="00040E61" w:rsidRDefault="00040E61" w:rsidP="00160C36">
      <w:pPr>
        <w:rPr>
          <w:rFonts w:ascii="Arial" w:hAnsi="Arial" w:cs="Arial"/>
          <w:b/>
          <w:bCs/>
          <w:sz w:val="28"/>
          <w:szCs w:val="28"/>
        </w:rPr>
      </w:pPr>
    </w:p>
    <w:p w14:paraId="3BC148B9" w14:textId="7314D5E1" w:rsidR="00160C36" w:rsidRPr="00160C36" w:rsidRDefault="00160C36" w:rsidP="00160C36">
      <w:pPr>
        <w:rPr>
          <w:rFonts w:ascii="Arial" w:hAnsi="Arial" w:cs="Arial"/>
          <w:b/>
          <w:bCs/>
          <w:sz w:val="28"/>
          <w:szCs w:val="28"/>
        </w:rPr>
      </w:pPr>
      <w:r w:rsidRPr="00160C36">
        <w:rPr>
          <w:rFonts w:ascii="Arial" w:hAnsi="Arial" w:cs="Arial"/>
          <w:b/>
          <w:bCs/>
          <w:sz w:val="28"/>
          <w:szCs w:val="28"/>
        </w:rPr>
        <w:t>PART A: Annotated Bibliography</w:t>
      </w:r>
    </w:p>
    <w:p w14:paraId="010FA732" w14:textId="77777777" w:rsidR="00160C36" w:rsidRDefault="00160C36" w:rsidP="00160C36">
      <w:pPr>
        <w:rPr>
          <w:rFonts w:ascii="Arial" w:hAnsi="Arial" w:cs="Arial"/>
          <w:b/>
          <w:bCs/>
          <w:sz w:val="22"/>
          <w:szCs w:val="22"/>
        </w:rPr>
      </w:pPr>
      <w:r w:rsidRPr="00160C36">
        <w:rPr>
          <w:rFonts w:ascii="Arial" w:hAnsi="Arial" w:cs="Arial"/>
          <w:b/>
          <w:bCs/>
          <w:sz w:val="22"/>
          <w:szCs w:val="22"/>
        </w:rPr>
        <w:t>Theories: Bowlby’s Attachment Theory &amp; Bandura’s Social Learning Theory</w:t>
      </w:r>
    </w:p>
    <w:p w14:paraId="7349B17A" w14:textId="77777777" w:rsidR="00456795" w:rsidRDefault="000405E8" w:rsidP="00160C36">
      <w:pPr>
        <w:rPr>
          <w:rFonts w:ascii="Arial" w:hAnsi="Arial" w:cs="Arial"/>
          <w:b/>
          <w:bCs/>
          <w:sz w:val="22"/>
          <w:szCs w:val="22"/>
        </w:rPr>
      </w:pPr>
      <w:r>
        <w:rPr>
          <w:rFonts w:ascii="Arial" w:hAnsi="Arial" w:cs="Arial"/>
          <w:b/>
          <w:bCs/>
          <w:sz w:val="22"/>
          <w:szCs w:val="22"/>
        </w:rPr>
        <w:t>Introduction</w:t>
      </w:r>
    </w:p>
    <w:p w14:paraId="2E5D569A" w14:textId="6C6ED762" w:rsidR="000405E8" w:rsidRPr="00456795" w:rsidRDefault="00386654" w:rsidP="00160C36">
      <w:pPr>
        <w:rPr>
          <w:rFonts w:ascii="Arial" w:hAnsi="Arial" w:cs="Arial"/>
          <w:b/>
          <w:bCs/>
          <w:sz w:val="22"/>
          <w:szCs w:val="22"/>
        </w:rPr>
      </w:pPr>
      <w:r>
        <w:rPr>
          <w:rFonts w:ascii="Arial" w:hAnsi="Arial" w:cs="Arial"/>
          <w:sz w:val="22"/>
          <w:szCs w:val="22"/>
        </w:rPr>
        <w:t>The anno</w:t>
      </w:r>
      <w:r w:rsidR="000147D2">
        <w:rPr>
          <w:rFonts w:ascii="Arial" w:hAnsi="Arial" w:cs="Arial"/>
          <w:sz w:val="22"/>
          <w:szCs w:val="22"/>
        </w:rPr>
        <w:t>ta</w:t>
      </w:r>
      <w:r>
        <w:rPr>
          <w:rFonts w:ascii="Arial" w:hAnsi="Arial" w:cs="Arial"/>
          <w:sz w:val="22"/>
          <w:szCs w:val="22"/>
        </w:rPr>
        <w:t xml:space="preserve">ted bibliography </w:t>
      </w:r>
      <w:r w:rsidR="000405E8" w:rsidRPr="000405E8">
        <w:rPr>
          <w:rFonts w:ascii="Arial" w:hAnsi="Arial" w:cs="Arial"/>
          <w:sz w:val="22"/>
          <w:szCs w:val="22"/>
        </w:rPr>
        <w:t>introduces two key psychological theories</w:t>
      </w:r>
      <w:r w:rsidR="007046C9">
        <w:rPr>
          <w:rFonts w:ascii="Arial" w:hAnsi="Arial" w:cs="Arial"/>
          <w:sz w:val="22"/>
          <w:szCs w:val="22"/>
        </w:rPr>
        <w:t xml:space="preserve"> </w:t>
      </w:r>
      <w:r w:rsidR="000405E8" w:rsidRPr="000405E8">
        <w:rPr>
          <w:rFonts w:ascii="Arial" w:hAnsi="Arial" w:cs="Arial"/>
          <w:sz w:val="22"/>
          <w:szCs w:val="22"/>
        </w:rPr>
        <w:t>Bowlby’s Attachment Theory and Bandura’s Social Learning Theory</w:t>
      </w:r>
      <w:r w:rsidR="007046C9">
        <w:rPr>
          <w:rFonts w:ascii="Arial" w:hAnsi="Arial" w:cs="Arial"/>
          <w:sz w:val="22"/>
          <w:szCs w:val="22"/>
        </w:rPr>
        <w:t xml:space="preserve"> </w:t>
      </w:r>
      <w:r w:rsidR="000405E8" w:rsidRPr="000405E8">
        <w:rPr>
          <w:rFonts w:ascii="Arial" w:hAnsi="Arial" w:cs="Arial"/>
          <w:sz w:val="22"/>
          <w:szCs w:val="22"/>
        </w:rPr>
        <w:t>and evaluates their relevance to health and social care practice. Each source is summarised and critically reviewed to show how the theory contributes to understanding the emotional and social needs of older adults.</w:t>
      </w:r>
    </w:p>
    <w:p w14:paraId="508DCF4D" w14:textId="77777777" w:rsidR="00160C36" w:rsidRPr="00160C36" w:rsidRDefault="00160C36" w:rsidP="00160C36">
      <w:pPr>
        <w:rPr>
          <w:rFonts w:ascii="Arial" w:hAnsi="Arial" w:cs="Arial"/>
          <w:b/>
          <w:bCs/>
          <w:sz w:val="22"/>
          <w:szCs w:val="22"/>
        </w:rPr>
      </w:pPr>
      <w:r w:rsidRPr="00160C36">
        <w:rPr>
          <w:rFonts w:ascii="Arial" w:hAnsi="Arial" w:cs="Arial"/>
          <w:b/>
          <w:bCs/>
          <w:sz w:val="22"/>
          <w:szCs w:val="22"/>
        </w:rPr>
        <w:t>1. Bowlby’s Attachment Theory</w:t>
      </w:r>
    </w:p>
    <w:p w14:paraId="6B56A845" w14:textId="77777777" w:rsidR="00160C36" w:rsidRPr="00160C36" w:rsidRDefault="00160C36" w:rsidP="00160C36">
      <w:pPr>
        <w:rPr>
          <w:rFonts w:ascii="Arial" w:hAnsi="Arial" w:cs="Arial"/>
          <w:sz w:val="22"/>
          <w:szCs w:val="22"/>
        </w:rPr>
      </w:pPr>
      <w:r w:rsidRPr="00160C36">
        <w:rPr>
          <w:rFonts w:ascii="Arial" w:hAnsi="Arial" w:cs="Arial"/>
          <w:sz w:val="22"/>
          <w:szCs w:val="22"/>
        </w:rPr>
        <w:t xml:space="preserve">Austrian, S. (2015) </w:t>
      </w:r>
      <w:r w:rsidRPr="00160C36">
        <w:rPr>
          <w:rFonts w:ascii="Arial" w:hAnsi="Arial" w:cs="Arial"/>
          <w:i/>
          <w:iCs/>
          <w:sz w:val="22"/>
          <w:szCs w:val="22"/>
        </w:rPr>
        <w:t>Developmental Theories Through the Life Cycle</w:t>
      </w:r>
      <w:r w:rsidRPr="00160C36">
        <w:rPr>
          <w:rFonts w:ascii="Arial" w:hAnsi="Arial" w:cs="Arial"/>
          <w:sz w:val="22"/>
          <w:szCs w:val="22"/>
        </w:rPr>
        <w:t>. 3rd ed. Columbia University Press.</w:t>
      </w:r>
    </w:p>
    <w:p w14:paraId="4828BB64"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Summary</w:t>
      </w:r>
    </w:p>
    <w:p w14:paraId="5DA9C996" w14:textId="40161704" w:rsidR="00505FD7" w:rsidRPr="00505FD7" w:rsidRDefault="00505FD7" w:rsidP="00505FD7">
      <w:pPr>
        <w:rPr>
          <w:rFonts w:ascii="Arial" w:hAnsi="Arial" w:cs="Arial"/>
          <w:sz w:val="22"/>
          <w:szCs w:val="22"/>
        </w:rPr>
      </w:pPr>
      <w:r w:rsidRPr="00505FD7">
        <w:rPr>
          <w:rFonts w:ascii="Arial" w:hAnsi="Arial" w:cs="Arial"/>
          <w:sz w:val="22"/>
          <w:szCs w:val="22"/>
        </w:rPr>
        <w:t>Austrian (2015) explains attachment as a lifelong psychological system that shapes how people regulate emotions, seek support, and form relationships. She describes Bowlby’s ideas of the secure base and internal working models, showing how early attachment experiences continue to influence behaviour in older adulthood. Austrian highlights that major transitions</w:t>
      </w:r>
      <w:r>
        <w:rPr>
          <w:rFonts w:ascii="Arial" w:hAnsi="Arial" w:cs="Arial"/>
          <w:sz w:val="22"/>
          <w:szCs w:val="22"/>
        </w:rPr>
        <w:t xml:space="preserve"> </w:t>
      </w:r>
      <w:r w:rsidRPr="00505FD7">
        <w:rPr>
          <w:rFonts w:ascii="Arial" w:hAnsi="Arial" w:cs="Arial"/>
          <w:sz w:val="22"/>
          <w:szCs w:val="22"/>
        </w:rPr>
        <w:t>such as bereavement, illness, or moving into residential care</w:t>
      </w:r>
      <w:r>
        <w:rPr>
          <w:rFonts w:ascii="Arial" w:hAnsi="Arial" w:cs="Arial"/>
          <w:sz w:val="22"/>
          <w:szCs w:val="22"/>
        </w:rPr>
        <w:t xml:space="preserve"> </w:t>
      </w:r>
      <w:r w:rsidRPr="00505FD7">
        <w:rPr>
          <w:rFonts w:ascii="Arial" w:hAnsi="Arial" w:cs="Arial"/>
          <w:sz w:val="22"/>
          <w:szCs w:val="22"/>
        </w:rPr>
        <w:t>can reactivate attachment needs. She also notes that older adults may rely more heavily on caregivers when familiar relationships are disrupted.</w:t>
      </w:r>
    </w:p>
    <w:p w14:paraId="55A76CA9"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Critical Comment</w:t>
      </w:r>
    </w:p>
    <w:p w14:paraId="13008230" w14:textId="254D239C" w:rsidR="00505FD7" w:rsidRPr="00505FD7" w:rsidRDefault="00505FD7" w:rsidP="00505FD7">
      <w:pPr>
        <w:rPr>
          <w:rFonts w:ascii="Arial" w:hAnsi="Arial" w:cs="Arial"/>
          <w:sz w:val="22"/>
          <w:szCs w:val="22"/>
        </w:rPr>
      </w:pPr>
      <w:r w:rsidRPr="00505FD7">
        <w:rPr>
          <w:rFonts w:ascii="Arial" w:hAnsi="Arial" w:cs="Arial"/>
          <w:sz w:val="22"/>
          <w:szCs w:val="22"/>
        </w:rPr>
        <w:t xml:space="preserve">Austrian’s lifespan approach is valuable because it challenges the belief that attachment only matters in childhood. Her work helps </w:t>
      </w:r>
      <w:r w:rsidR="00D45018">
        <w:rPr>
          <w:rFonts w:ascii="Arial" w:hAnsi="Arial" w:cs="Arial"/>
          <w:sz w:val="22"/>
          <w:szCs w:val="22"/>
        </w:rPr>
        <w:t xml:space="preserve">health </w:t>
      </w:r>
      <w:r w:rsidR="00FB378D">
        <w:rPr>
          <w:rFonts w:ascii="Arial" w:hAnsi="Arial" w:cs="Arial"/>
          <w:sz w:val="22"/>
          <w:szCs w:val="22"/>
        </w:rPr>
        <w:t xml:space="preserve">and social </w:t>
      </w:r>
      <w:r w:rsidR="00D45018">
        <w:rPr>
          <w:rFonts w:ascii="Arial" w:hAnsi="Arial" w:cs="Arial"/>
          <w:sz w:val="22"/>
          <w:szCs w:val="22"/>
        </w:rPr>
        <w:t xml:space="preserve">care staff </w:t>
      </w:r>
      <w:r w:rsidRPr="00505FD7">
        <w:rPr>
          <w:rFonts w:ascii="Arial" w:hAnsi="Arial" w:cs="Arial"/>
          <w:sz w:val="22"/>
          <w:szCs w:val="22"/>
        </w:rPr>
        <w:t>understand that behaviours such as withdrawal, anxiety, or dependency may reflect underlying attachment patterns rather than difficult personalities. A key strength is her integration of theory with clinical observation, which supports reflective and compassionate practice. However, the text relies heavily on classical attachment research and gives limited attention to cultural differences or recent neurobiological findings. Despite this, it provides a strong foundation for recognising how secure, consistent relationships in care settings can promote emotional safety and wellbeing for older adults.</w:t>
      </w:r>
    </w:p>
    <w:p w14:paraId="158F2968"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2. Bowlby’s Attachment Theory</w:t>
      </w:r>
    </w:p>
    <w:p w14:paraId="30343693" w14:textId="77777777" w:rsidR="00505FD7" w:rsidRPr="00505FD7" w:rsidRDefault="00505FD7" w:rsidP="00505FD7">
      <w:pPr>
        <w:rPr>
          <w:rFonts w:ascii="Arial" w:hAnsi="Arial" w:cs="Arial"/>
          <w:sz w:val="22"/>
          <w:szCs w:val="22"/>
        </w:rPr>
      </w:pPr>
      <w:r w:rsidRPr="00505FD7">
        <w:rPr>
          <w:rFonts w:ascii="Arial" w:hAnsi="Arial" w:cs="Arial"/>
          <w:sz w:val="22"/>
          <w:szCs w:val="22"/>
        </w:rPr>
        <w:t xml:space="preserve">Thornton, S. (2020) </w:t>
      </w:r>
      <w:r w:rsidRPr="00505FD7">
        <w:rPr>
          <w:rFonts w:ascii="Arial" w:hAnsi="Arial" w:cs="Arial"/>
          <w:i/>
          <w:iCs/>
          <w:sz w:val="22"/>
          <w:szCs w:val="22"/>
        </w:rPr>
        <w:t>Understanding Human Development</w:t>
      </w:r>
      <w:r w:rsidRPr="00505FD7">
        <w:rPr>
          <w:rFonts w:ascii="Arial" w:hAnsi="Arial" w:cs="Arial"/>
          <w:sz w:val="22"/>
          <w:szCs w:val="22"/>
        </w:rPr>
        <w:t>. 2nd ed. Palgrave Macmillan.</w:t>
      </w:r>
    </w:p>
    <w:p w14:paraId="5E1E7D4B"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Summary</w:t>
      </w:r>
    </w:p>
    <w:p w14:paraId="52B9828F" w14:textId="77777777" w:rsidR="00505FD7" w:rsidRPr="00505FD7" w:rsidRDefault="00505FD7" w:rsidP="00505FD7">
      <w:pPr>
        <w:rPr>
          <w:rFonts w:ascii="Arial" w:hAnsi="Arial" w:cs="Arial"/>
          <w:sz w:val="22"/>
          <w:szCs w:val="22"/>
        </w:rPr>
      </w:pPr>
      <w:r w:rsidRPr="00505FD7">
        <w:rPr>
          <w:rFonts w:ascii="Arial" w:hAnsi="Arial" w:cs="Arial"/>
          <w:sz w:val="22"/>
          <w:szCs w:val="22"/>
        </w:rPr>
        <w:t xml:space="preserve">Thornton (2020) offers a clear explanation of attachment across adulthood, emphasising how internal working models shape expectations of trust, autonomy, and emotional support. She highlights that older adults often face transitions such as declining health, loss of </w:t>
      </w:r>
      <w:r w:rsidRPr="00505FD7">
        <w:rPr>
          <w:rFonts w:ascii="Arial" w:hAnsi="Arial" w:cs="Arial"/>
          <w:sz w:val="22"/>
          <w:szCs w:val="22"/>
        </w:rPr>
        <w:lastRenderedPageBreak/>
        <w:t>independence, and relocation, which can intensify attachment needs. Thornton also explains how insecure attachment patterns may contribute to loneliness, anxiety, and difficulties adjusting to residential care. She positions caregivers as potential attachment figures when family support is limited.</w:t>
      </w:r>
    </w:p>
    <w:p w14:paraId="31D27966"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Critical Comment</w:t>
      </w:r>
    </w:p>
    <w:p w14:paraId="72880289" w14:textId="1548525E" w:rsidR="00505FD7" w:rsidRPr="00505FD7" w:rsidRDefault="00505FD7" w:rsidP="00505FD7">
      <w:pPr>
        <w:rPr>
          <w:rFonts w:ascii="Arial" w:hAnsi="Arial" w:cs="Arial"/>
          <w:sz w:val="22"/>
          <w:szCs w:val="22"/>
        </w:rPr>
      </w:pPr>
      <w:r w:rsidRPr="00505FD7">
        <w:rPr>
          <w:rFonts w:ascii="Arial" w:hAnsi="Arial" w:cs="Arial"/>
          <w:sz w:val="22"/>
          <w:szCs w:val="22"/>
        </w:rPr>
        <w:t>Thornton’s work is highly relevant to health and social care because it links attachment theory directly to the lived experiences of older adults. Her discussion encourages practitioners to interpret behaviour through an attachment lens, which can reduce stigma and promote empathy. A limitation is that the attachment section is brief, as the book covers many theories. Thornton also gives limited attention to organisational factors</w:t>
      </w:r>
      <w:r w:rsidR="00BC3EA5">
        <w:rPr>
          <w:rFonts w:ascii="Arial" w:hAnsi="Arial" w:cs="Arial"/>
          <w:sz w:val="22"/>
          <w:szCs w:val="22"/>
        </w:rPr>
        <w:t xml:space="preserve"> </w:t>
      </w:r>
      <w:r w:rsidRPr="00505FD7">
        <w:rPr>
          <w:rFonts w:ascii="Arial" w:hAnsi="Arial" w:cs="Arial"/>
          <w:sz w:val="22"/>
          <w:szCs w:val="22"/>
        </w:rPr>
        <w:t>such as staff turnover or time pressures</w:t>
      </w:r>
      <w:r w:rsidR="00BC3EA5">
        <w:rPr>
          <w:rFonts w:ascii="Arial" w:hAnsi="Arial" w:cs="Arial"/>
          <w:sz w:val="22"/>
          <w:szCs w:val="22"/>
        </w:rPr>
        <w:t xml:space="preserve"> </w:t>
      </w:r>
      <w:r w:rsidRPr="00505FD7">
        <w:rPr>
          <w:rFonts w:ascii="Arial" w:hAnsi="Arial" w:cs="Arial"/>
          <w:sz w:val="22"/>
          <w:szCs w:val="22"/>
        </w:rPr>
        <w:t>that may disrupt the formation of secure relationships. Even so, the text offers useful insights into how trust</w:t>
      </w:r>
      <w:r w:rsidRPr="00505FD7">
        <w:rPr>
          <w:rFonts w:ascii="Arial" w:hAnsi="Arial" w:cs="Arial"/>
          <w:sz w:val="22"/>
          <w:szCs w:val="22"/>
        </w:rPr>
        <w:noBreakHyphen/>
        <w:t xml:space="preserve">building, consistency, and emotional </w:t>
      </w:r>
      <w:r w:rsidR="00BC3EA5" w:rsidRPr="00505FD7">
        <w:rPr>
          <w:rFonts w:ascii="Arial" w:hAnsi="Arial" w:cs="Arial"/>
          <w:sz w:val="22"/>
          <w:szCs w:val="22"/>
        </w:rPr>
        <w:t>atonement</w:t>
      </w:r>
      <w:r w:rsidRPr="00505FD7">
        <w:rPr>
          <w:rFonts w:ascii="Arial" w:hAnsi="Arial" w:cs="Arial"/>
          <w:sz w:val="22"/>
          <w:szCs w:val="22"/>
        </w:rPr>
        <w:t xml:space="preserve"> can support older adults’ wellbeing in residential settings.</w:t>
      </w:r>
    </w:p>
    <w:p w14:paraId="66D642B8"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3. Bandura’s Social Learning Theory</w:t>
      </w:r>
    </w:p>
    <w:p w14:paraId="44CA7DE9" w14:textId="77777777" w:rsidR="00505FD7" w:rsidRPr="00505FD7" w:rsidRDefault="00505FD7" w:rsidP="00505FD7">
      <w:pPr>
        <w:rPr>
          <w:rFonts w:ascii="Arial" w:hAnsi="Arial" w:cs="Arial"/>
          <w:sz w:val="22"/>
          <w:szCs w:val="22"/>
        </w:rPr>
      </w:pPr>
      <w:r w:rsidRPr="00505FD7">
        <w:rPr>
          <w:rFonts w:ascii="Arial" w:hAnsi="Arial" w:cs="Arial"/>
          <w:sz w:val="22"/>
          <w:szCs w:val="22"/>
        </w:rPr>
        <w:t xml:space="preserve">Beckett, C. (2018) </w:t>
      </w:r>
      <w:r w:rsidRPr="00505FD7">
        <w:rPr>
          <w:rFonts w:ascii="Arial" w:hAnsi="Arial" w:cs="Arial"/>
          <w:i/>
          <w:iCs/>
          <w:sz w:val="22"/>
          <w:szCs w:val="22"/>
        </w:rPr>
        <w:t>Human Growth and Development</w:t>
      </w:r>
      <w:r w:rsidRPr="00505FD7">
        <w:rPr>
          <w:rFonts w:ascii="Arial" w:hAnsi="Arial" w:cs="Arial"/>
          <w:sz w:val="22"/>
          <w:szCs w:val="22"/>
        </w:rPr>
        <w:t>. 4th ed. Sage.</w:t>
      </w:r>
    </w:p>
    <w:p w14:paraId="274D3128"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Summary</w:t>
      </w:r>
    </w:p>
    <w:p w14:paraId="57639961" w14:textId="41BE0704" w:rsidR="00505FD7" w:rsidRPr="00505FD7" w:rsidRDefault="00505FD7" w:rsidP="00505FD7">
      <w:pPr>
        <w:rPr>
          <w:rFonts w:ascii="Arial" w:hAnsi="Arial" w:cs="Arial"/>
          <w:sz w:val="22"/>
          <w:szCs w:val="22"/>
        </w:rPr>
      </w:pPr>
      <w:r w:rsidRPr="00505FD7">
        <w:rPr>
          <w:rFonts w:ascii="Arial" w:hAnsi="Arial" w:cs="Arial"/>
          <w:sz w:val="22"/>
          <w:szCs w:val="22"/>
        </w:rPr>
        <w:t>Beckett (2018) provides a clear explanation of Social Learning Theory, emphasising that people learn by observing others and the consequences of their actions. He outlines Bandura’s four processes</w:t>
      </w:r>
      <w:r w:rsidR="00BC3EA5">
        <w:rPr>
          <w:rFonts w:ascii="Arial" w:hAnsi="Arial" w:cs="Arial"/>
          <w:sz w:val="22"/>
          <w:szCs w:val="22"/>
        </w:rPr>
        <w:t xml:space="preserve"> </w:t>
      </w:r>
      <w:r w:rsidRPr="00505FD7">
        <w:rPr>
          <w:rFonts w:ascii="Arial" w:hAnsi="Arial" w:cs="Arial"/>
          <w:sz w:val="22"/>
          <w:szCs w:val="22"/>
        </w:rPr>
        <w:t>attention, retention, reproduction, and motivation</w:t>
      </w:r>
      <w:r w:rsidR="00BC3EA5">
        <w:rPr>
          <w:rFonts w:ascii="Arial" w:hAnsi="Arial" w:cs="Arial"/>
          <w:sz w:val="22"/>
          <w:szCs w:val="22"/>
        </w:rPr>
        <w:t xml:space="preserve"> </w:t>
      </w:r>
      <w:r w:rsidRPr="00505FD7">
        <w:rPr>
          <w:rFonts w:ascii="Arial" w:hAnsi="Arial" w:cs="Arial"/>
          <w:sz w:val="22"/>
          <w:szCs w:val="22"/>
        </w:rPr>
        <w:t>and explains that these mechanisms continue throughout adulthood. Beckett notes that adults, including older adults, are especially influenced by social cues during periods of uncertainty or transition. He also highlights that individuals can learn both helpful and unhelpful coping strategies from their environment.</w:t>
      </w:r>
    </w:p>
    <w:p w14:paraId="230013E1"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Critical Comment</w:t>
      </w:r>
    </w:p>
    <w:p w14:paraId="550758F5" w14:textId="5A2B0224" w:rsidR="00505FD7" w:rsidRPr="00505FD7" w:rsidRDefault="00505FD7" w:rsidP="00505FD7">
      <w:pPr>
        <w:rPr>
          <w:rFonts w:ascii="Arial" w:hAnsi="Arial" w:cs="Arial"/>
          <w:sz w:val="22"/>
          <w:szCs w:val="22"/>
        </w:rPr>
      </w:pPr>
      <w:r w:rsidRPr="00505FD7">
        <w:rPr>
          <w:rFonts w:ascii="Arial" w:hAnsi="Arial" w:cs="Arial"/>
          <w:sz w:val="22"/>
          <w:szCs w:val="22"/>
        </w:rPr>
        <w:t>Beckett’s explanation is highly applicable to residential care because it shows how the care home environment becomes a powerful learning space. Residents observe how staff communicate, how peers engage in activities, and how others cope with distress. A strength of the text is its clarity, which makes the theory easy to apply in practice. However, Beckett gives limited attention to how institutional cultures or power dynamics influence what is modelled and who is viewed as a credible role model. Despite this, the text reinforces the idea that staff behaviour</w:t>
      </w:r>
      <w:r w:rsidR="00BC3EA5">
        <w:rPr>
          <w:rFonts w:ascii="Arial" w:hAnsi="Arial" w:cs="Arial"/>
          <w:sz w:val="22"/>
          <w:szCs w:val="22"/>
        </w:rPr>
        <w:t xml:space="preserve"> </w:t>
      </w:r>
      <w:r w:rsidRPr="00505FD7">
        <w:rPr>
          <w:rFonts w:ascii="Arial" w:hAnsi="Arial" w:cs="Arial"/>
          <w:sz w:val="22"/>
          <w:szCs w:val="22"/>
        </w:rPr>
        <w:t>whether calm or rushed, inclusive or dismissive</w:t>
      </w:r>
      <w:r w:rsidR="00BC3EA5">
        <w:rPr>
          <w:rFonts w:ascii="Arial" w:hAnsi="Arial" w:cs="Arial"/>
          <w:sz w:val="22"/>
          <w:szCs w:val="22"/>
        </w:rPr>
        <w:t xml:space="preserve"> </w:t>
      </w:r>
      <w:r w:rsidRPr="00505FD7">
        <w:rPr>
          <w:rFonts w:ascii="Arial" w:hAnsi="Arial" w:cs="Arial"/>
          <w:sz w:val="22"/>
          <w:szCs w:val="22"/>
        </w:rPr>
        <w:t>directly shapes residents’ emotional responses and engagement.</w:t>
      </w:r>
    </w:p>
    <w:p w14:paraId="15EC8E04"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4. Bandura’s Social Learning Theory</w:t>
      </w:r>
    </w:p>
    <w:p w14:paraId="2F10EF38" w14:textId="77777777" w:rsidR="00505FD7" w:rsidRPr="00505FD7" w:rsidRDefault="00505FD7" w:rsidP="00505FD7">
      <w:pPr>
        <w:rPr>
          <w:rFonts w:ascii="Arial" w:hAnsi="Arial" w:cs="Arial"/>
          <w:sz w:val="22"/>
          <w:szCs w:val="22"/>
        </w:rPr>
      </w:pPr>
      <w:r w:rsidRPr="00505FD7">
        <w:rPr>
          <w:rFonts w:ascii="Arial" w:hAnsi="Arial" w:cs="Arial"/>
          <w:sz w:val="22"/>
          <w:szCs w:val="22"/>
        </w:rPr>
        <w:t xml:space="preserve">Rogers, A. &amp; Horrocks, N. (2016) </w:t>
      </w:r>
      <w:r w:rsidRPr="00505FD7">
        <w:rPr>
          <w:rFonts w:ascii="Arial" w:hAnsi="Arial" w:cs="Arial"/>
          <w:i/>
          <w:iCs/>
          <w:sz w:val="22"/>
          <w:szCs w:val="22"/>
        </w:rPr>
        <w:t>Adults Learning for Development</w:t>
      </w:r>
      <w:r w:rsidRPr="00505FD7">
        <w:rPr>
          <w:rFonts w:ascii="Arial" w:hAnsi="Arial" w:cs="Arial"/>
          <w:sz w:val="22"/>
          <w:szCs w:val="22"/>
        </w:rPr>
        <w:t>. Cassell Education.</w:t>
      </w:r>
    </w:p>
    <w:p w14:paraId="37B600ED"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Summary</w:t>
      </w:r>
    </w:p>
    <w:p w14:paraId="5C4E45CF" w14:textId="77777777" w:rsidR="00505FD7" w:rsidRPr="00505FD7" w:rsidRDefault="00505FD7" w:rsidP="00505FD7">
      <w:pPr>
        <w:rPr>
          <w:rFonts w:ascii="Arial" w:hAnsi="Arial" w:cs="Arial"/>
          <w:sz w:val="22"/>
          <w:szCs w:val="22"/>
        </w:rPr>
      </w:pPr>
      <w:r w:rsidRPr="00505FD7">
        <w:rPr>
          <w:rFonts w:ascii="Arial" w:hAnsi="Arial" w:cs="Arial"/>
          <w:sz w:val="22"/>
          <w:szCs w:val="22"/>
        </w:rPr>
        <w:t xml:space="preserve">Rogers and Horrocks (2016) explore how adults learn through observation, social interaction, and shared experience, drawing on Bandura’s principles of modelling and reinforcement. They argue that adult learning is social in nature and shaped by the behaviours, expectations, and emotional tone of the environment. The authors explain that adults are more likely to adopt new behaviours when they see others succeed, receive encouragement, or experience positive reinforcement. They also emphasise that learning is </w:t>
      </w:r>
      <w:r w:rsidRPr="00505FD7">
        <w:rPr>
          <w:rFonts w:ascii="Arial" w:hAnsi="Arial" w:cs="Arial"/>
          <w:sz w:val="22"/>
          <w:szCs w:val="22"/>
        </w:rPr>
        <w:lastRenderedPageBreak/>
        <w:t>most effective when individuals feel psychologically safe, especially during periods of transition or uncertainty.</w:t>
      </w:r>
    </w:p>
    <w:p w14:paraId="41D8FB81" w14:textId="77777777" w:rsidR="00505FD7" w:rsidRPr="00505FD7" w:rsidRDefault="00505FD7" w:rsidP="00505FD7">
      <w:pPr>
        <w:rPr>
          <w:rFonts w:ascii="Arial" w:hAnsi="Arial" w:cs="Arial"/>
          <w:b/>
          <w:bCs/>
          <w:sz w:val="22"/>
          <w:szCs w:val="22"/>
        </w:rPr>
      </w:pPr>
      <w:r w:rsidRPr="00505FD7">
        <w:rPr>
          <w:rFonts w:ascii="Arial" w:hAnsi="Arial" w:cs="Arial"/>
          <w:b/>
          <w:bCs/>
          <w:sz w:val="22"/>
          <w:szCs w:val="22"/>
        </w:rPr>
        <w:t>Critical Comment</w:t>
      </w:r>
    </w:p>
    <w:p w14:paraId="3C354D85" w14:textId="5A267B3B" w:rsidR="00505FD7" w:rsidRPr="00505FD7" w:rsidRDefault="00505FD7" w:rsidP="00505FD7">
      <w:pPr>
        <w:rPr>
          <w:rFonts w:ascii="Arial" w:hAnsi="Arial" w:cs="Arial"/>
          <w:sz w:val="22"/>
          <w:szCs w:val="22"/>
        </w:rPr>
      </w:pPr>
      <w:r w:rsidRPr="00505FD7">
        <w:rPr>
          <w:rFonts w:ascii="Arial" w:hAnsi="Arial" w:cs="Arial"/>
          <w:sz w:val="22"/>
          <w:szCs w:val="22"/>
        </w:rPr>
        <w:t>Although the text focuses on adult education, its insights apply well to residential care. The authors’ emphasis on confidence</w:t>
      </w:r>
      <w:r w:rsidRPr="00505FD7">
        <w:rPr>
          <w:rFonts w:ascii="Arial" w:hAnsi="Arial" w:cs="Arial"/>
          <w:sz w:val="22"/>
          <w:szCs w:val="22"/>
        </w:rPr>
        <w:noBreakHyphen/>
        <w:t>building, encouragement, and relational learning aligns with strengths</w:t>
      </w:r>
      <w:r w:rsidR="00BC3EA5">
        <w:rPr>
          <w:rFonts w:ascii="Arial" w:hAnsi="Arial" w:cs="Arial"/>
          <w:sz w:val="22"/>
          <w:szCs w:val="22"/>
        </w:rPr>
        <w:t xml:space="preserve"> </w:t>
      </w:r>
      <w:r w:rsidRPr="00505FD7">
        <w:rPr>
          <w:rFonts w:ascii="Arial" w:hAnsi="Arial" w:cs="Arial"/>
          <w:sz w:val="22"/>
          <w:szCs w:val="22"/>
        </w:rPr>
        <w:t>based and person</w:t>
      </w:r>
      <w:r w:rsidRPr="00505FD7">
        <w:rPr>
          <w:rFonts w:ascii="Arial" w:hAnsi="Arial" w:cs="Arial"/>
          <w:sz w:val="22"/>
          <w:szCs w:val="22"/>
        </w:rPr>
        <w:noBreakHyphen/>
        <w:t>centred approaches in health and social care. A major strength is their recognition that adults continue to learn and adapt throughout life, challenging assumptions that older adults are resistant to change. However, the book does not fully address age</w:t>
      </w:r>
      <w:r w:rsidR="00BC3EA5">
        <w:rPr>
          <w:rFonts w:ascii="Arial" w:hAnsi="Arial" w:cs="Arial"/>
          <w:sz w:val="22"/>
          <w:szCs w:val="22"/>
        </w:rPr>
        <w:t xml:space="preserve"> r</w:t>
      </w:r>
      <w:r w:rsidRPr="00505FD7">
        <w:rPr>
          <w:rFonts w:ascii="Arial" w:hAnsi="Arial" w:cs="Arial"/>
          <w:sz w:val="22"/>
          <w:szCs w:val="22"/>
        </w:rPr>
        <w:t>elated complexities such as cognitive decline, frailty, or institutional routines, meaning practitioners must adapt the concepts sensitively. Despite this limitation, the text offers valuable guidance on how positive modelling, supportive relationships, and shared participation can enhance older adults’ engagement, motivation, and emotional wellbeing.</w:t>
      </w:r>
    </w:p>
    <w:p w14:paraId="60C96FAA" w14:textId="77777777" w:rsidR="00040E61" w:rsidRDefault="00040E61" w:rsidP="00040E61">
      <w:pPr>
        <w:rPr>
          <w:rFonts w:ascii="Arial" w:hAnsi="Arial" w:cs="Arial"/>
          <w:sz w:val="22"/>
          <w:szCs w:val="22"/>
        </w:rPr>
      </w:pPr>
    </w:p>
    <w:p w14:paraId="43808EEC" w14:textId="77777777" w:rsidR="00505FD7" w:rsidRDefault="00505FD7" w:rsidP="00040E61">
      <w:pPr>
        <w:rPr>
          <w:rFonts w:ascii="Arial" w:hAnsi="Arial" w:cs="Arial"/>
          <w:sz w:val="22"/>
          <w:szCs w:val="22"/>
        </w:rPr>
      </w:pPr>
    </w:p>
    <w:p w14:paraId="7C0F8F2B" w14:textId="77777777" w:rsidR="00505FD7" w:rsidRDefault="00505FD7" w:rsidP="00040E61">
      <w:pPr>
        <w:rPr>
          <w:rFonts w:ascii="Arial" w:hAnsi="Arial" w:cs="Arial"/>
          <w:sz w:val="22"/>
          <w:szCs w:val="22"/>
        </w:rPr>
      </w:pPr>
    </w:p>
    <w:p w14:paraId="6AB599D9" w14:textId="77777777" w:rsidR="00505FD7" w:rsidRDefault="00505FD7" w:rsidP="00040E61">
      <w:pPr>
        <w:rPr>
          <w:rFonts w:ascii="Arial" w:hAnsi="Arial" w:cs="Arial"/>
          <w:sz w:val="22"/>
          <w:szCs w:val="22"/>
        </w:rPr>
      </w:pPr>
    </w:p>
    <w:p w14:paraId="39C94C04" w14:textId="77777777" w:rsidR="00505FD7" w:rsidRDefault="00505FD7" w:rsidP="00040E61">
      <w:pPr>
        <w:rPr>
          <w:rFonts w:ascii="Arial" w:hAnsi="Arial" w:cs="Arial"/>
          <w:sz w:val="22"/>
          <w:szCs w:val="22"/>
        </w:rPr>
      </w:pPr>
    </w:p>
    <w:p w14:paraId="1EB9BBF9" w14:textId="77777777" w:rsidR="00505FD7" w:rsidRDefault="00505FD7" w:rsidP="00040E61">
      <w:pPr>
        <w:rPr>
          <w:rFonts w:ascii="Arial" w:hAnsi="Arial" w:cs="Arial"/>
          <w:sz w:val="22"/>
          <w:szCs w:val="22"/>
        </w:rPr>
      </w:pPr>
    </w:p>
    <w:p w14:paraId="2CF58965" w14:textId="77777777" w:rsidR="00505FD7" w:rsidRDefault="00505FD7" w:rsidP="00040E61">
      <w:pPr>
        <w:rPr>
          <w:rFonts w:ascii="Arial" w:hAnsi="Arial" w:cs="Arial"/>
          <w:sz w:val="22"/>
          <w:szCs w:val="22"/>
        </w:rPr>
      </w:pPr>
    </w:p>
    <w:p w14:paraId="623D3722" w14:textId="77777777" w:rsidR="00505FD7" w:rsidRDefault="00505FD7" w:rsidP="00040E61">
      <w:pPr>
        <w:rPr>
          <w:rFonts w:ascii="Arial" w:hAnsi="Arial" w:cs="Arial"/>
          <w:sz w:val="22"/>
          <w:szCs w:val="22"/>
        </w:rPr>
      </w:pPr>
    </w:p>
    <w:p w14:paraId="79A8A605" w14:textId="77777777" w:rsidR="00505FD7" w:rsidRDefault="00505FD7" w:rsidP="00040E61">
      <w:pPr>
        <w:rPr>
          <w:rFonts w:ascii="Arial" w:hAnsi="Arial" w:cs="Arial"/>
          <w:sz w:val="22"/>
          <w:szCs w:val="22"/>
        </w:rPr>
      </w:pPr>
    </w:p>
    <w:p w14:paraId="57D0123D" w14:textId="77777777" w:rsidR="00505FD7" w:rsidRDefault="00505FD7" w:rsidP="00040E61">
      <w:pPr>
        <w:rPr>
          <w:rFonts w:ascii="Arial" w:hAnsi="Arial" w:cs="Arial"/>
          <w:sz w:val="22"/>
          <w:szCs w:val="22"/>
        </w:rPr>
      </w:pPr>
    </w:p>
    <w:p w14:paraId="36F570AD" w14:textId="77777777" w:rsidR="00505FD7" w:rsidRDefault="00505FD7" w:rsidP="00040E61">
      <w:pPr>
        <w:rPr>
          <w:rFonts w:ascii="Arial" w:hAnsi="Arial" w:cs="Arial"/>
          <w:sz w:val="22"/>
          <w:szCs w:val="22"/>
        </w:rPr>
      </w:pPr>
    </w:p>
    <w:p w14:paraId="23A733E1" w14:textId="77777777" w:rsidR="00505FD7" w:rsidRDefault="00505FD7" w:rsidP="00040E61">
      <w:pPr>
        <w:rPr>
          <w:rFonts w:ascii="Arial" w:hAnsi="Arial" w:cs="Arial"/>
          <w:sz w:val="22"/>
          <w:szCs w:val="22"/>
        </w:rPr>
      </w:pPr>
    </w:p>
    <w:p w14:paraId="5DD2C1D9" w14:textId="77777777" w:rsidR="00505FD7" w:rsidRDefault="00505FD7" w:rsidP="00040E61">
      <w:pPr>
        <w:rPr>
          <w:rFonts w:ascii="Arial" w:hAnsi="Arial" w:cs="Arial"/>
          <w:sz w:val="22"/>
          <w:szCs w:val="22"/>
        </w:rPr>
      </w:pPr>
    </w:p>
    <w:p w14:paraId="78CE642E" w14:textId="77777777" w:rsidR="00505FD7" w:rsidRDefault="00505FD7" w:rsidP="00040E61">
      <w:pPr>
        <w:rPr>
          <w:rFonts w:ascii="Arial" w:hAnsi="Arial" w:cs="Arial"/>
          <w:sz w:val="22"/>
          <w:szCs w:val="22"/>
        </w:rPr>
      </w:pPr>
    </w:p>
    <w:p w14:paraId="385F1A92" w14:textId="77777777" w:rsidR="00505FD7" w:rsidRDefault="00505FD7" w:rsidP="00040E61">
      <w:pPr>
        <w:rPr>
          <w:rFonts w:ascii="Arial" w:hAnsi="Arial" w:cs="Arial"/>
          <w:sz w:val="22"/>
          <w:szCs w:val="22"/>
        </w:rPr>
      </w:pPr>
    </w:p>
    <w:p w14:paraId="7AF2802D" w14:textId="77777777" w:rsidR="00505FD7" w:rsidRDefault="00505FD7" w:rsidP="00040E61">
      <w:pPr>
        <w:rPr>
          <w:rFonts w:ascii="Arial" w:hAnsi="Arial" w:cs="Arial"/>
          <w:sz w:val="22"/>
          <w:szCs w:val="22"/>
        </w:rPr>
      </w:pPr>
    </w:p>
    <w:p w14:paraId="71B30A2B" w14:textId="77777777" w:rsidR="00505FD7" w:rsidRDefault="00505FD7" w:rsidP="00040E61">
      <w:pPr>
        <w:rPr>
          <w:rFonts w:ascii="Arial" w:hAnsi="Arial" w:cs="Arial"/>
          <w:sz w:val="22"/>
          <w:szCs w:val="22"/>
        </w:rPr>
      </w:pPr>
    </w:p>
    <w:p w14:paraId="3DF4779B" w14:textId="77777777" w:rsidR="00505FD7" w:rsidRDefault="00505FD7" w:rsidP="00040E61">
      <w:pPr>
        <w:rPr>
          <w:rFonts w:ascii="Arial" w:hAnsi="Arial" w:cs="Arial"/>
          <w:sz w:val="22"/>
          <w:szCs w:val="22"/>
        </w:rPr>
      </w:pPr>
    </w:p>
    <w:p w14:paraId="38D8DA2C" w14:textId="77777777" w:rsidR="00505FD7" w:rsidRDefault="00505FD7" w:rsidP="00040E61">
      <w:pPr>
        <w:rPr>
          <w:rFonts w:ascii="Arial" w:hAnsi="Arial" w:cs="Arial"/>
          <w:sz w:val="22"/>
          <w:szCs w:val="22"/>
        </w:rPr>
      </w:pPr>
    </w:p>
    <w:p w14:paraId="3320FF61" w14:textId="77777777" w:rsidR="00505FD7" w:rsidRDefault="00505FD7" w:rsidP="00040E61">
      <w:pPr>
        <w:rPr>
          <w:rFonts w:ascii="Arial" w:hAnsi="Arial" w:cs="Arial"/>
          <w:sz w:val="22"/>
          <w:szCs w:val="22"/>
        </w:rPr>
      </w:pPr>
    </w:p>
    <w:p w14:paraId="46B20102" w14:textId="77777777" w:rsidR="00505FD7" w:rsidRDefault="00505FD7" w:rsidP="00040E61">
      <w:pPr>
        <w:rPr>
          <w:rFonts w:ascii="Arial" w:hAnsi="Arial" w:cs="Arial"/>
          <w:sz w:val="22"/>
          <w:szCs w:val="22"/>
        </w:rPr>
      </w:pPr>
    </w:p>
    <w:p w14:paraId="32A77D46" w14:textId="77777777" w:rsidR="00040E61" w:rsidRDefault="00040E61" w:rsidP="00040E61">
      <w:pPr>
        <w:rPr>
          <w:rFonts w:ascii="Arial" w:hAnsi="Arial" w:cs="Arial"/>
          <w:sz w:val="22"/>
          <w:szCs w:val="22"/>
        </w:rPr>
      </w:pPr>
    </w:p>
    <w:p w14:paraId="1A0C3FD1" w14:textId="77777777" w:rsidR="00040E61" w:rsidRDefault="00040E61" w:rsidP="00040E61">
      <w:pPr>
        <w:rPr>
          <w:rFonts w:ascii="Arial" w:hAnsi="Arial" w:cs="Arial"/>
          <w:sz w:val="22"/>
          <w:szCs w:val="22"/>
        </w:rPr>
      </w:pPr>
    </w:p>
    <w:p w14:paraId="054882F1" w14:textId="77777777" w:rsidR="00040E61" w:rsidRDefault="00040E61" w:rsidP="00040E61">
      <w:pPr>
        <w:rPr>
          <w:rFonts w:ascii="Arial" w:hAnsi="Arial" w:cs="Arial"/>
          <w:sz w:val="22"/>
          <w:szCs w:val="22"/>
        </w:rPr>
      </w:pPr>
    </w:p>
    <w:p w14:paraId="2FED9676" w14:textId="77777777" w:rsidR="00040E61" w:rsidRDefault="00040E61" w:rsidP="00040E61">
      <w:pPr>
        <w:rPr>
          <w:rFonts w:ascii="Arial" w:hAnsi="Arial" w:cs="Arial"/>
          <w:sz w:val="22"/>
          <w:szCs w:val="22"/>
        </w:rPr>
      </w:pPr>
    </w:p>
    <w:p w14:paraId="47CB41A8" w14:textId="77777777" w:rsidR="00040E61" w:rsidRPr="00040E61" w:rsidRDefault="00040E61" w:rsidP="00040E61">
      <w:pPr>
        <w:rPr>
          <w:rFonts w:ascii="Arial" w:hAnsi="Arial" w:cs="Arial"/>
          <w:b/>
          <w:bCs/>
          <w:sz w:val="28"/>
          <w:szCs w:val="28"/>
        </w:rPr>
      </w:pPr>
      <w:r w:rsidRPr="00040E61">
        <w:rPr>
          <w:rFonts w:ascii="Arial" w:hAnsi="Arial" w:cs="Arial"/>
          <w:b/>
          <w:bCs/>
          <w:sz w:val="28"/>
          <w:szCs w:val="28"/>
        </w:rPr>
        <w:t>PART B: Short Report</w:t>
      </w:r>
    </w:p>
    <w:p w14:paraId="5BA295EF" w14:textId="77777777" w:rsidR="00040E61" w:rsidRPr="00040E61" w:rsidRDefault="00040E61" w:rsidP="00040E61">
      <w:pPr>
        <w:rPr>
          <w:rFonts w:ascii="Arial" w:hAnsi="Arial" w:cs="Arial"/>
          <w:sz w:val="22"/>
          <w:szCs w:val="22"/>
        </w:rPr>
      </w:pPr>
      <w:r w:rsidRPr="00040E61">
        <w:rPr>
          <w:rFonts w:ascii="Arial" w:hAnsi="Arial" w:cs="Arial"/>
          <w:b/>
          <w:bCs/>
          <w:sz w:val="22"/>
          <w:szCs w:val="22"/>
        </w:rPr>
        <w:t>Applying Bandura’s Social Learning Theory to Support Wellbeing in Residential Care</w:t>
      </w:r>
    </w:p>
    <w:p w14:paraId="5795DC17" w14:textId="77777777" w:rsidR="00236A8A" w:rsidRPr="00236A8A" w:rsidRDefault="00236A8A" w:rsidP="00236A8A">
      <w:pPr>
        <w:rPr>
          <w:rFonts w:ascii="Arial" w:hAnsi="Arial" w:cs="Arial"/>
          <w:b/>
          <w:bCs/>
          <w:sz w:val="22"/>
          <w:szCs w:val="22"/>
        </w:rPr>
      </w:pPr>
      <w:r w:rsidRPr="00236A8A">
        <w:rPr>
          <w:rFonts w:ascii="Arial" w:hAnsi="Arial" w:cs="Arial"/>
          <w:b/>
          <w:bCs/>
          <w:sz w:val="22"/>
          <w:szCs w:val="22"/>
        </w:rPr>
        <w:t>1. Introduction</w:t>
      </w:r>
    </w:p>
    <w:p w14:paraId="2B2947DB" w14:textId="77777777" w:rsidR="00236A8A" w:rsidRPr="00236A8A" w:rsidRDefault="00236A8A" w:rsidP="00236A8A">
      <w:pPr>
        <w:rPr>
          <w:rFonts w:ascii="Arial" w:hAnsi="Arial" w:cs="Arial"/>
          <w:sz w:val="22"/>
          <w:szCs w:val="22"/>
        </w:rPr>
      </w:pPr>
      <w:r w:rsidRPr="00236A8A">
        <w:rPr>
          <w:rFonts w:ascii="Arial" w:hAnsi="Arial" w:cs="Arial"/>
          <w:sz w:val="22"/>
          <w:szCs w:val="22"/>
        </w:rPr>
        <w:t>This report examines how Bandura’s Social Learning Theory can support the wellbeing of older adults in residential care. The theory suggests that people learn by observing others, interpreting social cues, and copying behaviours that appear effective or socially rewarded (Bandura, 1977). These learning processes continue throughout life and become especially important in later adulthood, when individuals may face major changes such as declining health, bereavement, or moving into a care home. These transitions can increase emotional vulnerability and make older adults more dependent on social information. This report explains the theory, evaluates its relevance to older adults, and shows how it can guide practical strategies in residential care.</w:t>
      </w:r>
    </w:p>
    <w:p w14:paraId="69B66CCE" w14:textId="77777777" w:rsidR="00236A8A" w:rsidRPr="00236A8A" w:rsidRDefault="00236A8A" w:rsidP="00236A8A">
      <w:pPr>
        <w:rPr>
          <w:rFonts w:ascii="Arial" w:hAnsi="Arial" w:cs="Arial"/>
          <w:b/>
          <w:bCs/>
          <w:sz w:val="22"/>
          <w:szCs w:val="22"/>
        </w:rPr>
      </w:pPr>
      <w:r w:rsidRPr="00236A8A">
        <w:rPr>
          <w:rFonts w:ascii="Arial" w:hAnsi="Arial" w:cs="Arial"/>
          <w:b/>
          <w:bCs/>
          <w:sz w:val="22"/>
          <w:szCs w:val="22"/>
        </w:rPr>
        <w:t>2. Explanation of Social Learning Theory</w:t>
      </w:r>
    </w:p>
    <w:p w14:paraId="16790948" w14:textId="395AB8A8" w:rsidR="00236A8A" w:rsidRPr="00236A8A" w:rsidRDefault="00236A8A" w:rsidP="00236A8A">
      <w:pPr>
        <w:rPr>
          <w:rFonts w:ascii="Arial" w:hAnsi="Arial" w:cs="Arial"/>
          <w:sz w:val="22"/>
          <w:szCs w:val="22"/>
        </w:rPr>
      </w:pPr>
      <w:r w:rsidRPr="00236A8A">
        <w:rPr>
          <w:rFonts w:ascii="Arial" w:hAnsi="Arial" w:cs="Arial"/>
          <w:sz w:val="22"/>
          <w:szCs w:val="22"/>
        </w:rPr>
        <w:t>Social Learning Theory proposes that behaviour is shaped by both direct experience and by watching how others behave and what happens to them (Bandura,</w:t>
      </w:r>
      <w:r w:rsidR="00142151">
        <w:rPr>
          <w:rFonts w:ascii="Arial" w:hAnsi="Arial" w:cs="Arial"/>
          <w:sz w:val="22"/>
          <w:szCs w:val="22"/>
        </w:rPr>
        <w:t xml:space="preserve"> 1</w:t>
      </w:r>
      <w:r w:rsidRPr="00236A8A">
        <w:rPr>
          <w:rFonts w:ascii="Arial" w:hAnsi="Arial" w:cs="Arial"/>
          <w:sz w:val="22"/>
          <w:szCs w:val="22"/>
        </w:rPr>
        <w:t>977). Bandura identifies four key processes</w:t>
      </w:r>
      <w:r w:rsidR="00E86582">
        <w:rPr>
          <w:rFonts w:ascii="Arial" w:hAnsi="Arial" w:cs="Arial"/>
          <w:sz w:val="22"/>
          <w:szCs w:val="22"/>
        </w:rPr>
        <w:t xml:space="preserve"> </w:t>
      </w:r>
      <w:r w:rsidRPr="00236A8A">
        <w:rPr>
          <w:rFonts w:ascii="Arial" w:hAnsi="Arial" w:cs="Arial"/>
          <w:sz w:val="22"/>
          <w:szCs w:val="22"/>
        </w:rPr>
        <w:t>attention, retention, reproduction, and motivation</w:t>
      </w:r>
      <w:r w:rsidR="00E86582">
        <w:rPr>
          <w:rFonts w:ascii="Arial" w:hAnsi="Arial" w:cs="Arial"/>
          <w:sz w:val="22"/>
          <w:szCs w:val="22"/>
        </w:rPr>
        <w:t xml:space="preserve"> </w:t>
      </w:r>
      <w:r w:rsidRPr="00236A8A">
        <w:rPr>
          <w:rFonts w:ascii="Arial" w:hAnsi="Arial" w:cs="Arial"/>
          <w:sz w:val="22"/>
          <w:szCs w:val="22"/>
        </w:rPr>
        <w:t>that explain how people observe, remember, and imitate behaviour. These processes remain active in older adulthood, and older adults may rely on them even more when they feel uncertain or anxious (Beckett, 2018).</w:t>
      </w:r>
    </w:p>
    <w:p w14:paraId="3C65DEF5" w14:textId="77777777" w:rsidR="00236A8A" w:rsidRPr="00236A8A" w:rsidRDefault="00236A8A" w:rsidP="00236A8A">
      <w:pPr>
        <w:rPr>
          <w:rFonts w:ascii="Arial" w:hAnsi="Arial" w:cs="Arial"/>
          <w:sz w:val="22"/>
          <w:szCs w:val="22"/>
        </w:rPr>
      </w:pPr>
      <w:r w:rsidRPr="00236A8A">
        <w:rPr>
          <w:rFonts w:ascii="Arial" w:hAnsi="Arial" w:cs="Arial"/>
          <w:sz w:val="22"/>
          <w:szCs w:val="22"/>
        </w:rPr>
        <w:t>This is particularly relevant in residential care. Many older adults enter care following illness, loss of independence, or other major life changes. These experiences can reduce confidence and increase reliance on others as a guide for how to behave. Watching staff communicate calmly can help residents regulate their emotions, while seeing peers join activities may encourage hesitant residents to participate. Social Learning Theory therefore helps explain how older adults adjust to new environments and how staff behaviour can influence residents’ emotions, engagement, and sense of belonging (Rogers and Horrocks, 2016).</w:t>
      </w:r>
    </w:p>
    <w:p w14:paraId="2B2721A4" w14:textId="677BFC9A" w:rsidR="00236A8A" w:rsidRPr="00236A8A" w:rsidRDefault="00236A8A" w:rsidP="00236A8A">
      <w:pPr>
        <w:rPr>
          <w:rFonts w:ascii="Arial" w:hAnsi="Arial" w:cs="Arial"/>
          <w:sz w:val="22"/>
          <w:szCs w:val="22"/>
        </w:rPr>
      </w:pPr>
      <w:r w:rsidRPr="00236A8A">
        <w:rPr>
          <w:rFonts w:ascii="Arial" w:hAnsi="Arial" w:cs="Arial"/>
          <w:sz w:val="22"/>
          <w:szCs w:val="22"/>
        </w:rPr>
        <w:t>However, the theory has limitations. Some researchers argue that it focuses too much on environmental influences and does not fully consider age</w:t>
      </w:r>
      <w:r w:rsidR="00142151">
        <w:rPr>
          <w:rFonts w:ascii="Arial" w:hAnsi="Arial" w:cs="Arial"/>
          <w:sz w:val="22"/>
          <w:szCs w:val="22"/>
        </w:rPr>
        <w:t xml:space="preserve"> </w:t>
      </w:r>
      <w:r w:rsidRPr="00236A8A">
        <w:rPr>
          <w:rFonts w:ascii="Arial" w:hAnsi="Arial" w:cs="Arial"/>
          <w:sz w:val="22"/>
          <w:szCs w:val="22"/>
        </w:rPr>
        <w:t>related biological or cognitive changes, such as slower processing speed or reduced memory (Springer, 2017). These changes may affect how well older adults can observe, retain, and copy behaviour. Even so, the theory remains useful because it highlights the importance of relationships and social interaction, which are central to person</w:t>
      </w:r>
      <w:r w:rsidRPr="00236A8A">
        <w:rPr>
          <w:rFonts w:ascii="Arial" w:hAnsi="Arial" w:cs="Arial"/>
          <w:sz w:val="22"/>
          <w:szCs w:val="22"/>
        </w:rPr>
        <w:noBreakHyphen/>
        <w:t>centred care.</w:t>
      </w:r>
    </w:p>
    <w:p w14:paraId="174252BE" w14:textId="77777777" w:rsidR="00236A8A" w:rsidRPr="00236A8A" w:rsidRDefault="00236A8A" w:rsidP="00236A8A">
      <w:pPr>
        <w:rPr>
          <w:rFonts w:ascii="Arial" w:hAnsi="Arial" w:cs="Arial"/>
          <w:b/>
          <w:bCs/>
          <w:sz w:val="22"/>
          <w:szCs w:val="22"/>
        </w:rPr>
      </w:pPr>
      <w:r w:rsidRPr="00236A8A">
        <w:rPr>
          <w:rFonts w:ascii="Arial" w:hAnsi="Arial" w:cs="Arial"/>
          <w:b/>
          <w:bCs/>
          <w:sz w:val="22"/>
          <w:szCs w:val="22"/>
        </w:rPr>
        <w:t>3. Application to Residential Care and Case Scenario</w:t>
      </w:r>
    </w:p>
    <w:p w14:paraId="666D0568" w14:textId="77777777" w:rsidR="00236A8A" w:rsidRPr="00236A8A" w:rsidRDefault="00236A8A" w:rsidP="00236A8A">
      <w:pPr>
        <w:rPr>
          <w:rFonts w:ascii="Arial" w:hAnsi="Arial" w:cs="Arial"/>
          <w:sz w:val="22"/>
          <w:szCs w:val="22"/>
        </w:rPr>
      </w:pPr>
      <w:r w:rsidRPr="00236A8A">
        <w:rPr>
          <w:rFonts w:ascii="Arial" w:hAnsi="Arial" w:cs="Arial"/>
          <w:sz w:val="22"/>
          <w:szCs w:val="22"/>
        </w:rPr>
        <w:t xml:space="preserve">In residential care, Social Learning Theory offers a practical way to support positive behaviour and emotional wellbeing. Staff act as constant role models. When they show </w:t>
      </w:r>
      <w:r w:rsidRPr="00236A8A">
        <w:rPr>
          <w:rFonts w:ascii="Arial" w:hAnsi="Arial" w:cs="Arial"/>
          <w:sz w:val="22"/>
          <w:szCs w:val="22"/>
        </w:rPr>
        <w:lastRenderedPageBreak/>
        <w:t>patience, empathy, and consistent communication, residents are more likely to respond in similar ways. In contrast, rushed or inconsistent interactions can increase anxiety or discourage participation. This shows the importance of a predictable environment where positive behaviour is modelled consistently (Beckett, 2018).</w:t>
      </w:r>
    </w:p>
    <w:p w14:paraId="7F75646F" w14:textId="77777777" w:rsidR="00236A8A" w:rsidRPr="00236A8A" w:rsidRDefault="00236A8A" w:rsidP="00236A8A">
      <w:pPr>
        <w:rPr>
          <w:rFonts w:ascii="Arial" w:hAnsi="Arial" w:cs="Arial"/>
          <w:sz w:val="22"/>
          <w:szCs w:val="22"/>
        </w:rPr>
      </w:pPr>
      <w:r w:rsidRPr="00236A8A">
        <w:rPr>
          <w:rFonts w:ascii="Arial" w:hAnsi="Arial" w:cs="Arial"/>
          <w:sz w:val="22"/>
          <w:szCs w:val="22"/>
        </w:rPr>
        <w:t>Practical strategies include staff joining group activities to model enthusiasm, using calm communication during distress, and highlighting positive peer behaviour to encourage engagement. Group activities are especially effective because residents can learn from one another in a supportive setting. Staff can also model coping strategies, such as deep breathing or asking for help, to support residents who feel anxious. Pairing new residents with confident peers can further promote positive observational learning.</w:t>
      </w:r>
    </w:p>
    <w:p w14:paraId="559AE79D" w14:textId="77777777" w:rsidR="00236A8A" w:rsidRPr="00236A8A" w:rsidRDefault="00236A8A" w:rsidP="00236A8A">
      <w:pPr>
        <w:rPr>
          <w:rFonts w:ascii="Arial" w:hAnsi="Arial" w:cs="Arial"/>
          <w:sz w:val="22"/>
          <w:szCs w:val="22"/>
        </w:rPr>
      </w:pPr>
      <w:r w:rsidRPr="00236A8A">
        <w:rPr>
          <w:rFonts w:ascii="Arial" w:hAnsi="Arial" w:cs="Arial"/>
          <w:sz w:val="22"/>
          <w:szCs w:val="22"/>
        </w:rPr>
        <w:t>Case Scenario</w:t>
      </w:r>
    </w:p>
    <w:p w14:paraId="32B46474" w14:textId="1ADD4E23" w:rsidR="00236A8A" w:rsidRPr="00236A8A" w:rsidRDefault="00787709" w:rsidP="00236A8A">
      <w:pPr>
        <w:rPr>
          <w:rFonts w:ascii="Arial" w:hAnsi="Arial" w:cs="Arial"/>
          <w:sz w:val="22"/>
          <w:szCs w:val="22"/>
        </w:rPr>
      </w:pPr>
      <w:r>
        <w:rPr>
          <w:rFonts w:ascii="Arial" w:hAnsi="Arial" w:cs="Arial"/>
          <w:sz w:val="22"/>
          <w:szCs w:val="22"/>
        </w:rPr>
        <w:t xml:space="preserve">For </w:t>
      </w:r>
      <w:r w:rsidR="000D0142">
        <w:rPr>
          <w:rFonts w:ascii="Arial" w:hAnsi="Arial" w:cs="Arial"/>
          <w:sz w:val="22"/>
          <w:szCs w:val="22"/>
        </w:rPr>
        <w:t>example,</w:t>
      </w:r>
      <w:r>
        <w:rPr>
          <w:rFonts w:ascii="Arial" w:hAnsi="Arial" w:cs="Arial"/>
          <w:sz w:val="22"/>
          <w:szCs w:val="22"/>
        </w:rPr>
        <w:t xml:space="preserve"> </w:t>
      </w:r>
      <w:r w:rsidR="00140C1D">
        <w:rPr>
          <w:rFonts w:ascii="Arial" w:hAnsi="Arial" w:cs="Arial"/>
          <w:sz w:val="22"/>
          <w:szCs w:val="22"/>
        </w:rPr>
        <w:t xml:space="preserve">Mrs </w:t>
      </w:r>
      <w:r w:rsidR="000D0142">
        <w:rPr>
          <w:rFonts w:ascii="Arial" w:hAnsi="Arial" w:cs="Arial"/>
          <w:sz w:val="22"/>
          <w:szCs w:val="22"/>
        </w:rPr>
        <w:t>Ark</w:t>
      </w:r>
      <w:r w:rsidR="00236A8A" w:rsidRPr="00236A8A">
        <w:rPr>
          <w:rFonts w:ascii="Arial" w:hAnsi="Arial" w:cs="Arial"/>
          <w:sz w:val="22"/>
          <w:szCs w:val="22"/>
        </w:rPr>
        <w:t>, recently moved into a care home after a fall. She feels anxious, isolated, and reluctant to join group activities. Staff use a social learning approach: during morning exercise sessions, a care worker joins the group, showing enjoyment and offering gentle encouragement. Mrs A</w:t>
      </w:r>
      <w:r w:rsidR="000D0142">
        <w:rPr>
          <w:rFonts w:ascii="Arial" w:hAnsi="Arial" w:cs="Arial"/>
          <w:sz w:val="22"/>
          <w:szCs w:val="22"/>
        </w:rPr>
        <w:t>rk</w:t>
      </w:r>
      <w:r w:rsidR="00236A8A" w:rsidRPr="00236A8A">
        <w:rPr>
          <w:rFonts w:ascii="Arial" w:hAnsi="Arial" w:cs="Arial"/>
          <w:sz w:val="22"/>
          <w:szCs w:val="22"/>
        </w:rPr>
        <w:t xml:space="preserve"> notices another resident</w:t>
      </w:r>
      <w:r w:rsidR="00142151">
        <w:rPr>
          <w:rFonts w:ascii="Arial" w:hAnsi="Arial" w:cs="Arial"/>
          <w:sz w:val="22"/>
          <w:szCs w:val="22"/>
        </w:rPr>
        <w:t xml:space="preserve"> </w:t>
      </w:r>
      <w:r w:rsidR="00236A8A" w:rsidRPr="00236A8A">
        <w:rPr>
          <w:rFonts w:ascii="Arial" w:hAnsi="Arial" w:cs="Arial"/>
          <w:sz w:val="22"/>
          <w:szCs w:val="22"/>
        </w:rPr>
        <w:t>similar in age and mobility</w:t>
      </w:r>
      <w:r w:rsidR="00142151">
        <w:rPr>
          <w:rFonts w:ascii="Arial" w:hAnsi="Arial" w:cs="Arial"/>
          <w:sz w:val="22"/>
          <w:szCs w:val="22"/>
        </w:rPr>
        <w:t xml:space="preserve"> </w:t>
      </w:r>
      <w:r w:rsidR="00236A8A" w:rsidRPr="00236A8A">
        <w:rPr>
          <w:rFonts w:ascii="Arial" w:hAnsi="Arial" w:cs="Arial"/>
          <w:sz w:val="22"/>
          <w:szCs w:val="22"/>
        </w:rPr>
        <w:t>taking part confidently. Over several days, she watches from a distance, then gradually moves closer. Eventually, she joins in for a short time, and within weeks she participates fully. She later reports feeling “more settled” and begins forming friendships. This scenario shows how observational learning can reduce anxiety, build confidence, and support emotional adjustment (Rogers and Horrocks, 2016).</w:t>
      </w:r>
    </w:p>
    <w:p w14:paraId="4D7E77A1" w14:textId="77777777" w:rsidR="00236A8A" w:rsidRPr="00236A8A" w:rsidRDefault="00236A8A" w:rsidP="00236A8A">
      <w:pPr>
        <w:rPr>
          <w:rFonts w:ascii="Arial" w:hAnsi="Arial" w:cs="Arial"/>
          <w:b/>
          <w:bCs/>
          <w:sz w:val="22"/>
          <w:szCs w:val="22"/>
        </w:rPr>
      </w:pPr>
      <w:r w:rsidRPr="00236A8A">
        <w:rPr>
          <w:rFonts w:ascii="Arial" w:hAnsi="Arial" w:cs="Arial"/>
          <w:b/>
          <w:bCs/>
          <w:sz w:val="22"/>
          <w:szCs w:val="22"/>
        </w:rPr>
        <w:t>4. Challenge and Strategy</w:t>
      </w:r>
    </w:p>
    <w:p w14:paraId="07C02BE4" w14:textId="77777777" w:rsidR="00236A8A" w:rsidRPr="00236A8A" w:rsidRDefault="00236A8A" w:rsidP="00236A8A">
      <w:pPr>
        <w:rPr>
          <w:rFonts w:ascii="Arial" w:hAnsi="Arial" w:cs="Arial"/>
          <w:sz w:val="22"/>
          <w:szCs w:val="22"/>
        </w:rPr>
      </w:pPr>
      <w:r w:rsidRPr="00236A8A">
        <w:rPr>
          <w:rFonts w:ascii="Arial" w:hAnsi="Arial" w:cs="Arial"/>
          <w:sz w:val="22"/>
          <w:szCs w:val="22"/>
        </w:rPr>
        <w:t>A key challenge in applying Social Learning Theory is inconsistent modelling among staff. When some staff show warmth and patience while others appear rushed or disengaged, residents receive mixed messages. This inconsistency can weaken trust and reduce the impact of observational learning, especially for residents who rely heavily on social cues during adjustment (Bandura, 1986). Older adults with cognitive decline may be particularly affected, as they depend on clear routines and predictable behaviour.</w:t>
      </w:r>
    </w:p>
    <w:p w14:paraId="7260797B" w14:textId="15D119E9" w:rsidR="00236A8A" w:rsidRPr="00236A8A" w:rsidRDefault="00236A8A" w:rsidP="00236A8A">
      <w:pPr>
        <w:rPr>
          <w:rFonts w:ascii="Arial" w:hAnsi="Arial" w:cs="Arial"/>
          <w:sz w:val="22"/>
          <w:szCs w:val="22"/>
        </w:rPr>
      </w:pPr>
      <w:r w:rsidRPr="00236A8A">
        <w:rPr>
          <w:rFonts w:ascii="Arial" w:hAnsi="Arial" w:cs="Arial"/>
          <w:sz w:val="22"/>
          <w:szCs w:val="22"/>
        </w:rPr>
        <w:t>A practical solution is a whole</w:t>
      </w:r>
      <w:r w:rsidRPr="00236A8A">
        <w:rPr>
          <w:rFonts w:ascii="Arial" w:hAnsi="Arial" w:cs="Arial"/>
          <w:sz w:val="22"/>
          <w:szCs w:val="22"/>
        </w:rPr>
        <w:noBreakHyphen/>
        <w:t>team approach that promotes consistent communication and behaviour. Regular training, reflective practice, and shared standards can help ensure that all staff model the same positive behaviours. Research shows that predictable, emotionally safe environments support better outcomes for older adults, especially those with anxiety or cognitive impairment (Springer, 2017). Including role</w:t>
      </w:r>
      <w:r w:rsidRPr="00236A8A">
        <w:rPr>
          <w:rFonts w:ascii="Arial" w:hAnsi="Arial" w:cs="Arial"/>
          <w:sz w:val="22"/>
          <w:szCs w:val="22"/>
        </w:rPr>
        <w:noBreakHyphen/>
        <w:t>modelling in supervision</w:t>
      </w:r>
      <w:r w:rsidR="00142151">
        <w:rPr>
          <w:rFonts w:ascii="Arial" w:hAnsi="Arial" w:cs="Arial"/>
          <w:sz w:val="22"/>
          <w:szCs w:val="22"/>
        </w:rPr>
        <w:t xml:space="preserve"> </w:t>
      </w:r>
      <w:r w:rsidRPr="00236A8A">
        <w:rPr>
          <w:rFonts w:ascii="Arial" w:hAnsi="Arial" w:cs="Arial"/>
          <w:sz w:val="22"/>
          <w:szCs w:val="22"/>
        </w:rPr>
        <w:t>where senior staff demonstrate best practice</w:t>
      </w:r>
      <w:r w:rsidR="00142151">
        <w:rPr>
          <w:rFonts w:ascii="Arial" w:hAnsi="Arial" w:cs="Arial"/>
          <w:sz w:val="22"/>
          <w:szCs w:val="22"/>
        </w:rPr>
        <w:t xml:space="preserve"> </w:t>
      </w:r>
      <w:r w:rsidRPr="00236A8A">
        <w:rPr>
          <w:rFonts w:ascii="Arial" w:hAnsi="Arial" w:cs="Arial"/>
          <w:sz w:val="22"/>
          <w:szCs w:val="22"/>
        </w:rPr>
        <w:t>can further strengthen consistency and improve the overall quality of care.</w:t>
      </w:r>
    </w:p>
    <w:p w14:paraId="7A21519A" w14:textId="77777777" w:rsidR="00236A8A" w:rsidRPr="00236A8A" w:rsidRDefault="00236A8A" w:rsidP="00236A8A">
      <w:pPr>
        <w:rPr>
          <w:rFonts w:ascii="Arial" w:hAnsi="Arial" w:cs="Arial"/>
          <w:b/>
          <w:bCs/>
          <w:sz w:val="22"/>
          <w:szCs w:val="22"/>
        </w:rPr>
      </w:pPr>
      <w:r w:rsidRPr="00236A8A">
        <w:rPr>
          <w:rFonts w:ascii="Arial" w:hAnsi="Arial" w:cs="Arial"/>
          <w:b/>
          <w:bCs/>
          <w:sz w:val="22"/>
          <w:szCs w:val="22"/>
        </w:rPr>
        <w:t>5. Conclusion</w:t>
      </w:r>
    </w:p>
    <w:p w14:paraId="6B446CC4" w14:textId="53E83031" w:rsidR="00236A8A" w:rsidRPr="00236A8A" w:rsidRDefault="00236A8A" w:rsidP="00236A8A">
      <w:pPr>
        <w:rPr>
          <w:rFonts w:ascii="Arial" w:hAnsi="Arial" w:cs="Arial"/>
          <w:sz w:val="22"/>
          <w:szCs w:val="22"/>
        </w:rPr>
      </w:pPr>
      <w:r w:rsidRPr="00236A8A">
        <w:rPr>
          <w:rFonts w:ascii="Arial" w:hAnsi="Arial" w:cs="Arial"/>
          <w:sz w:val="22"/>
          <w:szCs w:val="22"/>
        </w:rPr>
        <w:t>Social Learning Theory provides a valuable framework for supporting older adults in residential care. Consistent role</w:t>
      </w:r>
      <w:r w:rsidR="00B60103">
        <w:rPr>
          <w:rFonts w:ascii="Arial" w:hAnsi="Arial" w:cs="Arial"/>
          <w:sz w:val="22"/>
          <w:szCs w:val="22"/>
        </w:rPr>
        <w:t xml:space="preserve"> </w:t>
      </w:r>
      <w:r w:rsidRPr="00236A8A">
        <w:rPr>
          <w:rFonts w:ascii="Arial" w:hAnsi="Arial" w:cs="Arial"/>
          <w:sz w:val="22"/>
          <w:szCs w:val="22"/>
        </w:rPr>
        <w:t>modelling by staff can help residents build confidence, engage socially, and adjust more smoothly to their environment. When used effectively, the theory supports person</w:t>
      </w:r>
      <w:r w:rsidRPr="00236A8A">
        <w:rPr>
          <w:rFonts w:ascii="Arial" w:hAnsi="Arial" w:cs="Arial"/>
          <w:sz w:val="22"/>
          <w:szCs w:val="22"/>
        </w:rPr>
        <w:noBreakHyphen/>
        <w:t>centred care and promotes meaningful, emotionally supportive experiences. Although the theory has limitations, its focus on observation, modelling, and social interaction makes it highly relevant in residential care, where relationships and daily interactions strongly influence wellbeing.</w:t>
      </w:r>
    </w:p>
    <w:p w14:paraId="6D70C530" w14:textId="77777777" w:rsidR="00040E61" w:rsidRDefault="00040E61" w:rsidP="00040E61">
      <w:pPr>
        <w:rPr>
          <w:rFonts w:ascii="Arial" w:hAnsi="Arial" w:cs="Arial"/>
          <w:sz w:val="22"/>
          <w:szCs w:val="22"/>
        </w:rPr>
      </w:pPr>
    </w:p>
    <w:p w14:paraId="0F77029B" w14:textId="77777777" w:rsidR="00040E61" w:rsidRDefault="00040E61" w:rsidP="00040E61">
      <w:pPr>
        <w:rPr>
          <w:rFonts w:ascii="Arial" w:hAnsi="Arial" w:cs="Arial"/>
          <w:sz w:val="22"/>
          <w:szCs w:val="22"/>
        </w:rPr>
      </w:pPr>
    </w:p>
    <w:p w14:paraId="4C6A4F04" w14:textId="77777777" w:rsidR="00040E61" w:rsidRDefault="00040E61" w:rsidP="00040E61">
      <w:pPr>
        <w:rPr>
          <w:rFonts w:ascii="Arial" w:hAnsi="Arial" w:cs="Arial"/>
          <w:sz w:val="22"/>
          <w:szCs w:val="22"/>
        </w:rPr>
      </w:pPr>
    </w:p>
    <w:p w14:paraId="5D7E3E65" w14:textId="77777777" w:rsidR="00040E61" w:rsidRDefault="00040E61" w:rsidP="00040E61">
      <w:pPr>
        <w:rPr>
          <w:rFonts w:ascii="Arial" w:hAnsi="Arial" w:cs="Arial"/>
          <w:sz w:val="22"/>
          <w:szCs w:val="22"/>
        </w:rPr>
      </w:pPr>
    </w:p>
    <w:p w14:paraId="7D4182EA" w14:textId="77777777" w:rsidR="00040E61" w:rsidRDefault="00040E61" w:rsidP="00040E61">
      <w:pPr>
        <w:rPr>
          <w:rFonts w:ascii="Arial" w:hAnsi="Arial" w:cs="Arial"/>
          <w:sz w:val="22"/>
          <w:szCs w:val="22"/>
        </w:rPr>
      </w:pPr>
    </w:p>
    <w:p w14:paraId="514C2A6F" w14:textId="77777777" w:rsidR="00040E61" w:rsidRDefault="00040E61" w:rsidP="00040E61">
      <w:pPr>
        <w:rPr>
          <w:rFonts w:ascii="Arial" w:hAnsi="Arial" w:cs="Arial"/>
          <w:sz w:val="22"/>
          <w:szCs w:val="22"/>
        </w:rPr>
      </w:pPr>
    </w:p>
    <w:p w14:paraId="3A5C4A4D" w14:textId="77777777" w:rsidR="00040E61" w:rsidRDefault="00040E61" w:rsidP="00040E61">
      <w:pPr>
        <w:rPr>
          <w:rFonts w:ascii="Arial" w:hAnsi="Arial" w:cs="Arial"/>
          <w:sz w:val="22"/>
          <w:szCs w:val="22"/>
        </w:rPr>
      </w:pPr>
    </w:p>
    <w:p w14:paraId="3D78C6BC" w14:textId="77777777" w:rsidR="00040E61" w:rsidRDefault="00040E61" w:rsidP="00040E61">
      <w:pPr>
        <w:rPr>
          <w:rFonts w:ascii="Arial" w:hAnsi="Arial" w:cs="Arial"/>
          <w:sz w:val="22"/>
          <w:szCs w:val="22"/>
        </w:rPr>
      </w:pPr>
    </w:p>
    <w:p w14:paraId="7400C869" w14:textId="7B8FE7F5" w:rsidR="00040E61" w:rsidRPr="00040E61" w:rsidRDefault="00040E61" w:rsidP="00040E61">
      <w:pPr>
        <w:rPr>
          <w:rFonts w:ascii="Arial" w:hAnsi="Arial" w:cs="Arial"/>
          <w:b/>
          <w:bCs/>
          <w:sz w:val="22"/>
          <w:szCs w:val="22"/>
        </w:rPr>
      </w:pPr>
      <w:r w:rsidRPr="00040E61">
        <w:rPr>
          <w:rFonts w:ascii="Arial" w:hAnsi="Arial" w:cs="Arial"/>
          <w:b/>
          <w:bCs/>
          <w:sz w:val="22"/>
          <w:szCs w:val="22"/>
        </w:rPr>
        <w:t xml:space="preserve">References </w:t>
      </w:r>
    </w:p>
    <w:p w14:paraId="0956FCE0"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Austrian, S. (2015) </w:t>
      </w:r>
      <w:r w:rsidRPr="00040E61">
        <w:rPr>
          <w:rFonts w:ascii="Arial" w:hAnsi="Arial" w:cs="Arial"/>
          <w:i/>
          <w:iCs/>
          <w:sz w:val="22"/>
          <w:szCs w:val="22"/>
        </w:rPr>
        <w:t>Developmental Theories Through the Life Cycle</w:t>
      </w:r>
      <w:r w:rsidRPr="00040E61">
        <w:rPr>
          <w:rFonts w:ascii="Arial" w:hAnsi="Arial" w:cs="Arial"/>
          <w:sz w:val="22"/>
          <w:szCs w:val="22"/>
        </w:rPr>
        <w:t xml:space="preserve">. 3rd </w:t>
      </w:r>
      <w:proofErr w:type="spellStart"/>
      <w:r w:rsidRPr="00040E61">
        <w:rPr>
          <w:rFonts w:ascii="Arial" w:hAnsi="Arial" w:cs="Arial"/>
          <w:sz w:val="22"/>
          <w:szCs w:val="22"/>
        </w:rPr>
        <w:t>edn</w:t>
      </w:r>
      <w:proofErr w:type="spellEnd"/>
      <w:r w:rsidRPr="00040E61">
        <w:rPr>
          <w:rFonts w:ascii="Arial" w:hAnsi="Arial" w:cs="Arial"/>
          <w:sz w:val="22"/>
          <w:szCs w:val="22"/>
        </w:rPr>
        <w:t>. New York: Columbia University Press.</w:t>
      </w:r>
    </w:p>
    <w:p w14:paraId="692FC6F5"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Bandura, A. (1977) </w:t>
      </w:r>
      <w:r w:rsidRPr="00040E61">
        <w:rPr>
          <w:rFonts w:ascii="Arial" w:hAnsi="Arial" w:cs="Arial"/>
          <w:i/>
          <w:iCs/>
          <w:sz w:val="22"/>
          <w:szCs w:val="22"/>
        </w:rPr>
        <w:t>Social Learning Theory</w:t>
      </w:r>
      <w:r w:rsidRPr="00040E61">
        <w:rPr>
          <w:rFonts w:ascii="Arial" w:hAnsi="Arial" w:cs="Arial"/>
          <w:sz w:val="22"/>
          <w:szCs w:val="22"/>
        </w:rPr>
        <w:t>. Englewood Cliffs, NJ: Prentice Hall.</w:t>
      </w:r>
    </w:p>
    <w:p w14:paraId="68F09DF0"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Bandura, A. (1986) </w:t>
      </w:r>
      <w:r w:rsidRPr="00040E61">
        <w:rPr>
          <w:rFonts w:ascii="Arial" w:hAnsi="Arial" w:cs="Arial"/>
          <w:i/>
          <w:iCs/>
          <w:sz w:val="22"/>
          <w:szCs w:val="22"/>
        </w:rPr>
        <w:t>Social Foundations of Thought and Action: A Social Cognitive Theory</w:t>
      </w:r>
      <w:r w:rsidRPr="00040E61">
        <w:rPr>
          <w:rFonts w:ascii="Arial" w:hAnsi="Arial" w:cs="Arial"/>
          <w:sz w:val="22"/>
          <w:szCs w:val="22"/>
        </w:rPr>
        <w:t>. Englewood Cliffs, NJ: Prentice Hall.</w:t>
      </w:r>
    </w:p>
    <w:p w14:paraId="71E7E078"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Beckett, C. (2018) </w:t>
      </w:r>
      <w:r w:rsidRPr="00040E61">
        <w:rPr>
          <w:rFonts w:ascii="Arial" w:hAnsi="Arial" w:cs="Arial"/>
          <w:i/>
          <w:iCs/>
          <w:sz w:val="22"/>
          <w:szCs w:val="22"/>
        </w:rPr>
        <w:t>Human Growth and Development</w:t>
      </w:r>
      <w:r w:rsidRPr="00040E61">
        <w:rPr>
          <w:rFonts w:ascii="Arial" w:hAnsi="Arial" w:cs="Arial"/>
          <w:sz w:val="22"/>
          <w:szCs w:val="22"/>
        </w:rPr>
        <w:t xml:space="preserve">. 4th </w:t>
      </w:r>
      <w:proofErr w:type="spellStart"/>
      <w:r w:rsidRPr="00040E61">
        <w:rPr>
          <w:rFonts w:ascii="Arial" w:hAnsi="Arial" w:cs="Arial"/>
          <w:sz w:val="22"/>
          <w:szCs w:val="22"/>
        </w:rPr>
        <w:t>edn</w:t>
      </w:r>
      <w:proofErr w:type="spellEnd"/>
      <w:r w:rsidRPr="00040E61">
        <w:rPr>
          <w:rFonts w:ascii="Arial" w:hAnsi="Arial" w:cs="Arial"/>
          <w:sz w:val="22"/>
          <w:szCs w:val="22"/>
        </w:rPr>
        <w:t>. London: Sage.</w:t>
      </w:r>
    </w:p>
    <w:p w14:paraId="679B4517"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Rogers, A. and Horrocks, N. (2016) </w:t>
      </w:r>
      <w:r w:rsidRPr="00040E61">
        <w:rPr>
          <w:rFonts w:ascii="Arial" w:hAnsi="Arial" w:cs="Arial"/>
          <w:i/>
          <w:iCs/>
          <w:sz w:val="22"/>
          <w:szCs w:val="22"/>
        </w:rPr>
        <w:t>Adults Learning for Development</w:t>
      </w:r>
      <w:r w:rsidRPr="00040E61">
        <w:rPr>
          <w:rFonts w:ascii="Arial" w:hAnsi="Arial" w:cs="Arial"/>
          <w:sz w:val="22"/>
          <w:szCs w:val="22"/>
        </w:rPr>
        <w:t>. London: Cassell Education.</w:t>
      </w:r>
    </w:p>
    <w:p w14:paraId="4AB679F7"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Springer, P. (2017) </w:t>
      </w:r>
      <w:r w:rsidRPr="00040E61">
        <w:rPr>
          <w:rFonts w:ascii="Arial" w:hAnsi="Arial" w:cs="Arial"/>
          <w:i/>
          <w:iCs/>
          <w:sz w:val="22"/>
          <w:szCs w:val="22"/>
        </w:rPr>
        <w:t>Person</w:t>
      </w:r>
      <w:r w:rsidRPr="00040E61">
        <w:rPr>
          <w:rFonts w:ascii="Arial" w:hAnsi="Arial" w:cs="Arial"/>
          <w:i/>
          <w:iCs/>
          <w:sz w:val="22"/>
          <w:szCs w:val="22"/>
        </w:rPr>
        <w:noBreakHyphen/>
        <w:t>centred Approaches in Adult Care</w:t>
      </w:r>
      <w:r w:rsidRPr="00040E61">
        <w:rPr>
          <w:rFonts w:ascii="Arial" w:hAnsi="Arial" w:cs="Arial"/>
          <w:sz w:val="22"/>
          <w:szCs w:val="22"/>
        </w:rPr>
        <w:t>. London: Routledge.</w:t>
      </w:r>
    </w:p>
    <w:p w14:paraId="5571E72C" w14:textId="77777777" w:rsidR="00040E61" w:rsidRPr="00040E61" w:rsidRDefault="00040E61" w:rsidP="00040E61">
      <w:pPr>
        <w:rPr>
          <w:rFonts w:ascii="Arial" w:hAnsi="Arial" w:cs="Arial"/>
          <w:sz w:val="22"/>
          <w:szCs w:val="22"/>
        </w:rPr>
      </w:pPr>
      <w:r w:rsidRPr="00040E61">
        <w:rPr>
          <w:rFonts w:ascii="Arial" w:hAnsi="Arial" w:cs="Arial"/>
          <w:sz w:val="22"/>
          <w:szCs w:val="22"/>
        </w:rPr>
        <w:t xml:space="preserve">Thornton, S. (2020) </w:t>
      </w:r>
      <w:r w:rsidRPr="00040E61">
        <w:rPr>
          <w:rFonts w:ascii="Arial" w:hAnsi="Arial" w:cs="Arial"/>
          <w:i/>
          <w:iCs/>
          <w:sz w:val="22"/>
          <w:szCs w:val="22"/>
        </w:rPr>
        <w:t>Understanding Human Development</w:t>
      </w:r>
      <w:r w:rsidRPr="00040E61">
        <w:rPr>
          <w:rFonts w:ascii="Arial" w:hAnsi="Arial" w:cs="Arial"/>
          <w:sz w:val="22"/>
          <w:szCs w:val="22"/>
        </w:rPr>
        <w:t xml:space="preserve">. 2nd </w:t>
      </w:r>
      <w:proofErr w:type="spellStart"/>
      <w:r w:rsidRPr="00040E61">
        <w:rPr>
          <w:rFonts w:ascii="Arial" w:hAnsi="Arial" w:cs="Arial"/>
          <w:sz w:val="22"/>
          <w:szCs w:val="22"/>
        </w:rPr>
        <w:t>edn</w:t>
      </w:r>
      <w:proofErr w:type="spellEnd"/>
      <w:r w:rsidRPr="00040E61">
        <w:rPr>
          <w:rFonts w:ascii="Arial" w:hAnsi="Arial" w:cs="Arial"/>
          <w:sz w:val="22"/>
          <w:szCs w:val="22"/>
        </w:rPr>
        <w:t>. London: Palgrave Macmillan.</w:t>
      </w:r>
    </w:p>
    <w:p w14:paraId="775A027C" w14:textId="77777777" w:rsidR="00040E61" w:rsidRPr="00040E61" w:rsidRDefault="00040E61" w:rsidP="00040E61">
      <w:pPr>
        <w:rPr>
          <w:rFonts w:ascii="Arial" w:hAnsi="Arial" w:cs="Arial"/>
          <w:sz w:val="22"/>
          <w:szCs w:val="22"/>
        </w:rPr>
      </w:pPr>
    </w:p>
    <w:p w14:paraId="1AC53785" w14:textId="77777777" w:rsidR="00040E61" w:rsidRPr="00040E61" w:rsidRDefault="00040E61" w:rsidP="00040E61">
      <w:pPr>
        <w:rPr>
          <w:rFonts w:ascii="Arial" w:hAnsi="Arial" w:cs="Arial"/>
          <w:sz w:val="22"/>
          <w:szCs w:val="22"/>
        </w:rPr>
      </w:pPr>
    </w:p>
    <w:p w14:paraId="3A95EAF6" w14:textId="77777777" w:rsidR="00040E61" w:rsidRPr="00160C36" w:rsidRDefault="00040E61" w:rsidP="00160C36">
      <w:pPr>
        <w:rPr>
          <w:rFonts w:ascii="Arial" w:hAnsi="Arial" w:cs="Arial"/>
          <w:sz w:val="22"/>
          <w:szCs w:val="22"/>
        </w:rPr>
      </w:pPr>
    </w:p>
    <w:p w14:paraId="00FFA821" w14:textId="77777777" w:rsidR="00160C36" w:rsidRPr="00160C36" w:rsidRDefault="00160C36" w:rsidP="00160C36">
      <w:pPr>
        <w:rPr>
          <w:rFonts w:ascii="Arial" w:hAnsi="Arial" w:cs="Arial"/>
          <w:sz w:val="22"/>
          <w:szCs w:val="22"/>
        </w:rPr>
      </w:pPr>
    </w:p>
    <w:p w14:paraId="56830E24" w14:textId="77777777" w:rsidR="008100FB" w:rsidRDefault="008100FB"/>
    <w:sectPr w:rsidR="008100F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CEFBB" w14:textId="77777777" w:rsidR="00BE0163" w:rsidRDefault="00BE0163" w:rsidP="00040E61">
      <w:pPr>
        <w:spacing w:after="0" w:line="240" w:lineRule="auto"/>
      </w:pPr>
      <w:r>
        <w:separator/>
      </w:r>
    </w:p>
  </w:endnote>
  <w:endnote w:type="continuationSeparator" w:id="0">
    <w:p w14:paraId="6B3D2AA6" w14:textId="77777777" w:rsidR="00BE0163" w:rsidRDefault="00BE0163" w:rsidP="00040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4787864"/>
      <w:docPartObj>
        <w:docPartGallery w:val="Page Numbers (Bottom of Page)"/>
        <w:docPartUnique/>
      </w:docPartObj>
    </w:sdtPr>
    <w:sdtContent>
      <w:p w14:paraId="40316BFB" w14:textId="6A7C5649" w:rsidR="00040E61" w:rsidRDefault="00040E61">
        <w:pPr>
          <w:pStyle w:val="Footer"/>
          <w:jc w:val="right"/>
        </w:pPr>
        <w:r>
          <w:fldChar w:fldCharType="begin"/>
        </w:r>
        <w:r>
          <w:instrText>PAGE   \* MERGEFORMAT</w:instrText>
        </w:r>
        <w:r>
          <w:fldChar w:fldCharType="separate"/>
        </w:r>
        <w:r>
          <w:t>2</w:t>
        </w:r>
        <w:r>
          <w:fldChar w:fldCharType="end"/>
        </w:r>
      </w:p>
    </w:sdtContent>
  </w:sdt>
  <w:p w14:paraId="1AD6F125" w14:textId="77777777" w:rsidR="00040E61" w:rsidRDefault="00040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7AC2E" w14:textId="77777777" w:rsidR="00BE0163" w:rsidRDefault="00BE0163" w:rsidP="00040E61">
      <w:pPr>
        <w:spacing w:after="0" w:line="240" w:lineRule="auto"/>
      </w:pPr>
      <w:r>
        <w:separator/>
      </w:r>
    </w:p>
  </w:footnote>
  <w:footnote w:type="continuationSeparator" w:id="0">
    <w:p w14:paraId="6E509300" w14:textId="77777777" w:rsidR="00BE0163" w:rsidRDefault="00BE0163" w:rsidP="00040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57882"/>
    <w:multiLevelType w:val="multilevel"/>
    <w:tmpl w:val="D794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83F80"/>
    <w:multiLevelType w:val="multilevel"/>
    <w:tmpl w:val="B644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B3404"/>
    <w:multiLevelType w:val="multilevel"/>
    <w:tmpl w:val="6444F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8E3BFE"/>
    <w:multiLevelType w:val="multilevel"/>
    <w:tmpl w:val="9B7C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A2D0B"/>
    <w:multiLevelType w:val="multilevel"/>
    <w:tmpl w:val="566E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5F2A3C"/>
    <w:multiLevelType w:val="multilevel"/>
    <w:tmpl w:val="CF602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741B58"/>
    <w:multiLevelType w:val="multilevel"/>
    <w:tmpl w:val="7E60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3211EF"/>
    <w:multiLevelType w:val="multilevel"/>
    <w:tmpl w:val="78F61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613612"/>
    <w:multiLevelType w:val="multilevel"/>
    <w:tmpl w:val="0880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E87672"/>
    <w:multiLevelType w:val="multilevel"/>
    <w:tmpl w:val="6C7C38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EC48BC"/>
    <w:multiLevelType w:val="multilevel"/>
    <w:tmpl w:val="36A6D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191DD0"/>
    <w:multiLevelType w:val="multilevel"/>
    <w:tmpl w:val="C2560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623E44"/>
    <w:multiLevelType w:val="multilevel"/>
    <w:tmpl w:val="EAA2E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614D37"/>
    <w:multiLevelType w:val="multilevel"/>
    <w:tmpl w:val="EF9A6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B0588F"/>
    <w:multiLevelType w:val="multilevel"/>
    <w:tmpl w:val="6D74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5B373B"/>
    <w:multiLevelType w:val="multilevel"/>
    <w:tmpl w:val="09E4E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A919DA"/>
    <w:multiLevelType w:val="multilevel"/>
    <w:tmpl w:val="0B864D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026FBE"/>
    <w:multiLevelType w:val="multilevel"/>
    <w:tmpl w:val="1DC8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2D47ED"/>
    <w:multiLevelType w:val="multilevel"/>
    <w:tmpl w:val="08342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DF1EEB"/>
    <w:multiLevelType w:val="multilevel"/>
    <w:tmpl w:val="A8204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826905"/>
    <w:multiLevelType w:val="multilevel"/>
    <w:tmpl w:val="73FC1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E37C67"/>
    <w:multiLevelType w:val="multilevel"/>
    <w:tmpl w:val="98CA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A62ED5"/>
    <w:multiLevelType w:val="multilevel"/>
    <w:tmpl w:val="D598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486737"/>
    <w:multiLevelType w:val="multilevel"/>
    <w:tmpl w:val="DA76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6E3725"/>
    <w:multiLevelType w:val="multilevel"/>
    <w:tmpl w:val="7552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68025D"/>
    <w:multiLevelType w:val="multilevel"/>
    <w:tmpl w:val="AD8E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420945"/>
    <w:multiLevelType w:val="multilevel"/>
    <w:tmpl w:val="BFA4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8851A1"/>
    <w:multiLevelType w:val="multilevel"/>
    <w:tmpl w:val="9ACC0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145389"/>
    <w:multiLevelType w:val="multilevel"/>
    <w:tmpl w:val="E28CA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5E7182"/>
    <w:multiLevelType w:val="multilevel"/>
    <w:tmpl w:val="A8566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6A0FCE"/>
    <w:multiLevelType w:val="multilevel"/>
    <w:tmpl w:val="F64A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8C34FF"/>
    <w:multiLevelType w:val="multilevel"/>
    <w:tmpl w:val="A31C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A60647"/>
    <w:multiLevelType w:val="multilevel"/>
    <w:tmpl w:val="0F8A6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D920EC"/>
    <w:multiLevelType w:val="multilevel"/>
    <w:tmpl w:val="6F62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CA1E6A"/>
    <w:multiLevelType w:val="multilevel"/>
    <w:tmpl w:val="0AF82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832FDE"/>
    <w:multiLevelType w:val="multilevel"/>
    <w:tmpl w:val="212C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A422F2"/>
    <w:multiLevelType w:val="multilevel"/>
    <w:tmpl w:val="9634A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40717A"/>
    <w:multiLevelType w:val="multilevel"/>
    <w:tmpl w:val="44026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885734"/>
    <w:multiLevelType w:val="multilevel"/>
    <w:tmpl w:val="59882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185683"/>
    <w:multiLevelType w:val="multilevel"/>
    <w:tmpl w:val="352EB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1B6E4D"/>
    <w:multiLevelType w:val="multilevel"/>
    <w:tmpl w:val="B6985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48398D"/>
    <w:multiLevelType w:val="multilevel"/>
    <w:tmpl w:val="3A789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8745567"/>
    <w:multiLevelType w:val="multilevel"/>
    <w:tmpl w:val="4AFE6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9B08C3"/>
    <w:multiLevelType w:val="multilevel"/>
    <w:tmpl w:val="840AE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5C5B5B"/>
    <w:multiLevelType w:val="multilevel"/>
    <w:tmpl w:val="038E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F353A3"/>
    <w:multiLevelType w:val="multilevel"/>
    <w:tmpl w:val="90C0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3595500">
    <w:abstractNumId w:val="32"/>
  </w:num>
  <w:num w:numId="2" w16cid:durableId="1062021252">
    <w:abstractNumId w:val="14"/>
  </w:num>
  <w:num w:numId="3" w16cid:durableId="543831833">
    <w:abstractNumId w:val="43"/>
  </w:num>
  <w:num w:numId="4" w16cid:durableId="707723466">
    <w:abstractNumId w:val="45"/>
  </w:num>
  <w:num w:numId="5" w16cid:durableId="476920213">
    <w:abstractNumId w:val="38"/>
  </w:num>
  <w:num w:numId="6" w16cid:durableId="48694400">
    <w:abstractNumId w:val="26"/>
  </w:num>
  <w:num w:numId="7" w16cid:durableId="1168326310">
    <w:abstractNumId w:val="27"/>
  </w:num>
  <w:num w:numId="8" w16cid:durableId="760103256">
    <w:abstractNumId w:val="10"/>
  </w:num>
  <w:num w:numId="9" w16cid:durableId="1467971711">
    <w:abstractNumId w:val="6"/>
  </w:num>
  <w:num w:numId="10" w16cid:durableId="100077387">
    <w:abstractNumId w:val="33"/>
  </w:num>
  <w:num w:numId="11" w16cid:durableId="1790395524">
    <w:abstractNumId w:val="29"/>
  </w:num>
  <w:num w:numId="12" w16cid:durableId="847518858">
    <w:abstractNumId w:val="25"/>
  </w:num>
  <w:num w:numId="13" w16cid:durableId="284821393">
    <w:abstractNumId w:val="3"/>
  </w:num>
  <w:num w:numId="14" w16cid:durableId="721908650">
    <w:abstractNumId w:val="41"/>
  </w:num>
  <w:num w:numId="15" w16cid:durableId="744451417">
    <w:abstractNumId w:val="7"/>
  </w:num>
  <w:num w:numId="16" w16cid:durableId="1216895026">
    <w:abstractNumId w:val="19"/>
  </w:num>
  <w:num w:numId="17" w16cid:durableId="2143883741">
    <w:abstractNumId w:val="18"/>
  </w:num>
  <w:num w:numId="18" w16cid:durableId="299457592">
    <w:abstractNumId w:val="40"/>
  </w:num>
  <w:num w:numId="19" w16cid:durableId="402143998">
    <w:abstractNumId w:val="9"/>
  </w:num>
  <w:num w:numId="20" w16cid:durableId="1539317420">
    <w:abstractNumId w:val="36"/>
  </w:num>
  <w:num w:numId="21" w16cid:durableId="314993351">
    <w:abstractNumId w:val="31"/>
  </w:num>
  <w:num w:numId="22" w16cid:durableId="638458430">
    <w:abstractNumId w:val="8"/>
  </w:num>
  <w:num w:numId="23" w16cid:durableId="1729573838">
    <w:abstractNumId w:val="2"/>
  </w:num>
  <w:num w:numId="24" w16cid:durableId="945766753">
    <w:abstractNumId w:val="13"/>
  </w:num>
  <w:num w:numId="25" w16cid:durableId="372734381">
    <w:abstractNumId w:val="37"/>
  </w:num>
  <w:num w:numId="26" w16cid:durableId="13457391">
    <w:abstractNumId w:val="15"/>
  </w:num>
  <w:num w:numId="27" w16cid:durableId="276185357">
    <w:abstractNumId w:val="16"/>
  </w:num>
  <w:num w:numId="28" w16cid:durableId="1147631043">
    <w:abstractNumId w:val="23"/>
  </w:num>
  <w:num w:numId="29" w16cid:durableId="1253275439">
    <w:abstractNumId w:val="42"/>
  </w:num>
  <w:num w:numId="30" w16cid:durableId="1255015992">
    <w:abstractNumId w:val="11"/>
  </w:num>
  <w:num w:numId="31" w16cid:durableId="1152135450">
    <w:abstractNumId w:val="20"/>
  </w:num>
  <w:num w:numId="32" w16cid:durableId="1423451909">
    <w:abstractNumId w:val="34"/>
  </w:num>
  <w:num w:numId="33" w16cid:durableId="734820526">
    <w:abstractNumId w:val="17"/>
  </w:num>
  <w:num w:numId="34" w16cid:durableId="1497379959">
    <w:abstractNumId w:val="39"/>
  </w:num>
  <w:num w:numId="35" w16cid:durableId="937561256">
    <w:abstractNumId w:val="35"/>
  </w:num>
  <w:num w:numId="36" w16cid:durableId="857473081">
    <w:abstractNumId w:val="22"/>
  </w:num>
  <w:num w:numId="37" w16cid:durableId="1103764951">
    <w:abstractNumId w:val="12"/>
  </w:num>
  <w:num w:numId="38" w16cid:durableId="1388912207">
    <w:abstractNumId w:val="4"/>
  </w:num>
  <w:num w:numId="39" w16cid:durableId="754087232">
    <w:abstractNumId w:val="0"/>
  </w:num>
  <w:num w:numId="40" w16cid:durableId="847402860">
    <w:abstractNumId w:val="28"/>
  </w:num>
  <w:num w:numId="41" w16cid:durableId="759716272">
    <w:abstractNumId w:val="5"/>
  </w:num>
  <w:num w:numId="42" w16cid:durableId="814879567">
    <w:abstractNumId w:val="44"/>
  </w:num>
  <w:num w:numId="43" w16cid:durableId="1074820579">
    <w:abstractNumId w:val="1"/>
  </w:num>
  <w:num w:numId="44" w16cid:durableId="1115559585">
    <w:abstractNumId w:val="21"/>
  </w:num>
  <w:num w:numId="45" w16cid:durableId="644626353">
    <w:abstractNumId w:val="30"/>
  </w:num>
  <w:num w:numId="46" w16cid:durableId="195798070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0FB"/>
    <w:rsid w:val="000147D2"/>
    <w:rsid w:val="000405E8"/>
    <w:rsid w:val="00040E61"/>
    <w:rsid w:val="000D0142"/>
    <w:rsid w:val="00140C1D"/>
    <w:rsid w:val="00142151"/>
    <w:rsid w:val="00160C36"/>
    <w:rsid w:val="001B0069"/>
    <w:rsid w:val="00236A8A"/>
    <w:rsid w:val="00251305"/>
    <w:rsid w:val="00386654"/>
    <w:rsid w:val="00392501"/>
    <w:rsid w:val="00456795"/>
    <w:rsid w:val="00505FD7"/>
    <w:rsid w:val="00530661"/>
    <w:rsid w:val="005D0D1E"/>
    <w:rsid w:val="0064399F"/>
    <w:rsid w:val="00675648"/>
    <w:rsid w:val="007017F3"/>
    <w:rsid w:val="007046C9"/>
    <w:rsid w:val="00726AE9"/>
    <w:rsid w:val="00787709"/>
    <w:rsid w:val="007B783D"/>
    <w:rsid w:val="008100FB"/>
    <w:rsid w:val="008A1A3E"/>
    <w:rsid w:val="008C5B10"/>
    <w:rsid w:val="00B60103"/>
    <w:rsid w:val="00BA2B35"/>
    <w:rsid w:val="00BC3EA5"/>
    <w:rsid w:val="00BE0163"/>
    <w:rsid w:val="00D45018"/>
    <w:rsid w:val="00DD2206"/>
    <w:rsid w:val="00E86582"/>
    <w:rsid w:val="00F3165B"/>
    <w:rsid w:val="00FB3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CE9D4"/>
  <w15:chartTrackingRefBased/>
  <w15:docId w15:val="{AD8D95E2-72F1-4F7E-8905-21326B061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0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00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0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0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00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0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0FB"/>
    <w:rPr>
      <w:rFonts w:eastAsiaTheme="majorEastAsia" w:cstheme="majorBidi"/>
      <w:color w:val="272727" w:themeColor="text1" w:themeTint="D8"/>
    </w:rPr>
  </w:style>
  <w:style w:type="paragraph" w:styleId="Title">
    <w:name w:val="Title"/>
    <w:basedOn w:val="Normal"/>
    <w:next w:val="Normal"/>
    <w:link w:val="TitleChar"/>
    <w:uiPriority w:val="10"/>
    <w:qFormat/>
    <w:rsid w:val="00810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0FB"/>
    <w:pPr>
      <w:spacing w:before="160"/>
      <w:jc w:val="center"/>
    </w:pPr>
    <w:rPr>
      <w:i/>
      <w:iCs/>
      <w:color w:val="404040" w:themeColor="text1" w:themeTint="BF"/>
    </w:rPr>
  </w:style>
  <w:style w:type="character" w:customStyle="1" w:styleId="QuoteChar">
    <w:name w:val="Quote Char"/>
    <w:basedOn w:val="DefaultParagraphFont"/>
    <w:link w:val="Quote"/>
    <w:uiPriority w:val="29"/>
    <w:rsid w:val="008100FB"/>
    <w:rPr>
      <w:i/>
      <w:iCs/>
      <w:color w:val="404040" w:themeColor="text1" w:themeTint="BF"/>
    </w:rPr>
  </w:style>
  <w:style w:type="paragraph" w:styleId="ListParagraph">
    <w:name w:val="List Paragraph"/>
    <w:basedOn w:val="Normal"/>
    <w:uiPriority w:val="34"/>
    <w:qFormat/>
    <w:rsid w:val="008100FB"/>
    <w:pPr>
      <w:ind w:left="720"/>
      <w:contextualSpacing/>
    </w:pPr>
  </w:style>
  <w:style w:type="character" w:styleId="IntenseEmphasis">
    <w:name w:val="Intense Emphasis"/>
    <w:basedOn w:val="DefaultParagraphFont"/>
    <w:uiPriority w:val="21"/>
    <w:qFormat/>
    <w:rsid w:val="008100FB"/>
    <w:rPr>
      <w:i/>
      <w:iCs/>
      <w:color w:val="0F4761" w:themeColor="accent1" w:themeShade="BF"/>
    </w:rPr>
  </w:style>
  <w:style w:type="paragraph" w:styleId="IntenseQuote">
    <w:name w:val="Intense Quote"/>
    <w:basedOn w:val="Normal"/>
    <w:next w:val="Normal"/>
    <w:link w:val="IntenseQuoteChar"/>
    <w:uiPriority w:val="30"/>
    <w:qFormat/>
    <w:rsid w:val="00810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0FB"/>
    <w:rPr>
      <w:i/>
      <w:iCs/>
      <w:color w:val="0F4761" w:themeColor="accent1" w:themeShade="BF"/>
    </w:rPr>
  </w:style>
  <w:style w:type="character" w:styleId="IntenseReference">
    <w:name w:val="Intense Reference"/>
    <w:basedOn w:val="DefaultParagraphFont"/>
    <w:uiPriority w:val="32"/>
    <w:qFormat/>
    <w:rsid w:val="008100FB"/>
    <w:rPr>
      <w:b/>
      <w:bCs/>
      <w:smallCaps/>
      <w:color w:val="0F4761" w:themeColor="accent1" w:themeShade="BF"/>
      <w:spacing w:val="5"/>
    </w:rPr>
  </w:style>
  <w:style w:type="paragraph" w:styleId="Header">
    <w:name w:val="header"/>
    <w:basedOn w:val="Normal"/>
    <w:link w:val="HeaderChar"/>
    <w:uiPriority w:val="99"/>
    <w:unhideWhenUsed/>
    <w:rsid w:val="00040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E61"/>
  </w:style>
  <w:style w:type="paragraph" w:styleId="Footer">
    <w:name w:val="footer"/>
    <w:basedOn w:val="Normal"/>
    <w:link w:val="FooterChar"/>
    <w:uiPriority w:val="99"/>
    <w:unhideWhenUsed/>
    <w:rsid w:val="00040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209</TotalTime>
  <Pages>8</Pages>
  <Words>2015</Words>
  <Characters>11491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yrlene elie</dc:creator>
  <cp:keywords/>
  <dc:description/>
  <cp:lastModifiedBy>yrlene elie</cp:lastModifiedBy>
  <cp:revision>25</cp:revision>
  <dcterms:created xsi:type="dcterms:W3CDTF">2026-04-15T18:24:00Z</dcterms:created>
  <dcterms:modified xsi:type="dcterms:W3CDTF">2026-04-18T22:31:00Z</dcterms:modified>
</cp:coreProperties>
</file>