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6FE31" w14:textId="24873F01" w:rsidR="00A06744" w:rsidRDefault="00F3138A" w:rsidP="00F3138A">
      <w:pPr>
        <w:jc w:val="center"/>
      </w:pPr>
      <w:r>
        <w:t>‘Myths are a product of a specific time and place’. Discuss the extent to which this statement is valid.</w:t>
      </w:r>
    </w:p>
    <w:p w14:paraId="5FDE147C" w14:textId="5AAD2514" w:rsidR="00F3138A" w:rsidRDefault="00F3138A" w:rsidP="00F3138A">
      <w:pPr>
        <w:rPr>
          <w:sz w:val="22"/>
          <w:szCs w:val="22"/>
        </w:rPr>
      </w:pPr>
    </w:p>
    <w:p w14:paraId="6A71494F" w14:textId="2737825A" w:rsidR="00F3138A" w:rsidRDefault="00F3138A" w:rsidP="00F3138A">
      <w:pPr>
        <w:rPr>
          <w:sz w:val="22"/>
          <w:szCs w:val="22"/>
        </w:rPr>
      </w:pPr>
      <w:r>
        <w:rPr>
          <w:sz w:val="22"/>
          <w:szCs w:val="22"/>
        </w:rPr>
        <w:t xml:space="preserve">This essay will look at the extent to which the statement ‘Myths are a product of a specific time and place’ is valid. The essay will explain </w:t>
      </w:r>
      <w:r w:rsidR="00E55B0B">
        <w:rPr>
          <w:sz w:val="22"/>
          <w:szCs w:val="22"/>
        </w:rPr>
        <w:t>the definition and origin of the word</w:t>
      </w:r>
      <w:r>
        <w:rPr>
          <w:sz w:val="22"/>
          <w:szCs w:val="22"/>
        </w:rPr>
        <w:t xml:space="preserve"> myth</w:t>
      </w:r>
      <w:r w:rsidR="002E0858">
        <w:rPr>
          <w:sz w:val="22"/>
          <w:szCs w:val="22"/>
        </w:rPr>
        <w:t xml:space="preserve"> and it</w:t>
      </w:r>
      <w:r>
        <w:rPr>
          <w:sz w:val="22"/>
          <w:szCs w:val="22"/>
        </w:rPr>
        <w:t xml:space="preserve"> will look at the </w:t>
      </w:r>
      <w:r w:rsidR="00E12925">
        <w:rPr>
          <w:sz w:val="22"/>
          <w:szCs w:val="22"/>
        </w:rPr>
        <w:t xml:space="preserve">Homeric Hymn to Demeter and </w:t>
      </w:r>
      <w:r w:rsidR="00B52E6D">
        <w:rPr>
          <w:sz w:val="22"/>
          <w:szCs w:val="22"/>
        </w:rPr>
        <w:t>its similarity to the</w:t>
      </w:r>
      <w:r w:rsidR="00E12925">
        <w:rPr>
          <w:sz w:val="22"/>
          <w:szCs w:val="22"/>
        </w:rPr>
        <w:t xml:space="preserve"> </w:t>
      </w:r>
      <w:r w:rsidR="00B52E6D">
        <w:rPr>
          <w:sz w:val="22"/>
          <w:szCs w:val="22"/>
        </w:rPr>
        <w:t>Eleusinian mysteries</w:t>
      </w:r>
      <w:r w:rsidR="00E12925">
        <w:rPr>
          <w:sz w:val="22"/>
          <w:szCs w:val="22"/>
        </w:rPr>
        <w:t xml:space="preserve"> </w:t>
      </w:r>
      <w:r w:rsidR="002E0858">
        <w:rPr>
          <w:sz w:val="22"/>
          <w:szCs w:val="22"/>
        </w:rPr>
        <w:t xml:space="preserve">and to Vladimir Propps thirty-one functions </w:t>
      </w:r>
      <w:r w:rsidR="00E12925">
        <w:rPr>
          <w:sz w:val="22"/>
          <w:szCs w:val="22"/>
        </w:rPr>
        <w:t xml:space="preserve">to understand the validity of the statement. </w:t>
      </w:r>
      <w:r w:rsidR="00C1550B">
        <w:rPr>
          <w:sz w:val="22"/>
          <w:szCs w:val="22"/>
        </w:rPr>
        <w:t>It should also be noted that due to the small sample size of myths used in the essay it is not possible to fully evaluate the statement. However, it has been evaluated the best it can be using this small sample size.</w:t>
      </w:r>
    </w:p>
    <w:p w14:paraId="27201E6D" w14:textId="1ECD4C82" w:rsidR="00FE4053" w:rsidRDefault="00E12925" w:rsidP="00F3138A">
      <w:pPr>
        <w:rPr>
          <w:sz w:val="22"/>
          <w:szCs w:val="22"/>
        </w:rPr>
      </w:pPr>
      <w:r>
        <w:rPr>
          <w:sz w:val="22"/>
          <w:szCs w:val="22"/>
        </w:rPr>
        <w:t>To find the validity of the statement ‘Myths are a product of a specific time and place’ the definition of a myth</w:t>
      </w:r>
      <w:r w:rsidR="002C4704">
        <w:rPr>
          <w:sz w:val="22"/>
          <w:szCs w:val="22"/>
        </w:rPr>
        <w:t xml:space="preserve"> needs to be understood</w:t>
      </w:r>
      <w:r>
        <w:rPr>
          <w:sz w:val="22"/>
          <w:szCs w:val="22"/>
        </w:rPr>
        <w:t xml:space="preserve">. </w:t>
      </w:r>
      <w:r w:rsidR="009D495A">
        <w:rPr>
          <w:sz w:val="22"/>
          <w:szCs w:val="22"/>
        </w:rPr>
        <w:t>There are multiple similar definitions to what a myth is. Cambridge dictionary defines a myth as ancient stories which depict early history as well as facts or events</w:t>
      </w:r>
      <w:r w:rsidR="005817A3">
        <w:rPr>
          <w:rStyle w:val="FootnoteReference"/>
          <w:sz w:val="22"/>
          <w:szCs w:val="22"/>
        </w:rPr>
        <w:footnoteReference w:id="1"/>
      </w:r>
      <w:r w:rsidR="009D495A">
        <w:rPr>
          <w:sz w:val="22"/>
          <w:szCs w:val="22"/>
        </w:rPr>
        <w:t>. A more academic definition of a myth by the Northern Virginia Community College explains a myth as stories</w:t>
      </w:r>
      <w:r w:rsidR="00E64ED1">
        <w:rPr>
          <w:sz w:val="22"/>
          <w:szCs w:val="22"/>
        </w:rPr>
        <w:t>, written or spoken,</w:t>
      </w:r>
      <w:r w:rsidR="009D495A">
        <w:rPr>
          <w:sz w:val="22"/>
          <w:szCs w:val="22"/>
        </w:rPr>
        <w:t xml:space="preserve"> which depict the relationship between mortal</w:t>
      </w:r>
      <w:r w:rsidR="00460838">
        <w:rPr>
          <w:sz w:val="22"/>
          <w:szCs w:val="22"/>
        </w:rPr>
        <w:t xml:space="preserve">s </w:t>
      </w:r>
      <w:r w:rsidR="009D495A">
        <w:rPr>
          <w:sz w:val="22"/>
          <w:szCs w:val="22"/>
        </w:rPr>
        <w:t>and</w:t>
      </w:r>
      <w:r w:rsidR="00460838">
        <w:rPr>
          <w:sz w:val="22"/>
          <w:szCs w:val="22"/>
        </w:rPr>
        <w:t xml:space="preserve"> god</w:t>
      </w:r>
      <w:r w:rsidR="009A37B3">
        <w:rPr>
          <w:sz w:val="22"/>
          <w:szCs w:val="22"/>
        </w:rPr>
        <w:t>s</w:t>
      </w:r>
      <w:r w:rsidR="00460838">
        <w:rPr>
          <w:sz w:val="22"/>
          <w:szCs w:val="22"/>
        </w:rPr>
        <w:t xml:space="preserve"> and </w:t>
      </w:r>
      <w:r w:rsidR="00422712">
        <w:rPr>
          <w:sz w:val="22"/>
          <w:szCs w:val="22"/>
        </w:rPr>
        <w:t>goddess</w:t>
      </w:r>
      <w:r w:rsidR="00460838">
        <w:rPr>
          <w:sz w:val="22"/>
          <w:szCs w:val="22"/>
        </w:rPr>
        <w:t>’</w:t>
      </w:r>
      <w:r w:rsidR="00F82F8B">
        <w:rPr>
          <w:rStyle w:val="FootnoteReference"/>
          <w:sz w:val="22"/>
          <w:szCs w:val="22"/>
        </w:rPr>
        <w:footnoteReference w:id="2"/>
      </w:r>
      <w:r w:rsidR="00E55B0B">
        <w:rPr>
          <w:sz w:val="22"/>
          <w:szCs w:val="22"/>
        </w:rPr>
        <w:t xml:space="preserve">. </w:t>
      </w:r>
      <w:r w:rsidR="00124382">
        <w:rPr>
          <w:sz w:val="22"/>
          <w:szCs w:val="22"/>
        </w:rPr>
        <w:t>The word myth can be derived from the Greek word ‘Mythos’, which in its literal translation means ‘utterance’ or ‘to utter’</w:t>
      </w:r>
      <w:r w:rsidR="00E64ED1">
        <w:rPr>
          <w:sz w:val="22"/>
          <w:szCs w:val="22"/>
        </w:rPr>
        <w:t xml:space="preserve"> and the </w:t>
      </w:r>
      <w:r w:rsidR="00512CE2">
        <w:rPr>
          <w:sz w:val="22"/>
          <w:szCs w:val="22"/>
        </w:rPr>
        <w:t>Greek word ‘Logos’ which means ‘word’ when translated</w:t>
      </w:r>
      <w:r w:rsidR="00F82F8B">
        <w:rPr>
          <w:rStyle w:val="FootnoteReference"/>
          <w:sz w:val="22"/>
          <w:szCs w:val="22"/>
        </w:rPr>
        <w:footnoteReference w:id="3"/>
      </w:r>
      <w:r w:rsidR="008F1CAB">
        <w:rPr>
          <w:sz w:val="22"/>
          <w:szCs w:val="22"/>
        </w:rPr>
        <w:t>.</w:t>
      </w:r>
      <w:r w:rsidR="00527D40">
        <w:rPr>
          <w:sz w:val="22"/>
          <w:szCs w:val="22"/>
        </w:rPr>
        <w:t xml:space="preserve"> </w:t>
      </w:r>
    </w:p>
    <w:p w14:paraId="7F357622" w14:textId="47EDBC91" w:rsidR="00E733CA" w:rsidRDefault="00E733CA" w:rsidP="00F3138A">
      <w:pPr>
        <w:rPr>
          <w:sz w:val="22"/>
          <w:szCs w:val="22"/>
        </w:rPr>
      </w:pPr>
      <w:r>
        <w:rPr>
          <w:sz w:val="22"/>
          <w:szCs w:val="22"/>
        </w:rPr>
        <w:t xml:space="preserve">The myth that will be used to decide how valid the statement is, is the Homeric Hymn to Demeter. </w:t>
      </w:r>
      <w:r w:rsidR="00C003EA">
        <w:rPr>
          <w:sz w:val="22"/>
          <w:szCs w:val="22"/>
        </w:rPr>
        <w:t xml:space="preserve">The first </w:t>
      </w:r>
      <w:r w:rsidR="00915A3B">
        <w:rPr>
          <w:sz w:val="22"/>
          <w:szCs w:val="22"/>
        </w:rPr>
        <w:t>written recording of this Homeric hymn dates to the 7</w:t>
      </w:r>
      <w:r w:rsidR="00915A3B" w:rsidRPr="00915A3B">
        <w:rPr>
          <w:sz w:val="22"/>
          <w:szCs w:val="22"/>
          <w:vertAlign w:val="superscript"/>
        </w:rPr>
        <w:t>th</w:t>
      </w:r>
      <w:r w:rsidR="00915A3B">
        <w:rPr>
          <w:sz w:val="22"/>
          <w:szCs w:val="22"/>
        </w:rPr>
        <w:t xml:space="preserve"> century BCE, and the first written recording of the myth of Demeter and Persephone date back to the 8</w:t>
      </w:r>
      <w:r w:rsidR="00915A3B" w:rsidRPr="00915A3B">
        <w:rPr>
          <w:sz w:val="22"/>
          <w:szCs w:val="22"/>
          <w:vertAlign w:val="superscript"/>
        </w:rPr>
        <w:t>th</w:t>
      </w:r>
      <w:r w:rsidR="00915A3B">
        <w:rPr>
          <w:sz w:val="22"/>
          <w:szCs w:val="22"/>
        </w:rPr>
        <w:t xml:space="preserve"> century BCE</w:t>
      </w:r>
      <w:r w:rsidR="00280C8C">
        <w:rPr>
          <w:rStyle w:val="FootnoteReference"/>
          <w:sz w:val="22"/>
          <w:szCs w:val="22"/>
        </w:rPr>
        <w:footnoteReference w:id="4"/>
      </w:r>
      <w:r w:rsidR="00915A3B">
        <w:rPr>
          <w:sz w:val="22"/>
          <w:szCs w:val="22"/>
        </w:rPr>
        <w:t>. However, these myths were likely orated long before they were written.</w:t>
      </w:r>
      <w:r w:rsidR="005A1D9C">
        <w:rPr>
          <w:sz w:val="22"/>
          <w:szCs w:val="22"/>
        </w:rPr>
        <w:t xml:space="preserve"> </w:t>
      </w:r>
      <w:r>
        <w:rPr>
          <w:sz w:val="22"/>
          <w:szCs w:val="22"/>
        </w:rPr>
        <w:t>The Hymn focusses on the loss of Persephone, the daughter of Demeter, who was given away by Zeus to Hades the god of the underworld</w:t>
      </w:r>
      <w:r w:rsidR="00F608A6">
        <w:rPr>
          <w:rStyle w:val="FootnoteReference"/>
          <w:sz w:val="22"/>
          <w:szCs w:val="22"/>
        </w:rPr>
        <w:footnoteReference w:id="5"/>
      </w:r>
      <w:r>
        <w:rPr>
          <w:sz w:val="22"/>
          <w:szCs w:val="22"/>
        </w:rPr>
        <w:t xml:space="preserve">. </w:t>
      </w:r>
      <w:r w:rsidR="00644490">
        <w:rPr>
          <w:sz w:val="22"/>
          <w:szCs w:val="22"/>
        </w:rPr>
        <w:t>The feelings of the loss of a daughter is shown throughout the hymn. The end of the hymn shows the reuniting of Persephone to Demeter, but also shows Persephone’s fate, which is that she has to spend the winter in the underworld as Hades’ wife</w:t>
      </w:r>
      <w:r w:rsidR="007E3DB3">
        <w:rPr>
          <w:rStyle w:val="FootnoteReference"/>
          <w:sz w:val="22"/>
          <w:szCs w:val="22"/>
        </w:rPr>
        <w:footnoteReference w:id="6"/>
      </w:r>
      <w:r w:rsidR="00644490">
        <w:rPr>
          <w:sz w:val="22"/>
          <w:szCs w:val="22"/>
        </w:rPr>
        <w:t>.</w:t>
      </w:r>
      <w:r w:rsidR="00D95968">
        <w:rPr>
          <w:sz w:val="22"/>
          <w:szCs w:val="22"/>
        </w:rPr>
        <w:t xml:space="preserve"> </w:t>
      </w:r>
    </w:p>
    <w:p w14:paraId="230269E3" w14:textId="648F9732" w:rsidR="00D95968" w:rsidRDefault="00D95968" w:rsidP="00F3138A">
      <w:pPr>
        <w:rPr>
          <w:sz w:val="22"/>
          <w:szCs w:val="22"/>
        </w:rPr>
      </w:pPr>
      <w:r>
        <w:rPr>
          <w:sz w:val="22"/>
          <w:szCs w:val="22"/>
        </w:rPr>
        <w:t xml:space="preserve">One way that the statement ‘Myths are a product of a specific time and place’ is not valid is due to the myths structure. Vladimir Propp looked at over one hundred Russian fairy tales and found </w:t>
      </w:r>
      <w:r>
        <w:rPr>
          <w:sz w:val="22"/>
          <w:szCs w:val="22"/>
        </w:rPr>
        <w:lastRenderedPageBreak/>
        <w:t xml:space="preserve">that he could break down all fairy tales down into </w:t>
      </w:r>
      <w:r w:rsidR="0051551D">
        <w:rPr>
          <w:sz w:val="22"/>
          <w:szCs w:val="22"/>
        </w:rPr>
        <w:t>thirty-one</w:t>
      </w:r>
      <w:r>
        <w:rPr>
          <w:sz w:val="22"/>
          <w:szCs w:val="22"/>
        </w:rPr>
        <w:t xml:space="preserve"> categories, which showed the structure of fairy tales</w:t>
      </w:r>
      <w:r w:rsidR="003C6D12">
        <w:rPr>
          <w:rStyle w:val="FootnoteReference"/>
          <w:sz w:val="22"/>
          <w:szCs w:val="22"/>
        </w:rPr>
        <w:footnoteReference w:id="7"/>
      </w:r>
      <w:r>
        <w:rPr>
          <w:sz w:val="22"/>
          <w:szCs w:val="22"/>
        </w:rPr>
        <w:t xml:space="preserve">. He showed that the structure of a fairy tale transcends both time and place, </w:t>
      </w:r>
      <w:r w:rsidR="00006BF1">
        <w:rPr>
          <w:sz w:val="22"/>
          <w:szCs w:val="22"/>
        </w:rPr>
        <w:t>these categories can also be used on myths</w:t>
      </w:r>
      <w:r w:rsidR="00996892">
        <w:rPr>
          <w:sz w:val="22"/>
          <w:szCs w:val="22"/>
        </w:rPr>
        <w:t>,</w:t>
      </w:r>
      <w:r>
        <w:rPr>
          <w:sz w:val="22"/>
          <w:szCs w:val="22"/>
        </w:rPr>
        <w:t xml:space="preserve"> making the statement invalid. </w:t>
      </w:r>
      <w:r w:rsidR="00486F32">
        <w:rPr>
          <w:sz w:val="22"/>
          <w:szCs w:val="22"/>
        </w:rPr>
        <w:t xml:space="preserve">The Homeric hymn to Demeter also follows </w:t>
      </w:r>
      <w:r w:rsidR="008A6AD8">
        <w:rPr>
          <w:sz w:val="22"/>
          <w:szCs w:val="22"/>
        </w:rPr>
        <w:t xml:space="preserve">some of </w:t>
      </w:r>
      <w:r w:rsidR="00486F32">
        <w:rPr>
          <w:sz w:val="22"/>
          <w:szCs w:val="22"/>
        </w:rPr>
        <w:t xml:space="preserve">these </w:t>
      </w:r>
      <w:r w:rsidR="0051551D">
        <w:rPr>
          <w:sz w:val="22"/>
          <w:szCs w:val="22"/>
        </w:rPr>
        <w:t>thirty-one</w:t>
      </w:r>
      <w:r w:rsidR="00486F32">
        <w:rPr>
          <w:sz w:val="22"/>
          <w:szCs w:val="22"/>
        </w:rPr>
        <w:t xml:space="preserve"> functions. </w:t>
      </w:r>
      <w:r w:rsidR="00185438">
        <w:rPr>
          <w:sz w:val="22"/>
          <w:szCs w:val="22"/>
        </w:rPr>
        <w:t>The first ten lines fit into Vladimir Propps first function, which is that a family member is</w:t>
      </w:r>
      <w:r w:rsidR="009B0249">
        <w:rPr>
          <w:sz w:val="22"/>
          <w:szCs w:val="22"/>
        </w:rPr>
        <w:t xml:space="preserve"> away</w:t>
      </w:r>
      <w:r w:rsidR="00185438">
        <w:rPr>
          <w:sz w:val="22"/>
          <w:szCs w:val="22"/>
        </w:rPr>
        <w:t xml:space="preserve"> from home</w:t>
      </w:r>
      <w:r w:rsidR="00691945">
        <w:rPr>
          <w:rStyle w:val="FootnoteReference"/>
          <w:sz w:val="22"/>
          <w:szCs w:val="22"/>
        </w:rPr>
        <w:footnoteReference w:id="8"/>
      </w:r>
      <w:r w:rsidR="00185438">
        <w:rPr>
          <w:sz w:val="22"/>
          <w:szCs w:val="22"/>
        </w:rPr>
        <w:t>. The first ten lines explain that Persephone, daughter of Demeter, was taken, by Zeus, to be given to Hades god of the underworld</w:t>
      </w:r>
      <w:r w:rsidR="00503F2F">
        <w:rPr>
          <w:rStyle w:val="FootnoteReference"/>
          <w:sz w:val="22"/>
          <w:szCs w:val="22"/>
        </w:rPr>
        <w:footnoteReference w:id="9"/>
      </w:r>
      <w:r w:rsidR="00185438">
        <w:rPr>
          <w:sz w:val="22"/>
          <w:szCs w:val="22"/>
        </w:rPr>
        <w:t>. The Homeric hymn then fits into function eleven, which says that the hero in this story leaves home to complete the task in</w:t>
      </w:r>
      <w:r w:rsidR="00CF43E8">
        <w:rPr>
          <w:sz w:val="22"/>
          <w:szCs w:val="22"/>
        </w:rPr>
        <w:t xml:space="preserve"> front of</w:t>
      </w:r>
      <w:r w:rsidR="00185438">
        <w:rPr>
          <w:sz w:val="22"/>
          <w:szCs w:val="22"/>
        </w:rPr>
        <w:t xml:space="preserve"> them</w:t>
      </w:r>
      <w:r w:rsidR="00691945">
        <w:rPr>
          <w:rStyle w:val="FootnoteReference"/>
          <w:sz w:val="22"/>
          <w:szCs w:val="22"/>
        </w:rPr>
        <w:footnoteReference w:id="10"/>
      </w:r>
      <w:r w:rsidR="00185438">
        <w:rPr>
          <w:sz w:val="22"/>
          <w:szCs w:val="22"/>
        </w:rPr>
        <w:t xml:space="preserve">. In the Homeric hymn, this is where Demeter </w:t>
      </w:r>
      <w:r w:rsidR="0002264B">
        <w:rPr>
          <w:sz w:val="22"/>
          <w:szCs w:val="22"/>
        </w:rPr>
        <w:t>starts searching for Persephone from line 40 until line 405</w:t>
      </w:r>
      <w:r w:rsidR="00FA7CD0">
        <w:rPr>
          <w:rStyle w:val="FootnoteReference"/>
          <w:sz w:val="22"/>
          <w:szCs w:val="22"/>
        </w:rPr>
        <w:footnoteReference w:id="11"/>
      </w:r>
      <w:r w:rsidR="0002264B">
        <w:rPr>
          <w:sz w:val="22"/>
          <w:szCs w:val="22"/>
        </w:rPr>
        <w:t>.</w:t>
      </w:r>
      <w:r w:rsidR="008614F0">
        <w:rPr>
          <w:sz w:val="22"/>
          <w:szCs w:val="22"/>
        </w:rPr>
        <w:t xml:space="preserve"> The last part of the Homeric hymn fits into functions 25 and 26, which are that a difficult task is presented to the hero and the task is then resolved</w:t>
      </w:r>
      <w:r w:rsidR="00691945">
        <w:rPr>
          <w:rStyle w:val="FootnoteReference"/>
          <w:sz w:val="22"/>
          <w:szCs w:val="22"/>
        </w:rPr>
        <w:footnoteReference w:id="12"/>
      </w:r>
      <w:r w:rsidR="008614F0">
        <w:rPr>
          <w:sz w:val="22"/>
          <w:szCs w:val="22"/>
        </w:rPr>
        <w:t>. In the hymn the difficult task is that Persephone has to spend one third of the year in the underworld next to Hades as his wife</w:t>
      </w:r>
      <w:r w:rsidR="0016783E">
        <w:rPr>
          <w:rStyle w:val="FootnoteReference"/>
          <w:sz w:val="22"/>
          <w:szCs w:val="22"/>
        </w:rPr>
        <w:footnoteReference w:id="13"/>
      </w:r>
      <w:r w:rsidR="008614F0">
        <w:rPr>
          <w:sz w:val="22"/>
          <w:szCs w:val="22"/>
        </w:rPr>
        <w:t>. The solution to the task is that the rest two thirds of the year Persephone will be able to spend with Demeter and the other immortal gods</w:t>
      </w:r>
      <w:r w:rsidR="00F25418">
        <w:rPr>
          <w:rStyle w:val="FootnoteReference"/>
          <w:sz w:val="22"/>
          <w:szCs w:val="22"/>
        </w:rPr>
        <w:footnoteReference w:id="14"/>
      </w:r>
      <w:r w:rsidR="008614F0">
        <w:rPr>
          <w:sz w:val="22"/>
          <w:szCs w:val="22"/>
        </w:rPr>
        <w:t xml:space="preserve">. The Homeric hymn to Demeter fits into </w:t>
      </w:r>
      <w:r w:rsidR="0008169A">
        <w:rPr>
          <w:sz w:val="22"/>
          <w:szCs w:val="22"/>
        </w:rPr>
        <w:t xml:space="preserve">some of </w:t>
      </w:r>
      <w:r w:rsidR="008614F0">
        <w:rPr>
          <w:sz w:val="22"/>
          <w:szCs w:val="22"/>
        </w:rPr>
        <w:t xml:space="preserve">Propp’s </w:t>
      </w:r>
      <w:r w:rsidR="0051551D">
        <w:rPr>
          <w:sz w:val="22"/>
          <w:szCs w:val="22"/>
        </w:rPr>
        <w:t>thirty-one</w:t>
      </w:r>
      <w:r w:rsidR="008614F0">
        <w:rPr>
          <w:sz w:val="22"/>
          <w:szCs w:val="22"/>
        </w:rPr>
        <w:t xml:space="preserve"> functions proving that myths transcend time and place, making the statement invalid. </w:t>
      </w:r>
      <w:r w:rsidR="007F6CDC">
        <w:rPr>
          <w:sz w:val="22"/>
          <w:szCs w:val="22"/>
        </w:rPr>
        <w:t>However, the validity of Propps’ thirty-one functions can be questioned as Propp only used Russian fairytales as his sample size</w:t>
      </w:r>
      <w:r w:rsidR="001E4048">
        <w:rPr>
          <w:rStyle w:val="FootnoteReference"/>
          <w:sz w:val="22"/>
          <w:szCs w:val="22"/>
        </w:rPr>
        <w:footnoteReference w:id="15"/>
      </w:r>
      <w:r w:rsidR="007F6CDC">
        <w:rPr>
          <w:sz w:val="22"/>
          <w:szCs w:val="22"/>
        </w:rPr>
        <w:t>. This questions the validity of his thirty-one functions as fairytales from other countries may not follow these functions.</w:t>
      </w:r>
    </w:p>
    <w:p w14:paraId="64EBC7C0" w14:textId="3759CAEE" w:rsidR="001167B7" w:rsidRDefault="002405D2" w:rsidP="00F3138A">
      <w:pPr>
        <w:rPr>
          <w:sz w:val="22"/>
          <w:szCs w:val="22"/>
        </w:rPr>
      </w:pPr>
      <w:r>
        <w:rPr>
          <w:sz w:val="22"/>
          <w:szCs w:val="22"/>
        </w:rPr>
        <w:t xml:space="preserve">The Eleusinian Mysteries is another way which shows that the statement is invalid. </w:t>
      </w:r>
      <w:r w:rsidR="00A743F3">
        <w:rPr>
          <w:sz w:val="22"/>
          <w:szCs w:val="22"/>
        </w:rPr>
        <w:t xml:space="preserve">The rites of the Eleusinian mysteries are based upon what is said in the Homeric hymn to Demeter. One of the rites is that </w:t>
      </w:r>
      <w:r w:rsidR="007E08E6">
        <w:rPr>
          <w:sz w:val="22"/>
          <w:szCs w:val="22"/>
        </w:rPr>
        <w:t>initiates must drink a mixture of water and barley</w:t>
      </w:r>
      <w:r w:rsidR="00452EBF">
        <w:rPr>
          <w:sz w:val="22"/>
          <w:szCs w:val="22"/>
        </w:rPr>
        <w:t>, called kykeon</w:t>
      </w:r>
      <w:r w:rsidR="00190775">
        <w:rPr>
          <w:rStyle w:val="FootnoteReference"/>
          <w:sz w:val="22"/>
          <w:szCs w:val="22"/>
        </w:rPr>
        <w:footnoteReference w:id="16"/>
      </w:r>
      <w:r w:rsidR="007E08E6">
        <w:rPr>
          <w:sz w:val="22"/>
          <w:szCs w:val="22"/>
        </w:rPr>
        <w:t>. This follows what Demeter drank in the Homeric hymn in lines 206 to 210</w:t>
      </w:r>
      <w:r w:rsidR="00222BDC">
        <w:rPr>
          <w:rStyle w:val="FootnoteReference"/>
          <w:sz w:val="22"/>
          <w:szCs w:val="22"/>
        </w:rPr>
        <w:footnoteReference w:id="17"/>
      </w:r>
      <w:r w:rsidR="007E08E6">
        <w:rPr>
          <w:sz w:val="22"/>
          <w:szCs w:val="22"/>
        </w:rPr>
        <w:t>. In these lines Metaneira offered Demeter a cup of red wine</w:t>
      </w:r>
      <w:r w:rsidR="00222BDC">
        <w:rPr>
          <w:rStyle w:val="FootnoteReference"/>
          <w:sz w:val="22"/>
          <w:szCs w:val="22"/>
        </w:rPr>
        <w:footnoteReference w:id="18"/>
      </w:r>
      <w:r w:rsidR="007E08E6">
        <w:rPr>
          <w:sz w:val="22"/>
          <w:szCs w:val="22"/>
        </w:rPr>
        <w:t>. Demeter refused this red wine saying that she was not</w:t>
      </w:r>
      <w:r w:rsidR="005D75C8">
        <w:rPr>
          <w:sz w:val="22"/>
          <w:szCs w:val="22"/>
        </w:rPr>
        <w:t xml:space="preserve"> allowed</w:t>
      </w:r>
      <w:r w:rsidR="007E08E6">
        <w:rPr>
          <w:sz w:val="22"/>
          <w:szCs w:val="22"/>
        </w:rPr>
        <w:t xml:space="preserve"> to drink it, she then instructed Metaneira to mix water and barley for her to drink</w:t>
      </w:r>
      <w:r w:rsidR="00222BDC">
        <w:rPr>
          <w:rStyle w:val="FootnoteReference"/>
          <w:sz w:val="22"/>
          <w:szCs w:val="22"/>
        </w:rPr>
        <w:footnoteReference w:id="19"/>
      </w:r>
      <w:r w:rsidR="007E08E6">
        <w:rPr>
          <w:sz w:val="22"/>
          <w:szCs w:val="22"/>
        </w:rPr>
        <w:t>.</w:t>
      </w:r>
      <w:r w:rsidR="00971B8A">
        <w:rPr>
          <w:sz w:val="22"/>
          <w:szCs w:val="22"/>
        </w:rPr>
        <w:t xml:space="preserve"> </w:t>
      </w:r>
      <w:r w:rsidR="00452EBF">
        <w:rPr>
          <w:sz w:val="22"/>
          <w:szCs w:val="22"/>
        </w:rPr>
        <w:t xml:space="preserve">Another part of </w:t>
      </w:r>
      <w:r w:rsidR="00452EBF">
        <w:rPr>
          <w:sz w:val="22"/>
          <w:szCs w:val="22"/>
        </w:rPr>
        <w:lastRenderedPageBreak/>
        <w:t>the initiation ritual is called aischrologia. This was where people would shout and hurl insults and vulgar language at initiates</w:t>
      </w:r>
      <w:r w:rsidR="00F6293C">
        <w:rPr>
          <w:rStyle w:val="FootnoteReference"/>
          <w:sz w:val="22"/>
          <w:szCs w:val="22"/>
        </w:rPr>
        <w:footnoteReference w:id="20"/>
      </w:r>
      <w:r w:rsidR="00452EBF">
        <w:rPr>
          <w:sz w:val="22"/>
          <w:szCs w:val="22"/>
        </w:rPr>
        <w:t>. This ritual aischrologia directly precedes the drinking of the kykeon</w:t>
      </w:r>
      <w:r w:rsidR="00ED3124">
        <w:rPr>
          <w:rStyle w:val="FootnoteReference"/>
          <w:sz w:val="22"/>
          <w:szCs w:val="22"/>
        </w:rPr>
        <w:footnoteReference w:id="21"/>
      </w:r>
      <w:r w:rsidR="00452EBF">
        <w:rPr>
          <w:sz w:val="22"/>
          <w:szCs w:val="22"/>
        </w:rPr>
        <w:t xml:space="preserve">. </w:t>
      </w:r>
      <w:r w:rsidR="0054666C">
        <w:rPr>
          <w:sz w:val="22"/>
          <w:szCs w:val="22"/>
        </w:rPr>
        <w:t>Aischrologia preceding the drinking of the kykeon directly links this part of the ritual to the Homeric hymn to Demeter as in the hymn on lines 202 to 205 Iamb is making fun of Demeter and making jokes at her expense</w:t>
      </w:r>
      <w:r w:rsidR="00222BDC">
        <w:rPr>
          <w:rStyle w:val="FootnoteReference"/>
          <w:sz w:val="22"/>
          <w:szCs w:val="22"/>
        </w:rPr>
        <w:footnoteReference w:id="22"/>
      </w:r>
      <w:r w:rsidR="0054666C">
        <w:rPr>
          <w:sz w:val="22"/>
          <w:szCs w:val="22"/>
        </w:rPr>
        <w:t>.</w:t>
      </w:r>
      <w:r w:rsidR="00826325">
        <w:rPr>
          <w:sz w:val="22"/>
          <w:szCs w:val="22"/>
        </w:rPr>
        <w:t xml:space="preserve"> This part of the rit</w:t>
      </w:r>
      <w:r w:rsidR="00D9080A">
        <w:rPr>
          <w:sz w:val="22"/>
          <w:szCs w:val="22"/>
        </w:rPr>
        <w:t xml:space="preserve">ual also directly links to the Homeric hymn to Demeter as it follows the story almost exactly, which suggests that new initiates are put into Demeter’s shoes to experience what she experiences throughout the Homeric hymn. </w:t>
      </w:r>
      <w:r w:rsidR="00385246">
        <w:rPr>
          <w:sz w:val="22"/>
          <w:szCs w:val="22"/>
        </w:rPr>
        <w:t>This direct link to the Homeric hymn shows that this myth is not of a specific time, therefor</w:t>
      </w:r>
      <w:r w:rsidR="00812082">
        <w:rPr>
          <w:sz w:val="22"/>
          <w:szCs w:val="22"/>
        </w:rPr>
        <w:t>e</w:t>
      </w:r>
      <w:r w:rsidR="00385246">
        <w:rPr>
          <w:sz w:val="22"/>
          <w:szCs w:val="22"/>
        </w:rPr>
        <w:t xml:space="preserve"> partially invalidating the statement.</w:t>
      </w:r>
    </w:p>
    <w:p w14:paraId="2E13382A" w14:textId="43BEEE3D" w:rsidR="002405D2" w:rsidRDefault="00971B8A" w:rsidP="00F3138A">
      <w:pPr>
        <w:rPr>
          <w:sz w:val="22"/>
          <w:szCs w:val="22"/>
        </w:rPr>
      </w:pPr>
      <w:r>
        <w:rPr>
          <w:sz w:val="22"/>
          <w:szCs w:val="22"/>
        </w:rPr>
        <w:t>The entire Eleusinian following was based upon the Homeric hymn to Demeter</w:t>
      </w:r>
      <w:r w:rsidR="0082249C">
        <w:rPr>
          <w:sz w:val="22"/>
          <w:szCs w:val="22"/>
        </w:rPr>
        <w:t>, which makes the statement invalid</w:t>
      </w:r>
      <w:r>
        <w:rPr>
          <w:sz w:val="22"/>
          <w:szCs w:val="22"/>
        </w:rPr>
        <w:t xml:space="preserve">. </w:t>
      </w:r>
      <w:r w:rsidR="00BC6207">
        <w:rPr>
          <w:sz w:val="22"/>
          <w:szCs w:val="22"/>
        </w:rPr>
        <w:t>Eleusis, a place fourteen miles</w:t>
      </w:r>
      <w:r w:rsidR="00C40856">
        <w:rPr>
          <w:sz w:val="22"/>
          <w:szCs w:val="22"/>
        </w:rPr>
        <w:t xml:space="preserve"> from</w:t>
      </w:r>
      <w:r w:rsidR="00BC6207">
        <w:rPr>
          <w:sz w:val="22"/>
          <w:szCs w:val="22"/>
        </w:rPr>
        <w:t xml:space="preserve"> Athens, was where Demeter stayed whilst looking for Persephone</w:t>
      </w:r>
      <w:r w:rsidR="00940266">
        <w:rPr>
          <w:rStyle w:val="FootnoteReference"/>
          <w:sz w:val="22"/>
          <w:szCs w:val="22"/>
        </w:rPr>
        <w:footnoteReference w:id="23"/>
      </w:r>
      <w:r w:rsidR="00BC6207">
        <w:rPr>
          <w:sz w:val="22"/>
          <w:szCs w:val="22"/>
        </w:rPr>
        <w:t xml:space="preserve">. Near the end of her stay at Eleusis, Demeter ordered for a large temple to be built in Eleusis. </w:t>
      </w:r>
      <w:r w:rsidR="00CE67AD">
        <w:rPr>
          <w:sz w:val="22"/>
          <w:szCs w:val="22"/>
        </w:rPr>
        <w:t>This is shown in lines 270 to 275 and lines 295 to 305</w:t>
      </w:r>
      <w:r w:rsidR="00952BC6">
        <w:rPr>
          <w:rStyle w:val="FootnoteReference"/>
          <w:sz w:val="22"/>
          <w:szCs w:val="22"/>
        </w:rPr>
        <w:footnoteReference w:id="24"/>
      </w:r>
      <w:r w:rsidR="00CE67AD">
        <w:rPr>
          <w:sz w:val="22"/>
          <w:szCs w:val="22"/>
        </w:rPr>
        <w:t xml:space="preserve">. </w:t>
      </w:r>
      <w:r w:rsidR="001D2AE2">
        <w:rPr>
          <w:sz w:val="22"/>
          <w:szCs w:val="22"/>
        </w:rPr>
        <w:t>According to George E. Mylonas the following began locally, but</w:t>
      </w:r>
      <w:r w:rsidR="00C72E81">
        <w:rPr>
          <w:sz w:val="22"/>
          <w:szCs w:val="22"/>
        </w:rPr>
        <w:t xml:space="preserve"> through time</w:t>
      </w:r>
      <w:r w:rsidR="001D2AE2">
        <w:rPr>
          <w:sz w:val="22"/>
          <w:szCs w:val="22"/>
        </w:rPr>
        <w:t xml:space="preserve"> it grew larger and its influence grew outside of Eleusis</w:t>
      </w:r>
      <w:r w:rsidR="0029668E">
        <w:rPr>
          <w:rStyle w:val="FootnoteReference"/>
          <w:sz w:val="22"/>
          <w:szCs w:val="22"/>
        </w:rPr>
        <w:footnoteReference w:id="25"/>
      </w:r>
      <w:r w:rsidR="001D2AE2">
        <w:rPr>
          <w:sz w:val="22"/>
          <w:szCs w:val="22"/>
        </w:rPr>
        <w:t>. This influence expanded much further when the Romans</w:t>
      </w:r>
      <w:r w:rsidR="002617FC">
        <w:rPr>
          <w:sz w:val="22"/>
          <w:szCs w:val="22"/>
        </w:rPr>
        <w:t xml:space="preserve"> embraced</w:t>
      </w:r>
      <w:r w:rsidR="001D2AE2">
        <w:rPr>
          <w:sz w:val="22"/>
          <w:szCs w:val="22"/>
        </w:rPr>
        <w:t xml:space="preserve"> this following</w:t>
      </w:r>
      <w:r w:rsidR="002617FC">
        <w:rPr>
          <w:rStyle w:val="FootnoteReference"/>
          <w:sz w:val="22"/>
          <w:szCs w:val="22"/>
        </w:rPr>
        <w:footnoteReference w:id="26"/>
      </w:r>
      <w:r w:rsidR="001D2AE2">
        <w:rPr>
          <w:sz w:val="22"/>
          <w:szCs w:val="22"/>
        </w:rPr>
        <w:t xml:space="preserve">. </w:t>
      </w:r>
      <w:r w:rsidR="001E5F04">
        <w:rPr>
          <w:sz w:val="22"/>
          <w:szCs w:val="22"/>
        </w:rPr>
        <w:t>Th</w:t>
      </w:r>
      <w:r w:rsidR="002D0E11">
        <w:rPr>
          <w:sz w:val="22"/>
          <w:szCs w:val="22"/>
        </w:rPr>
        <w:t>is</w:t>
      </w:r>
      <w:r w:rsidR="001E5F04">
        <w:rPr>
          <w:sz w:val="22"/>
          <w:szCs w:val="22"/>
        </w:rPr>
        <w:t xml:space="preserve"> further expansion was </w:t>
      </w:r>
      <w:r w:rsidR="00EF7D68">
        <w:rPr>
          <w:sz w:val="22"/>
          <w:szCs w:val="22"/>
        </w:rPr>
        <w:t xml:space="preserve">likely </w:t>
      </w:r>
      <w:r w:rsidR="001E5F04">
        <w:rPr>
          <w:sz w:val="22"/>
          <w:szCs w:val="22"/>
        </w:rPr>
        <w:t>hastened by the fact that the Roman empire was large and extensive.</w:t>
      </w:r>
      <w:r w:rsidR="00374916">
        <w:rPr>
          <w:sz w:val="22"/>
          <w:szCs w:val="22"/>
        </w:rPr>
        <w:t xml:space="preserve"> </w:t>
      </w:r>
      <w:r w:rsidR="002D0E11">
        <w:rPr>
          <w:sz w:val="22"/>
          <w:szCs w:val="22"/>
        </w:rPr>
        <w:t xml:space="preserve">Also, the Romans taking on the Eleusinian following </w:t>
      </w:r>
      <w:r w:rsidR="00681508">
        <w:rPr>
          <w:sz w:val="22"/>
          <w:szCs w:val="22"/>
        </w:rPr>
        <w:t xml:space="preserve">show that myths are not a product of time as its influence </w:t>
      </w:r>
      <w:r w:rsidR="00AB5D28">
        <w:rPr>
          <w:sz w:val="22"/>
          <w:szCs w:val="22"/>
        </w:rPr>
        <w:t xml:space="preserve">continues through time periods, from the Ancient Greeks to the Romans. </w:t>
      </w:r>
      <w:r w:rsidR="007747FD">
        <w:rPr>
          <w:sz w:val="22"/>
          <w:szCs w:val="22"/>
        </w:rPr>
        <w:t xml:space="preserve">The Eleusinian following was so influential </w:t>
      </w:r>
      <w:r w:rsidR="00681508">
        <w:rPr>
          <w:sz w:val="22"/>
          <w:szCs w:val="22"/>
        </w:rPr>
        <w:t>during the Roman period</w:t>
      </w:r>
      <w:r w:rsidR="007747FD">
        <w:rPr>
          <w:sz w:val="22"/>
          <w:szCs w:val="22"/>
        </w:rPr>
        <w:t>, that the elites of the time were having statues of Demeter built</w:t>
      </w:r>
      <w:r w:rsidR="0029668E">
        <w:rPr>
          <w:rStyle w:val="FootnoteReference"/>
          <w:sz w:val="22"/>
          <w:szCs w:val="22"/>
        </w:rPr>
        <w:footnoteReference w:id="27"/>
      </w:r>
      <w:r w:rsidR="007747FD">
        <w:rPr>
          <w:sz w:val="22"/>
          <w:szCs w:val="22"/>
        </w:rPr>
        <w:t>. It was also so influential that everyone wanted to be initiated, from slaves to the elites of the time</w:t>
      </w:r>
      <w:r w:rsidR="0029668E">
        <w:rPr>
          <w:rStyle w:val="FootnoteReference"/>
          <w:sz w:val="22"/>
          <w:szCs w:val="22"/>
        </w:rPr>
        <w:footnoteReference w:id="28"/>
      </w:r>
      <w:r w:rsidR="007747FD">
        <w:rPr>
          <w:sz w:val="22"/>
          <w:szCs w:val="22"/>
        </w:rPr>
        <w:t>.</w:t>
      </w:r>
      <w:r w:rsidR="0008745A">
        <w:rPr>
          <w:sz w:val="22"/>
          <w:szCs w:val="22"/>
        </w:rPr>
        <w:t xml:space="preserve"> </w:t>
      </w:r>
      <w:r w:rsidR="000E2915">
        <w:rPr>
          <w:sz w:val="22"/>
          <w:szCs w:val="22"/>
        </w:rPr>
        <w:t>Mylonas</w:t>
      </w:r>
      <w:r w:rsidR="00120BBC">
        <w:rPr>
          <w:sz w:val="22"/>
          <w:szCs w:val="22"/>
        </w:rPr>
        <w:t xml:space="preserve">’ interpretation </w:t>
      </w:r>
      <w:r w:rsidR="000E2915">
        <w:rPr>
          <w:sz w:val="22"/>
          <w:szCs w:val="22"/>
        </w:rPr>
        <w:t>directly links the Homeric hymn to Demeter to multiple different aspects of the Eleusinian mysteries. This gives a wider interpretation of the</w:t>
      </w:r>
      <w:r w:rsidR="00264B8C">
        <w:rPr>
          <w:sz w:val="22"/>
          <w:szCs w:val="22"/>
        </w:rPr>
        <w:t>se</w:t>
      </w:r>
      <w:r w:rsidR="000E2915">
        <w:rPr>
          <w:sz w:val="22"/>
          <w:szCs w:val="22"/>
        </w:rPr>
        <w:t xml:space="preserve"> links between the Eleusinian mysteries and the Homeric hymn to Demeter.</w:t>
      </w:r>
      <w:r w:rsidR="00DC678F">
        <w:rPr>
          <w:sz w:val="22"/>
          <w:szCs w:val="22"/>
        </w:rPr>
        <w:t xml:space="preserve"> Mylonas’ interpretation on the</w:t>
      </w:r>
      <w:r w:rsidR="0008745A">
        <w:rPr>
          <w:sz w:val="22"/>
          <w:szCs w:val="22"/>
        </w:rPr>
        <w:t xml:space="preserve"> influence of the Eleusinian following through time and </w:t>
      </w:r>
      <w:r w:rsidR="00273698">
        <w:rPr>
          <w:sz w:val="22"/>
          <w:szCs w:val="22"/>
        </w:rPr>
        <w:t xml:space="preserve">its influence outside Eleusis across the civilised world </w:t>
      </w:r>
      <w:r w:rsidR="00DC678F">
        <w:rPr>
          <w:sz w:val="22"/>
          <w:szCs w:val="22"/>
        </w:rPr>
        <w:t>supports the invalidation of the statement.</w:t>
      </w:r>
      <w:r w:rsidR="004823CB">
        <w:rPr>
          <w:sz w:val="22"/>
          <w:szCs w:val="22"/>
        </w:rPr>
        <w:t xml:space="preserve"> </w:t>
      </w:r>
      <w:r w:rsidR="00422E11">
        <w:rPr>
          <w:sz w:val="22"/>
          <w:szCs w:val="22"/>
        </w:rPr>
        <w:t>However, it could also be argued that the Eleusinian followings influence only partially invalidates the statement as even though the influence of this following was very widespread throughout the civilised world, the followings influence was centred around Eleusis. This would only partially invalidate the statement as the influence is not of a specific time, but it is of a specific place.</w:t>
      </w:r>
    </w:p>
    <w:p w14:paraId="44C42399" w14:textId="4727E680" w:rsidR="00445BCE" w:rsidRDefault="00445BCE" w:rsidP="00F3138A">
      <w:pPr>
        <w:rPr>
          <w:sz w:val="22"/>
          <w:szCs w:val="22"/>
        </w:rPr>
      </w:pPr>
      <w:r>
        <w:rPr>
          <w:sz w:val="22"/>
          <w:szCs w:val="22"/>
        </w:rPr>
        <w:lastRenderedPageBreak/>
        <w:t xml:space="preserve">It was not only the influence of the Eleusinian following which makes the </w:t>
      </w:r>
      <w:r w:rsidR="00F15952">
        <w:rPr>
          <w:sz w:val="22"/>
          <w:szCs w:val="22"/>
        </w:rPr>
        <w:t>statement invalid, but also the time at which the</w:t>
      </w:r>
      <w:r w:rsidR="00CD367C">
        <w:rPr>
          <w:sz w:val="22"/>
          <w:szCs w:val="22"/>
        </w:rPr>
        <w:t xml:space="preserve"> following of Demeter</w:t>
      </w:r>
      <w:r w:rsidR="00F15952">
        <w:rPr>
          <w:sz w:val="22"/>
          <w:szCs w:val="22"/>
        </w:rPr>
        <w:t xml:space="preserve"> lasted. </w:t>
      </w:r>
      <w:r w:rsidR="00DF522E">
        <w:rPr>
          <w:sz w:val="22"/>
          <w:szCs w:val="22"/>
        </w:rPr>
        <w:t xml:space="preserve">According to </w:t>
      </w:r>
      <w:r w:rsidR="00F92DA6">
        <w:rPr>
          <w:sz w:val="22"/>
          <w:szCs w:val="22"/>
        </w:rPr>
        <w:t xml:space="preserve">an interpretation by </w:t>
      </w:r>
      <w:r w:rsidR="00DF522E">
        <w:rPr>
          <w:sz w:val="22"/>
          <w:szCs w:val="22"/>
        </w:rPr>
        <w:t>Mara Lynn Keller t</w:t>
      </w:r>
      <w:r w:rsidR="00F15952">
        <w:rPr>
          <w:sz w:val="22"/>
          <w:szCs w:val="22"/>
        </w:rPr>
        <w:t>he rites that were carried out in the temple at Eleusis lasted for around 2000 years, with the first building being founded around 1450 BC</w:t>
      </w:r>
      <w:r w:rsidR="008E2432">
        <w:rPr>
          <w:rStyle w:val="FootnoteReference"/>
          <w:sz w:val="22"/>
          <w:szCs w:val="22"/>
        </w:rPr>
        <w:footnoteReference w:id="29"/>
      </w:r>
      <w:r w:rsidR="00F15952">
        <w:rPr>
          <w:sz w:val="22"/>
          <w:szCs w:val="22"/>
        </w:rPr>
        <w:t>.</w:t>
      </w:r>
      <w:r w:rsidR="002B6EB0">
        <w:rPr>
          <w:sz w:val="22"/>
          <w:szCs w:val="22"/>
        </w:rPr>
        <w:t xml:space="preserve"> The temple at Eleusis was de</w:t>
      </w:r>
      <w:r w:rsidR="00AA29B6">
        <w:rPr>
          <w:sz w:val="22"/>
          <w:szCs w:val="22"/>
        </w:rPr>
        <w:t>molished</w:t>
      </w:r>
      <w:r w:rsidR="002B6EB0">
        <w:rPr>
          <w:sz w:val="22"/>
          <w:szCs w:val="22"/>
        </w:rPr>
        <w:t xml:space="preserve"> in 395 CE to stop people worshiping any</w:t>
      </w:r>
      <w:r w:rsidR="00A3103D">
        <w:rPr>
          <w:sz w:val="22"/>
          <w:szCs w:val="22"/>
        </w:rPr>
        <w:t xml:space="preserve"> god or goddess</w:t>
      </w:r>
      <w:r w:rsidR="002B6EB0">
        <w:rPr>
          <w:sz w:val="22"/>
          <w:szCs w:val="22"/>
        </w:rPr>
        <w:t xml:space="preserve"> other than Christian </w:t>
      </w:r>
      <w:r w:rsidR="00A3103D">
        <w:rPr>
          <w:sz w:val="22"/>
          <w:szCs w:val="22"/>
        </w:rPr>
        <w:t>gods</w:t>
      </w:r>
      <w:r w:rsidR="00BE1901">
        <w:rPr>
          <w:rStyle w:val="FootnoteReference"/>
          <w:sz w:val="22"/>
          <w:szCs w:val="22"/>
        </w:rPr>
        <w:footnoteReference w:id="30"/>
      </w:r>
      <w:r w:rsidR="002B6EB0">
        <w:rPr>
          <w:sz w:val="22"/>
          <w:szCs w:val="22"/>
        </w:rPr>
        <w:t>. Even though the temple at Eleusis was destroyed, people continued to worship Demeter. Statues of Demeter have been</w:t>
      </w:r>
      <w:r w:rsidR="00BA6BD7">
        <w:rPr>
          <w:sz w:val="22"/>
          <w:szCs w:val="22"/>
        </w:rPr>
        <w:t xml:space="preserve"> discovered</w:t>
      </w:r>
      <w:r w:rsidR="002B6EB0">
        <w:rPr>
          <w:sz w:val="22"/>
          <w:szCs w:val="22"/>
        </w:rPr>
        <w:t xml:space="preserve"> and decorated in Eleusis</w:t>
      </w:r>
      <w:r w:rsidR="00BA6BD7">
        <w:rPr>
          <w:sz w:val="22"/>
          <w:szCs w:val="22"/>
        </w:rPr>
        <w:t xml:space="preserve"> in</w:t>
      </w:r>
      <w:r w:rsidR="002B6EB0">
        <w:rPr>
          <w:sz w:val="22"/>
          <w:szCs w:val="22"/>
        </w:rPr>
        <w:t xml:space="preserve"> the 19</w:t>
      </w:r>
      <w:r w:rsidR="002B6EB0" w:rsidRPr="002B6EB0">
        <w:rPr>
          <w:sz w:val="22"/>
          <w:szCs w:val="22"/>
          <w:vertAlign w:val="superscript"/>
        </w:rPr>
        <w:t>th</w:t>
      </w:r>
      <w:r w:rsidR="002B6EB0">
        <w:rPr>
          <w:sz w:val="22"/>
          <w:szCs w:val="22"/>
        </w:rPr>
        <w:t xml:space="preserve"> century, and </w:t>
      </w:r>
      <w:r w:rsidR="004E1CBE">
        <w:rPr>
          <w:sz w:val="22"/>
          <w:szCs w:val="22"/>
        </w:rPr>
        <w:t>groups of women have been</w:t>
      </w:r>
      <w:r w:rsidR="003152D0">
        <w:rPr>
          <w:sz w:val="22"/>
          <w:szCs w:val="22"/>
        </w:rPr>
        <w:t xml:space="preserve"> arriving in</w:t>
      </w:r>
      <w:r w:rsidR="004E1CBE">
        <w:rPr>
          <w:sz w:val="22"/>
          <w:szCs w:val="22"/>
        </w:rPr>
        <w:t xml:space="preserve"> Eleusis to pay respects to Demeter</w:t>
      </w:r>
      <w:r w:rsidR="000E0AA4">
        <w:rPr>
          <w:rStyle w:val="FootnoteReference"/>
          <w:sz w:val="22"/>
          <w:szCs w:val="22"/>
        </w:rPr>
        <w:footnoteReference w:id="31"/>
      </w:r>
      <w:r w:rsidR="004E1CBE">
        <w:rPr>
          <w:sz w:val="22"/>
          <w:szCs w:val="22"/>
        </w:rPr>
        <w:t>.</w:t>
      </w:r>
      <w:r w:rsidR="00CD367C">
        <w:rPr>
          <w:sz w:val="22"/>
          <w:szCs w:val="22"/>
        </w:rPr>
        <w:t xml:space="preserve"> </w:t>
      </w:r>
      <w:r w:rsidR="003B318F">
        <w:rPr>
          <w:sz w:val="22"/>
          <w:szCs w:val="22"/>
        </w:rPr>
        <w:t>This suggests that people still use the myth in the modern day and by paying respects to Demeter they are sympathetic of what Demeter experiences in the Homeric hymn.</w:t>
      </w:r>
      <w:r w:rsidR="003B318F">
        <w:rPr>
          <w:sz w:val="22"/>
          <w:szCs w:val="22"/>
        </w:rPr>
        <w:t xml:space="preserve"> </w:t>
      </w:r>
      <w:r w:rsidR="00CD367C">
        <w:rPr>
          <w:sz w:val="22"/>
          <w:szCs w:val="22"/>
        </w:rPr>
        <w:t xml:space="preserve">This makes the statement partially invalid </w:t>
      </w:r>
      <w:r w:rsidR="009A436B">
        <w:rPr>
          <w:sz w:val="22"/>
          <w:szCs w:val="22"/>
        </w:rPr>
        <w:t xml:space="preserve">due to the amount of time that the Eleusinian following lasted and the further amount of time that people </w:t>
      </w:r>
      <w:r w:rsidR="00DF4C6C">
        <w:rPr>
          <w:sz w:val="22"/>
          <w:szCs w:val="22"/>
        </w:rPr>
        <w:t xml:space="preserve">both </w:t>
      </w:r>
      <w:r w:rsidR="009A436B">
        <w:rPr>
          <w:sz w:val="22"/>
          <w:szCs w:val="22"/>
        </w:rPr>
        <w:t xml:space="preserve">in </w:t>
      </w:r>
      <w:r w:rsidR="00DF4C6C">
        <w:rPr>
          <w:sz w:val="22"/>
          <w:szCs w:val="22"/>
        </w:rPr>
        <w:t xml:space="preserve">and outside of </w:t>
      </w:r>
      <w:r w:rsidR="009A436B">
        <w:rPr>
          <w:sz w:val="22"/>
          <w:szCs w:val="22"/>
        </w:rPr>
        <w:t>Eleusis worshiped Demeter.</w:t>
      </w:r>
      <w:r w:rsidR="006904D7">
        <w:rPr>
          <w:sz w:val="22"/>
          <w:szCs w:val="22"/>
        </w:rPr>
        <w:t xml:space="preserve"> </w:t>
      </w:r>
      <w:r w:rsidR="002E73BD">
        <w:rPr>
          <w:sz w:val="22"/>
          <w:szCs w:val="22"/>
        </w:rPr>
        <w:t xml:space="preserve">Also, the statement that the rites carried out at Eleusis lasted for around 2000 years show that myths are not a product of a specific time as multiple </w:t>
      </w:r>
      <w:r w:rsidR="007A6511">
        <w:rPr>
          <w:sz w:val="22"/>
          <w:szCs w:val="22"/>
        </w:rPr>
        <w:t>defined</w:t>
      </w:r>
      <w:r w:rsidR="002E73BD">
        <w:rPr>
          <w:sz w:val="22"/>
          <w:szCs w:val="22"/>
        </w:rPr>
        <w:t xml:space="preserve"> periods and empires rose and fell within th</w:t>
      </w:r>
      <w:r w:rsidR="0034139D">
        <w:rPr>
          <w:sz w:val="22"/>
          <w:szCs w:val="22"/>
        </w:rPr>
        <w:t>is</w:t>
      </w:r>
      <w:r w:rsidR="002E73BD">
        <w:rPr>
          <w:sz w:val="22"/>
          <w:szCs w:val="22"/>
        </w:rPr>
        <w:t xml:space="preserve"> time period.</w:t>
      </w:r>
      <w:r w:rsidR="00295B30">
        <w:rPr>
          <w:sz w:val="22"/>
          <w:szCs w:val="22"/>
        </w:rPr>
        <w:t xml:space="preserve"> </w:t>
      </w:r>
      <w:r w:rsidR="0015733B">
        <w:rPr>
          <w:sz w:val="22"/>
          <w:szCs w:val="22"/>
        </w:rPr>
        <w:t xml:space="preserve">However, there is partial validation of the statement as even though </w:t>
      </w:r>
      <w:r w:rsidR="004E3FDF">
        <w:rPr>
          <w:sz w:val="22"/>
          <w:szCs w:val="22"/>
        </w:rPr>
        <w:t>this myth is not a product of a specific time, both the myth of Demeter and Persephone and the Eleusinian following focus on Eleusis, a specific place.</w:t>
      </w:r>
      <w:r w:rsidR="00AE1EB1">
        <w:rPr>
          <w:sz w:val="22"/>
          <w:szCs w:val="22"/>
        </w:rPr>
        <w:t xml:space="preserve"> </w:t>
      </w:r>
    </w:p>
    <w:p w14:paraId="4EF6B760" w14:textId="4B91A024" w:rsidR="004823CB" w:rsidRDefault="0028621D" w:rsidP="00F3138A">
      <w:pPr>
        <w:rPr>
          <w:sz w:val="22"/>
          <w:szCs w:val="22"/>
        </w:rPr>
      </w:pPr>
      <w:r>
        <w:rPr>
          <w:sz w:val="22"/>
          <w:szCs w:val="22"/>
        </w:rPr>
        <w:t xml:space="preserve">However, </w:t>
      </w:r>
      <w:r w:rsidR="00B410D5">
        <w:rPr>
          <w:sz w:val="22"/>
          <w:szCs w:val="22"/>
        </w:rPr>
        <w:t xml:space="preserve">the Eleusinian mysteries </w:t>
      </w:r>
      <w:r>
        <w:rPr>
          <w:sz w:val="22"/>
          <w:szCs w:val="22"/>
        </w:rPr>
        <w:t xml:space="preserve">also </w:t>
      </w:r>
      <w:r w:rsidR="00B410D5">
        <w:rPr>
          <w:sz w:val="22"/>
          <w:szCs w:val="22"/>
        </w:rPr>
        <w:t xml:space="preserve">validate the statement </w:t>
      </w:r>
      <w:r w:rsidR="00136210">
        <w:rPr>
          <w:sz w:val="22"/>
          <w:szCs w:val="22"/>
        </w:rPr>
        <w:t xml:space="preserve">to some extent </w:t>
      </w:r>
      <w:r w:rsidR="00B410D5">
        <w:rPr>
          <w:sz w:val="22"/>
          <w:szCs w:val="22"/>
        </w:rPr>
        <w:t>due to the structure of the temple the people of Eleusis built. According to Mylonas the temple built at Eleusis matched with the one described in the Homeric hymn to Demeter</w:t>
      </w:r>
      <w:r w:rsidR="00AE79B0">
        <w:rPr>
          <w:rStyle w:val="FootnoteReference"/>
          <w:sz w:val="22"/>
          <w:szCs w:val="22"/>
        </w:rPr>
        <w:footnoteReference w:id="32"/>
      </w:r>
      <w:r w:rsidR="00B410D5">
        <w:rPr>
          <w:sz w:val="22"/>
          <w:szCs w:val="22"/>
        </w:rPr>
        <w:t>. The early temple that is built in Eleusis is described in lines 270 to 275 in the hymn</w:t>
      </w:r>
      <w:r w:rsidR="00952BC6">
        <w:rPr>
          <w:rStyle w:val="FootnoteReference"/>
          <w:sz w:val="22"/>
          <w:szCs w:val="22"/>
        </w:rPr>
        <w:footnoteReference w:id="33"/>
      </w:r>
      <w:r w:rsidR="00B410D5">
        <w:rPr>
          <w:sz w:val="22"/>
          <w:szCs w:val="22"/>
        </w:rPr>
        <w:t>. In those lines</w:t>
      </w:r>
      <w:r w:rsidR="00E43D94">
        <w:rPr>
          <w:sz w:val="22"/>
          <w:szCs w:val="22"/>
        </w:rPr>
        <w:t xml:space="preserve"> Demeter explains</w:t>
      </w:r>
      <w:r w:rsidR="00B410D5">
        <w:rPr>
          <w:sz w:val="22"/>
          <w:szCs w:val="22"/>
        </w:rPr>
        <w:t xml:space="preserve"> that the temple will have an altar at its base and that the temple shall be built on a prominent hill</w:t>
      </w:r>
      <w:r w:rsidR="00952BC6">
        <w:rPr>
          <w:rStyle w:val="FootnoteReference"/>
          <w:sz w:val="22"/>
          <w:szCs w:val="22"/>
        </w:rPr>
        <w:footnoteReference w:id="34"/>
      </w:r>
      <w:r w:rsidR="00B410D5">
        <w:rPr>
          <w:sz w:val="22"/>
          <w:szCs w:val="22"/>
        </w:rPr>
        <w:t xml:space="preserve">. </w:t>
      </w:r>
      <w:r>
        <w:rPr>
          <w:sz w:val="22"/>
          <w:szCs w:val="22"/>
        </w:rPr>
        <w:t>Mylonas also states that the date that the temple was built also matches to around the time the rites of Demeter were introduced</w:t>
      </w:r>
      <w:r w:rsidR="00765902">
        <w:rPr>
          <w:rStyle w:val="FootnoteReference"/>
          <w:sz w:val="22"/>
          <w:szCs w:val="22"/>
        </w:rPr>
        <w:footnoteReference w:id="35"/>
      </w:r>
      <w:r>
        <w:rPr>
          <w:sz w:val="22"/>
          <w:szCs w:val="22"/>
        </w:rPr>
        <w:t xml:space="preserve">. </w:t>
      </w:r>
      <w:r w:rsidR="008D78BE">
        <w:rPr>
          <w:sz w:val="22"/>
          <w:szCs w:val="22"/>
        </w:rPr>
        <w:t xml:space="preserve">This gives the suggestion that the people of Eleusis used the </w:t>
      </w:r>
      <w:r w:rsidR="00A650EA">
        <w:rPr>
          <w:sz w:val="22"/>
          <w:szCs w:val="22"/>
        </w:rPr>
        <w:t xml:space="preserve">description in the </w:t>
      </w:r>
      <w:r w:rsidR="008D78BE">
        <w:rPr>
          <w:sz w:val="22"/>
          <w:szCs w:val="22"/>
        </w:rPr>
        <w:t xml:space="preserve">Homeric hymn to Demeter to build a temple </w:t>
      </w:r>
      <w:r w:rsidR="0045777F">
        <w:rPr>
          <w:sz w:val="22"/>
          <w:szCs w:val="22"/>
        </w:rPr>
        <w:t xml:space="preserve">in honour of Demeter and Persephone. </w:t>
      </w:r>
      <w:r>
        <w:rPr>
          <w:sz w:val="22"/>
          <w:szCs w:val="22"/>
        </w:rPr>
        <w:t>The structure and placement of the temple and the date of its building matching the time of the introduction of the rites of Demeter show that, to some extent, the myth of the Homeric hymn to Demeter is a product of a specific time and place.</w:t>
      </w:r>
    </w:p>
    <w:p w14:paraId="55287943" w14:textId="1CAFB298" w:rsidR="000B3E0B" w:rsidRDefault="00950F4D" w:rsidP="00F3138A">
      <w:pPr>
        <w:rPr>
          <w:sz w:val="22"/>
          <w:szCs w:val="22"/>
        </w:rPr>
      </w:pPr>
      <w:r>
        <w:rPr>
          <w:sz w:val="22"/>
          <w:szCs w:val="22"/>
        </w:rPr>
        <w:t>In conclusion, the statement ‘Myths are a product of a specific time and place’ is valid</w:t>
      </w:r>
      <w:r w:rsidR="005A6BEF">
        <w:rPr>
          <w:sz w:val="22"/>
          <w:szCs w:val="22"/>
        </w:rPr>
        <w:t xml:space="preserve"> to some extent</w:t>
      </w:r>
      <w:r>
        <w:rPr>
          <w:sz w:val="22"/>
          <w:szCs w:val="22"/>
        </w:rPr>
        <w:t xml:space="preserve">. </w:t>
      </w:r>
      <w:r w:rsidR="004C0DBA">
        <w:rPr>
          <w:sz w:val="22"/>
          <w:szCs w:val="22"/>
        </w:rPr>
        <w:t xml:space="preserve">The main reason that </w:t>
      </w:r>
      <w:r w:rsidR="00F1544F">
        <w:rPr>
          <w:sz w:val="22"/>
          <w:szCs w:val="22"/>
        </w:rPr>
        <w:t xml:space="preserve">it is validated is that both the Homeric hymn to Demeter and the Eleusinian following, its influence, and the building of the Eleusinian temple is all centred around the village of Eleusis. However, it is also invalid for multiple reasons. One reason is that the influence of the Eleusinian following, although centred </w:t>
      </w:r>
      <w:r w:rsidR="0086092F">
        <w:rPr>
          <w:sz w:val="22"/>
          <w:szCs w:val="22"/>
        </w:rPr>
        <w:t>around</w:t>
      </w:r>
      <w:r w:rsidR="00F1544F">
        <w:rPr>
          <w:sz w:val="22"/>
          <w:szCs w:val="22"/>
        </w:rPr>
        <w:t xml:space="preserve"> Eleusis, expanded across the civilised world; everyone from slaves to elites wanted to be initiated as part of the Eleusinian following</w:t>
      </w:r>
      <w:r w:rsidR="00243124">
        <w:rPr>
          <w:rStyle w:val="FootnoteReference"/>
          <w:sz w:val="22"/>
          <w:szCs w:val="22"/>
        </w:rPr>
        <w:footnoteReference w:id="36"/>
      </w:r>
      <w:r w:rsidR="00F1544F">
        <w:rPr>
          <w:sz w:val="22"/>
          <w:szCs w:val="22"/>
        </w:rPr>
        <w:t xml:space="preserve">. </w:t>
      </w:r>
      <w:r w:rsidR="001848C6">
        <w:rPr>
          <w:sz w:val="22"/>
          <w:szCs w:val="22"/>
        </w:rPr>
        <w:t>Also</w:t>
      </w:r>
      <w:r w:rsidR="0051551D">
        <w:rPr>
          <w:sz w:val="22"/>
          <w:szCs w:val="22"/>
        </w:rPr>
        <w:t>,</w:t>
      </w:r>
      <w:r w:rsidR="001848C6">
        <w:rPr>
          <w:sz w:val="22"/>
          <w:szCs w:val="22"/>
        </w:rPr>
        <w:t xml:space="preserve"> the rites to become initiated directly link to the Homeric hymn, which shows that the myth is not a product of a specific time.</w:t>
      </w:r>
      <w:r w:rsidR="00B30AE9">
        <w:rPr>
          <w:sz w:val="22"/>
          <w:szCs w:val="22"/>
        </w:rPr>
        <w:t xml:space="preserve"> Another reason is that the myths</w:t>
      </w:r>
      <w:r w:rsidR="004F7ED8">
        <w:rPr>
          <w:sz w:val="22"/>
          <w:szCs w:val="22"/>
        </w:rPr>
        <w:t>’</w:t>
      </w:r>
      <w:r w:rsidR="00B30AE9">
        <w:rPr>
          <w:sz w:val="22"/>
          <w:szCs w:val="22"/>
        </w:rPr>
        <w:t xml:space="preserve"> structure </w:t>
      </w:r>
      <w:r w:rsidR="00B30AE9">
        <w:rPr>
          <w:sz w:val="22"/>
          <w:szCs w:val="22"/>
        </w:rPr>
        <w:lastRenderedPageBreak/>
        <w:t xml:space="preserve">fitted into some of Vladimir Propps </w:t>
      </w:r>
      <w:r w:rsidR="0051551D">
        <w:rPr>
          <w:sz w:val="22"/>
          <w:szCs w:val="22"/>
        </w:rPr>
        <w:t>thirty-one</w:t>
      </w:r>
      <w:r w:rsidR="00B30AE9">
        <w:rPr>
          <w:sz w:val="22"/>
          <w:szCs w:val="22"/>
        </w:rPr>
        <w:t xml:space="preserve"> functions. However, it is important to note that due to having such a small sample size of myths, the statement cannot fully be evaluated.</w:t>
      </w:r>
      <w:r w:rsidR="00EB3941">
        <w:rPr>
          <w:sz w:val="22"/>
          <w:szCs w:val="22"/>
        </w:rPr>
        <w:t xml:space="preserve"> </w:t>
      </w:r>
    </w:p>
    <w:p w14:paraId="5CE5908E" w14:textId="77777777" w:rsidR="000B3E0B" w:rsidRDefault="000B3E0B" w:rsidP="00F3138A">
      <w:pPr>
        <w:rPr>
          <w:sz w:val="22"/>
          <w:szCs w:val="22"/>
        </w:rPr>
      </w:pPr>
    </w:p>
    <w:p w14:paraId="649AE163" w14:textId="77777777" w:rsidR="000B3E0B" w:rsidRDefault="000B3E0B" w:rsidP="00F3138A">
      <w:pPr>
        <w:rPr>
          <w:sz w:val="22"/>
          <w:szCs w:val="22"/>
        </w:rPr>
      </w:pPr>
    </w:p>
    <w:p w14:paraId="46AC5855" w14:textId="77777777" w:rsidR="000B3E0B" w:rsidRDefault="000B3E0B" w:rsidP="00F3138A">
      <w:pPr>
        <w:rPr>
          <w:sz w:val="22"/>
          <w:szCs w:val="22"/>
        </w:rPr>
      </w:pPr>
    </w:p>
    <w:p w14:paraId="0ABDAFE5" w14:textId="477F6C59" w:rsidR="00EB3941" w:rsidRPr="000B3E0B" w:rsidRDefault="00EB3941" w:rsidP="00F3138A">
      <w:pPr>
        <w:rPr>
          <w:sz w:val="22"/>
          <w:szCs w:val="22"/>
        </w:rPr>
      </w:pPr>
      <w:r w:rsidRPr="00EB3941">
        <w:rPr>
          <w:sz w:val="22"/>
          <w:szCs w:val="22"/>
          <w:u w:val="single"/>
        </w:rPr>
        <w:t>Bibliography</w:t>
      </w:r>
    </w:p>
    <w:p w14:paraId="0507EFD8" w14:textId="5C91A1C3" w:rsidR="001B39B6" w:rsidRDefault="001B39B6" w:rsidP="00EB3941">
      <w:pPr>
        <w:pStyle w:val="ListParagraph"/>
        <w:numPr>
          <w:ilvl w:val="0"/>
          <w:numId w:val="1"/>
        </w:numPr>
        <w:rPr>
          <w:sz w:val="22"/>
          <w:szCs w:val="22"/>
        </w:rPr>
      </w:pPr>
      <w:r>
        <w:rPr>
          <w:sz w:val="22"/>
          <w:szCs w:val="22"/>
        </w:rPr>
        <w:t xml:space="preserve">Cambridge Dictionary, </w:t>
      </w:r>
      <w:r>
        <w:rPr>
          <w:i/>
          <w:iCs/>
          <w:sz w:val="22"/>
          <w:szCs w:val="22"/>
        </w:rPr>
        <w:t>Myth</w:t>
      </w:r>
      <w:r>
        <w:rPr>
          <w:sz w:val="22"/>
          <w:szCs w:val="22"/>
        </w:rPr>
        <w:t>, Unknown, &lt;</w:t>
      </w:r>
      <w:hyperlink r:id="rId8" w:history="1">
        <w:r w:rsidRPr="00621309">
          <w:rPr>
            <w:rStyle w:val="Hyperlink"/>
            <w:sz w:val="22"/>
            <w:szCs w:val="22"/>
          </w:rPr>
          <w:t>https://dictionary.cambridge.org/dictionary/english/myth</w:t>
        </w:r>
      </w:hyperlink>
      <w:r>
        <w:rPr>
          <w:sz w:val="22"/>
          <w:szCs w:val="22"/>
        </w:rPr>
        <w:t>&gt;, [Accessed: 12</w:t>
      </w:r>
      <w:r w:rsidRPr="001B39B6">
        <w:rPr>
          <w:sz w:val="22"/>
          <w:szCs w:val="22"/>
          <w:vertAlign w:val="superscript"/>
        </w:rPr>
        <w:t>th</w:t>
      </w:r>
      <w:r>
        <w:rPr>
          <w:sz w:val="22"/>
          <w:szCs w:val="22"/>
        </w:rPr>
        <w:t xml:space="preserve"> March 2026]</w:t>
      </w:r>
    </w:p>
    <w:p w14:paraId="72BD7596" w14:textId="6EB4261F" w:rsidR="008357B2" w:rsidRPr="008357B2" w:rsidRDefault="008357B2" w:rsidP="008357B2">
      <w:pPr>
        <w:pStyle w:val="ListParagraph"/>
        <w:numPr>
          <w:ilvl w:val="0"/>
          <w:numId w:val="1"/>
        </w:numPr>
        <w:rPr>
          <w:sz w:val="22"/>
          <w:szCs w:val="22"/>
        </w:rPr>
      </w:pPr>
      <w:r>
        <w:rPr>
          <w:sz w:val="22"/>
          <w:szCs w:val="22"/>
        </w:rPr>
        <w:t>Dogra, Sapna, ‘</w:t>
      </w:r>
      <w:r w:rsidRPr="008357B2">
        <w:rPr>
          <w:sz w:val="22"/>
          <w:szCs w:val="22"/>
        </w:rPr>
        <w:t>The Thirty-One Functions in Vladimir Propp’s Morphology of the Folktale: An Outline and Recent Trends in the Applicability of the Proppian Taxonomic Model</w:t>
      </w:r>
      <w:r>
        <w:rPr>
          <w:sz w:val="22"/>
          <w:szCs w:val="22"/>
        </w:rPr>
        <w:t xml:space="preserve">’, </w:t>
      </w:r>
      <w:r>
        <w:rPr>
          <w:i/>
          <w:iCs/>
          <w:sz w:val="22"/>
          <w:szCs w:val="22"/>
        </w:rPr>
        <w:t>Rupkatha Journal on Interdisciplinary Studies in Humanities</w:t>
      </w:r>
      <w:r>
        <w:rPr>
          <w:sz w:val="22"/>
          <w:szCs w:val="22"/>
        </w:rPr>
        <w:t>, Vol. 9 No. 2, (2017), pp. 410-419, &lt;</w:t>
      </w:r>
      <w:hyperlink r:id="rId9" w:history="1">
        <w:r w:rsidRPr="00DB737A">
          <w:rPr>
            <w:rStyle w:val="Hyperlink"/>
            <w:sz w:val="22"/>
            <w:szCs w:val="22"/>
          </w:rPr>
          <w:t>https://www.researchgate.net/publication/319293980_The_Thirty-One_Functions_in_Vladimir_Propp's_Morphology_of_the_Folktale_An_Outline_and_Recent_Trends_in_the_Applicability_of_the_Proppian_Taxonomic_Model</w:t>
        </w:r>
      </w:hyperlink>
      <w:r>
        <w:rPr>
          <w:sz w:val="22"/>
          <w:szCs w:val="22"/>
        </w:rPr>
        <w:t>&gt;, [Accessed: 12</w:t>
      </w:r>
      <w:r w:rsidRPr="008357B2">
        <w:rPr>
          <w:sz w:val="22"/>
          <w:szCs w:val="22"/>
          <w:vertAlign w:val="superscript"/>
        </w:rPr>
        <w:t>th</w:t>
      </w:r>
      <w:r>
        <w:rPr>
          <w:sz w:val="22"/>
          <w:szCs w:val="22"/>
        </w:rPr>
        <w:t xml:space="preserve"> March 2026]</w:t>
      </w:r>
    </w:p>
    <w:p w14:paraId="52B25448" w14:textId="31F0FC33" w:rsidR="00765527" w:rsidRDefault="00765527" w:rsidP="00EB3941">
      <w:pPr>
        <w:pStyle w:val="ListParagraph"/>
        <w:numPr>
          <w:ilvl w:val="0"/>
          <w:numId w:val="1"/>
        </w:numPr>
        <w:rPr>
          <w:sz w:val="22"/>
          <w:szCs w:val="22"/>
        </w:rPr>
      </w:pPr>
      <w:r>
        <w:rPr>
          <w:sz w:val="22"/>
          <w:szCs w:val="22"/>
        </w:rPr>
        <w:t xml:space="preserve">Keller, Mara Lynn, ‘The Eleusinian Mysteries of Demeter and Persephone: Fertility, Sexuality and Rebirth’, </w:t>
      </w:r>
      <w:r>
        <w:rPr>
          <w:i/>
          <w:iCs/>
          <w:sz w:val="22"/>
          <w:szCs w:val="22"/>
        </w:rPr>
        <w:t>Journal of Feminist Studies in Religion</w:t>
      </w:r>
      <w:r>
        <w:rPr>
          <w:sz w:val="22"/>
          <w:szCs w:val="22"/>
        </w:rPr>
        <w:t xml:space="preserve">, Vol. 4 No. 1, </w:t>
      </w:r>
      <w:r w:rsidR="00681FB1">
        <w:rPr>
          <w:sz w:val="22"/>
          <w:szCs w:val="22"/>
        </w:rPr>
        <w:t>(1988), pp. 27-54, &lt;</w:t>
      </w:r>
      <w:hyperlink r:id="rId10" w:history="1">
        <w:r w:rsidR="00681FB1" w:rsidRPr="00621309">
          <w:rPr>
            <w:rStyle w:val="Hyperlink"/>
            <w:sz w:val="22"/>
            <w:szCs w:val="22"/>
          </w:rPr>
          <w:t>https://www.jstor.org/stable/25002068</w:t>
        </w:r>
      </w:hyperlink>
      <w:r w:rsidR="00681FB1">
        <w:rPr>
          <w:sz w:val="22"/>
          <w:szCs w:val="22"/>
        </w:rPr>
        <w:t>&gt;, [Accessed: 12</w:t>
      </w:r>
      <w:r w:rsidR="00681FB1" w:rsidRPr="00681FB1">
        <w:rPr>
          <w:sz w:val="22"/>
          <w:szCs w:val="22"/>
          <w:vertAlign w:val="superscript"/>
        </w:rPr>
        <w:t>th</w:t>
      </w:r>
      <w:r w:rsidR="00681FB1">
        <w:rPr>
          <w:sz w:val="22"/>
          <w:szCs w:val="22"/>
        </w:rPr>
        <w:t xml:space="preserve"> March 2026]</w:t>
      </w:r>
    </w:p>
    <w:p w14:paraId="45C56244" w14:textId="6309DFD9" w:rsidR="00C771C2" w:rsidRDefault="00C771C2" w:rsidP="00EB3941">
      <w:pPr>
        <w:pStyle w:val="ListParagraph"/>
        <w:numPr>
          <w:ilvl w:val="0"/>
          <w:numId w:val="1"/>
        </w:numPr>
        <w:rPr>
          <w:sz w:val="22"/>
          <w:szCs w:val="22"/>
        </w:rPr>
      </w:pPr>
      <w:r>
        <w:rPr>
          <w:sz w:val="22"/>
          <w:szCs w:val="22"/>
        </w:rPr>
        <w:t xml:space="preserve">Mylonas, George E., ‘Eleusis and the Eleusinian Mysteries’, </w:t>
      </w:r>
      <w:r>
        <w:rPr>
          <w:i/>
          <w:iCs/>
          <w:sz w:val="22"/>
          <w:szCs w:val="22"/>
        </w:rPr>
        <w:t>The Classical Journal</w:t>
      </w:r>
      <w:r>
        <w:rPr>
          <w:sz w:val="22"/>
          <w:szCs w:val="22"/>
        </w:rPr>
        <w:t>, Vol. 43 No. 3, (1947), pp. 130-146, &lt;</w:t>
      </w:r>
      <w:hyperlink r:id="rId11" w:history="1">
        <w:r w:rsidRPr="00621309">
          <w:rPr>
            <w:rStyle w:val="Hyperlink"/>
            <w:sz w:val="22"/>
            <w:szCs w:val="22"/>
          </w:rPr>
          <w:t>https://www.jstor.org/stable/3293727</w:t>
        </w:r>
      </w:hyperlink>
      <w:r>
        <w:rPr>
          <w:sz w:val="22"/>
          <w:szCs w:val="22"/>
        </w:rPr>
        <w:t xml:space="preserve">&gt;, </w:t>
      </w:r>
      <w:r w:rsidR="00D91AEB">
        <w:rPr>
          <w:sz w:val="22"/>
          <w:szCs w:val="22"/>
        </w:rPr>
        <w:t>[Accessed: 12</w:t>
      </w:r>
      <w:r w:rsidR="00D91AEB" w:rsidRPr="00D91AEB">
        <w:rPr>
          <w:sz w:val="22"/>
          <w:szCs w:val="22"/>
          <w:vertAlign w:val="superscript"/>
        </w:rPr>
        <w:t>th</w:t>
      </w:r>
      <w:r w:rsidR="00D91AEB">
        <w:rPr>
          <w:sz w:val="22"/>
          <w:szCs w:val="22"/>
        </w:rPr>
        <w:t xml:space="preserve"> March 2026]</w:t>
      </w:r>
    </w:p>
    <w:p w14:paraId="4893882E" w14:textId="105CC9B1" w:rsidR="00EB3941" w:rsidRDefault="00473A8F" w:rsidP="00EB3941">
      <w:pPr>
        <w:pStyle w:val="ListParagraph"/>
        <w:numPr>
          <w:ilvl w:val="0"/>
          <w:numId w:val="1"/>
        </w:numPr>
        <w:rPr>
          <w:sz w:val="22"/>
          <w:szCs w:val="22"/>
        </w:rPr>
      </w:pPr>
      <w:r>
        <w:rPr>
          <w:sz w:val="22"/>
          <w:szCs w:val="22"/>
        </w:rPr>
        <w:t xml:space="preserve">Nagy, Gregory, Center for Hellenic Studies, </w:t>
      </w:r>
      <w:r>
        <w:rPr>
          <w:i/>
          <w:iCs/>
          <w:sz w:val="22"/>
          <w:szCs w:val="22"/>
        </w:rPr>
        <w:t>Homeric Hymn to Demeter</w:t>
      </w:r>
      <w:r>
        <w:rPr>
          <w:sz w:val="22"/>
          <w:szCs w:val="22"/>
        </w:rPr>
        <w:t>, 2018, &lt;</w:t>
      </w:r>
      <w:hyperlink r:id="rId12" w:history="1">
        <w:r w:rsidRPr="00621309">
          <w:rPr>
            <w:rStyle w:val="Hyperlink"/>
            <w:sz w:val="22"/>
            <w:szCs w:val="22"/>
          </w:rPr>
          <w:t>https://chs.harvard.edu/primary-source/homeric-hymn-to-demeter-sb/</w:t>
        </w:r>
      </w:hyperlink>
      <w:r>
        <w:rPr>
          <w:sz w:val="22"/>
          <w:szCs w:val="22"/>
        </w:rPr>
        <w:t>&gt;, [Accessed: 12</w:t>
      </w:r>
      <w:r w:rsidRPr="00473A8F">
        <w:rPr>
          <w:sz w:val="22"/>
          <w:szCs w:val="22"/>
          <w:vertAlign w:val="superscript"/>
        </w:rPr>
        <w:t>th</w:t>
      </w:r>
      <w:r>
        <w:rPr>
          <w:sz w:val="22"/>
          <w:szCs w:val="22"/>
        </w:rPr>
        <w:t xml:space="preserve"> March 2026]</w:t>
      </w:r>
    </w:p>
    <w:p w14:paraId="72816D9D" w14:textId="7098DC09" w:rsidR="004334CD" w:rsidRDefault="004334CD" w:rsidP="00EB3941">
      <w:pPr>
        <w:pStyle w:val="ListParagraph"/>
        <w:numPr>
          <w:ilvl w:val="0"/>
          <w:numId w:val="1"/>
        </w:numPr>
        <w:rPr>
          <w:sz w:val="22"/>
          <w:szCs w:val="22"/>
        </w:rPr>
      </w:pPr>
      <w:r>
        <w:rPr>
          <w:sz w:val="22"/>
          <w:szCs w:val="22"/>
        </w:rPr>
        <w:t xml:space="preserve">Northern Virginia Community College, </w:t>
      </w:r>
      <w:r>
        <w:rPr>
          <w:i/>
          <w:iCs/>
          <w:sz w:val="22"/>
          <w:szCs w:val="22"/>
        </w:rPr>
        <w:t>Definition of Myth</w:t>
      </w:r>
      <w:r>
        <w:rPr>
          <w:sz w:val="22"/>
          <w:szCs w:val="22"/>
        </w:rPr>
        <w:t>, Unknown, &lt;</w:t>
      </w:r>
      <w:hyperlink r:id="rId13" w:history="1">
        <w:r w:rsidRPr="00621309">
          <w:rPr>
            <w:rStyle w:val="Hyperlink"/>
            <w:sz w:val="22"/>
            <w:szCs w:val="22"/>
          </w:rPr>
          <w:t>https://pressbooks.nvcc.edu/eng257/chapter/definition-of-myth/</w:t>
        </w:r>
      </w:hyperlink>
      <w:r>
        <w:rPr>
          <w:sz w:val="22"/>
          <w:szCs w:val="22"/>
        </w:rPr>
        <w:t>&gt;, [Accessed: 12</w:t>
      </w:r>
      <w:r w:rsidRPr="004334CD">
        <w:rPr>
          <w:sz w:val="22"/>
          <w:szCs w:val="22"/>
          <w:vertAlign w:val="superscript"/>
        </w:rPr>
        <w:t>th</w:t>
      </w:r>
      <w:r>
        <w:rPr>
          <w:sz w:val="22"/>
          <w:szCs w:val="22"/>
        </w:rPr>
        <w:t xml:space="preserve"> March 2026]</w:t>
      </w:r>
    </w:p>
    <w:p w14:paraId="719D7452" w14:textId="30CE2E2A" w:rsidR="000B3E0B" w:rsidRPr="007E2FE3" w:rsidRDefault="00753513" w:rsidP="007E2FE3">
      <w:pPr>
        <w:pStyle w:val="ListParagraph"/>
        <w:numPr>
          <w:ilvl w:val="0"/>
          <w:numId w:val="1"/>
        </w:numPr>
        <w:rPr>
          <w:sz w:val="22"/>
          <w:szCs w:val="22"/>
        </w:rPr>
      </w:pPr>
      <w:r>
        <w:rPr>
          <w:sz w:val="22"/>
          <w:szCs w:val="22"/>
        </w:rPr>
        <w:t xml:space="preserve">Rosen, Ralph M., ‘Hipponax Fr. 48 Dg. And the Eleusinian Kykeon’, </w:t>
      </w:r>
      <w:r>
        <w:rPr>
          <w:i/>
          <w:iCs/>
          <w:sz w:val="22"/>
          <w:szCs w:val="22"/>
        </w:rPr>
        <w:t>The American Journal of Philology</w:t>
      </w:r>
      <w:r>
        <w:rPr>
          <w:sz w:val="22"/>
          <w:szCs w:val="22"/>
        </w:rPr>
        <w:t>, Vol. 108 No. 3, (1987), pp. 416-426, &lt;</w:t>
      </w:r>
      <w:hyperlink r:id="rId14" w:history="1">
        <w:r w:rsidRPr="00621309">
          <w:rPr>
            <w:rStyle w:val="Hyperlink"/>
            <w:sz w:val="22"/>
            <w:szCs w:val="22"/>
          </w:rPr>
          <w:t>https://www.jstor.org/stable/294663</w:t>
        </w:r>
      </w:hyperlink>
      <w:r>
        <w:rPr>
          <w:sz w:val="22"/>
          <w:szCs w:val="22"/>
        </w:rPr>
        <w:t>&gt;, [Accessed: 12</w:t>
      </w:r>
      <w:r w:rsidRPr="00753513">
        <w:rPr>
          <w:sz w:val="22"/>
          <w:szCs w:val="22"/>
          <w:vertAlign w:val="superscript"/>
        </w:rPr>
        <w:t>th</w:t>
      </w:r>
      <w:r>
        <w:rPr>
          <w:sz w:val="22"/>
          <w:szCs w:val="22"/>
        </w:rPr>
        <w:t xml:space="preserve"> March 2026]</w:t>
      </w:r>
    </w:p>
    <w:sectPr w:rsidR="000B3E0B" w:rsidRPr="007E2F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71291" w14:textId="77777777" w:rsidR="00A75093" w:rsidRDefault="00A75093" w:rsidP="005817A3">
      <w:pPr>
        <w:spacing w:after="0" w:line="240" w:lineRule="auto"/>
      </w:pPr>
      <w:r>
        <w:separator/>
      </w:r>
    </w:p>
  </w:endnote>
  <w:endnote w:type="continuationSeparator" w:id="0">
    <w:p w14:paraId="62A7EDB9" w14:textId="77777777" w:rsidR="00A75093" w:rsidRDefault="00A75093" w:rsidP="00581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3C7032" w14:textId="77777777" w:rsidR="00A75093" w:rsidRDefault="00A75093" w:rsidP="005817A3">
      <w:pPr>
        <w:spacing w:after="0" w:line="240" w:lineRule="auto"/>
      </w:pPr>
      <w:r>
        <w:separator/>
      </w:r>
    </w:p>
  </w:footnote>
  <w:footnote w:type="continuationSeparator" w:id="0">
    <w:p w14:paraId="13AFDCFE" w14:textId="77777777" w:rsidR="00A75093" w:rsidRDefault="00A75093" w:rsidP="005817A3">
      <w:pPr>
        <w:spacing w:after="0" w:line="240" w:lineRule="auto"/>
      </w:pPr>
      <w:r>
        <w:continuationSeparator/>
      </w:r>
    </w:p>
  </w:footnote>
  <w:footnote w:id="1">
    <w:p w14:paraId="5B74210D" w14:textId="16028713" w:rsidR="005817A3" w:rsidRPr="00F82F8B" w:rsidRDefault="005817A3" w:rsidP="00F82F8B">
      <w:pPr>
        <w:rPr>
          <w:sz w:val="22"/>
          <w:szCs w:val="22"/>
        </w:rPr>
      </w:pPr>
      <w:r>
        <w:rPr>
          <w:rStyle w:val="FootnoteReference"/>
        </w:rPr>
        <w:footnoteRef/>
      </w:r>
      <w:r>
        <w:t xml:space="preserve"> </w:t>
      </w:r>
      <w:r w:rsidRPr="00511563">
        <w:rPr>
          <w:sz w:val="20"/>
          <w:szCs w:val="20"/>
        </w:rPr>
        <w:t xml:space="preserve">Cambridge Dictionary, </w:t>
      </w:r>
      <w:r w:rsidRPr="00511563">
        <w:rPr>
          <w:i/>
          <w:iCs/>
          <w:sz w:val="20"/>
          <w:szCs w:val="20"/>
        </w:rPr>
        <w:t>Myth</w:t>
      </w:r>
      <w:r w:rsidRPr="00511563">
        <w:rPr>
          <w:sz w:val="20"/>
          <w:szCs w:val="20"/>
        </w:rPr>
        <w:t>, Unknown, &lt;</w:t>
      </w:r>
      <w:hyperlink r:id="rId1" w:history="1">
        <w:r w:rsidRPr="00511563">
          <w:rPr>
            <w:rStyle w:val="Hyperlink"/>
            <w:sz w:val="20"/>
            <w:szCs w:val="20"/>
          </w:rPr>
          <w:t>https://dictionary.cambridge.org/dictionary/english/myth</w:t>
        </w:r>
      </w:hyperlink>
      <w:r w:rsidRPr="00511563">
        <w:rPr>
          <w:sz w:val="20"/>
          <w:szCs w:val="20"/>
        </w:rPr>
        <w:t>&gt;, [Accessed: 12</w:t>
      </w:r>
      <w:r w:rsidRPr="00511563">
        <w:rPr>
          <w:sz w:val="20"/>
          <w:szCs w:val="20"/>
          <w:vertAlign w:val="superscript"/>
        </w:rPr>
        <w:t>th</w:t>
      </w:r>
      <w:r w:rsidRPr="00511563">
        <w:rPr>
          <w:sz w:val="20"/>
          <w:szCs w:val="20"/>
        </w:rPr>
        <w:t xml:space="preserve"> March 2026]</w:t>
      </w:r>
    </w:p>
  </w:footnote>
  <w:footnote w:id="2">
    <w:p w14:paraId="1A116720" w14:textId="2E7CC0CF" w:rsidR="00F82F8B" w:rsidRPr="00F82F8B" w:rsidRDefault="00F82F8B" w:rsidP="00F82F8B">
      <w:pPr>
        <w:rPr>
          <w:sz w:val="22"/>
          <w:szCs w:val="22"/>
        </w:rPr>
      </w:pPr>
      <w:r>
        <w:rPr>
          <w:rStyle w:val="FootnoteReference"/>
        </w:rPr>
        <w:footnoteRef/>
      </w:r>
      <w:r>
        <w:t xml:space="preserve"> </w:t>
      </w:r>
      <w:r w:rsidRPr="00F82F8B">
        <w:rPr>
          <w:sz w:val="20"/>
          <w:szCs w:val="20"/>
        </w:rPr>
        <w:t xml:space="preserve">Northern Virginia Community College, </w:t>
      </w:r>
      <w:r w:rsidRPr="00F82F8B">
        <w:rPr>
          <w:i/>
          <w:iCs/>
          <w:sz w:val="20"/>
          <w:szCs w:val="20"/>
        </w:rPr>
        <w:t>Definition of Myth</w:t>
      </w:r>
      <w:r w:rsidRPr="00F82F8B">
        <w:rPr>
          <w:sz w:val="20"/>
          <w:szCs w:val="20"/>
        </w:rPr>
        <w:t>, Unknown, &lt;</w:t>
      </w:r>
      <w:hyperlink r:id="rId2" w:history="1">
        <w:r w:rsidRPr="00F82F8B">
          <w:rPr>
            <w:rStyle w:val="Hyperlink"/>
            <w:sz w:val="20"/>
            <w:szCs w:val="20"/>
          </w:rPr>
          <w:t>https://pressbooks.nvcc.edu/eng257/chapter/definition-of-myth/</w:t>
        </w:r>
      </w:hyperlink>
      <w:r w:rsidRPr="00F82F8B">
        <w:rPr>
          <w:sz w:val="20"/>
          <w:szCs w:val="20"/>
        </w:rPr>
        <w:t>&gt;, [Accessed: 12</w:t>
      </w:r>
      <w:r w:rsidRPr="00F82F8B">
        <w:rPr>
          <w:sz w:val="20"/>
          <w:szCs w:val="20"/>
          <w:vertAlign w:val="superscript"/>
        </w:rPr>
        <w:t>th</w:t>
      </w:r>
      <w:r w:rsidRPr="00F82F8B">
        <w:rPr>
          <w:sz w:val="20"/>
          <w:szCs w:val="20"/>
        </w:rPr>
        <w:t xml:space="preserve"> March 2026]</w:t>
      </w:r>
    </w:p>
  </w:footnote>
  <w:footnote w:id="3">
    <w:p w14:paraId="20049553" w14:textId="700B7D98" w:rsidR="00F82F8B" w:rsidRDefault="00F82F8B">
      <w:pPr>
        <w:pStyle w:val="FootnoteText"/>
      </w:pPr>
      <w:r>
        <w:rPr>
          <w:rStyle w:val="FootnoteReference"/>
        </w:rPr>
        <w:footnoteRef/>
      </w:r>
      <w:r>
        <w:t xml:space="preserve"> Ibid: Northern Virginia Community College, Unknown</w:t>
      </w:r>
    </w:p>
  </w:footnote>
  <w:footnote w:id="4">
    <w:p w14:paraId="3BD937FC" w14:textId="52C0BBEB" w:rsidR="00280C8C" w:rsidRPr="008E2432" w:rsidRDefault="00280C8C" w:rsidP="008E2432">
      <w:pPr>
        <w:rPr>
          <w:sz w:val="22"/>
          <w:szCs w:val="22"/>
        </w:rPr>
      </w:pPr>
      <w:r>
        <w:rPr>
          <w:rStyle w:val="FootnoteReference"/>
        </w:rPr>
        <w:footnoteRef/>
      </w:r>
      <w:r w:rsidRPr="00280C8C">
        <w:rPr>
          <w:sz w:val="20"/>
          <w:szCs w:val="20"/>
        </w:rPr>
        <w:t xml:space="preserve"> Mara Lynn</w:t>
      </w:r>
      <w:r>
        <w:rPr>
          <w:sz w:val="20"/>
          <w:szCs w:val="20"/>
        </w:rPr>
        <w:t xml:space="preserve"> Keller</w:t>
      </w:r>
      <w:r w:rsidRPr="00280C8C">
        <w:rPr>
          <w:sz w:val="20"/>
          <w:szCs w:val="20"/>
        </w:rPr>
        <w:t xml:space="preserve">, ‘The Eleusinian Mysteries of Demeter and Persephone: Fertility, Sexuality and Rebirth’, </w:t>
      </w:r>
      <w:r w:rsidRPr="00280C8C">
        <w:rPr>
          <w:i/>
          <w:iCs/>
          <w:sz w:val="20"/>
          <w:szCs w:val="20"/>
        </w:rPr>
        <w:t>Journal of Feminist Studies in Religion</w:t>
      </w:r>
      <w:r w:rsidRPr="00280C8C">
        <w:rPr>
          <w:sz w:val="20"/>
          <w:szCs w:val="20"/>
        </w:rPr>
        <w:t xml:space="preserve">, Vol. 4 No. 1, (1988), pp. 27-54, </w:t>
      </w:r>
      <w:r>
        <w:rPr>
          <w:sz w:val="20"/>
          <w:szCs w:val="20"/>
        </w:rPr>
        <w:t xml:space="preserve">(p29), </w:t>
      </w:r>
      <w:r w:rsidRPr="00280C8C">
        <w:rPr>
          <w:sz w:val="20"/>
          <w:szCs w:val="20"/>
        </w:rPr>
        <w:t>&lt;</w:t>
      </w:r>
      <w:hyperlink r:id="rId3" w:history="1">
        <w:r w:rsidRPr="00280C8C">
          <w:rPr>
            <w:rStyle w:val="Hyperlink"/>
            <w:sz w:val="20"/>
            <w:szCs w:val="20"/>
          </w:rPr>
          <w:t>https://www.jstor.org/stable/25002068</w:t>
        </w:r>
      </w:hyperlink>
      <w:r w:rsidRPr="00280C8C">
        <w:rPr>
          <w:sz w:val="20"/>
          <w:szCs w:val="20"/>
        </w:rPr>
        <w:t>&gt;, [Accessed: 12</w:t>
      </w:r>
      <w:r w:rsidRPr="00280C8C">
        <w:rPr>
          <w:sz w:val="20"/>
          <w:szCs w:val="20"/>
          <w:vertAlign w:val="superscript"/>
        </w:rPr>
        <w:t>th</w:t>
      </w:r>
      <w:r w:rsidRPr="00280C8C">
        <w:rPr>
          <w:sz w:val="20"/>
          <w:szCs w:val="20"/>
        </w:rPr>
        <w:t xml:space="preserve"> March 2026]</w:t>
      </w:r>
    </w:p>
  </w:footnote>
  <w:footnote w:id="5">
    <w:p w14:paraId="7E2B1F12" w14:textId="1C794EE4" w:rsidR="00F608A6" w:rsidRPr="00F608A6" w:rsidRDefault="00F608A6" w:rsidP="00F608A6">
      <w:pPr>
        <w:rPr>
          <w:sz w:val="22"/>
          <w:szCs w:val="22"/>
        </w:rPr>
      </w:pPr>
      <w:r>
        <w:rPr>
          <w:rStyle w:val="FootnoteReference"/>
        </w:rPr>
        <w:footnoteRef/>
      </w:r>
      <w:r>
        <w:t xml:space="preserve"> </w:t>
      </w:r>
      <w:r w:rsidRPr="00503F2F">
        <w:rPr>
          <w:sz w:val="20"/>
          <w:szCs w:val="20"/>
        </w:rPr>
        <w:t>Gregory</w:t>
      </w:r>
      <w:r>
        <w:rPr>
          <w:sz w:val="20"/>
          <w:szCs w:val="20"/>
        </w:rPr>
        <w:t xml:space="preserve"> Nagy</w:t>
      </w:r>
      <w:r w:rsidRPr="00503F2F">
        <w:rPr>
          <w:sz w:val="20"/>
          <w:szCs w:val="20"/>
        </w:rPr>
        <w:t xml:space="preserve">, Center for Hellenic Studies, </w:t>
      </w:r>
      <w:r w:rsidRPr="00503F2F">
        <w:rPr>
          <w:i/>
          <w:iCs/>
          <w:sz w:val="20"/>
          <w:szCs w:val="20"/>
        </w:rPr>
        <w:t>Homeric Hymn to Demeter</w:t>
      </w:r>
      <w:r w:rsidRPr="00503F2F">
        <w:rPr>
          <w:sz w:val="20"/>
          <w:szCs w:val="20"/>
        </w:rPr>
        <w:t>, 2018, &lt;</w:t>
      </w:r>
      <w:hyperlink r:id="rId4" w:history="1">
        <w:r w:rsidRPr="00503F2F">
          <w:rPr>
            <w:rStyle w:val="Hyperlink"/>
            <w:sz w:val="20"/>
            <w:szCs w:val="20"/>
          </w:rPr>
          <w:t>https://chs.harvard.edu/primary-source/homeric-hymn-to-demeter-sb/</w:t>
        </w:r>
      </w:hyperlink>
      <w:r w:rsidRPr="00503F2F">
        <w:rPr>
          <w:sz w:val="20"/>
          <w:szCs w:val="20"/>
        </w:rPr>
        <w:t>&gt;, [Accessed: 12</w:t>
      </w:r>
      <w:r w:rsidRPr="00503F2F">
        <w:rPr>
          <w:sz w:val="20"/>
          <w:szCs w:val="20"/>
          <w:vertAlign w:val="superscript"/>
        </w:rPr>
        <w:t>th</w:t>
      </w:r>
      <w:r w:rsidRPr="00503F2F">
        <w:rPr>
          <w:sz w:val="20"/>
          <w:szCs w:val="20"/>
        </w:rPr>
        <w:t xml:space="preserve"> March 2026]</w:t>
      </w:r>
    </w:p>
  </w:footnote>
  <w:footnote w:id="6">
    <w:p w14:paraId="0667EFBB" w14:textId="77EB5756" w:rsidR="007E3DB3" w:rsidRDefault="007E3DB3">
      <w:pPr>
        <w:pStyle w:val="FootnoteText"/>
      </w:pPr>
      <w:r>
        <w:rPr>
          <w:rStyle w:val="FootnoteReference"/>
        </w:rPr>
        <w:footnoteRef/>
      </w:r>
      <w:r>
        <w:t xml:space="preserve"> </w:t>
      </w:r>
      <w:r w:rsidRPr="007E3DB3">
        <w:t>Ibid: Nagy, Center for Hellenic Studies, 2018</w:t>
      </w:r>
    </w:p>
  </w:footnote>
  <w:footnote w:id="7">
    <w:p w14:paraId="2965D070" w14:textId="2B150D7D" w:rsidR="003C6D12" w:rsidRPr="003C6D12" w:rsidRDefault="003C6D12" w:rsidP="003C6D12">
      <w:pPr>
        <w:rPr>
          <w:sz w:val="20"/>
          <w:szCs w:val="20"/>
        </w:rPr>
      </w:pPr>
      <w:r w:rsidRPr="003C6D12">
        <w:rPr>
          <w:rStyle w:val="FootnoteReference"/>
          <w:sz w:val="20"/>
          <w:szCs w:val="20"/>
        </w:rPr>
        <w:footnoteRef/>
      </w:r>
      <w:r w:rsidRPr="003C6D12">
        <w:rPr>
          <w:sz w:val="20"/>
          <w:szCs w:val="20"/>
        </w:rPr>
        <w:t xml:space="preserve"> Sapna</w:t>
      </w:r>
      <w:r>
        <w:rPr>
          <w:sz w:val="20"/>
          <w:szCs w:val="20"/>
        </w:rPr>
        <w:t xml:space="preserve"> Dogra</w:t>
      </w:r>
      <w:r w:rsidRPr="003C6D12">
        <w:rPr>
          <w:sz w:val="20"/>
          <w:szCs w:val="20"/>
        </w:rPr>
        <w:t xml:space="preserve">, ‘The Thirty-One Functions in Vladimir Propp’s Morphology of the Folktale: An Outline and Recent Trends in the Applicability of the Proppian Taxonomic Model’, </w:t>
      </w:r>
      <w:r w:rsidRPr="003C6D12">
        <w:rPr>
          <w:i/>
          <w:iCs/>
          <w:sz w:val="20"/>
          <w:szCs w:val="20"/>
        </w:rPr>
        <w:t>Rupkatha Journal on Interdisciplinary Studies in Humanities</w:t>
      </w:r>
      <w:r w:rsidRPr="003C6D12">
        <w:rPr>
          <w:sz w:val="20"/>
          <w:szCs w:val="20"/>
        </w:rPr>
        <w:t xml:space="preserve">, Vol. 9 No. 2, (2017), pp. 410-419, </w:t>
      </w:r>
      <w:r w:rsidR="004B40C0">
        <w:rPr>
          <w:sz w:val="20"/>
          <w:szCs w:val="20"/>
        </w:rPr>
        <w:t xml:space="preserve">(p411), </w:t>
      </w:r>
      <w:r w:rsidRPr="003C6D12">
        <w:rPr>
          <w:sz w:val="20"/>
          <w:szCs w:val="20"/>
        </w:rPr>
        <w:t>&lt;</w:t>
      </w:r>
      <w:hyperlink r:id="rId5" w:history="1">
        <w:r w:rsidRPr="003C6D12">
          <w:rPr>
            <w:rStyle w:val="Hyperlink"/>
            <w:sz w:val="20"/>
            <w:szCs w:val="20"/>
          </w:rPr>
          <w:t>https://www.researchgate.net/publication/319293980_The_Thirty-One_Functions_in_Vladimir_Propp's_Morphology_of_the_Folktale_An_Outline_and_Recent_Trends_in_the_Applicability_of_the_Proppian_Taxonomic_Model</w:t>
        </w:r>
      </w:hyperlink>
      <w:r w:rsidRPr="003C6D12">
        <w:rPr>
          <w:sz w:val="20"/>
          <w:szCs w:val="20"/>
        </w:rPr>
        <w:t>&gt;, [Accessed: 12</w:t>
      </w:r>
      <w:r w:rsidRPr="003C6D12">
        <w:rPr>
          <w:sz w:val="20"/>
          <w:szCs w:val="20"/>
          <w:vertAlign w:val="superscript"/>
        </w:rPr>
        <w:t>th</w:t>
      </w:r>
      <w:r w:rsidRPr="003C6D12">
        <w:rPr>
          <w:sz w:val="20"/>
          <w:szCs w:val="20"/>
        </w:rPr>
        <w:t xml:space="preserve"> March 2026]</w:t>
      </w:r>
    </w:p>
  </w:footnote>
  <w:footnote w:id="8">
    <w:p w14:paraId="49D610F2" w14:textId="30C711ED" w:rsidR="00691945" w:rsidRDefault="00691945">
      <w:pPr>
        <w:pStyle w:val="FootnoteText"/>
      </w:pPr>
      <w:r>
        <w:rPr>
          <w:rStyle w:val="FootnoteReference"/>
        </w:rPr>
        <w:footnoteRef/>
      </w:r>
      <w:r>
        <w:t xml:space="preserve"> Ibid: Dogra, </w:t>
      </w:r>
      <w:r w:rsidRPr="003C6D12">
        <w:t>‘The Thirty-One Functions in Vladimir Propp’s Morphology of the Folktale: An Outline and Recent Trends in the Applicability of the Proppian Taxonomic Model’,</w:t>
      </w:r>
      <w:r>
        <w:t xml:space="preserve"> p412</w:t>
      </w:r>
    </w:p>
  </w:footnote>
  <w:footnote w:id="9">
    <w:p w14:paraId="23214124" w14:textId="7EBE8152" w:rsidR="00503F2F" w:rsidRPr="00503F2F" w:rsidRDefault="00503F2F" w:rsidP="00503F2F">
      <w:pPr>
        <w:rPr>
          <w:sz w:val="22"/>
          <w:szCs w:val="22"/>
        </w:rPr>
      </w:pPr>
      <w:r>
        <w:rPr>
          <w:rStyle w:val="FootnoteReference"/>
        </w:rPr>
        <w:footnoteRef/>
      </w:r>
      <w:r>
        <w:t xml:space="preserve"> </w:t>
      </w:r>
      <w:r w:rsidR="007E3DB3" w:rsidRPr="007E3DB3">
        <w:rPr>
          <w:sz w:val="20"/>
          <w:szCs w:val="20"/>
        </w:rPr>
        <w:t>Ibid: Nagy, Center for Hellenic Studies, 2018</w:t>
      </w:r>
    </w:p>
  </w:footnote>
  <w:footnote w:id="10">
    <w:p w14:paraId="0C910E8C" w14:textId="0BA899E5" w:rsidR="00691945" w:rsidRDefault="00691945">
      <w:pPr>
        <w:pStyle w:val="FootnoteText"/>
      </w:pPr>
      <w:r>
        <w:rPr>
          <w:rStyle w:val="FootnoteReference"/>
        </w:rPr>
        <w:footnoteRef/>
      </w:r>
      <w:r>
        <w:t xml:space="preserve"> Ibid: Dogra, </w:t>
      </w:r>
      <w:r w:rsidRPr="003C6D12">
        <w:t>‘The Thirty-One Functions in Vladimir Propp’s Morphology of the Folktale: An Outline and Recent Trends in the Applicability of the Proppian Taxonomic Model’,</w:t>
      </w:r>
      <w:r>
        <w:t xml:space="preserve"> p412</w:t>
      </w:r>
    </w:p>
  </w:footnote>
  <w:footnote w:id="11">
    <w:p w14:paraId="74EF88DA" w14:textId="39CB5BBD" w:rsidR="00FA7CD0" w:rsidRDefault="00FA7CD0">
      <w:pPr>
        <w:pStyle w:val="FootnoteText"/>
      </w:pPr>
      <w:r>
        <w:rPr>
          <w:rStyle w:val="FootnoteReference"/>
        </w:rPr>
        <w:footnoteRef/>
      </w:r>
      <w:r>
        <w:t xml:space="preserve"> Ibid: Nagy, Center for Hellenic Studies, 2018</w:t>
      </w:r>
    </w:p>
  </w:footnote>
  <w:footnote w:id="12">
    <w:p w14:paraId="3F94EADC" w14:textId="0D9A1B50" w:rsidR="00691945" w:rsidRDefault="00691945">
      <w:pPr>
        <w:pStyle w:val="FootnoteText"/>
      </w:pPr>
      <w:r>
        <w:rPr>
          <w:rStyle w:val="FootnoteReference"/>
        </w:rPr>
        <w:footnoteRef/>
      </w:r>
      <w:r>
        <w:t xml:space="preserve"> Ibid: Dogra, </w:t>
      </w:r>
      <w:r w:rsidRPr="003C6D12">
        <w:t>‘The Thirty-One Functions in Vladimir Propp’s Morphology of the Folktale: An Outline and Recent Trends in the Applicability of the Proppian Taxonomic Model’,</w:t>
      </w:r>
      <w:r>
        <w:t xml:space="preserve"> p413</w:t>
      </w:r>
    </w:p>
  </w:footnote>
  <w:footnote w:id="13">
    <w:p w14:paraId="4C8DB011" w14:textId="396E4D8A" w:rsidR="0016783E" w:rsidRDefault="0016783E">
      <w:pPr>
        <w:pStyle w:val="FootnoteText"/>
      </w:pPr>
      <w:r>
        <w:rPr>
          <w:rStyle w:val="FootnoteReference"/>
        </w:rPr>
        <w:footnoteRef/>
      </w:r>
      <w:r>
        <w:t xml:space="preserve"> Ibid: Nagy, Center for Hellenic Studies, 2018</w:t>
      </w:r>
    </w:p>
  </w:footnote>
  <w:footnote w:id="14">
    <w:p w14:paraId="488D8F4C" w14:textId="23AA61D2" w:rsidR="00F25418" w:rsidRDefault="00F25418">
      <w:pPr>
        <w:pStyle w:val="FootnoteText"/>
      </w:pPr>
      <w:r>
        <w:rPr>
          <w:rStyle w:val="FootnoteReference"/>
        </w:rPr>
        <w:footnoteRef/>
      </w:r>
      <w:r>
        <w:t xml:space="preserve"> </w:t>
      </w:r>
      <w:r w:rsidRPr="00F25418">
        <w:t>Ibid: Nagy, Center for Hellenic Studies, 2018</w:t>
      </w:r>
    </w:p>
  </w:footnote>
  <w:footnote w:id="15">
    <w:p w14:paraId="3F35768F" w14:textId="04427AC1" w:rsidR="001E4048" w:rsidRDefault="001E4048">
      <w:pPr>
        <w:pStyle w:val="FootnoteText"/>
      </w:pPr>
      <w:r>
        <w:rPr>
          <w:rStyle w:val="FootnoteReference"/>
        </w:rPr>
        <w:footnoteRef/>
      </w:r>
      <w:r>
        <w:t xml:space="preserve"> </w:t>
      </w:r>
      <w:r>
        <w:t xml:space="preserve">Ibid: Dogra, </w:t>
      </w:r>
      <w:r w:rsidRPr="003C6D12">
        <w:t>‘The Thirty-One Functions in Vladimir Propp’s Morphology of the Folktale: An Outline and Recent Trends in the Applicability of the Proppian Taxonomic Model’,</w:t>
      </w:r>
      <w:r>
        <w:t xml:space="preserve"> p4</w:t>
      </w:r>
      <w:r>
        <w:t>10</w:t>
      </w:r>
    </w:p>
  </w:footnote>
  <w:footnote w:id="16">
    <w:p w14:paraId="0ACAE781" w14:textId="5C00B1C5" w:rsidR="00190775" w:rsidRDefault="00190775">
      <w:pPr>
        <w:pStyle w:val="FootnoteText"/>
      </w:pPr>
      <w:r>
        <w:rPr>
          <w:rStyle w:val="FootnoteReference"/>
        </w:rPr>
        <w:footnoteRef/>
      </w:r>
      <w:r>
        <w:t xml:space="preserve"> Ibid: Keller, </w:t>
      </w:r>
      <w:r w:rsidRPr="00280C8C">
        <w:t>‘The Eleusinian Mysteries of Demeter and Persephone: Fertility, Sexuality and Rebirth’,</w:t>
      </w:r>
      <w:r>
        <w:t xml:space="preserve"> p52</w:t>
      </w:r>
    </w:p>
  </w:footnote>
  <w:footnote w:id="17">
    <w:p w14:paraId="13CC819A" w14:textId="2F71C60C" w:rsidR="00222BDC" w:rsidRDefault="00222BDC">
      <w:pPr>
        <w:pStyle w:val="FootnoteText"/>
      </w:pPr>
      <w:r>
        <w:rPr>
          <w:rStyle w:val="FootnoteReference"/>
        </w:rPr>
        <w:footnoteRef/>
      </w:r>
      <w:r>
        <w:t xml:space="preserve"> </w:t>
      </w:r>
      <w:r w:rsidRPr="00222BDC">
        <w:t>Ibid: Nagy, Center for Hellenic Studies, 2018</w:t>
      </w:r>
    </w:p>
  </w:footnote>
  <w:footnote w:id="18">
    <w:p w14:paraId="038DED43" w14:textId="2A80F3E3" w:rsidR="00222BDC" w:rsidRDefault="00222BDC">
      <w:pPr>
        <w:pStyle w:val="FootnoteText"/>
      </w:pPr>
      <w:r>
        <w:rPr>
          <w:rStyle w:val="FootnoteReference"/>
        </w:rPr>
        <w:footnoteRef/>
      </w:r>
      <w:r>
        <w:t xml:space="preserve"> </w:t>
      </w:r>
      <w:r w:rsidRPr="00222BDC">
        <w:t>Ibid: Nagy, Center for Hellenic Studies, 2018</w:t>
      </w:r>
    </w:p>
  </w:footnote>
  <w:footnote w:id="19">
    <w:p w14:paraId="7AC3E1BA" w14:textId="12818F08" w:rsidR="00222BDC" w:rsidRDefault="00222BDC">
      <w:pPr>
        <w:pStyle w:val="FootnoteText"/>
      </w:pPr>
      <w:r>
        <w:rPr>
          <w:rStyle w:val="FootnoteReference"/>
        </w:rPr>
        <w:footnoteRef/>
      </w:r>
      <w:r>
        <w:t xml:space="preserve"> </w:t>
      </w:r>
      <w:r w:rsidRPr="00222BDC">
        <w:t>Ibid: Nagy, Center for Hellenic Studies, 2018</w:t>
      </w:r>
    </w:p>
  </w:footnote>
  <w:footnote w:id="20">
    <w:p w14:paraId="4DF050D9" w14:textId="3765D639" w:rsidR="00F6293C" w:rsidRPr="00F6293C" w:rsidRDefault="00F6293C" w:rsidP="00F6293C">
      <w:pPr>
        <w:rPr>
          <w:sz w:val="22"/>
          <w:szCs w:val="22"/>
        </w:rPr>
      </w:pPr>
      <w:r>
        <w:rPr>
          <w:rStyle w:val="FootnoteReference"/>
        </w:rPr>
        <w:footnoteRef/>
      </w:r>
      <w:r>
        <w:t xml:space="preserve"> </w:t>
      </w:r>
      <w:r w:rsidRPr="00F6293C">
        <w:rPr>
          <w:sz w:val="20"/>
          <w:szCs w:val="20"/>
        </w:rPr>
        <w:t>Ralph M.</w:t>
      </w:r>
      <w:r>
        <w:rPr>
          <w:sz w:val="20"/>
          <w:szCs w:val="20"/>
        </w:rPr>
        <w:t xml:space="preserve"> Rosen</w:t>
      </w:r>
      <w:r w:rsidRPr="00F6293C">
        <w:rPr>
          <w:sz w:val="20"/>
          <w:szCs w:val="20"/>
        </w:rPr>
        <w:t xml:space="preserve">, ‘Hipponax Fr. 48 Dg. And the Eleusinian Kykeon’, </w:t>
      </w:r>
      <w:r w:rsidRPr="00F6293C">
        <w:rPr>
          <w:i/>
          <w:iCs/>
          <w:sz w:val="20"/>
          <w:szCs w:val="20"/>
        </w:rPr>
        <w:t>The American Journal of Philology</w:t>
      </w:r>
      <w:r w:rsidRPr="00F6293C">
        <w:rPr>
          <w:sz w:val="20"/>
          <w:szCs w:val="20"/>
        </w:rPr>
        <w:t>, Vol. 108 No. 3, (1987), pp. 416-426,</w:t>
      </w:r>
      <w:r>
        <w:rPr>
          <w:sz w:val="20"/>
          <w:szCs w:val="20"/>
        </w:rPr>
        <w:t xml:space="preserve"> (p419),</w:t>
      </w:r>
      <w:r w:rsidRPr="00F6293C">
        <w:rPr>
          <w:sz w:val="20"/>
          <w:szCs w:val="20"/>
        </w:rPr>
        <w:t xml:space="preserve"> &lt;</w:t>
      </w:r>
      <w:hyperlink r:id="rId6" w:history="1">
        <w:r w:rsidRPr="00F6293C">
          <w:rPr>
            <w:rStyle w:val="Hyperlink"/>
            <w:sz w:val="20"/>
            <w:szCs w:val="20"/>
          </w:rPr>
          <w:t>https://www.jstor.org/stable/294663</w:t>
        </w:r>
      </w:hyperlink>
      <w:r w:rsidRPr="00F6293C">
        <w:rPr>
          <w:sz w:val="20"/>
          <w:szCs w:val="20"/>
        </w:rPr>
        <w:t>&gt;, [Accessed: 12</w:t>
      </w:r>
      <w:r w:rsidRPr="00F6293C">
        <w:rPr>
          <w:sz w:val="20"/>
          <w:szCs w:val="20"/>
          <w:vertAlign w:val="superscript"/>
        </w:rPr>
        <w:t>th</w:t>
      </w:r>
      <w:r w:rsidRPr="00F6293C">
        <w:rPr>
          <w:sz w:val="20"/>
          <w:szCs w:val="20"/>
        </w:rPr>
        <w:t xml:space="preserve"> March 2026]</w:t>
      </w:r>
    </w:p>
  </w:footnote>
  <w:footnote w:id="21">
    <w:p w14:paraId="1974F1FC" w14:textId="00E0A77C" w:rsidR="00ED3124" w:rsidRDefault="00ED3124">
      <w:pPr>
        <w:pStyle w:val="FootnoteText"/>
      </w:pPr>
      <w:r>
        <w:rPr>
          <w:rStyle w:val="FootnoteReference"/>
        </w:rPr>
        <w:footnoteRef/>
      </w:r>
      <w:r>
        <w:t xml:space="preserve"> Ibid: Rosen, ‘Hipponax Fr. 48 Dg. And the Eleusinian Kykeon’, p419</w:t>
      </w:r>
    </w:p>
  </w:footnote>
  <w:footnote w:id="22">
    <w:p w14:paraId="2FA0FB60" w14:textId="750C5D29" w:rsidR="00222BDC" w:rsidRDefault="00222BDC">
      <w:pPr>
        <w:pStyle w:val="FootnoteText"/>
      </w:pPr>
      <w:r>
        <w:rPr>
          <w:rStyle w:val="FootnoteReference"/>
        </w:rPr>
        <w:footnoteRef/>
      </w:r>
      <w:r>
        <w:t xml:space="preserve"> </w:t>
      </w:r>
      <w:r w:rsidRPr="00222BDC">
        <w:t>Ibid: Nagy, Center for Hellenic Studies, 2018</w:t>
      </w:r>
    </w:p>
  </w:footnote>
  <w:footnote w:id="23">
    <w:p w14:paraId="1B3AAB22" w14:textId="578B2806" w:rsidR="00940266" w:rsidRPr="00940266" w:rsidRDefault="00940266" w:rsidP="00940266">
      <w:pPr>
        <w:rPr>
          <w:sz w:val="22"/>
          <w:szCs w:val="22"/>
        </w:rPr>
      </w:pPr>
      <w:r>
        <w:rPr>
          <w:rStyle w:val="FootnoteReference"/>
        </w:rPr>
        <w:footnoteRef/>
      </w:r>
      <w:r w:rsidRPr="00940266">
        <w:rPr>
          <w:sz w:val="20"/>
          <w:szCs w:val="20"/>
        </w:rPr>
        <w:t xml:space="preserve"> Mylonas, George E., ‘Eleusis and the Eleusinian Mysteries’, </w:t>
      </w:r>
      <w:r w:rsidRPr="00940266">
        <w:rPr>
          <w:i/>
          <w:iCs/>
          <w:sz w:val="20"/>
          <w:szCs w:val="20"/>
        </w:rPr>
        <w:t>The Classical Journal</w:t>
      </w:r>
      <w:r w:rsidRPr="00940266">
        <w:rPr>
          <w:sz w:val="20"/>
          <w:szCs w:val="20"/>
        </w:rPr>
        <w:t xml:space="preserve">, Vol. 43 No. 3, (1947), pp. 130-146, </w:t>
      </w:r>
      <w:r w:rsidR="00392B95">
        <w:rPr>
          <w:sz w:val="20"/>
          <w:szCs w:val="20"/>
        </w:rPr>
        <w:t xml:space="preserve">(p131), </w:t>
      </w:r>
      <w:r w:rsidRPr="00940266">
        <w:rPr>
          <w:sz w:val="20"/>
          <w:szCs w:val="20"/>
        </w:rPr>
        <w:t>&lt;</w:t>
      </w:r>
      <w:hyperlink r:id="rId7" w:history="1">
        <w:r w:rsidRPr="00940266">
          <w:rPr>
            <w:rStyle w:val="Hyperlink"/>
            <w:sz w:val="20"/>
            <w:szCs w:val="20"/>
          </w:rPr>
          <w:t>https://www.jstor.org/stable/3293727</w:t>
        </w:r>
      </w:hyperlink>
      <w:r w:rsidRPr="00940266">
        <w:rPr>
          <w:sz w:val="20"/>
          <w:szCs w:val="20"/>
        </w:rPr>
        <w:t>&gt;, [Accessed: 12</w:t>
      </w:r>
      <w:r w:rsidRPr="00940266">
        <w:rPr>
          <w:sz w:val="20"/>
          <w:szCs w:val="20"/>
          <w:vertAlign w:val="superscript"/>
        </w:rPr>
        <w:t>th</w:t>
      </w:r>
      <w:r w:rsidRPr="00940266">
        <w:rPr>
          <w:sz w:val="20"/>
          <w:szCs w:val="20"/>
        </w:rPr>
        <w:t xml:space="preserve"> March 2026]</w:t>
      </w:r>
    </w:p>
  </w:footnote>
  <w:footnote w:id="24">
    <w:p w14:paraId="16F4A44E" w14:textId="2845673B" w:rsidR="00952BC6" w:rsidRDefault="00952BC6">
      <w:pPr>
        <w:pStyle w:val="FootnoteText"/>
      </w:pPr>
      <w:r>
        <w:rPr>
          <w:rStyle w:val="FootnoteReference"/>
        </w:rPr>
        <w:footnoteRef/>
      </w:r>
      <w:r>
        <w:t xml:space="preserve"> </w:t>
      </w:r>
      <w:r w:rsidRPr="00952BC6">
        <w:t>Ibid: Nagy, Center for Hellenic Studies, 2018</w:t>
      </w:r>
    </w:p>
  </w:footnote>
  <w:footnote w:id="25">
    <w:p w14:paraId="5DA3E1A1" w14:textId="41107D28" w:rsidR="0029668E" w:rsidRDefault="0029668E">
      <w:pPr>
        <w:pStyle w:val="FootnoteText"/>
      </w:pPr>
      <w:r>
        <w:rPr>
          <w:rStyle w:val="FootnoteReference"/>
        </w:rPr>
        <w:footnoteRef/>
      </w:r>
      <w:r>
        <w:t xml:space="preserve"> Ibid: Mylonas, ‘Eleusis and the Eleusinian Mysteries’, p132</w:t>
      </w:r>
    </w:p>
  </w:footnote>
  <w:footnote w:id="26">
    <w:p w14:paraId="0EC672A7" w14:textId="775B0E94" w:rsidR="002617FC" w:rsidRDefault="002617FC">
      <w:pPr>
        <w:pStyle w:val="FootnoteText"/>
      </w:pPr>
      <w:r>
        <w:rPr>
          <w:rStyle w:val="FootnoteReference"/>
        </w:rPr>
        <w:footnoteRef/>
      </w:r>
      <w:r>
        <w:t xml:space="preserve"> </w:t>
      </w:r>
      <w:r>
        <w:t>Ibid: Mylonas, ‘Eleusis and the Eleusinian Mysteries’, p132</w:t>
      </w:r>
    </w:p>
  </w:footnote>
  <w:footnote w:id="27">
    <w:p w14:paraId="51BAD4E7" w14:textId="1D69EC58" w:rsidR="0029668E" w:rsidRDefault="0029668E">
      <w:pPr>
        <w:pStyle w:val="FootnoteText"/>
      </w:pPr>
      <w:r>
        <w:rPr>
          <w:rStyle w:val="FootnoteReference"/>
        </w:rPr>
        <w:footnoteRef/>
      </w:r>
      <w:r>
        <w:t xml:space="preserve"> Ibid: Mylonas, ‘Eleusis and the Eleusinian Mysteries’, p132</w:t>
      </w:r>
    </w:p>
  </w:footnote>
  <w:footnote w:id="28">
    <w:p w14:paraId="2B446296" w14:textId="6F0A2451" w:rsidR="0029668E" w:rsidRDefault="0029668E">
      <w:pPr>
        <w:pStyle w:val="FootnoteText"/>
      </w:pPr>
      <w:r>
        <w:rPr>
          <w:rStyle w:val="FootnoteReference"/>
        </w:rPr>
        <w:footnoteRef/>
      </w:r>
      <w:r>
        <w:t xml:space="preserve"> Ibid: Mylonas, ‘Eleusis and the Eleusinian Mysteries’, p132</w:t>
      </w:r>
    </w:p>
  </w:footnote>
  <w:footnote w:id="29">
    <w:p w14:paraId="6D3344F9" w14:textId="406C31F4" w:rsidR="008E2432" w:rsidRDefault="008E2432">
      <w:pPr>
        <w:pStyle w:val="FootnoteText"/>
      </w:pPr>
      <w:r>
        <w:rPr>
          <w:rStyle w:val="FootnoteReference"/>
        </w:rPr>
        <w:footnoteRef/>
      </w:r>
      <w:r>
        <w:t xml:space="preserve"> Ibid: Keller, </w:t>
      </w:r>
      <w:r w:rsidRPr="00280C8C">
        <w:t>‘The Eleusinian Mysteries of Demeter and Persephone: Fertility, Sexuality and Rebirth’,</w:t>
      </w:r>
      <w:r>
        <w:t xml:space="preserve"> p29</w:t>
      </w:r>
    </w:p>
  </w:footnote>
  <w:footnote w:id="30">
    <w:p w14:paraId="58DD7352" w14:textId="5AF8A75A" w:rsidR="00BE1901" w:rsidRDefault="00BE1901">
      <w:pPr>
        <w:pStyle w:val="FootnoteText"/>
      </w:pPr>
      <w:r>
        <w:rPr>
          <w:rStyle w:val="FootnoteReference"/>
        </w:rPr>
        <w:footnoteRef/>
      </w:r>
      <w:r>
        <w:t xml:space="preserve"> Ibid: Keller, </w:t>
      </w:r>
      <w:r w:rsidRPr="00280C8C">
        <w:t>‘The Eleusinian Mysteries of Demeter and Persephone: Fertility, Sexuality and Rebirth’,</w:t>
      </w:r>
      <w:r>
        <w:t xml:space="preserve"> p30</w:t>
      </w:r>
    </w:p>
  </w:footnote>
  <w:footnote w:id="31">
    <w:p w14:paraId="4ABD67F7" w14:textId="30C76835" w:rsidR="000E0AA4" w:rsidRDefault="000E0AA4">
      <w:pPr>
        <w:pStyle w:val="FootnoteText"/>
      </w:pPr>
      <w:r>
        <w:rPr>
          <w:rStyle w:val="FootnoteReference"/>
        </w:rPr>
        <w:footnoteRef/>
      </w:r>
      <w:r>
        <w:t xml:space="preserve"> Ibid: Keller, </w:t>
      </w:r>
      <w:r w:rsidRPr="00280C8C">
        <w:t>‘The Eleusinian Mysteries of Demeter and Persephone: Fertility, Sexuality and Rebirth’,</w:t>
      </w:r>
      <w:r>
        <w:t xml:space="preserve"> p30</w:t>
      </w:r>
    </w:p>
  </w:footnote>
  <w:footnote w:id="32">
    <w:p w14:paraId="5D9589CA" w14:textId="5EADD14A" w:rsidR="00AE79B0" w:rsidRDefault="00AE79B0">
      <w:pPr>
        <w:pStyle w:val="FootnoteText"/>
      </w:pPr>
      <w:r>
        <w:rPr>
          <w:rStyle w:val="FootnoteReference"/>
        </w:rPr>
        <w:footnoteRef/>
      </w:r>
      <w:r>
        <w:t xml:space="preserve"> Ibid: Mylonas, ‘Eleusis and the Eleusinian Mysteries’, p135</w:t>
      </w:r>
    </w:p>
  </w:footnote>
  <w:footnote w:id="33">
    <w:p w14:paraId="02E52A1B" w14:textId="6E32CDC9" w:rsidR="00952BC6" w:rsidRDefault="00952BC6">
      <w:pPr>
        <w:pStyle w:val="FootnoteText"/>
      </w:pPr>
      <w:r>
        <w:rPr>
          <w:rStyle w:val="FootnoteReference"/>
        </w:rPr>
        <w:footnoteRef/>
      </w:r>
      <w:r>
        <w:t xml:space="preserve"> </w:t>
      </w:r>
      <w:r w:rsidRPr="00952BC6">
        <w:t>Ibid: Nagy, Center for Hellenic Studies, 2018</w:t>
      </w:r>
    </w:p>
  </w:footnote>
  <w:footnote w:id="34">
    <w:p w14:paraId="1B54572A" w14:textId="09C8BA6F" w:rsidR="00952BC6" w:rsidRDefault="00952BC6">
      <w:pPr>
        <w:pStyle w:val="FootnoteText"/>
      </w:pPr>
      <w:r>
        <w:rPr>
          <w:rStyle w:val="FootnoteReference"/>
        </w:rPr>
        <w:footnoteRef/>
      </w:r>
      <w:r>
        <w:t xml:space="preserve"> </w:t>
      </w:r>
      <w:r w:rsidRPr="00952BC6">
        <w:t>Ibid: Nagy, Center for Hellenic Studies, 2018</w:t>
      </w:r>
    </w:p>
  </w:footnote>
  <w:footnote w:id="35">
    <w:p w14:paraId="72FCDEAC" w14:textId="1A965E34" w:rsidR="00765902" w:rsidRDefault="00765902">
      <w:pPr>
        <w:pStyle w:val="FootnoteText"/>
      </w:pPr>
      <w:r>
        <w:rPr>
          <w:rStyle w:val="FootnoteReference"/>
        </w:rPr>
        <w:footnoteRef/>
      </w:r>
      <w:r>
        <w:t xml:space="preserve"> Ibid: Mylonas, ‘Eleusis and the Eleusinian Mysteries’, p135</w:t>
      </w:r>
    </w:p>
  </w:footnote>
  <w:footnote w:id="36">
    <w:p w14:paraId="1B6337E1" w14:textId="36CE36FC" w:rsidR="00243124" w:rsidRDefault="00243124">
      <w:pPr>
        <w:pStyle w:val="FootnoteText"/>
      </w:pPr>
      <w:r>
        <w:rPr>
          <w:rStyle w:val="FootnoteReference"/>
        </w:rPr>
        <w:footnoteRef/>
      </w:r>
      <w:r>
        <w:t xml:space="preserve"> </w:t>
      </w:r>
      <w:r>
        <w:t>Ibid: Mylonas, ‘Eleusis and the Eleusinian Mysteries’, p132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117E70"/>
    <w:multiLevelType w:val="hybridMultilevel"/>
    <w:tmpl w:val="CE309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438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38A"/>
    <w:rsid w:val="00006BF1"/>
    <w:rsid w:val="0002264B"/>
    <w:rsid w:val="000364F1"/>
    <w:rsid w:val="00055727"/>
    <w:rsid w:val="0008169A"/>
    <w:rsid w:val="00084D9A"/>
    <w:rsid w:val="0008745A"/>
    <w:rsid w:val="000A62AD"/>
    <w:rsid w:val="000B3E0B"/>
    <w:rsid w:val="000B72F0"/>
    <w:rsid w:val="000E0AA4"/>
    <w:rsid w:val="000E2915"/>
    <w:rsid w:val="00100D27"/>
    <w:rsid w:val="00106E65"/>
    <w:rsid w:val="0011368D"/>
    <w:rsid w:val="001167B7"/>
    <w:rsid w:val="00120BBC"/>
    <w:rsid w:val="00124382"/>
    <w:rsid w:val="00124581"/>
    <w:rsid w:val="00136210"/>
    <w:rsid w:val="0015733B"/>
    <w:rsid w:val="0016783E"/>
    <w:rsid w:val="001736A2"/>
    <w:rsid w:val="00175E54"/>
    <w:rsid w:val="001848C6"/>
    <w:rsid w:val="00185438"/>
    <w:rsid w:val="00190775"/>
    <w:rsid w:val="001B39B6"/>
    <w:rsid w:val="001D2AE2"/>
    <w:rsid w:val="001D7B14"/>
    <w:rsid w:val="001E4048"/>
    <w:rsid w:val="001E5F04"/>
    <w:rsid w:val="00222BDC"/>
    <w:rsid w:val="00231806"/>
    <w:rsid w:val="002361C3"/>
    <w:rsid w:val="002405D2"/>
    <w:rsid w:val="00243124"/>
    <w:rsid w:val="002511DC"/>
    <w:rsid w:val="002617FC"/>
    <w:rsid w:val="00264B8C"/>
    <w:rsid w:val="00273698"/>
    <w:rsid w:val="00280C8C"/>
    <w:rsid w:val="0028621D"/>
    <w:rsid w:val="00295B30"/>
    <w:rsid w:val="0029668E"/>
    <w:rsid w:val="002A6FEB"/>
    <w:rsid w:val="002B6EB0"/>
    <w:rsid w:val="002C329E"/>
    <w:rsid w:val="002C4704"/>
    <w:rsid w:val="002D0E11"/>
    <w:rsid w:val="002D7506"/>
    <w:rsid w:val="002E0858"/>
    <w:rsid w:val="002E73BD"/>
    <w:rsid w:val="003152D0"/>
    <w:rsid w:val="0034139D"/>
    <w:rsid w:val="00374916"/>
    <w:rsid w:val="00385246"/>
    <w:rsid w:val="00392B95"/>
    <w:rsid w:val="003B318F"/>
    <w:rsid w:val="003C6D12"/>
    <w:rsid w:val="003D1F53"/>
    <w:rsid w:val="004146EB"/>
    <w:rsid w:val="00422712"/>
    <w:rsid w:val="00422E11"/>
    <w:rsid w:val="004334CD"/>
    <w:rsid w:val="0044513E"/>
    <w:rsid w:val="00445BCE"/>
    <w:rsid w:val="00447354"/>
    <w:rsid w:val="00452EBF"/>
    <w:rsid w:val="004556EB"/>
    <w:rsid w:val="0045777F"/>
    <w:rsid w:val="00460838"/>
    <w:rsid w:val="004657FA"/>
    <w:rsid w:val="00473A8F"/>
    <w:rsid w:val="004823CB"/>
    <w:rsid w:val="00483E19"/>
    <w:rsid w:val="00486F32"/>
    <w:rsid w:val="004958DB"/>
    <w:rsid w:val="00497E6B"/>
    <w:rsid w:val="004B40C0"/>
    <w:rsid w:val="004C0DBA"/>
    <w:rsid w:val="004E1CBE"/>
    <w:rsid w:val="004E3FDF"/>
    <w:rsid w:val="004F7ED8"/>
    <w:rsid w:val="00503F2F"/>
    <w:rsid w:val="00511563"/>
    <w:rsid w:val="00512CE2"/>
    <w:rsid w:val="0051551D"/>
    <w:rsid w:val="005158FA"/>
    <w:rsid w:val="00527D40"/>
    <w:rsid w:val="0054666C"/>
    <w:rsid w:val="00547B7B"/>
    <w:rsid w:val="00550F31"/>
    <w:rsid w:val="005817A3"/>
    <w:rsid w:val="005849E8"/>
    <w:rsid w:val="005A1D9C"/>
    <w:rsid w:val="005A6BEF"/>
    <w:rsid w:val="005B284B"/>
    <w:rsid w:val="005B4852"/>
    <w:rsid w:val="005C30E4"/>
    <w:rsid w:val="005D75C8"/>
    <w:rsid w:val="006244B9"/>
    <w:rsid w:val="006257BC"/>
    <w:rsid w:val="00644490"/>
    <w:rsid w:val="00657FA1"/>
    <w:rsid w:val="00681508"/>
    <w:rsid w:val="00681FB1"/>
    <w:rsid w:val="006904D7"/>
    <w:rsid w:val="00691945"/>
    <w:rsid w:val="006D4ECC"/>
    <w:rsid w:val="00717271"/>
    <w:rsid w:val="00753513"/>
    <w:rsid w:val="007644BE"/>
    <w:rsid w:val="00765527"/>
    <w:rsid w:val="00765902"/>
    <w:rsid w:val="007747FD"/>
    <w:rsid w:val="007A6511"/>
    <w:rsid w:val="007B2E67"/>
    <w:rsid w:val="007C331B"/>
    <w:rsid w:val="007D0C4D"/>
    <w:rsid w:val="007E08E6"/>
    <w:rsid w:val="007E2FE3"/>
    <w:rsid w:val="007E3DB3"/>
    <w:rsid w:val="007F42F6"/>
    <w:rsid w:val="007F5BE7"/>
    <w:rsid w:val="007F6CDC"/>
    <w:rsid w:val="00801768"/>
    <w:rsid w:val="00812082"/>
    <w:rsid w:val="008151A3"/>
    <w:rsid w:val="0082249C"/>
    <w:rsid w:val="00826325"/>
    <w:rsid w:val="008357B2"/>
    <w:rsid w:val="00856F3D"/>
    <w:rsid w:val="0086092F"/>
    <w:rsid w:val="008614F0"/>
    <w:rsid w:val="00877B97"/>
    <w:rsid w:val="008A6AD8"/>
    <w:rsid w:val="008C6183"/>
    <w:rsid w:val="008D78BE"/>
    <w:rsid w:val="008E2432"/>
    <w:rsid w:val="008F1CAB"/>
    <w:rsid w:val="008F5239"/>
    <w:rsid w:val="00915A3B"/>
    <w:rsid w:val="00923BCB"/>
    <w:rsid w:val="00933232"/>
    <w:rsid w:val="00940266"/>
    <w:rsid w:val="00942700"/>
    <w:rsid w:val="00950F4D"/>
    <w:rsid w:val="00952BC6"/>
    <w:rsid w:val="009643DE"/>
    <w:rsid w:val="00971B8A"/>
    <w:rsid w:val="00996892"/>
    <w:rsid w:val="009A37B3"/>
    <w:rsid w:val="009A436B"/>
    <w:rsid w:val="009B0249"/>
    <w:rsid w:val="009D495A"/>
    <w:rsid w:val="009F1F34"/>
    <w:rsid w:val="009F2F2B"/>
    <w:rsid w:val="00A0071E"/>
    <w:rsid w:val="00A06744"/>
    <w:rsid w:val="00A3103D"/>
    <w:rsid w:val="00A545B6"/>
    <w:rsid w:val="00A650EA"/>
    <w:rsid w:val="00A743F3"/>
    <w:rsid w:val="00A75093"/>
    <w:rsid w:val="00AA29B6"/>
    <w:rsid w:val="00AA3B1F"/>
    <w:rsid w:val="00AB5D28"/>
    <w:rsid w:val="00AC4913"/>
    <w:rsid w:val="00AC63D9"/>
    <w:rsid w:val="00AD2B4B"/>
    <w:rsid w:val="00AE1EB1"/>
    <w:rsid w:val="00AE79B0"/>
    <w:rsid w:val="00B30AE9"/>
    <w:rsid w:val="00B410D5"/>
    <w:rsid w:val="00B52E6D"/>
    <w:rsid w:val="00B562EE"/>
    <w:rsid w:val="00B8281D"/>
    <w:rsid w:val="00BA6BD7"/>
    <w:rsid w:val="00BC6207"/>
    <w:rsid w:val="00BE1901"/>
    <w:rsid w:val="00C003EA"/>
    <w:rsid w:val="00C0132D"/>
    <w:rsid w:val="00C1550B"/>
    <w:rsid w:val="00C40856"/>
    <w:rsid w:val="00C439DA"/>
    <w:rsid w:val="00C72E81"/>
    <w:rsid w:val="00C771C2"/>
    <w:rsid w:val="00C95819"/>
    <w:rsid w:val="00C974C8"/>
    <w:rsid w:val="00CB0884"/>
    <w:rsid w:val="00CB4762"/>
    <w:rsid w:val="00CD367C"/>
    <w:rsid w:val="00CE67AD"/>
    <w:rsid w:val="00CF43E8"/>
    <w:rsid w:val="00CF5DF1"/>
    <w:rsid w:val="00CF682D"/>
    <w:rsid w:val="00D24461"/>
    <w:rsid w:val="00D320D1"/>
    <w:rsid w:val="00D60704"/>
    <w:rsid w:val="00D9080A"/>
    <w:rsid w:val="00D91AEB"/>
    <w:rsid w:val="00D95968"/>
    <w:rsid w:val="00D95BE1"/>
    <w:rsid w:val="00DC678F"/>
    <w:rsid w:val="00DF4C6C"/>
    <w:rsid w:val="00DF522E"/>
    <w:rsid w:val="00E12925"/>
    <w:rsid w:val="00E22C57"/>
    <w:rsid w:val="00E325A6"/>
    <w:rsid w:val="00E43D94"/>
    <w:rsid w:val="00E44F94"/>
    <w:rsid w:val="00E55B0B"/>
    <w:rsid w:val="00E64ED1"/>
    <w:rsid w:val="00E733CA"/>
    <w:rsid w:val="00E978A9"/>
    <w:rsid w:val="00EB3941"/>
    <w:rsid w:val="00ED3124"/>
    <w:rsid w:val="00EF7D68"/>
    <w:rsid w:val="00F03431"/>
    <w:rsid w:val="00F1450D"/>
    <w:rsid w:val="00F1544F"/>
    <w:rsid w:val="00F15952"/>
    <w:rsid w:val="00F22CEB"/>
    <w:rsid w:val="00F25418"/>
    <w:rsid w:val="00F3138A"/>
    <w:rsid w:val="00F3170C"/>
    <w:rsid w:val="00F37262"/>
    <w:rsid w:val="00F608A6"/>
    <w:rsid w:val="00F6293C"/>
    <w:rsid w:val="00F82F8B"/>
    <w:rsid w:val="00F92DA6"/>
    <w:rsid w:val="00FA7CD0"/>
    <w:rsid w:val="00FB1FF1"/>
    <w:rsid w:val="00FE40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89E35"/>
  <w15:chartTrackingRefBased/>
  <w15:docId w15:val="{E4E1A386-0A4C-4EA4-85E8-C536F4A35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1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1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38A"/>
    <w:rPr>
      <w:rFonts w:eastAsiaTheme="majorEastAsia" w:cstheme="majorBidi"/>
      <w:color w:val="272727" w:themeColor="text1" w:themeTint="D8"/>
    </w:rPr>
  </w:style>
  <w:style w:type="paragraph" w:styleId="Title">
    <w:name w:val="Title"/>
    <w:basedOn w:val="Normal"/>
    <w:next w:val="Normal"/>
    <w:link w:val="TitleChar"/>
    <w:uiPriority w:val="10"/>
    <w:qFormat/>
    <w:rsid w:val="00F31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38A"/>
    <w:pPr>
      <w:spacing w:before="160"/>
      <w:jc w:val="center"/>
    </w:pPr>
    <w:rPr>
      <w:i/>
      <w:iCs/>
      <w:color w:val="404040" w:themeColor="text1" w:themeTint="BF"/>
    </w:rPr>
  </w:style>
  <w:style w:type="character" w:customStyle="1" w:styleId="QuoteChar">
    <w:name w:val="Quote Char"/>
    <w:basedOn w:val="DefaultParagraphFont"/>
    <w:link w:val="Quote"/>
    <w:uiPriority w:val="29"/>
    <w:rsid w:val="00F3138A"/>
    <w:rPr>
      <w:i/>
      <w:iCs/>
      <w:color w:val="404040" w:themeColor="text1" w:themeTint="BF"/>
    </w:rPr>
  </w:style>
  <w:style w:type="paragraph" w:styleId="ListParagraph">
    <w:name w:val="List Paragraph"/>
    <w:basedOn w:val="Normal"/>
    <w:uiPriority w:val="34"/>
    <w:qFormat/>
    <w:rsid w:val="00F3138A"/>
    <w:pPr>
      <w:ind w:left="720"/>
      <w:contextualSpacing/>
    </w:pPr>
  </w:style>
  <w:style w:type="character" w:styleId="IntenseEmphasis">
    <w:name w:val="Intense Emphasis"/>
    <w:basedOn w:val="DefaultParagraphFont"/>
    <w:uiPriority w:val="21"/>
    <w:qFormat/>
    <w:rsid w:val="00F3138A"/>
    <w:rPr>
      <w:i/>
      <w:iCs/>
      <w:color w:val="0F4761" w:themeColor="accent1" w:themeShade="BF"/>
    </w:rPr>
  </w:style>
  <w:style w:type="paragraph" w:styleId="IntenseQuote">
    <w:name w:val="Intense Quote"/>
    <w:basedOn w:val="Normal"/>
    <w:next w:val="Normal"/>
    <w:link w:val="IntenseQuoteChar"/>
    <w:uiPriority w:val="30"/>
    <w:qFormat/>
    <w:rsid w:val="00F31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38A"/>
    <w:rPr>
      <w:i/>
      <w:iCs/>
      <w:color w:val="0F4761" w:themeColor="accent1" w:themeShade="BF"/>
    </w:rPr>
  </w:style>
  <w:style w:type="character" w:styleId="IntenseReference">
    <w:name w:val="Intense Reference"/>
    <w:basedOn w:val="DefaultParagraphFont"/>
    <w:uiPriority w:val="32"/>
    <w:qFormat/>
    <w:rsid w:val="00F3138A"/>
    <w:rPr>
      <w:b/>
      <w:bCs/>
      <w:smallCaps/>
      <w:color w:val="0F4761" w:themeColor="accent1" w:themeShade="BF"/>
      <w:spacing w:val="5"/>
    </w:rPr>
  </w:style>
  <w:style w:type="character" w:styleId="Hyperlink">
    <w:name w:val="Hyperlink"/>
    <w:basedOn w:val="DefaultParagraphFont"/>
    <w:uiPriority w:val="99"/>
    <w:unhideWhenUsed/>
    <w:rsid w:val="00473A8F"/>
    <w:rPr>
      <w:color w:val="467886" w:themeColor="hyperlink"/>
      <w:u w:val="single"/>
    </w:rPr>
  </w:style>
  <w:style w:type="character" w:styleId="UnresolvedMention">
    <w:name w:val="Unresolved Mention"/>
    <w:basedOn w:val="DefaultParagraphFont"/>
    <w:uiPriority w:val="99"/>
    <w:semiHidden/>
    <w:unhideWhenUsed/>
    <w:rsid w:val="00473A8F"/>
    <w:rPr>
      <w:color w:val="605E5C"/>
      <w:shd w:val="clear" w:color="auto" w:fill="E1DFDD"/>
    </w:rPr>
  </w:style>
  <w:style w:type="paragraph" w:styleId="FootnoteText">
    <w:name w:val="footnote text"/>
    <w:basedOn w:val="Normal"/>
    <w:link w:val="FootnoteTextChar"/>
    <w:uiPriority w:val="99"/>
    <w:semiHidden/>
    <w:unhideWhenUsed/>
    <w:rsid w:val="005817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17A3"/>
    <w:rPr>
      <w:sz w:val="20"/>
      <w:szCs w:val="20"/>
    </w:rPr>
  </w:style>
  <w:style w:type="character" w:styleId="FootnoteReference">
    <w:name w:val="footnote reference"/>
    <w:basedOn w:val="DefaultParagraphFont"/>
    <w:uiPriority w:val="99"/>
    <w:semiHidden/>
    <w:unhideWhenUsed/>
    <w:rsid w:val="005817A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yth" TargetMode="External"/><Relationship Id="rId13" Type="http://schemas.openxmlformats.org/officeDocument/2006/relationships/hyperlink" Target="https://pressbooks.nvcc.edu/eng257/chapter/definition-of-myt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hs.harvard.edu/primary-source/homeric-hymn-to-demeter-sb/"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329372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stor.org/stable/25002068" TargetMode="External"/><Relationship Id="rId4" Type="http://schemas.openxmlformats.org/officeDocument/2006/relationships/settings" Target="settings.xml"/><Relationship Id="rId9" Type="http://schemas.openxmlformats.org/officeDocument/2006/relationships/hyperlink" Target="https://www.researchgate.net/publication/319293980_The_Thirty-One_Functions_in_Vladimir_Propp's_Morphology_of_the_Folktale_An_Outline_and_Recent_Trends_in_the_Applicability_of_the_Proppian_Taxonomic_Model" TargetMode="External"/><Relationship Id="rId14" Type="http://schemas.openxmlformats.org/officeDocument/2006/relationships/hyperlink" Target="https://www.jstor.org/stable/29466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25002068" TargetMode="External"/><Relationship Id="rId7" Type="http://schemas.openxmlformats.org/officeDocument/2006/relationships/hyperlink" Target="https://www.jstor.org/stable/3293727" TargetMode="External"/><Relationship Id="rId2" Type="http://schemas.openxmlformats.org/officeDocument/2006/relationships/hyperlink" Target="https://pressbooks.nvcc.edu/eng257/chapter/definition-of-myth/" TargetMode="External"/><Relationship Id="rId1" Type="http://schemas.openxmlformats.org/officeDocument/2006/relationships/hyperlink" Target="https://dictionary.cambridge.org/dictionary/english/myth" TargetMode="External"/><Relationship Id="rId6" Type="http://schemas.openxmlformats.org/officeDocument/2006/relationships/hyperlink" Target="https://www.jstor.org/stable/294663" TargetMode="External"/><Relationship Id="rId5" Type="http://schemas.openxmlformats.org/officeDocument/2006/relationships/hyperlink" Target="https://www.researchgate.net/publication/319293980_The_Thirty-One_Functions_in_Vladimir_Propp's_Morphology_of_the_Folktale_An_Outline_and_Recent_Trends_in_the_Applicability_of_the_Proppian_Taxonomic_Model" TargetMode="External"/><Relationship Id="rId4" Type="http://schemas.openxmlformats.org/officeDocument/2006/relationships/hyperlink" Target="https://chs.harvard.edu/primary-source/homeric-hymn-to-demeter-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9CE49-5D63-4F8F-B751-7D092F5AD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5</Pages>
  <Words>2151</Words>
  <Characters>10842</Characters>
  <Application>Microsoft Office Word</Application>
  <DocSecurity>0</DocSecurity>
  <Lines>157</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165</cp:revision>
  <dcterms:created xsi:type="dcterms:W3CDTF">2026-03-04T16:04:00Z</dcterms:created>
  <dcterms:modified xsi:type="dcterms:W3CDTF">2026-03-29T16:46:00Z</dcterms:modified>
</cp:coreProperties>
</file>