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D7659" w14:textId="77777777" w:rsidR="00A23C0E" w:rsidRPr="00B50B0F" w:rsidRDefault="00A23C0E" w:rsidP="000E0F30">
      <w:pPr>
        <w:pStyle w:val="NoSpacing"/>
        <w:spacing w:before="1540" w:after="240" w:line="360" w:lineRule="auto"/>
        <w:ind w:firstLine="284"/>
        <w:jc w:val="both"/>
        <w:rPr>
          <w:rFonts w:ascii="Arial" w:hAnsi="Arial" w:cs="Arial"/>
          <w:color w:val="4472C4" w:themeColor="accent1"/>
          <w:sz w:val="24"/>
          <w:szCs w:val="24"/>
        </w:rPr>
      </w:pPr>
      <w:r w:rsidRPr="00B50B0F">
        <w:rPr>
          <w:rFonts w:ascii="Arial" w:hAnsi="Arial" w:cs="Arial"/>
          <w:noProof/>
          <w:color w:val="4472C4" w:themeColor="accent1"/>
          <w:sz w:val="24"/>
          <w:szCs w:val="24"/>
          <w:lang w:val="en-GB" w:eastAsia="en-GB"/>
        </w:rPr>
        <w:drawing>
          <wp:inline distT="0" distB="0" distL="0" distR="0" wp14:anchorId="65DBCE90" wp14:editId="3C90510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36"/>
          <w:szCs w:val="36"/>
        </w:rPr>
        <w:alias w:val="Title"/>
        <w:tag w:val=""/>
        <w:id w:val="1735040861"/>
        <w:placeholder>
          <w:docPart w:val="A1837B21D08B45108316A5FFEA572561"/>
        </w:placeholder>
        <w:dataBinding w:prefixMappings="xmlns:ns0='http://purl.org/dc/elements/1.1/' xmlns:ns1='http://schemas.openxmlformats.org/package/2006/metadata/core-properties' " w:xpath="/ns1:coreProperties[1]/ns0:title[1]" w:storeItemID="{6C3C8BC8-F283-45AE-878A-BAB7291924A1}"/>
        <w:text/>
      </w:sdtPr>
      <w:sdtContent>
        <w:p w14:paraId="02B20F73" w14:textId="20C7561B" w:rsidR="00A23C0E" w:rsidRPr="00B50B0F" w:rsidRDefault="00B50B0F" w:rsidP="000E0F30">
          <w:pPr>
            <w:pStyle w:val="NoSpacing"/>
            <w:pBdr>
              <w:top w:val="single" w:sz="6" w:space="6" w:color="4472C4" w:themeColor="accent1"/>
              <w:bottom w:val="single" w:sz="6" w:space="6" w:color="4472C4" w:themeColor="accent1"/>
            </w:pBdr>
            <w:spacing w:after="240" w:line="360" w:lineRule="auto"/>
            <w:ind w:firstLine="284"/>
            <w:jc w:val="both"/>
            <w:rPr>
              <w:rFonts w:ascii="Arial" w:eastAsiaTheme="majorEastAsia" w:hAnsi="Arial" w:cs="Arial"/>
              <w:caps/>
              <w:color w:val="4472C4" w:themeColor="accent1"/>
              <w:sz w:val="36"/>
              <w:szCs w:val="36"/>
            </w:rPr>
          </w:pPr>
          <w:r w:rsidRPr="00B50B0F">
            <w:rPr>
              <w:rFonts w:ascii="Arial" w:eastAsiaTheme="majorEastAsia" w:hAnsi="Arial" w:cs="Arial"/>
              <w:caps/>
              <w:color w:val="4472C4" w:themeColor="accent1"/>
              <w:sz w:val="36"/>
              <w:szCs w:val="36"/>
            </w:rPr>
            <w:t>Analysis Marriott International</w:t>
          </w:r>
        </w:p>
      </w:sdtContent>
    </w:sdt>
    <w:p w14:paraId="04075D76" w14:textId="520F75EA" w:rsidR="00A23C0E" w:rsidRPr="00B50B0F" w:rsidRDefault="00A23C0E" w:rsidP="000E0F30">
      <w:pPr>
        <w:pStyle w:val="NoSpacing"/>
        <w:spacing w:line="360" w:lineRule="auto"/>
        <w:ind w:firstLine="284"/>
        <w:jc w:val="both"/>
        <w:rPr>
          <w:rFonts w:ascii="Arial" w:hAnsi="Arial" w:cs="Arial"/>
          <w:color w:val="4472C4" w:themeColor="accent1"/>
          <w:sz w:val="24"/>
          <w:szCs w:val="24"/>
        </w:rPr>
      </w:pPr>
    </w:p>
    <w:p w14:paraId="29993191" w14:textId="51A1DF0A" w:rsidR="00A23C0E" w:rsidRDefault="00A23C0E" w:rsidP="000E0F30">
      <w:pPr>
        <w:pStyle w:val="NoSpacing"/>
        <w:spacing w:before="480" w:line="360" w:lineRule="auto"/>
        <w:ind w:firstLine="284"/>
        <w:jc w:val="both"/>
        <w:rPr>
          <w:rFonts w:ascii="Arial" w:hAnsi="Arial" w:cs="Arial"/>
          <w:color w:val="4472C4" w:themeColor="accent1"/>
          <w:sz w:val="24"/>
          <w:szCs w:val="24"/>
        </w:rPr>
      </w:pPr>
      <w:r w:rsidRPr="00B50B0F">
        <w:rPr>
          <w:rFonts w:ascii="Arial" w:hAnsi="Arial" w:cs="Arial"/>
          <w:noProof/>
          <w:color w:val="4472C4" w:themeColor="accent1"/>
          <w:sz w:val="24"/>
          <w:szCs w:val="24"/>
          <w:lang w:val="en-GB" w:eastAsia="en-GB"/>
        </w:rPr>
        <mc:AlternateContent>
          <mc:Choice Requires="wps">
            <w:drawing>
              <wp:anchor distT="0" distB="0" distL="114300" distR="114300" simplePos="0" relativeHeight="251659264" behindDoc="0" locked="0" layoutInCell="1" allowOverlap="1" wp14:anchorId="0781C799" wp14:editId="18D2FFB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03T00:00:00Z">
                                <w:dateFormat w:val="MMMM d, yyyy"/>
                                <w:lid w:val="en-US"/>
                                <w:storeMappedDataAs w:val="dateTime"/>
                                <w:calendar w:val="gregorian"/>
                              </w:date>
                            </w:sdtPr>
                            <w:sdtContent>
                              <w:p w14:paraId="3E28EE9F" w14:textId="50973A41" w:rsidR="00A23C0E" w:rsidRDefault="00B50B0F" w:rsidP="00A23C0E">
                                <w:pPr>
                                  <w:pStyle w:val="NoSpacing"/>
                                  <w:spacing w:after="40"/>
                                  <w:jc w:val="center"/>
                                  <w:rPr>
                                    <w:caps/>
                                    <w:color w:val="4472C4" w:themeColor="accent1"/>
                                    <w:sz w:val="28"/>
                                    <w:szCs w:val="28"/>
                                  </w:rPr>
                                </w:pPr>
                                <w:r>
                                  <w:rPr>
                                    <w:caps/>
                                    <w:color w:val="4472C4" w:themeColor="accent1"/>
                                    <w:sz w:val="28"/>
                                    <w:szCs w:val="28"/>
                                  </w:rPr>
                                  <w:t>December 3, 2022</w:t>
                                </w:r>
                              </w:p>
                            </w:sdtContent>
                          </w:sdt>
                          <w:p w14:paraId="43572CBE" w14:textId="77777777" w:rsidR="00A23C0E" w:rsidRDefault="00A23C0E" w:rsidP="00A23C0E">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025C4CD8" w14:textId="77777777" w:rsidR="00A23C0E" w:rsidRDefault="00A23C0E" w:rsidP="00A23C0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781C79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03T00:00:00Z">
                          <w:dateFormat w:val="MMMM d, yyyy"/>
                          <w:lid w:val="en-US"/>
                          <w:storeMappedDataAs w:val="dateTime"/>
                          <w:calendar w:val="gregorian"/>
                        </w:date>
                      </w:sdtPr>
                      <w:sdtContent>
                        <w:p w14:paraId="3E28EE9F" w14:textId="50973A41" w:rsidR="00A23C0E" w:rsidRDefault="00B50B0F" w:rsidP="00A23C0E">
                          <w:pPr>
                            <w:pStyle w:val="NoSpacing"/>
                            <w:spacing w:after="40"/>
                            <w:jc w:val="center"/>
                            <w:rPr>
                              <w:caps/>
                              <w:color w:val="4472C4" w:themeColor="accent1"/>
                              <w:sz w:val="28"/>
                              <w:szCs w:val="28"/>
                            </w:rPr>
                          </w:pPr>
                          <w:r>
                            <w:rPr>
                              <w:caps/>
                              <w:color w:val="4472C4" w:themeColor="accent1"/>
                              <w:sz w:val="28"/>
                              <w:szCs w:val="28"/>
                            </w:rPr>
                            <w:t>December 3, 2022</w:t>
                          </w:r>
                        </w:p>
                      </w:sdtContent>
                    </w:sdt>
                    <w:p w14:paraId="43572CBE" w14:textId="77777777" w:rsidR="00A23C0E" w:rsidRDefault="00A23C0E" w:rsidP="00A23C0E">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025C4CD8" w14:textId="77777777" w:rsidR="00A23C0E" w:rsidRDefault="00A23C0E" w:rsidP="00A23C0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sidRPr="00B50B0F">
        <w:rPr>
          <w:rFonts w:ascii="Arial" w:hAnsi="Arial" w:cs="Arial"/>
          <w:noProof/>
          <w:color w:val="4472C4" w:themeColor="accent1"/>
          <w:sz w:val="24"/>
          <w:szCs w:val="24"/>
          <w:lang w:val="en-GB" w:eastAsia="en-GB"/>
        </w:rPr>
        <w:drawing>
          <wp:inline distT="0" distB="0" distL="0" distR="0" wp14:anchorId="71A7EB3C" wp14:editId="51F85701">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9F65641" w14:textId="12389123" w:rsidR="000E0F30" w:rsidRDefault="000E0F30" w:rsidP="000E0F30">
      <w:pPr>
        <w:pStyle w:val="NoSpacing"/>
        <w:spacing w:before="480" w:line="360" w:lineRule="auto"/>
        <w:ind w:firstLine="284"/>
        <w:jc w:val="both"/>
        <w:rPr>
          <w:rFonts w:ascii="Arial" w:hAnsi="Arial" w:cs="Arial"/>
          <w:color w:val="4472C4" w:themeColor="accent1"/>
          <w:sz w:val="24"/>
          <w:szCs w:val="24"/>
        </w:rPr>
      </w:pPr>
    </w:p>
    <w:p w14:paraId="1F24A8DC" w14:textId="0F49AFCE" w:rsidR="000E0F30" w:rsidRDefault="000E0F30" w:rsidP="000E0F30">
      <w:pPr>
        <w:pStyle w:val="NoSpacing"/>
        <w:spacing w:before="480" w:line="360" w:lineRule="auto"/>
        <w:ind w:firstLine="284"/>
        <w:jc w:val="both"/>
        <w:rPr>
          <w:rFonts w:ascii="Arial" w:hAnsi="Arial" w:cs="Arial"/>
          <w:color w:val="4472C4" w:themeColor="accent1"/>
          <w:sz w:val="24"/>
          <w:szCs w:val="24"/>
        </w:rPr>
      </w:pPr>
      <w:r>
        <w:rPr>
          <w:rFonts w:ascii="Arial" w:hAnsi="Arial" w:cs="Arial"/>
          <w:color w:val="4472C4" w:themeColor="accent1"/>
          <w:sz w:val="24"/>
          <w:szCs w:val="24"/>
        </w:rPr>
        <w:t>Denis Daniel Dinu</w:t>
      </w:r>
    </w:p>
    <w:p w14:paraId="18EA1CEC" w14:textId="7389E5DE" w:rsidR="000E0F30" w:rsidRDefault="000E0F30" w:rsidP="000E0F30">
      <w:pPr>
        <w:pStyle w:val="NoSpacing"/>
        <w:spacing w:before="480" w:line="360" w:lineRule="auto"/>
        <w:ind w:firstLine="284"/>
        <w:jc w:val="both"/>
        <w:rPr>
          <w:rFonts w:ascii="Arial" w:hAnsi="Arial" w:cs="Arial"/>
          <w:color w:val="4472C4" w:themeColor="accent1"/>
          <w:sz w:val="24"/>
          <w:szCs w:val="24"/>
        </w:rPr>
      </w:pPr>
      <w:r>
        <w:rPr>
          <w:rFonts w:ascii="Arial" w:hAnsi="Arial" w:cs="Arial"/>
          <w:color w:val="4472C4" w:themeColor="accent1"/>
          <w:sz w:val="24"/>
          <w:szCs w:val="24"/>
        </w:rPr>
        <w:t>Lecturer: Dale Clarke</w:t>
      </w:r>
    </w:p>
    <w:p w14:paraId="0C445C61" w14:textId="4B20F47B" w:rsidR="000E0F30" w:rsidRPr="00B50B0F" w:rsidRDefault="000E0F30" w:rsidP="000E0F30">
      <w:pPr>
        <w:pStyle w:val="NoSpacing"/>
        <w:spacing w:before="480" w:line="360" w:lineRule="auto"/>
        <w:ind w:firstLine="284"/>
        <w:jc w:val="both"/>
        <w:rPr>
          <w:rFonts w:ascii="Arial" w:hAnsi="Arial" w:cs="Arial"/>
          <w:color w:val="4472C4" w:themeColor="accent1"/>
          <w:sz w:val="24"/>
          <w:szCs w:val="24"/>
        </w:rPr>
      </w:pPr>
      <w:r>
        <w:rPr>
          <w:rFonts w:ascii="Arial" w:hAnsi="Arial" w:cs="Arial"/>
          <w:color w:val="4472C4" w:themeColor="accent1"/>
          <w:sz w:val="24"/>
          <w:szCs w:val="24"/>
        </w:rPr>
        <w:t>2025759</w:t>
      </w:r>
    </w:p>
    <w:p w14:paraId="750F4CE6" w14:textId="77777777" w:rsidR="00A23C0E" w:rsidRPr="00B50B0F" w:rsidRDefault="00A23C0E" w:rsidP="000E0F30">
      <w:pPr>
        <w:pStyle w:val="Heading1"/>
        <w:spacing w:line="360" w:lineRule="auto"/>
        <w:ind w:firstLine="284"/>
        <w:jc w:val="both"/>
        <w:rPr>
          <w:rFonts w:ascii="Arial" w:hAnsi="Arial" w:cs="Arial"/>
          <w:sz w:val="24"/>
          <w:szCs w:val="24"/>
        </w:rPr>
      </w:pPr>
      <w:r w:rsidRPr="00B50B0F">
        <w:rPr>
          <w:rFonts w:ascii="Arial" w:hAnsi="Arial" w:cs="Arial"/>
          <w:sz w:val="24"/>
          <w:szCs w:val="24"/>
        </w:rPr>
        <w:br w:type="page"/>
      </w:r>
      <w:bookmarkStart w:id="0" w:name="_Toc121151780"/>
      <w:r w:rsidRPr="00B50B0F">
        <w:rPr>
          <w:rFonts w:ascii="Arial" w:hAnsi="Arial" w:cs="Arial"/>
          <w:sz w:val="24"/>
          <w:szCs w:val="24"/>
        </w:rPr>
        <w:lastRenderedPageBreak/>
        <w:t>Executive Summary</w:t>
      </w:r>
      <w:bookmarkEnd w:id="0"/>
    </w:p>
    <w:p w14:paraId="6BF6605D" w14:textId="186E812E" w:rsidR="00A23C0E" w:rsidRDefault="00D74B40" w:rsidP="000E0F30">
      <w:pPr>
        <w:spacing w:line="360" w:lineRule="auto"/>
        <w:ind w:firstLine="284"/>
        <w:jc w:val="both"/>
        <w:rPr>
          <w:rFonts w:ascii="Arial" w:hAnsi="Arial" w:cs="Arial"/>
          <w:sz w:val="24"/>
          <w:szCs w:val="24"/>
        </w:rPr>
      </w:pPr>
      <w:r w:rsidRPr="00B50B0F">
        <w:rPr>
          <w:rFonts w:ascii="Arial" w:hAnsi="Arial" w:cs="Arial"/>
          <w:sz w:val="24"/>
          <w:szCs w:val="24"/>
        </w:rPr>
        <w:t xml:space="preserve">This study examines financial criteria for Marriott International </w:t>
      </w:r>
      <w:proofErr w:type="gramStart"/>
      <w:r w:rsidRPr="00B50B0F">
        <w:rPr>
          <w:rFonts w:ascii="Arial" w:hAnsi="Arial" w:cs="Arial"/>
          <w:sz w:val="24"/>
          <w:szCs w:val="24"/>
        </w:rPr>
        <w:t>in order to</w:t>
      </w:r>
      <w:proofErr w:type="gramEnd"/>
      <w:r w:rsidRPr="00B50B0F">
        <w:rPr>
          <w:rFonts w:ascii="Arial" w:hAnsi="Arial" w:cs="Arial"/>
          <w:sz w:val="24"/>
          <w:szCs w:val="24"/>
        </w:rPr>
        <w:t xml:space="preserve"> evaluate the company's performance, which is essential in the hospitality business. This report's objective is to identify Marriott's areas of weakness and suggest a course of action that will enable the firm to continue to have faith in its ability to operate economically. The non-financial performance of the firm is the primary subject of this examination; this is done so that it may act as a pointer for recognising the imminent economic performance.</w:t>
      </w:r>
    </w:p>
    <w:p w14:paraId="625E8691" w14:textId="614BB494" w:rsidR="000E0F30" w:rsidRDefault="000E0F30" w:rsidP="000E0F30">
      <w:pPr>
        <w:spacing w:line="360" w:lineRule="auto"/>
        <w:ind w:firstLine="284"/>
        <w:jc w:val="both"/>
        <w:rPr>
          <w:rFonts w:ascii="Arial" w:hAnsi="Arial" w:cs="Arial"/>
          <w:sz w:val="24"/>
          <w:szCs w:val="24"/>
        </w:rPr>
      </w:pPr>
    </w:p>
    <w:p w14:paraId="305B787E" w14:textId="402A54BD" w:rsidR="000E0F30" w:rsidRDefault="000E0F30" w:rsidP="000E0F30">
      <w:pPr>
        <w:spacing w:line="360" w:lineRule="auto"/>
        <w:ind w:firstLine="284"/>
        <w:jc w:val="both"/>
        <w:rPr>
          <w:rFonts w:ascii="Arial" w:hAnsi="Arial" w:cs="Arial"/>
          <w:sz w:val="24"/>
          <w:szCs w:val="24"/>
        </w:rPr>
      </w:pPr>
    </w:p>
    <w:p w14:paraId="33019DC5" w14:textId="77777777" w:rsidR="000E0F30" w:rsidRPr="00B50B0F" w:rsidRDefault="000E0F30" w:rsidP="000E0F30">
      <w:pPr>
        <w:spacing w:line="360" w:lineRule="auto"/>
        <w:ind w:firstLine="284"/>
        <w:jc w:val="both"/>
        <w:rPr>
          <w:rFonts w:ascii="Arial" w:hAnsi="Arial" w:cs="Arial"/>
          <w:sz w:val="24"/>
          <w:szCs w:val="24"/>
        </w:rPr>
      </w:pPr>
    </w:p>
    <w:sdt>
      <w:sdtPr>
        <w:id w:val="-131170908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71FCEB9" w14:textId="229C1545" w:rsidR="000E0F30" w:rsidRDefault="000E0F30" w:rsidP="000E0F30">
          <w:pPr>
            <w:pStyle w:val="TOCHeading"/>
            <w:spacing w:line="360" w:lineRule="auto"/>
            <w:ind w:firstLine="284"/>
            <w:jc w:val="both"/>
          </w:pPr>
          <w:r>
            <w:t>Contents</w:t>
          </w:r>
        </w:p>
        <w:p w14:paraId="6AE3EBC7" w14:textId="5188ACDD" w:rsidR="000E0F30" w:rsidRDefault="000E0F30" w:rsidP="000E0F30">
          <w:pPr>
            <w:pStyle w:val="TOC1"/>
            <w:tabs>
              <w:tab w:val="right" w:leader="dot" w:pos="9016"/>
            </w:tabs>
            <w:spacing w:line="360" w:lineRule="auto"/>
            <w:ind w:firstLine="284"/>
            <w:jc w:val="both"/>
            <w:rPr>
              <w:rFonts w:eastAsiaTheme="minorEastAsia"/>
              <w:noProof/>
              <w:lang w:eastAsia="en-GB"/>
            </w:rPr>
          </w:pPr>
          <w:r>
            <w:fldChar w:fldCharType="begin"/>
          </w:r>
          <w:r>
            <w:instrText xml:space="preserve"> TOC \o "1-3" \h \z \u </w:instrText>
          </w:r>
          <w:r>
            <w:fldChar w:fldCharType="separate"/>
          </w:r>
          <w:hyperlink w:anchor="_Toc121151780" w:history="1">
            <w:r w:rsidRPr="00735D7A">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_Toc121151780 \h </w:instrText>
            </w:r>
            <w:r>
              <w:rPr>
                <w:noProof/>
                <w:webHidden/>
              </w:rPr>
            </w:r>
            <w:r>
              <w:rPr>
                <w:noProof/>
                <w:webHidden/>
              </w:rPr>
              <w:fldChar w:fldCharType="separate"/>
            </w:r>
            <w:r>
              <w:rPr>
                <w:noProof/>
                <w:webHidden/>
              </w:rPr>
              <w:t>2</w:t>
            </w:r>
            <w:r>
              <w:rPr>
                <w:noProof/>
                <w:webHidden/>
              </w:rPr>
              <w:fldChar w:fldCharType="end"/>
            </w:r>
          </w:hyperlink>
        </w:p>
        <w:p w14:paraId="44D91074" w14:textId="27F0F832" w:rsidR="000E0F30" w:rsidRDefault="000E0F30" w:rsidP="000E0F30">
          <w:pPr>
            <w:pStyle w:val="TOC1"/>
            <w:tabs>
              <w:tab w:val="right" w:leader="dot" w:pos="9016"/>
            </w:tabs>
            <w:spacing w:line="360" w:lineRule="auto"/>
            <w:ind w:firstLine="284"/>
            <w:jc w:val="both"/>
            <w:rPr>
              <w:rFonts w:eastAsiaTheme="minorEastAsia"/>
              <w:noProof/>
              <w:lang w:eastAsia="en-GB"/>
            </w:rPr>
          </w:pPr>
          <w:hyperlink w:anchor="_Toc121151781" w:history="1">
            <w:r w:rsidRPr="00735D7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_Toc121151781 \h </w:instrText>
            </w:r>
            <w:r>
              <w:rPr>
                <w:noProof/>
                <w:webHidden/>
              </w:rPr>
            </w:r>
            <w:r>
              <w:rPr>
                <w:noProof/>
                <w:webHidden/>
              </w:rPr>
              <w:fldChar w:fldCharType="separate"/>
            </w:r>
            <w:r>
              <w:rPr>
                <w:noProof/>
                <w:webHidden/>
              </w:rPr>
              <w:t>3</w:t>
            </w:r>
            <w:r>
              <w:rPr>
                <w:noProof/>
                <w:webHidden/>
              </w:rPr>
              <w:fldChar w:fldCharType="end"/>
            </w:r>
          </w:hyperlink>
        </w:p>
        <w:p w14:paraId="5658FFFD" w14:textId="2B40A48D" w:rsidR="000E0F30" w:rsidRDefault="000E0F30" w:rsidP="000E0F30">
          <w:pPr>
            <w:pStyle w:val="TOC1"/>
            <w:tabs>
              <w:tab w:val="right" w:leader="dot" w:pos="9016"/>
            </w:tabs>
            <w:spacing w:line="360" w:lineRule="auto"/>
            <w:ind w:firstLine="284"/>
            <w:jc w:val="both"/>
            <w:rPr>
              <w:rFonts w:eastAsiaTheme="minorEastAsia"/>
              <w:noProof/>
              <w:lang w:eastAsia="en-GB"/>
            </w:rPr>
          </w:pPr>
          <w:hyperlink w:anchor="_Toc121151782" w:history="1">
            <w:r w:rsidRPr="00735D7A">
              <w:rPr>
                <w:rStyle w:val="Hyperlink"/>
                <w:rFonts w:ascii="Arial" w:hAnsi="Arial" w:cs="Arial"/>
                <w:noProof/>
              </w:rPr>
              <w:t>Financial Analysis Trends</w:t>
            </w:r>
            <w:r>
              <w:rPr>
                <w:noProof/>
                <w:webHidden/>
              </w:rPr>
              <w:tab/>
            </w:r>
            <w:r>
              <w:rPr>
                <w:noProof/>
                <w:webHidden/>
              </w:rPr>
              <w:fldChar w:fldCharType="begin"/>
            </w:r>
            <w:r>
              <w:rPr>
                <w:noProof/>
                <w:webHidden/>
              </w:rPr>
              <w:instrText xml:space="preserve"> PAGEREF _Toc121151782 \h </w:instrText>
            </w:r>
            <w:r>
              <w:rPr>
                <w:noProof/>
                <w:webHidden/>
              </w:rPr>
            </w:r>
            <w:r>
              <w:rPr>
                <w:noProof/>
                <w:webHidden/>
              </w:rPr>
              <w:fldChar w:fldCharType="separate"/>
            </w:r>
            <w:r>
              <w:rPr>
                <w:noProof/>
                <w:webHidden/>
              </w:rPr>
              <w:t>4</w:t>
            </w:r>
            <w:r>
              <w:rPr>
                <w:noProof/>
                <w:webHidden/>
              </w:rPr>
              <w:fldChar w:fldCharType="end"/>
            </w:r>
          </w:hyperlink>
        </w:p>
        <w:p w14:paraId="2F61828D" w14:textId="41EEA4D6" w:rsidR="000E0F30" w:rsidRDefault="000E0F30" w:rsidP="000E0F30">
          <w:pPr>
            <w:pStyle w:val="TOC2"/>
            <w:tabs>
              <w:tab w:val="right" w:leader="dot" w:pos="9016"/>
            </w:tabs>
            <w:spacing w:line="360" w:lineRule="auto"/>
            <w:ind w:firstLine="284"/>
            <w:jc w:val="both"/>
            <w:rPr>
              <w:rFonts w:eastAsiaTheme="minorEastAsia"/>
              <w:noProof/>
              <w:lang w:eastAsia="en-GB"/>
            </w:rPr>
          </w:pPr>
          <w:hyperlink w:anchor="_Toc121151783" w:history="1">
            <w:r w:rsidRPr="00735D7A">
              <w:rPr>
                <w:rStyle w:val="Hyperlink"/>
                <w:rFonts w:ascii="Arial" w:hAnsi="Arial" w:cs="Arial"/>
                <w:b/>
                <w:bCs/>
                <w:noProof/>
              </w:rPr>
              <w:t>Profitability</w:t>
            </w:r>
            <w:r>
              <w:rPr>
                <w:noProof/>
                <w:webHidden/>
              </w:rPr>
              <w:tab/>
            </w:r>
            <w:r>
              <w:rPr>
                <w:noProof/>
                <w:webHidden/>
              </w:rPr>
              <w:fldChar w:fldCharType="begin"/>
            </w:r>
            <w:r>
              <w:rPr>
                <w:noProof/>
                <w:webHidden/>
              </w:rPr>
              <w:instrText xml:space="preserve"> PAGEREF _Toc121151783 \h </w:instrText>
            </w:r>
            <w:r>
              <w:rPr>
                <w:noProof/>
                <w:webHidden/>
              </w:rPr>
            </w:r>
            <w:r>
              <w:rPr>
                <w:noProof/>
                <w:webHidden/>
              </w:rPr>
              <w:fldChar w:fldCharType="separate"/>
            </w:r>
            <w:r>
              <w:rPr>
                <w:noProof/>
                <w:webHidden/>
              </w:rPr>
              <w:t>5</w:t>
            </w:r>
            <w:r>
              <w:rPr>
                <w:noProof/>
                <w:webHidden/>
              </w:rPr>
              <w:fldChar w:fldCharType="end"/>
            </w:r>
          </w:hyperlink>
        </w:p>
        <w:p w14:paraId="4ADA1571" w14:textId="2BB5F2ED" w:rsidR="000E0F30" w:rsidRDefault="000E0F30" w:rsidP="000E0F30">
          <w:pPr>
            <w:pStyle w:val="TOC2"/>
            <w:tabs>
              <w:tab w:val="right" w:leader="dot" w:pos="9016"/>
            </w:tabs>
            <w:spacing w:line="360" w:lineRule="auto"/>
            <w:ind w:firstLine="284"/>
            <w:jc w:val="both"/>
            <w:rPr>
              <w:rFonts w:eastAsiaTheme="minorEastAsia"/>
              <w:noProof/>
              <w:lang w:eastAsia="en-GB"/>
            </w:rPr>
          </w:pPr>
          <w:hyperlink w:anchor="_Toc121151784" w:history="1">
            <w:r w:rsidRPr="00735D7A">
              <w:rPr>
                <w:rStyle w:val="Hyperlink"/>
                <w:rFonts w:ascii="Arial" w:hAnsi="Arial" w:cs="Arial"/>
                <w:b/>
                <w:bCs/>
                <w:noProof/>
              </w:rPr>
              <w:t>Liquidity</w:t>
            </w:r>
            <w:r>
              <w:rPr>
                <w:noProof/>
                <w:webHidden/>
              </w:rPr>
              <w:tab/>
            </w:r>
            <w:r>
              <w:rPr>
                <w:noProof/>
                <w:webHidden/>
              </w:rPr>
              <w:fldChar w:fldCharType="begin"/>
            </w:r>
            <w:r>
              <w:rPr>
                <w:noProof/>
                <w:webHidden/>
              </w:rPr>
              <w:instrText xml:space="preserve"> PAGEREF _Toc121151784 \h </w:instrText>
            </w:r>
            <w:r>
              <w:rPr>
                <w:noProof/>
                <w:webHidden/>
              </w:rPr>
            </w:r>
            <w:r>
              <w:rPr>
                <w:noProof/>
                <w:webHidden/>
              </w:rPr>
              <w:fldChar w:fldCharType="separate"/>
            </w:r>
            <w:r>
              <w:rPr>
                <w:noProof/>
                <w:webHidden/>
              </w:rPr>
              <w:t>6</w:t>
            </w:r>
            <w:r>
              <w:rPr>
                <w:noProof/>
                <w:webHidden/>
              </w:rPr>
              <w:fldChar w:fldCharType="end"/>
            </w:r>
          </w:hyperlink>
        </w:p>
        <w:p w14:paraId="2B756F10" w14:textId="19E351E9" w:rsidR="000E0F30" w:rsidRDefault="000E0F30" w:rsidP="000E0F30">
          <w:pPr>
            <w:pStyle w:val="TOC2"/>
            <w:tabs>
              <w:tab w:val="right" w:leader="dot" w:pos="9016"/>
            </w:tabs>
            <w:spacing w:line="360" w:lineRule="auto"/>
            <w:ind w:firstLine="284"/>
            <w:jc w:val="both"/>
            <w:rPr>
              <w:rFonts w:eastAsiaTheme="minorEastAsia"/>
              <w:noProof/>
              <w:lang w:eastAsia="en-GB"/>
            </w:rPr>
          </w:pPr>
          <w:hyperlink w:anchor="_Toc121151785" w:history="1">
            <w:r w:rsidRPr="00735D7A">
              <w:rPr>
                <w:rStyle w:val="Hyperlink"/>
                <w:rFonts w:ascii="Arial" w:hAnsi="Arial" w:cs="Arial"/>
                <w:b/>
                <w:bCs/>
                <w:noProof/>
              </w:rPr>
              <w:t>Gearing</w:t>
            </w:r>
            <w:r>
              <w:rPr>
                <w:noProof/>
                <w:webHidden/>
              </w:rPr>
              <w:tab/>
            </w:r>
            <w:r>
              <w:rPr>
                <w:noProof/>
                <w:webHidden/>
              </w:rPr>
              <w:fldChar w:fldCharType="begin"/>
            </w:r>
            <w:r>
              <w:rPr>
                <w:noProof/>
                <w:webHidden/>
              </w:rPr>
              <w:instrText xml:space="preserve"> PAGEREF _Toc121151785 \h </w:instrText>
            </w:r>
            <w:r>
              <w:rPr>
                <w:noProof/>
                <w:webHidden/>
              </w:rPr>
            </w:r>
            <w:r>
              <w:rPr>
                <w:noProof/>
                <w:webHidden/>
              </w:rPr>
              <w:fldChar w:fldCharType="separate"/>
            </w:r>
            <w:r>
              <w:rPr>
                <w:noProof/>
                <w:webHidden/>
              </w:rPr>
              <w:t>6</w:t>
            </w:r>
            <w:r>
              <w:rPr>
                <w:noProof/>
                <w:webHidden/>
              </w:rPr>
              <w:fldChar w:fldCharType="end"/>
            </w:r>
          </w:hyperlink>
        </w:p>
        <w:p w14:paraId="53327893" w14:textId="636D8E22" w:rsidR="000E0F30" w:rsidRDefault="000E0F30" w:rsidP="000E0F30">
          <w:pPr>
            <w:pStyle w:val="TOC1"/>
            <w:tabs>
              <w:tab w:val="right" w:leader="dot" w:pos="9016"/>
            </w:tabs>
            <w:spacing w:line="360" w:lineRule="auto"/>
            <w:ind w:firstLine="284"/>
            <w:jc w:val="both"/>
            <w:rPr>
              <w:rFonts w:eastAsiaTheme="minorEastAsia"/>
              <w:noProof/>
              <w:lang w:eastAsia="en-GB"/>
            </w:rPr>
          </w:pPr>
          <w:hyperlink w:anchor="_Toc121151786" w:history="1">
            <w:r w:rsidRPr="00735D7A">
              <w:rPr>
                <w:rStyle w:val="Hyperlink"/>
                <w:rFonts w:ascii="Arial" w:hAnsi="Arial" w:cs="Arial"/>
                <w:noProof/>
              </w:rPr>
              <w:t>Knowledge from Ratio Analysis</w:t>
            </w:r>
            <w:r>
              <w:rPr>
                <w:noProof/>
                <w:webHidden/>
              </w:rPr>
              <w:tab/>
            </w:r>
            <w:r>
              <w:rPr>
                <w:noProof/>
                <w:webHidden/>
              </w:rPr>
              <w:fldChar w:fldCharType="begin"/>
            </w:r>
            <w:r>
              <w:rPr>
                <w:noProof/>
                <w:webHidden/>
              </w:rPr>
              <w:instrText xml:space="preserve"> PAGEREF _Toc121151786 \h </w:instrText>
            </w:r>
            <w:r>
              <w:rPr>
                <w:noProof/>
                <w:webHidden/>
              </w:rPr>
            </w:r>
            <w:r>
              <w:rPr>
                <w:noProof/>
                <w:webHidden/>
              </w:rPr>
              <w:fldChar w:fldCharType="separate"/>
            </w:r>
            <w:r>
              <w:rPr>
                <w:noProof/>
                <w:webHidden/>
              </w:rPr>
              <w:t>7</w:t>
            </w:r>
            <w:r>
              <w:rPr>
                <w:noProof/>
                <w:webHidden/>
              </w:rPr>
              <w:fldChar w:fldCharType="end"/>
            </w:r>
          </w:hyperlink>
        </w:p>
        <w:p w14:paraId="52488F58" w14:textId="6CAB4210" w:rsidR="000E0F30" w:rsidRDefault="000E0F30" w:rsidP="000E0F30">
          <w:pPr>
            <w:pStyle w:val="TOC1"/>
            <w:tabs>
              <w:tab w:val="right" w:leader="dot" w:pos="9016"/>
            </w:tabs>
            <w:spacing w:line="360" w:lineRule="auto"/>
            <w:ind w:firstLine="284"/>
            <w:jc w:val="both"/>
            <w:rPr>
              <w:rFonts w:eastAsiaTheme="minorEastAsia"/>
              <w:noProof/>
              <w:lang w:eastAsia="en-GB"/>
            </w:rPr>
          </w:pPr>
          <w:hyperlink w:anchor="_Toc121151787" w:history="1">
            <w:r w:rsidRPr="00735D7A">
              <w:rPr>
                <w:rStyle w:val="Hyperlink"/>
                <w:rFonts w:ascii="Arial" w:hAnsi="Arial" w:cs="Arial"/>
                <w:noProof/>
              </w:rPr>
              <w:t>Benefits and Limitations of Ratio Analysis</w:t>
            </w:r>
            <w:r>
              <w:rPr>
                <w:noProof/>
                <w:webHidden/>
              </w:rPr>
              <w:tab/>
            </w:r>
            <w:r>
              <w:rPr>
                <w:noProof/>
                <w:webHidden/>
              </w:rPr>
              <w:fldChar w:fldCharType="begin"/>
            </w:r>
            <w:r>
              <w:rPr>
                <w:noProof/>
                <w:webHidden/>
              </w:rPr>
              <w:instrText xml:space="preserve"> PAGEREF _Toc121151787 \h </w:instrText>
            </w:r>
            <w:r>
              <w:rPr>
                <w:noProof/>
                <w:webHidden/>
              </w:rPr>
            </w:r>
            <w:r>
              <w:rPr>
                <w:noProof/>
                <w:webHidden/>
              </w:rPr>
              <w:fldChar w:fldCharType="separate"/>
            </w:r>
            <w:r>
              <w:rPr>
                <w:noProof/>
                <w:webHidden/>
              </w:rPr>
              <w:t>7</w:t>
            </w:r>
            <w:r>
              <w:rPr>
                <w:noProof/>
                <w:webHidden/>
              </w:rPr>
              <w:fldChar w:fldCharType="end"/>
            </w:r>
          </w:hyperlink>
        </w:p>
        <w:p w14:paraId="44B00B0B" w14:textId="0543D283" w:rsidR="000E0F30" w:rsidRDefault="000E0F30" w:rsidP="000E0F30">
          <w:pPr>
            <w:pStyle w:val="TOC1"/>
            <w:tabs>
              <w:tab w:val="right" w:leader="dot" w:pos="9016"/>
            </w:tabs>
            <w:spacing w:line="360" w:lineRule="auto"/>
            <w:ind w:firstLine="284"/>
            <w:jc w:val="both"/>
            <w:rPr>
              <w:rFonts w:eastAsiaTheme="minorEastAsia"/>
              <w:noProof/>
              <w:lang w:eastAsia="en-GB"/>
            </w:rPr>
          </w:pPr>
          <w:hyperlink w:anchor="_Toc121151788" w:history="1">
            <w:r w:rsidRPr="00735D7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_Toc121151788 \h </w:instrText>
            </w:r>
            <w:r>
              <w:rPr>
                <w:noProof/>
                <w:webHidden/>
              </w:rPr>
            </w:r>
            <w:r>
              <w:rPr>
                <w:noProof/>
                <w:webHidden/>
              </w:rPr>
              <w:fldChar w:fldCharType="separate"/>
            </w:r>
            <w:r>
              <w:rPr>
                <w:noProof/>
                <w:webHidden/>
              </w:rPr>
              <w:t>8</w:t>
            </w:r>
            <w:r>
              <w:rPr>
                <w:noProof/>
                <w:webHidden/>
              </w:rPr>
              <w:fldChar w:fldCharType="end"/>
            </w:r>
          </w:hyperlink>
        </w:p>
        <w:p w14:paraId="30A48A4D" w14:textId="0F8ECDE9" w:rsidR="000E0F30" w:rsidRDefault="000E0F30" w:rsidP="000E0F30">
          <w:pPr>
            <w:pStyle w:val="TOC1"/>
            <w:tabs>
              <w:tab w:val="right" w:leader="dot" w:pos="9016"/>
            </w:tabs>
            <w:spacing w:line="360" w:lineRule="auto"/>
            <w:ind w:firstLine="284"/>
            <w:jc w:val="both"/>
            <w:rPr>
              <w:rFonts w:eastAsiaTheme="minorEastAsia"/>
              <w:noProof/>
              <w:lang w:eastAsia="en-GB"/>
            </w:rPr>
          </w:pPr>
          <w:hyperlink w:anchor="_Toc121151789" w:history="1">
            <w:r w:rsidRPr="00735D7A">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_Toc121151789 \h </w:instrText>
            </w:r>
            <w:r>
              <w:rPr>
                <w:noProof/>
                <w:webHidden/>
              </w:rPr>
            </w:r>
            <w:r>
              <w:rPr>
                <w:noProof/>
                <w:webHidden/>
              </w:rPr>
              <w:fldChar w:fldCharType="separate"/>
            </w:r>
            <w:r>
              <w:rPr>
                <w:noProof/>
                <w:webHidden/>
              </w:rPr>
              <w:t>8</w:t>
            </w:r>
            <w:r>
              <w:rPr>
                <w:noProof/>
                <w:webHidden/>
              </w:rPr>
              <w:fldChar w:fldCharType="end"/>
            </w:r>
          </w:hyperlink>
        </w:p>
        <w:p w14:paraId="0A4A6681" w14:textId="747E0BEA" w:rsidR="000E0F30" w:rsidRDefault="000E0F30" w:rsidP="000E0F30">
          <w:pPr>
            <w:spacing w:line="360" w:lineRule="auto"/>
            <w:ind w:firstLine="284"/>
            <w:jc w:val="both"/>
          </w:pPr>
          <w:r>
            <w:rPr>
              <w:b/>
              <w:bCs/>
              <w:noProof/>
            </w:rPr>
            <w:fldChar w:fldCharType="end"/>
          </w:r>
        </w:p>
      </w:sdtContent>
    </w:sdt>
    <w:p w14:paraId="430611B7" w14:textId="77777777" w:rsidR="00A23C0E" w:rsidRPr="00B50B0F" w:rsidRDefault="00A23C0E" w:rsidP="000E0F30">
      <w:pPr>
        <w:spacing w:line="360" w:lineRule="auto"/>
        <w:ind w:firstLine="284"/>
        <w:jc w:val="both"/>
        <w:rPr>
          <w:rFonts w:ascii="Arial" w:hAnsi="Arial" w:cs="Arial"/>
          <w:sz w:val="24"/>
          <w:szCs w:val="24"/>
        </w:rPr>
      </w:pPr>
    </w:p>
    <w:p w14:paraId="5AE270EC" w14:textId="77777777" w:rsidR="00A23C0E" w:rsidRPr="00B50B0F" w:rsidRDefault="00A23C0E" w:rsidP="000E0F30">
      <w:pPr>
        <w:spacing w:line="360" w:lineRule="auto"/>
        <w:ind w:firstLine="284"/>
        <w:jc w:val="both"/>
        <w:rPr>
          <w:rFonts w:ascii="Arial" w:hAnsi="Arial" w:cs="Arial"/>
          <w:sz w:val="24"/>
          <w:szCs w:val="24"/>
        </w:rPr>
      </w:pPr>
    </w:p>
    <w:p w14:paraId="3C12E69A" w14:textId="77777777" w:rsidR="00A23C0E" w:rsidRPr="00B50B0F" w:rsidRDefault="00A23C0E" w:rsidP="000E0F30">
      <w:pPr>
        <w:spacing w:line="360" w:lineRule="auto"/>
        <w:ind w:firstLine="284"/>
        <w:jc w:val="both"/>
        <w:rPr>
          <w:rFonts w:ascii="Arial" w:hAnsi="Arial" w:cs="Arial"/>
          <w:sz w:val="24"/>
          <w:szCs w:val="24"/>
        </w:rPr>
      </w:pPr>
    </w:p>
    <w:p w14:paraId="3C2565C2" w14:textId="689D1780" w:rsidR="00A23C0E" w:rsidRPr="00B50B0F" w:rsidRDefault="00A23C0E" w:rsidP="000E0F30">
      <w:pPr>
        <w:spacing w:line="360" w:lineRule="auto"/>
        <w:ind w:firstLine="284"/>
        <w:jc w:val="both"/>
        <w:rPr>
          <w:rFonts w:ascii="Arial" w:hAnsi="Arial" w:cs="Arial"/>
          <w:sz w:val="24"/>
          <w:szCs w:val="24"/>
        </w:rPr>
      </w:pPr>
    </w:p>
    <w:p w14:paraId="6D9B66A2" w14:textId="7DBD4C95" w:rsidR="00A23C0E" w:rsidRPr="00B50B0F" w:rsidRDefault="00A23C0E" w:rsidP="000E0F30">
      <w:pPr>
        <w:spacing w:line="360" w:lineRule="auto"/>
        <w:ind w:firstLine="284"/>
        <w:jc w:val="both"/>
        <w:rPr>
          <w:rFonts w:ascii="Arial" w:hAnsi="Arial" w:cs="Arial"/>
          <w:sz w:val="24"/>
          <w:szCs w:val="24"/>
        </w:rPr>
      </w:pPr>
    </w:p>
    <w:p w14:paraId="622FFA85" w14:textId="65AAAD09" w:rsidR="00A23C0E" w:rsidRPr="00B50B0F" w:rsidRDefault="00A23C0E" w:rsidP="000E0F30">
      <w:pPr>
        <w:spacing w:line="360" w:lineRule="auto"/>
        <w:ind w:firstLine="284"/>
        <w:jc w:val="both"/>
        <w:rPr>
          <w:rFonts w:ascii="Arial" w:hAnsi="Arial" w:cs="Arial"/>
          <w:sz w:val="24"/>
          <w:szCs w:val="24"/>
        </w:rPr>
      </w:pPr>
    </w:p>
    <w:p w14:paraId="5FBD219D" w14:textId="75BF5AB9" w:rsidR="00A23C0E" w:rsidRPr="00B50B0F" w:rsidRDefault="00A23C0E" w:rsidP="000E0F30">
      <w:pPr>
        <w:spacing w:line="360" w:lineRule="auto"/>
        <w:ind w:firstLine="284"/>
        <w:jc w:val="both"/>
        <w:rPr>
          <w:rFonts w:ascii="Arial" w:hAnsi="Arial" w:cs="Arial"/>
          <w:sz w:val="24"/>
          <w:szCs w:val="24"/>
        </w:rPr>
      </w:pPr>
    </w:p>
    <w:p w14:paraId="4908717A" w14:textId="63F64257" w:rsidR="00A23C0E" w:rsidRPr="00B50B0F" w:rsidRDefault="00A23C0E" w:rsidP="000E0F30">
      <w:pPr>
        <w:spacing w:line="360" w:lineRule="auto"/>
        <w:ind w:firstLine="284"/>
        <w:jc w:val="both"/>
        <w:rPr>
          <w:rFonts w:ascii="Arial" w:hAnsi="Arial" w:cs="Arial"/>
          <w:sz w:val="24"/>
          <w:szCs w:val="24"/>
        </w:rPr>
      </w:pPr>
    </w:p>
    <w:p w14:paraId="795BE875" w14:textId="55F1BD13" w:rsidR="00A23C0E" w:rsidRPr="00B50B0F" w:rsidRDefault="00A23C0E" w:rsidP="000E0F30">
      <w:pPr>
        <w:spacing w:line="360" w:lineRule="auto"/>
        <w:ind w:firstLine="284"/>
        <w:jc w:val="both"/>
        <w:rPr>
          <w:rFonts w:ascii="Arial" w:hAnsi="Arial" w:cs="Arial"/>
          <w:sz w:val="24"/>
          <w:szCs w:val="24"/>
        </w:rPr>
      </w:pPr>
    </w:p>
    <w:p w14:paraId="5B838653" w14:textId="77777777" w:rsidR="00A23C0E" w:rsidRPr="00B50B0F" w:rsidRDefault="00A23C0E" w:rsidP="000E0F30">
      <w:pPr>
        <w:spacing w:line="360" w:lineRule="auto"/>
        <w:ind w:firstLine="284"/>
        <w:jc w:val="both"/>
        <w:rPr>
          <w:rFonts w:ascii="Arial" w:hAnsi="Arial" w:cs="Arial"/>
          <w:sz w:val="24"/>
          <w:szCs w:val="24"/>
        </w:rPr>
      </w:pPr>
    </w:p>
    <w:p w14:paraId="5FC512E4" w14:textId="77777777" w:rsidR="00A23C0E" w:rsidRPr="00B50B0F" w:rsidRDefault="00A23C0E" w:rsidP="000E0F30">
      <w:pPr>
        <w:spacing w:line="360" w:lineRule="auto"/>
        <w:ind w:firstLine="284"/>
        <w:jc w:val="both"/>
        <w:rPr>
          <w:rFonts w:ascii="Arial" w:hAnsi="Arial" w:cs="Arial"/>
          <w:sz w:val="24"/>
          <w:szCs w:val="24"/>
        </w:rPr>
      </w:pPr>
    </w:p>
    <w:p w14:paraId="26728E85" w14:textId="77777777" w:rsidR="00A23C0E" w:rsidRPr="00B50B0F" w:rsidRDefault="00A23C0E" w:rsidP="000E0F30">
      <w:pPr>
        <w:pStyle w:val="Heading1"/>
        <w:spacing w:line="360" w:lineRule="auto"/>
        <w:ind w:firstLine="284"/>
        <w:jc w:val="both"/>
        <w:rPr>
          <w:rFonts w:ascii="Arial" w:hAnsi="Arial" w:cs="Arial"/>
          <w:sz w:val="24"/>
          <w:szCs w:val="24"/>
        </w:rPr>
      </w:pPr>
      <w:bookmarkStart w:id="1" w:name="_Toc121151781"/>
      <w:r w:rsidRPr="00B50B0F">
        <w:rPr>
          <w:rFonts w:ascii="Arial" w:hAnsi="Arial" w:cs="Arial"/>
          <w:sz w:val="24"/>
          <w:szCs w:val="24"/>
        </w:rPr>
        <w:t>Introduction</w:t>
      </w:r>
      <w:bookmarkEnd w:id="1"/>
    </w:p>
    <w:p w14:paraId="2C456714" w14:textId="22B40FEE" w:rsidR="002C6BE9" w:rsidRPr="00B50B0F" w:rsidRDefault="002C6BE9" w:rsidP="000E0F30">
      <w:pPr>
        <w:shd w:val="clear" w:color="auto" w:fill="FFFFFF"/>
        <w:spacing w:after="0" w:line="360" w:lineRule="auto"/>
        <w:ind w:firstLine="284"/>
        <w:jc w:val="both"/>
        <w:rPr>
          <w:rFonts w:ascii="Arial" w:hAnsi="Arial" w:cs="Arial"/>
          <w:sz w:val="24"/>
          <w:szCs w:val="24"/>
        </w:rPr>
      </w:pPr>
      <w:r w:rsidRPr="00B50B0F">
        <w:rPr>
          <w:rFonts w:ascii="Arial" w:hAnsi="Arial" w:cs="Arial"/>
          <w:sz w:val="24"/>
          <w:szCs w:val="24"/>
        </w:rPr>
        <w:t xml:space="preserve">The purpose of this project is to analyse the differences between the actual financial results and the predicted financial outcomes of Marriott International and to identify the reasons at play. The gearing, profitability </w:t>
      </w:r>
      <w:proofErr w:type="gramStart"/>
      <w:r w:rsidRPr="00B50B0F">
        <w:rPr>
          <w:rFonts w:ascii="Arial" w:hAnsi="Arial" w:cs="Arial"/>
          <w:sz w:val="24"/>
          <w:szCs w:val="24"/>
        </w:rPr>
        <w:t>and  the</w:t>
      </w:r>
      <w:proofErr w:type="gramEnd"/>
      <w:r w:rsidRPr="00B50B0F">
        <w:rPr>
          <w:rFonts w:ascii="Arial" w:hAnsi="Arial" w:cs="Arial"/>
          <w:sz w:val="24"/>
          <w:szCs w:val="24"/>
        </w:rPr>
        <w:t xml:space="preserve"> liquidity ratio, and are the three ratios that should be used in the analysis of the data. This is the first step, and it's crucial to establish that these are the ratios that will be used. In financial analysis, discovering the outliers, evaluating how significant they are, and comprehending the variables that contributed to them are all very important steps. An analysis of the company's financial outcomes in 2020 and 2021 will be used to evaluate Marriott's path forward in the hospitality industry. It is possible to define and assess the financial success of a firm by </w:t>
      </w:r>
      <w:proofErr w:type="gramStart"/>
      <w:r w:rsidRPr="00B50B0F">
        <w:rPr>
          <w:rFonts w:ascii="Arial" w:hAnsi="Arial" w:cs="Arial"/>
          <w:sz w:val="24"/>
          <w:szCs w:val="24"/>
        </w:rPr>
        <w:t>utilising  ratios</w:t>
      </w:r>
      <w:proofErr w:type="gramEnd"/>
      <w:r w:rsidRPr="00B50B0F">
        <w:rPr>
          <w:rFonts w:ascii="Arial" w:hAnsi="Arial" w:cs="Arial"/>
          <w:sz w:val="24"/>
          <w:szCs w:val="24"/>
        </w:rPr>
        <w:t>, and patterns may be utilised to infer conclusions about the organization's current financial performance.</w:t>
      </w:r>
      <w:r w:rsidRPr="00B50B0F">
        <w:rPr>
          <w:rFonts w:ascii="Arial" w:hAnsi="Arial" w:cs="Arial"/>
          <w:sz w:val="24"/>
          <w:szCs w:val="24"/>
        </w:rPr>
        <w:t xml:space="preserve"> </w:t>
      </w:r>
      <w:r w:rsidRPr="00B50B0F">
        <w:rPr>
          <w:rFonts w:ascii="Arial" w:hAnsi="Arial" w:cs="Arial"/>
          <w:sz w:val="24"/>
          <w:szCs w:val="24"/>
        </w:rPr>
        <w:t xml:space="preserve">Around the world, Marriott runs hotels, apartment complexes, and timeshares under a diverse assortment of brand names and price points, and it also franchises and licences these properties. Marriott owns just a tiny portion of its hotel properties since the company focuses mostly on licencing, </w:t>
      </w:r>
      <w:proofErr w:type="gramStart"/>
      <w:r w:rsidRPr="00B50B0F">
        <w:rPr>
          <w:rFonts w:ascii="Arial" w:hAnsi="Arial" w:cs="Arial"/>
          <w:sz w:val="24"/>
          <w:szCs w:val="24"/>
        </w:rPr>
        <w:t>franchising</w:t>
      </w:r>
      <w:proofErr w:type="gramEnd"/>
      <w:r w:rsidRPr="00B50B0F">
        <w:rPr>
          <w:rFonts w:ascii="Arial" w:hAnsi="Arial" w:cs="Arial"/>
          <w:sz w:val="24"/>
          <w:szCs w:val="24"/>
        </w:rPr>
        <w:t xml:space="preserve"> and management rather than building and owning its own hotels.</w:t>
      </w:r>
    </w:p>
    <w:p w14:paraId="4409D34E" w14:textId="557CB555" w:rsidR="00017682" w:rsidRPr="00B50B0F" w:rsidRDefault="00017682" w:rsidP="000E0F30">
      <w:pPr>
        <w:shd w:val="clear" w:color="auto" w:fill="FFFFFF"/>
        <w:spacing w:after="0" w:line="360" w:lineRule="auto"/>
        <w:ind w:firstLine="284"/>
        <w:jc w:val="both"/>
        <w:rPr>
          <w:rFonts w:ascii="Arial" w:eastAsia="Times New Roman" w:hAnsi="Arial" w:cs="Arial"/>
          <w:color w:val="000000"/>
          <w:sz w:val="24"/>
          <w:szCs w:val="24"/>
          <w:lang w:eastAsia="en-GB"/>
        </w:rPr>
      </w:pPr>
      <w:r w:rsidRPr="00B50B0F">
        <w:rPr>
          <w:rFonts w:ascii="Arial" w:eastAsia="Times New Roman" w:hAnsi="Arial" w:cs="Arial"/>
          <w:color w:val="000000"/>
          <w:sz w:val="24"/>
          <w:szCs w:val="24"/>
          <w:lang w:eastAsia="en-GB"/>
        </w:rPr>
        <w:t>At the end of 2021, Marriott owned or managed 2,007 hotels with a total of 568,864 rooms.</w:t>
      </w:r>
    </w:p>
    <w:p w14:paraId="51E0720F" w14:textId="77777777" w:rsidR="00017682" w:rsidRPr="00B50B0F" w:rsidRDefault="00017682" w:rsidP="000E0F30">
      <w:pPr>
        <w:spacing w:line="360" w:lineRule="auto"/>
        <w:ind w:firstLine="284"/>
        <w:jc w:val="both"/>
        <w:rPr>
          <w:rFonts w:ascii="Arial" w:hAnsi="Arial" w:cs="Arial"/>
          <w:sz w:val="24"/>
          <w:szCs w:val="24"/>
        </w:rPr>
      </w:pPr>
      <w:r w:rsidRPr="00B50B0F">
        <w:rPr>
          <w:rFonts w:ascii="Arial" w:hAnsi="Arial" w:cs="Arial"/>
          <w:sz w:val="24"/>
          <w:szCs w:val="24"/>
        </w:rPr>
        <w:t>Travel and hotel room demand have been significantly affected by COVID-19, which has had, and may continue to have, a detrimental effect on the following areas of operations, </w:t>
      </w:r>
      <w:proofErr w:type="gramStart"/>
      <w:r w:rsidRPr="00B50B0F">
        <w:rPr>
          <w:rFonts w:ascii="Arial" w:hAnsi="Arial" w:cs="Arial"/>
          <w:sz w:val="24"/>
          <w:szCs w:val="24"/>
        </w:rPr>
        <w:t>business</w:t>
      </w:r>
      <w:proofErr w:type="gramEnd"/>
      <w:r w:rsidRPr="00B50B0F">
        <w:rPr>
          <w:rFonts w:ascii="Arial" w:hAnsi="Arial" w:cs="Arial"/>
          <w:sz w:val="24"/>
          <w:szCs w:val="24"/>
        </w:rPr>
        <w:t> and financial results:</w:t>
      </w:r>
    </w:p>
    <w:p w14:paraId="2A848C6E" w14:textId="77777777" w:rsidR="00017682" w:rsidRPr="00B50B0F" w:rsidRDefault="00017682" w:rsidP="000E0F30">
      <w:pPr>
        <w:spacing w:line="360" w:lineRule="auto"/>
        <w:ind w:firstLine="284"/>
        <w:jc w:val="both"/>
        <w:rPr>
          <w:rFonts w:ascii="Arial" w:hAnsi="Arial" w:cs="Arial"/>
          <w:sz w:val="24"/>
          <w:szCs w:val="24"/>
        </w:rPr>
      </w:pPr>
      <w:r w:rsidRPr="00B50B0F">
        <w:rPr>
          <w:rFonts w:ascii="Arial" w:hAnsi="Arial" w:cs="Arial"/>
          <w:sz w:val="24"/>
          <w:szCs w:val="24"/>
        </w:rPr>
        <w:t xml:space="preserve">•hotel owners' and franchisees' capacity or desire to service, repay, or refinance existing debts or similar commitments, including loans or guarantor advances that </w:t>
      </w:r>
      <w:r w:rsidRPr="00B50B0F">
        <w:rPr>
          <w:rFonts w:ascii="Arial" w:hAnsi="Arial" w:cs="Arial"/>
          <w:sz w:val="24"/>
          <w:szCs w:val="24"/>
        </w:rPr>
        <w:lastRenderedPageBreak/>
        <w:t xml:space="preserve">Marriott have provided to or for </w:t>
      </w:r>
      <w:proofErr w:type="gramStart"/>
      <w:r w:rsidRPr="00B50B0F">
        <w:rPr>
          <w:rFonts w:ascii="Arial" w:hAnsi="Arial" w:cs="Arial"/>
          <w:sz w:val="24"/>
          <w:szCs w:val="24"/>
        </w:rPr>
        <w:t>them;</w:t>
      </w:r>
      <w:proofErr w:type="gramEnd"/>
      <w:r w:rsidRPr="00B50B0F">
        <w:rPr>
          <w:rFonts w:ascii="Arial" w:hAnsi="Arial" w:cs="Arial"/>
          <w:sz w:val="24"/>
          <w:szCs w:val="24"/>
        </w:rPr>
        <w:t xml:space="preserve"> and the value of Marriott's owned and leased assets or investments.</w:t>
      </w:r>
    </w:p>
    <w:p w14:paraId="3A0C2FC7" w14:textId="77777777" w:rsidR="00017682" w:rsidRPr="00B50B0F" w:rsidRDefault="00017682" w:rsidP="000E0F30">
      <w:pPr>
        <w:spacing w:line="360" w:lineRule="auto"/>
        <w:ind w:firstLine="284"/>
        <w:jc w:val="both"/>
        <w:rPr>
          <w:rFonts w:ascii="Arial" w:hAnsi="Arial" w:cs="Arial"/>
          <w:sz w:val="24"/>
          <w:szCs w:val="24"/>
        </w:rPr>
      </w:pPr>
      <w:r w:rsidRPr="00B50B0F">
        <w:rPr>
          <w:rFonts w:ascii="Arial" w:hAnsi="Arial" w:cs="Arial"/>
          <w:sz w:val="24"/>
          <w:szCs w:val="24"/>
        </w:rPr>
        <w:t xml:space="preserve">•making it more challenging for hoteliers and franchisor to obtain financing on commercially reasonable terms, or at </w:t>
      </w:r>
      <w:proofErr w:type="gramStart"/>
      <w:r w:rsidRPr="00B50B0F">
        <w:rPr>
          <w:rFonts w:ascii="Arial" w:hAnsi="Arial" w:cs="Arial"/>
          <w:sz w:val="24"/>
          <w:szCs w:val="24"/>
        </w:rPr>
        <w:t>all;</w:t>
      </w:r>
      <w:proofErr w:type="gramEnd"/>
      <w:r w:rsidRPr="00B50B0F">
        <w:rPr>
          <w:rFonts w:ascii="Arial" w:hAnsi="Arial" w:cs="Arial"/>
          <w:sz w:val="24"/>
          <w:szCs w:val="24"/>
        </w:rPr>
        <w:t xml:space="preserve"> </w:t>
      </w:r>
    </w:p>
    <w:p w14:paraId="0091BAA4" w14:textId="77777777" w:rsidR="00017682" w:rsidRPr="00B50B0F" w:rsidRDefault="00017682" w:rsidP="000E0F30">
      <w:pPr>
        <w:spacing w:line="360" w:lineRule="auto"/>
        <w:ind w:firstLine="284"/>
        <w:jc w:val="both"/>
        <w:rPr>
          <w:rFonts w:ascii="Arial" w:hAnsi="Arial" w:cs="Arial"/>
          <w:sz w:val="24"/>
          <w:szCs w:val="24"/>
        </w:rPr>
      </w:pPr>
      <w:r w:rsidRPr="00B50B0F">
        <w:rPr>
          <w:rFonts w:ascii="Arial" w:hAnsi="Arial" w:cs="Arial"/>
          <w:sz w:val="24"/>
          <w:szCs w:val="24"/>
        </w:rPr>
        <w:t xml:space="preserve">•decreasing the rate at which new initiatives enter the </w:t>
      </w:r>
      <w:proofErr w:type="gramStart"/>
      <w:r w:rsidRPr="00B50B0F">
        <w:rPr>
          <w:rFonts w:ascii="Arial" w:hAnsi="Arial" w:cs="Arial"/>
          <w:sz w:val="24"/>
          <w:szCs w:val="24"/>
        </w:rPr>
        <w:t>pipeline;</w:t>
      </w:r>
      <w:proofErr w:type="gramEnd"/>
      <w:r w:rsidRPr="00B50B0F">
        <w:rPr>
          <w:rFonts w:ascii="Arial" w:hAnsi="Arial" w:cs="Arial"/>
          <w:sz w:val="24"/>
          <w:szCs w:val="24"/>
        </w:rPr>
        <w:t xml:space="preserve"> </w:t>
      </w:r>
    </w:p>
    <w:p w14:paraId="71B1D4C8" w14:textId="77777777" w:rsidR="00017682" w:rsidRPr="00B50B0F" w:rsidRDefault="00017682" w:rsidP="000E0F30">
      <w:pPr>
        <w:spacing w:line="360" w:lineRule="auto"/>
        <w:ind w:firstLine="284"/>
        <w:jc w:val="both"/>
        <w:rPr>
          <w:rFonts w:ascii="Arial" w:hAnsi="Arial" w:cs="Arial"/>
          <w:sz w:val="24"/>
          <w:szCs w:val="24"/>
        </w:rPr>
      </w:pPr>
      <w:r w:rsidRPr="00B50B0F">
        <w:rPr>
          <w:rFonts w:ascii="Arial" w:hAnsi="Arial" w:cs="Arial"/>
          <w:sz w:val="24"/>
          <w:szCs w:val="24"/>
        </w:rPr>
        <w:t xml:space="preserve">•causing a substantial number of hotels to escape the system; requiring Marriott to borrow or somehow establish a significant amount of cash in in order to maintain financial flexibility, reimburse maturing debt and handle debt </w:t>
      </w:r>
      <w:proofErr w:type="gramStart"/>
      <w:r w:rsidRPr="00B50B0F">
        <w:rPr>
          <w:rFonts w:ascii="Arial" w:hAnsi="Arial" w:cs="Arial"/>
          <w:sz w:val="24"/>
          <w:szCs w:val="24"/>
        </w:rPr>
        <w:t>maturities;</w:t>
      </w:r>
      <w:proofErr w:type="gramEnd"/>
      <w:r w:rsidRPr="00B50B0F">
        <w:rPr>
          <w:rFonts w:ascii="Arial" w:hAnsi="Arial" w:cs="Arial"/>
          <w:sz w:val="24"/>
          <w:szCs w:val="24"/>
        </w:rPr>
        <w:t xml:space="preserve"> </w:t>
      </w:r>
    </w:p>
    <w:p w14:paraId="4E3CE721" w14:textId="77777777" w:rsidR="00017682" w:rsidRPr="00B50B0F" w:rsidRDefault="00017682" w:rsidP="000E0F30">
      <w:pPr>
        <w:spacing w:line="360" w:lineRule="auto"/>
        <w:ind w:firstLine="284"/>
        <w:jc w:val="both"/>
        <w:rPr>
          <w:rFonts w:ascii="Arial" w:hAnsi="Arial" w:cs="Arial"/>
          <w:sz w:val="24"/>
          <w:szCs w:val="24"/>
        </w:rPr>
      </w:pPr>
      <w:r w:rsidRPr="00B50B0F">
        <w:rPr>
          <w:rFonts w:ascii="Arial" w:hAnsi="Arial" w:cs="Arial"/>
          <w:sz w:val="24"/>
          <w:szCs w:val="24"/>
        </w:rPr>
        <w:t xml:space="preserve">•causing the terms of the financing to be more costly or more restrictive; and </w:t>
      </w:r>
    </w:p>
    <w:p w14:paraId="117BC6B7" w14:textId="34BB905C" w:rsidR="00017682" w:rsidRPr="00B50B0F" w:rsidRDefault="00017682" w:rsidP="000E0F30">
      <w:pPr>
        <w:spacing w:line="360" w:lineRule="auto"/>
        <w:ind w:firstLine="284"/>
        <w:jc w:val="both"/>
        <w:rPr>
          <w:rFonts w:ascii="Arial" w:hAnsi="Arial" w:cs="Arial"/>
          <w:sz w:val="24"/>
          <w:szCs w:val="24"/>
        </w:rPr>
      </w:pPr>
      <w:r w:rsidRPr="00B50B0F">
        <w:rPr>
          <w:rFonts w:ascii="Arial" w:hAnsi="Arial" w:cs="Arial"/>
          <w:sz w:val="24"/>
          <w:szCs w:val="24"/>
        </w:rPr>
        <w:t>•adversely impacting the ability to acquire and keep associates.</w:t>
      </w:r>
    </w:p>
    <w:p w14:paraId="1A9DDDAF" w14:textId="354E4842" w:rsidR="00017682" w:rsidRPr="00B50B0F" w:rsidRDefault="00017682" w:rsidP="000E0F30">
      <w:pPr>
        <w:spacing w:line="360" w:lineRule="auto"/>
        <w:ind w:firstLine="284"/>
        <w:jc w:val="both"/>
        <w:rPr>
          <w:rFonts w:ascii="Arial" w:hAnsi="Arial" w:cs="Arial"/>
          <w:sz w:val="24"/>
          <w:szCs w:val="24"/>
        </w:rPr>
      </w:pPr>
    </w:p>
    <w:p w14:paraId="2FAE1983" w14:textId="68135B68" w:rsidR="00017682" w:rsidRDefault="00017682" w:rsidP="000E0F30">
      <w:pPr>
        <w:pStyle w:val="Heading1"/>
        <w:spacing w:line="360" w:lineRule="auto"/>
        <w:ind w:firstLine="284"/>
        <w:jc w:val="both"/>
        <w:rPr>
          <w:rFonts w:ascii="Arial" w:hAnsi="Arial" w:cs="Arial"/>
          <w:sz w:val="24"/>
          <w:szCs w:val="24"/>
        </w:rPr>
      </w:pPr>
      <w:bookmarkStart w:id="2" w:name="_Toc121151782"/>
      <w:r w:rsidRPr="00B50B0F">
        <w:rPr>
          <w:rFonts w:ascii="Arial" w:hAnsi="Arial" w:cs="Arial"/>
          <w:sz w:val="24"/>
          <w:szCs w:val="24"/>
        </w:rPr>
        <w:t>Financial Analysis Trends</w:t>
      </w:r>
      <w:bookmarkEnd w:id="2"/>
    </w:p>
    <w:p w14:paraId="16AD04E6" w14:textId="77777777" w:rsidR="000E0F30" w:rsidRPr="00B50B0F" w:rsidRDefault="000E0F30" w:rsidP="000E0F30">
      <w:pPr>
        <w:shd w:val="clear" w:color="auto" w:fill="FFFFFF"/>
        <w:spacing w:after="0" w:line="360" w:lineRule="auto"/>
        <w:ind w:firstLine="284"/>
        <w:jc w:val="both"/>
        <w:rPr>
          <w:rFonts w:ascii="Arial" w:eastAsia="Times New Roman" w:hAnsi="Arial" w:cs="Arial"/>
          <w:color w:val="000000"/>
          <w:sz w:val="24"/>
          <w:szCs w:val="24"/>
          <w:lang w:eastAsia="en-GB"/>
        </w:rPr>
      </w:pPr>
      <w:r w:rsidRPr="00B50B0F">
        <w:rPr>
          <w:rFonts w:ascii="Arial" w:eastAsia="Times New Roman" w:hAnsi="Arial" w:cs="Arial"/>
          <w:color w:val="000000"/>
          <w:sz w:val="24"/>
          <w:szCs w:val="24"/>
          <w:lang w:eastAsia="en-GB"/>
        </w:rPr>
        <w:t>Even the greatest hotels may have trouble drawing and keeping guests due to the ferocity of competition in the hospitality industry.</w:t>
      </w:r>
    </w:p>
    <w:p w14:paraId="06A19E23" w14:textId="77777777" w:rsidR="000E0F30" w:rsidRPr="00B50B0F" w:rsidRDefault="000E0F30" w:rsidP="000E0F30">
      <w:pPr>
        <w:spacing w:line="360" w:lineRule="auto"/>
        <w:ind w:firstLine="284"/>
        <w:jc w:val="both"/>
        <w:rPr>
          <w:rFonts w:ascii="Arial" w:eastAsia="Times New Roman" w:hAnsi="Arial" w:cs="Arial"/>
          <w:color w:val="000000"/>
          <w:sz w:val="24"/>
          <w:szCs w:val="24"/>
          <w:lang w:eastAsia="en-GB"/>
        </w:rPr>
      </w:pPr>
      <w:r w:rsidRPr="00B50B0F">
        <w:rPr>
          <w:rFonts w:ascii="Arial" w:eastAsia="Times New Roman" w:hAnsi="Arial" w:cs="Arial"/>
          <w:color w:val="000000"/>
          <w:sz w:val="24"/>
          <w:szCs w:val="24"/>
          <w:lang w:eastAsia="en-GB"/>
        </w:rPr>
        <w:t>In both domestic and international markets, each of Marriott's brand names and its vacation rental offering compete with a wide variety of other lodging options. Recessions and other international, national, and regional issues may have a multiplied effect on financial gains and expansion.</w:t>
      </w:r>
    </w:p>
    <w:p w14:paraId="45159320" w14:textId="6FB0D62F" w:rsidR="00017682" w:rsidRPr="00B50B0F" w:rsidRDefault="007015F1" w:rsidP="000E0F30">
      <w:pPr>
        <w:spacing w:line="360" w:lineRule="auto"/>
        <w:ind w:firstLine="284"/>
        <w:jc w:val="both"/>
        <w:rPr>
          <w:rFonts w:ascii="Arial" w:hAnsi="Arial" w:cs="Arial"/>
          <w:sz w:val="24"/>
          <w:szCs w:val="24"/>
        </w:rPr>
      </w:pPr>
      <w:r w:rsidRPr="00B50B0F">
        <w:rPr>
          <w:rFonts w:ascii="Arial" w:hAnsi="Arial" w:cs="Arial"/>
          <w:sz w:val="24"/>
          <w:szCs w:val="24"/>
        </w:rPr>
        <w:lastRenderedPageBreak/>
        <w:t>Using this report, Marriott will be able to gauge its own success for year 2021 in comparison with year 2020</w:t>
      </w:r>
      <w:r w:rsidR="00017682" w:rsidRPr="00B50B0F">
        <w:rPr>
          <w:rFonts w:ascii="Arial" w:hAnsi="Arial" w:cs="Arial"/>
          <w:sz w:val="24"/>
          <w:szCs w:val="24"/>
        </w:rPr>
        <w:t>.</w:t>
      </w:r>
      <w:r w:rsidR="00017682" w:rsidRPr="00B50B0F">
        <w:rPr>
          <w:rFonts w:ascii="Arial" w:hAnsi="Arial" w:cs="Arial"/>
          <w:noProof/>
          <w:sz w:val="24"/>
          <w:szCs w:val="24"/>
        </w:rPr>
        <w:drawing>
          <wp:inline distT="0" distB="0" distL="0" distR="0" wp14:anchorId="02AF3046" wp14:editId="5D314266">
            <wp:extent cx="5731510" cy="4215765"/>
            <wp:effectExtent l="0" t="0" r="254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9">
                      <a:duotone>
                        <a:prstClr val="black"/>
                        <a:schemeClr val="accent1">
                          <a:tint val="45000"/>
                          <a:satMod val="400000"/>
                        </a:schemeClr>
                      </a:duotone>
                    </a:blip>
                    <a:stretch>
                      <a:fillRect/>
                    </a:stretch>
                  </pic:blipFill>
                  <pic:spPr>
                    <a:xfrm>
                      <a:off x="0" y="0"/>
                      <a:ext cx="5731510" cy="4215765"/>
                    </a:xfrm>
                    <a:prstGeom prst="rect">
                      <a:avLst/>
                    </a:prstGeom>
                  </pic:spPr>
                </pic:pic>
              </a:graphicData>
            </a:graphic>
          </wp:inline>
        </w:drawing>
      </w:r>
    </w:p>
    <w:p w14:paraId="3769C3CA" w14:textId="77777777" w:rsidR="00017682" w:rsidRPr="00B50B0F" w:rsidRDefault="00017682" w:rsidP="000E0F30">
      <w:pPr>
        <w:spacing w:line="360" w:lineRule="auto"/>
        <w:jc w:val="both"/>
        <w:rPr>
          <w:rFonts w:ascii="Arial" w:hAnsi="Arial" w:cs="Arial"/>
          <w:sz w:val="24"/>
          <w:szCs w:val="24"/>
        </w:rPr>
      </w:pPr>
    </w:p>
    <w:p w14:paraId="7058888C" w14:textId="77777777" w:rsidR="00017682" w:rsidRPr="00B50B0F" w:rsidRDefault="00017682" w:rsidP="000E0F30">
      <w:pPr>
        <w:pStyle w:val="Heading2"/>
        <w:spacing w:line="360" w:lineRule="auto"/>
        <w:ind w:firstLine="284"/>
        <w:jc w:val="both"/>
        <w:rPr>
          <w:rFonts w:ascii="Arial" w:hAnsi="Arial" w:cs="Arial"/>
          <w:b/>
          <w:bCs/>
          <w:sz w:val="24"/>
          <w:szCs w:val="24"/>
        </w:rPr>
      </w:pPr>
      <w:bookmarkStart w:id="3" w:name="_Toc121151783"/>
      <w:r w:rsidRPr="00B50B0F">
        <w:rPr>
          <w:rFonts w:ascii="Arial" w:hAnsi="Arial" w:cs="Arial"/>
          <w:b/>
          <w:bCs/>
          <w:sz w:val="24"/>
          <w:szCs w:val="24"/>
        </w:rPr>
        <w:t>Profitability</w:t>
      </w:r>
      <w:bookmarkEnd w:id="3"/>
    </w:p>
    <w:p w14:paraId="3C7BC87B" w14:textId="22791F0B" w:rsidR="007015F1" w:rsidRDefault="006C05F3" w:rsidP="000E0F30">
      <w:pPr>
        <w:spacing w:line="360" w:lineRule="auto"/>
        <w:ind w:firstLine="284"/>
        <w:jc w:val="both"/>
        <w:rPr>
          <w:rFonts w:ascii="Arial" w:hAnsi="Arial" w:cs="Arial"/>
          <w:sz w:val="24"/>
          <w:szCs w:val="24"/>
        </w:rPr>
      </w:pPr>
      <w:r w:rsidRPr="00B50B0F">
        <w:rPr>
          <w:rFonts w:ascii="Arial" w:hAnsi="Arial" w:cs="Arial"/>
          <w:sz w:val="24"/>
          <w:szCs w:val="24"/>
        </w:rPr>
        <w:t xml:space="preserve">Profitability ratios are used by analysts and investors to </w:t>
      </w:r>
      <w:proofErr w:type="spellStart"/>
      <w:r w:rsidRPr="00B50B0F">
        <w:rPr>
          <w:rFonts w:ascii="Arial" w:hAnsi="Arial" w:cs="Arial"/>
          <w:sz w:val="24"/>
          <w:szCs w:val="24"/>
        </w:rPr>
        <w:t>analyze</w:t>
      </w:r>
      <w:proofErr w:type="spellEnd"/>
      <w:r w:rsidRPr="00B50B0F">
        <w:rPr>
          <w:rFonts w:ascii="Arial" w:hAnsi="Arial" w:cs="Arial"/>
          <w:sz w:val="24"/>
          <w:szCs w:val="24"/>
        </w:rPr>
        <w:t xml:space="preserve"> a company's financial performance in the context of key financial indicators including revenue, assets, balance sheet, operating expenditures, and shareholders' equity throughout the course of a certain </w:t>
      </w:r>
      <w:proofErr w:type="gramStart"/>
      <w:r w:rsidRPr="00B50B0F">
        <w:rPr>
          <w:rFonts w:ascii="Arial" w:hAnsi="Arial" w:cs="Arial"/>
          <w:sz w:val="24"/>
          <w:szCs w:val="24"/>
        </w:rPr>
        <w:t>time period</w:t>
      </w:r>
      <w:proofErr w:type="gramEnd"/>
      <w:r w:rsidRPr="00B50B0F">
        <w:rPr>
          <w:rFonts w:ascii="Arial" w:hAnsi="Arial" w:cs="Arial"/>
          <w:sz w:val="24"/>
          <w:szCs w:val="24"/>
        </w:rPr>
        <w:t>. They provide insight into the effectiveness with which a company converts its resources into profits for its shareholders.</w:t>
      </w:r>
      <w:r w:rsidRPr="00B50B0F">
        <w:rPr>
          <w:rFonts w:ascii="Arial" w:hAnsi="Arial" w:cs="Arial"/>
          <w:sz w:val="24"/>
          <w:szCs w:val="24"/>
        </w:rPr>
        <w:t xml:space="preserve"> </w:t>
      </w:r>
      <w:r w:rsidR="00DA140D">
        <w:rPr>
          <w:rFonts w:ascii="Arial" w:hAnsi="Arial" w:cs="Arial"/>
          <w:sz w:val="24"/>
          <w:szCs w:val="24"/>
        </w:rPr>
        <w:t>(</w:t>
      </w:r>
      <w:proofErr w:type="spellStart"/>
      <w:r w:rsidR="00DA140D" w:rsidRPr="000E0F30">
        <w:rPr>
          <w:rFonts w:ascii="Arial" w:hAnsi="Arial" w:cs="Arial"/>
          <w:sz w:val="24"/>
          <w:szCs w:val="24"/>
        </w:rPr>
        <w:t>Saleem.Q</w:t>
      </w:r>
      <w:proofErr w:type="spellEnd"/>
      <w:r w:rsidR="00DA140D" w:rsidRPr="000E0F30">
        <w:rPr>
          <w:rFonts w:ascii="Arial" w:hAnsi="Arial" w:cs="Arial"/>
          <w:sz w:val="24"/>
          <w:szCs w:val="24"/>
        </w:rPr>
        <w:t xml:space="preserve">. 2011). </w:t>
      </w:r>
      <w:r w:rsidR="007015F1" w:rsidRPr="00B50B0F">
        <w:rPr>
          <w:rFonts w:ascii="Arial" w:hAnsi="Arial" w:cs="Arial"/>
          <w:sz w:val="24"/>
          <w:szCs w:val="24"/>
        </w:rPr>
        <w:t xml:space="preserve">As can be observed in the preceding section, </w:t>
      </w:r>
      <w:proofErr w:type="gramStart"/>
      <w:r w:rsidR="007015F1" w:rsidRPr="00B50B0F">
        <w:rPr>
          <w:rFonts w:ascii="Arial" w:hAnsi="Arial" w:cs="Arial"/>
          <w:sz w:val="24"/>
          <w:szCs w:val="24"/>
        </w:rPr>
        <w:t>taking into account</w:t>
      </w:r>
      <w:proofErr w:type="gramEnd"/>
      <w:r w:rsidR="007015F1" w:rsidRPr="00B50B0F">
        <w:rPr>
          <w:rFonts w:ascii="Arial" w:hAnsi="Arial" w:cs="Arial"/>
          <w:sz w:val="24"/>
          <w:szCs w:val="24"/>
        </w:rPr>
        <w:t xml:space="preserve"> the effects of Covid-19, altogether Marriott International has performed better than other businesses, as seen by the growth of 10.46% in the Net Profit Margin in 2021.</w:t>
      </w:r>
    </w:p>
    <w:p w14:paraId="129E8661" w14:textId="3F17C85F" w:rsidR="000E0F30" w:rsidRPr="00B50B0F" w:rsidRDefault="000E0F30" w:rsidP="000E0F30">
      <w:pPr>
        <w:spacing w:line="360" w:lineRule="auto"/>
        <w:ind w:firstLine="284"/>
        <w:jc w:val="both"/>
        <w:rPr>
          <w:rFonts w:ascii="Arial" w:hAnsi="Arial" w:cs="Arial"/>
          <w:sz w:val="24"/>
          <w:szCs w:val="24"/>
        </w:rPr>
      </w:pPr>
      <w:r>
        <w:rPr>
          <w:noProof/>
        </w:rPr>
        <w:lastRenderedPageBreak/>
        <w:drawing>
          <wp:inline distT="0" distB="0" distL="0" distR="0" wp14:anchorId="0E6EC2B3" wp14:editId="6C373903">
            <wp:extent cx="5731510" cy="3956050"/>
            <wp:effectExtent l="0" t="0" r="2540" b="6350"/>
            <wp:docPr id="23" name="Chart 23">
              <a:extLst xmlns:a="http://schemas.openxmlformats.org/drawingml/2006/main">
                <a:ext uri="{FF2B5EF4-FFF2-40B4-BE49-F238E27FC236}">
                  <a16:creationId xmlns:a16="http://schemas.microsoft.com/office/drawing/2014/main" id="{F799121A-BB9B-E49E-B7DE-BFC4C1893C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CBE5A0C" w14:textId="77777777" w:rsidR="006C05F3" w:rsidRPr="00B50B0F" w:rsidRDefault="00017682" w:rsidP="000E0F30">
      <w:pPr>
        <w:spacing w:after="0" w:line="360" w:lineRule="auto"/>
        <w:ind w:left="-5" w:right="49" w:firstLine="284"/>
        <w:jc w:val="both"/>
        <w:rPr>
          <w:rFonts w:ascii="Arial" w:eastAsia="Times New Roman" w:hAnsi="Arial" w:cs="Arial"/>
          <w:color w:val="000000"/>
          <w:sz w:val="24"/>
          <w:szCs w:val="24"/>
        </w:rPr>
      </w:pPr>
      <w:r w:rsidRPr="00B50B0F">
        <w:rPr>
          <w:rFonts w:ascii="Arial" w:eastAsia="Times New Roman" w:hAnsi="Arial" w:cs="Arial"/>
          <w:color w:val="000000"/>
          <w:sz w:val="24"/>
          <w:szCs w:val="24"/>
        </w:rPr>
        <w:t>Return on equity (ROE) is a useful indicator of financial performance. The attractiveness of an investment may be measured using this ratio, making it a crucial metric for investors to consider</w:t>
      </w:r>
      <w:r w:rsidRPr="00B50B0F">
        <w:rPr>
          <w:rFonts w:ascii="Arial" w:eastAsia="Times New Roman" w:hAnsi="Arial" w:cs="Arial"/>
          <w:color w:val="000000"/>
          <w:sz w:val="24"/>
          <w:szCs w:val="24"/>
        </w:rPr>
        <w:t>.</w:t>
      </w:r>
    </w:p>
    <w:p w14:paraId="07C89A46" w14:textId="0C644F30" w:rsidR="00017682" w:rsidRPr="00B50B0F" w:rsidRDefault="00017682" w:rsidP="000E0F30">
      <w:pPr>
        <w:spacing w:after="0" w:line="360" w:lineRule="auto"/>
        <w:ind w:left="-5" w:right="49" w:firstLine="284"/>
        <w:jc w:val="both"/>
        <w:rPr>
          <w:rFonts w:ascii="Arial" w:hAnsi="Arial" w:cs="Arial"/>
          <w:sz w:val="24"/>
          <w:szCs w:val="24"/>
        </w:rPr>
      </w:pPr>
      <w:r w:rsidRPr="00B50B0F">
        <w:rPr>
          <w:rFonts w:ascii="Arial" w:eastAsia="Times New Roman" w:hAnsi="Arial" w:cs="Arial"/>
          <w:color w:val="000000"/>
          <w:sz w:val="24"/>
          <w:szCs w:val="24"/>
        </w:rPr>
        <w:t xml:space="preserve"> </w:t>
      </w:r>
      <w:r w:rsidR="006C05F3" w:rsidRPr="00B50B0F">
        <w:rPr>
          <w:rFonts w:ascii="Arial" w:eastAsia="Times New Roman" w:hAnsi="Arial" w:cs="Arial"/>
          <w:color w:val="000000"/>
          <w:sz w:val="24"/>
          <w:szCs w:val="24"/>
        </w:rPr>
        <w:t xml:space="preserve">According to the analysis that is presented below, Marriott had a negative percentage of -62.09 </w:t>
      </w:r>
      <w:proofErr w:type="gramStart"/>
      <w:r w:rsidR="006C05F3" w:rsidRPr="00B50B0F">
        <w:rPr>
          <w:rFonts w:ascii="Arial" w:eastAsia="Times New Roman" w:hAnsi="Arial" w:cs="Arial"/>
          <w:color w:val="000000"/>
          <w:sz w:val="24"/>
          <w:szCs w:val="24"/>
        </w:rPr>
        <w:t>at</w:t>
      </w:r>
      <w:proofErr w:type="gramEnd"/>
      <w:r w:rsidR="006C05F3" w:rsidRPr="00B50B0F">
        <w:rPr>
          <w:rFonts w:ascii="Arial" w:eastAsia="Times New Roman" w:hAnsi="Arial" w:cs="Arial"/>
          <w:color w:val="000000"/>
          <w:sz w:val="24"/>
          <w:szCs w:val="24"/>
        </w:rPr>
        <w:t xml:space="preserve"> the 31st of December 2020 due to Covid-19. However, this difference increased by 140% at the end of 2021, reaching 77.72%; as a result, Marriott is </w:t>
      </w:r>
      <w:proofErr w:type="gramStart"/>
      <w:r w:rsidR="006C05F3" w:rsidRPr="00B50B0F">
        <w:rPr>
          <w:rFonts w:ascii="Arial" w:eastAsia="Times New Roman" w:hAnsi="Arial" w:cs="Arial"/>
          <w:color w:val="000000"/>
          <w:sz w:val="24"/>
          <w:szCs w:val="24"/>
        </w:rPr>
        <w:t>in a position</w:t>
      </w:r>
      <w:proofErr w:type="gramEnd"/>
      <w:r w:rsidR="006C05F3" w:rsidRPr="00B50B0F">
        <w:rPr>
          <w:rFonts w:ascii="Arial" w:eastAsia="Times New Roman" w:hAnsi="Arial" w:cs="Arial"/>
          <w:color w:val="000000"/>
          <w:sz w:val="24"/>
          <w:szCs w:val="24"/>
        </w:rPr>
        <w:t xml:space="preserve"> to have an advantage over its competitors.</w:t>
      </w:r>
      <w:r w:rsidR="000E0F30">
        <w:rPr>
          <w:rFonts w:ascii="Arial" w:hAnsi="Arial" w:cs="Arial"/>
          <w:sz w:val="24"/>
          <w:szCs w:val="24"/>
        </w:rPr>
        <w:t xml:space="preserve"> (</w:t>
      </w:r>
      <w:r w:rsidR="000E0F30" w:rsidRPr="000E0F30">
        <w:rPr>
          <w:rFonts w:ascii="Arial" w:hAnsi="Arial" w:cs="Arial"/>
          <w:sz w:val="24"/>
          <w:szCs w:val="24"/>
        </w:rPr>
        <w:t>Marriott International, 2021)</w:t>
      </w:r>
      <w:r w:rsidR="000E0F30">
        <w:rPr>
          <w:rFonts w:ascii="Arial" w:hAnsi="Arial" w:cs="Arial"/>
          <w:sz w:val="24"/>
          <w:szCs w:val="24"/>
        </w:rPr>
        <w:t>.</w:t>
      </w:r>
    </w:p>
    <w:p w14:paraId="35D33544" w14:textId="450ECE68" w:rsidR="00017682" w:rsidRPr="00B50B0F" w:rsidRDefault="00017682" w:rsidP="000E0F30">
      <w:pPr>
        <w:spacing w:after="373" w:line="360" w:lineRule="auto"/>
        <w:ind w:firstLine="284"/>
        <w:jc w:val="both"/>
        <w:rPr>
          <w:rFonts w:ascii="Arial" w:hAnsi="Arial" w:cs="Arial"/>
          <w:sz w:val="24"/>
          <w:szCs w:val="24"/>
        </w:rPr>
      </w:pPr>
      <w:r w:rsidRPr="00B50B0F">
        <w:rPr>
          <w:rFonts w:ascii="Arial" w:hAnsi="Arial" w:cs="Arial"/>
          <w:noProof/>
          <w:sz w:val="24"/>
          <w:szCs w:val="24"/>
        </w:rPr>
        <w:drawing>
          <wp:inline distT="0" distB="0" distL="0" distR="0" wp14:anchorId="2E76262A" wp14:editId="01DF387F">
            <wp:extent cx="5033297" cy="902826"/>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1">
                      <a:duotone>
                        <a:prstClr val="black"/>
                        <a:schemeClr val="accent1">
                          <a:tint val="45000"/>
                          <a:satMod val="400000"/>
                        </a:schemeClr>
                      </a:duotone>
                    </a:blip>
                    <a:stretch>
                      <a:fillRect/>
                    </a:stretch>
                  </pic:blipFill>
                  <pic:spPr>
                    <a:xfrm>
                      <a:off x="0" y="0"/>
                      <a:ext cx="5091783" cy="913317"/>
                    </a:xfrm>
                    <a:prstGeom prst="rect">
                      <a:avLst/>
                    </a:prstGeom>
                  </pic:spPr>
                </pic:pic>
              </a:graphicData>
            </a:graphic>
          </wp:inline>
        </w:drawing>
      </w:r>
    </w:p>
    <w:p w14:paraId="038F2E9F" w14:textId="04DBC55C" w:rsidR="00017682" w:rsidRPr="00B50B0F" w:rsidRDefault="00017682" w:rsidP="000E0F30">
      <w:pPr>
        <w:spacing w:after="361" w:line="360" w:lineRule="auto"/>
        <w:ind w:left="21" w:right="56" w:firstLine="284"/>
        <w:rPr>
          <w:rFonts w:ascii="Arial" w:hAnsi="Arial" w:cs="Arial"/>
          <w:sz w:val="24"/>
          <w:szCs w:val="24"/>
        </w:rPr>
      </w:pPr>
      <w:r w:rsidRPr="00B50B0F">
        <w:rPr>
          <w:rFonts w:ascii="Arial" w:hAnsi="Arial" w:cs="Arial"/>
          <w:sz w:val="24"/>
          <w:szCs w:val="24"/>
        </w:rPr>
        <w:t xml:space="preserve">One measure of a company's financial performance is the gross margin ratio, which measures the proportion of gross profit to total sales. After deducting the cost of items sold, it reveals the net profit for the firm. The Gross Margin for Marriott </w:t>
      </w:r>
      <w:r w:rsidRPr="00B50B0F">
        <w:rPr>
          <w:rFonts w:ascii="Arial" w:hAnsi="Arial" w:cs="Arial"/>
          <w:sz w:val="24"/>
          <w:szCs w:val="24"/>
        </w:rPr>
        <w:lastRenderedPageBreak/>
        <w:t>increased by 6.41 percent from 2020 to 2021.</w:t>
      </w:r>
      <w:r w:rsidRPr="00B50B0F">
        <w:rPr>
          <w:rFonts w:ascii="Arial" w:hAnsi="Arial" w:cs="Arial"/>
          <w:noProof/>
          <w:sz w:val="24"/>
          <w:szCs w:val="24"/>
        </w:rPr>
        <w:drawing>
          <wp:inline distT="0" distB="0" distL="0" distR="0" wp14:anchorId="26FC4029" wp14:editId="1EDABB96">
            <wp:extent cx="5731510" cy="1142365"/>
            <wp:effectExtent l="0" t="0" r="2540" b="635"/>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2">
                      <a:duotone>
                        <a:prstClr val="black"/>
                        <a:schemeClr val="accent1">
                          <a:tint val="45000"/>
                          <a:satMod val="400000"/>
                        </a:schemeClr>
                      </a:duotone>
                    </a:blip>
                    <a:stretch>
                      <a:fillRect/>
                    </a:stretch>
                  </pic:blipFill>
                  <pic:spPr>
                    <a:xfrm>
                      <a:off x="0" y="0"/>
                      <a:ext cx="5731510" cy="1142365"/>
                    </a:xfrm>
                    <a:prstGeom prst="rect">
                      <a:avLst/>
                    </a:prstGeom>
                  </pic:spPr>
                </pic:pic>
              </a:graphicData>
            </a:graphic>
          </wp:inline>
        </w:drawing>
      </w:r>
    </w:p>
    <w:p w14:paraId="7A9F2A2B" w14:textId="424422E1" w:rsidR="009A2C16" w:rsidRPr="00B50B0F" w:rsidRDefault="006C05F3" w:rsidP="000E0F30">
      <w:pPr>
        <w:spacing w:line="360" w:lineRule="auto"/>
        <w:ind w:left="21" w:right="56" w:firstLine="284"/>
        <w:jc w:val="both"/>
        <w:rPr>
          <w:rFonts w:ascii="Arial" w:hAnsi="Arial" w:cs="Arial"/>
          <w:sz w:val="24"/>
          <w:szCs w:val="24"/>
        </w:rPr>
      </w:pPr>
      <w:r w:rsidRPr="00B50B0F">
        <w:rPr>
          <w:rFonts w:ascii="Arial" w:hAnsi="Arial" w:cs="Arial"/>
          <w:sz w:val="24"/>
          <w:szCs w:val="24"/>
        </w:rPr>
        <w:t>When calculating a company's profitability, it's important to look at how much money is coming in from operations before subtracting the costs of items like taxes and interest. The 11.83% year-over-year growth in Marriott operating profit margin between 2020-2021 reflects the company's performance and its ability to effectively manage expenses.</w:t>
      </w:r>
      <w:r w:rsidR="009A2C16" w:rsidRPr="00B50B0F">
        <w:rPr>
          <w:rFonts w:ascii="Arial" w:hAnsi="Arial" w:cs="Arial"/>
          <w:noProof/>
          <w:sz w:val="24"/>
          <w:szCs w:val="24"/>
        </w:rPr>
        <w:drawing>
          <wp:inline distT="0" distB="0" distL="0" distR="0" wp14:anchorId="410920F1" wp14:editId="25C4BA4D">
            <wp:extent cx="5731510" cy="892810"/>
            <wp:effectExtent l="0" t="0" r="2540" b="2540"/>
            <wp:docPr id="9" name="Picture 9"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chart, application&#10;&#10;Description automatically generated"/>
                    <pic:cNvPicPr/>
                  </pic:nvPicPr>
                  <pic:blipFill>
                    <a:blip r:embed="rId13">
                      <a:duotone>
                        <a:prstClr val="black"/>
                        <a:schemeClr val="accent1">
                          <a:tint val="45000"/>
                          <a:satMod val="400000"/>
                        </a:schemeClr>
                      </a:duotone>
                    </a:blip>
                    <a:stretch>
                      <a:fillRect/>
                    </a:stretch>
                  </pic:blipFill>
                  <pic:spPr>
                    <a:xfrm>
                      <a:off x="0" y="0"/>
                      <a:ext cx="5731510" cy="892810"/>
                    </a:xfrm>
                    <a:prstGeom prst="rect">
                      <a:avLst/>
                    </a:prstGeom>
                  </pic:spPr>
                </pic:pic>
              </a:graphicData>
            </a:graphic>
          </wp:inline>
        </w:drawing>
      </w:r>
    </w:p>
    <w:p w14:paraId="4AFAE1D6" w14:textId="435ABB22" w:rsidR="00D94F4F" w:rsidRPr="00B50B0F" w:rsidRDefault="00D94F4F" w:rsidP="000E0F30">
      <w:pPr>
        <w:spacing w:line="360" w:lineRule="auto"/>
        <w:ind w:left="21" w:right="56" w:firstLine="284"/>
        <w:jc w:val="both"/>
        <w:rPr>
          <w:rFonts w:ascii="Arial" w:hAnsi="Arial" w:cs="Arial"/>
          <w:b/>
          <w:bCs/>
          <w:sz w:val="24"/>
          <w:szCs w:val="24"/>
        </w:rPr>
      </w:pPr>
      <w:r w:rsidRPr="00B50B0F">
        <w:rPr>
          <w:rFonts w:ascii="Arial" w:hAnsi="Arial" w:cs="Arial"/>
          <w:b/>
          <w:bCs/>
          <w:sz w:val="24"/>
          <w:szCs w:val="24"/>
        </w:rPr>
        <w:t>A company's profitability is expressed as a percentage of sales through the net profit margin ratio, sometimes known simply as net profit margin. It measures how much money a business makes off each dollar it brings in via sales. To calculate net profit margin, take net profit and divide it by total revenue. Growth for Marriott was 10.46% in 2021 compared to a net profit margin of -2.53% in 2020.</w:t>
      </w:r>
    </w:p>
    <w:p w14:paraId="2F020B8B" w14:textId="4652C8AC" w:rsidR="009A2C16" w:rsidRPr="00B50B0F" w:rsidRDefault="009A2C16" w:rsidP="000E0F30">
      <w:pPr>
        <w:spacing w:line="360" w:lineRule="auto"/>
        <w:ind w:left="21" w:right="56" w:firstLine="284"/>
        <w:jc w:val="both"/>
        <w:rPr>
          <w:rFonts w:ascii="Arial" w:hAnsi="Arial" w:cs="Arial"/>
          <w:sz w:val="24"/>
          <w:szCs w:val="24"/>
        </w:rPr>
      </w:pPr>
      <w:r w:rsidRPr="00B50B0F">
        <w:rPr>
          <w:rFonts w:ascii="Arial" w:hAnsi="Arial" w:cs="Arial"/>
          <w:noProof/>
          <w:sz w:val="24"/>
          <w:szCs w:val="24"/>
        </w:rPr>
        <w:drawing>
          <wp:inline distT="0" distB="0" distL="0" distR="0" wp14:anchorId="70E94E3D" wp14:editId="413183AC">
            <wp:extent cx="5731510" cy="762635"/>
            <wp:effectExtent l="0" t="0" r="254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4">
                      <a:duotone>
                        <a:prstClr val="black"/>
                        <a:schemeClr val="accent1">
                          <a:tint val="45000"/>
                          <a:satMod val="400000"/>
                        </a:schemeClr>
                      </a:duotone>
                    </a:blip>
                    <a:stretch>
                      <a:fillRect/>
                    </a:stretch>
                  </pic:blipFill>
                  <pic:spPr>
                    <a:xfrm>
                      <a:off x="0" y="0"/>
                      <a:ext cx="5731510" cy="762635"/>
                    </a:xfrm>
                    <a:prstGeom prst="rect">
                      <a:avLst/>
                    </a:prstGeom>
                  </pic:spPr>
                </pic:pic>
              </a:graphicData>
            </a:graphic>
          </wp:inline>
        </w:drawing>
      </w:r>
    </w:p>
    <w:p w14:paraId="3C20B8F3" w14:textId="77777777" w:rsidR="009A2C16" w:rsidRPr="00B50B0F" w:rsidRDefault="009A2C16" w:rsidP="000E0F30">
      <w:pPr>
        <w:pStyle w:val="Heading2"/>
        <w:spacing w:line="360" w:lineRule="auto"/>
        <w:ind w:firstLine="284"/>
        <w:jc w:val="both"/>
        <w:rPr>
          <w:rFonts w:ascii="Arial" w:hAnsi="Arial" w:cs="Arial"/>
          <w:b/>
          <w:bCs/>
          <w:sz w:val="24"/>
          <w:szCs w:val="24"/>
        </w:rPr>
      </w:pPr>
      <w:bookmarkStart w:id="4" w:name="_Toc121151784"/>
      <w:r w:rsidRPr="00B50B0F">
        <w:rPr>
          <w:rFonts w:ascii="Arial" w:hAnsi="Arial" w:cs="Arial"/>
          <w:b/>
          <w:bCs/>
          <w:sz w:val="24"/>
          <w:szCs w:val="24"/>
        </w:rPr>
        <w:t>Liquidity</w:t>
      </w:r>
      <w:bookmarkEnd w:id="4"/>
    </w:p>
    <w:p w14:paraId="03ACB3B0" w14:textId="4187D007" w:rsidR="009A2C16" w:rsidRPr="00B50B0F" w:rsidRDefault="009A2C16" w:rsidP="000E0F30">
      <w:pPr>
        <w:spacing w:after="8" w:line="360" w:lineRule="auto"/>
        <w:ind w:firstLine="284"/>
        <w:jc w:val="both"/>
        <w:rPr>
          <w:rFonts w:ascii="Arial" w:hAnsi="Arial" w:cs="Arial"/>
          <w:sz w:val="24"/>
          <w:szCs w:val="24"/>
        </w:rPr>
      </w:pPr>
      <w:r w:rsidRPr="00B50B0F">
        <w:rPr>
          <w:rFonts w:ascii="Arial" w:hAnsi="Arial" w:cs="Arial"/>
          <w:sz w:val="24"/>
          <w:szCs w:val="24"/>
        </w:rPr>
        <w:t xml:space="preserve">An important part of any financial analysis is the liquidity ratio, which emphasises the obligations to make payments despite taking into consideration less costly and debtors' expenditures, such as an inadequate term loan in comparison to long-term debt. </w:t>
      </w:r>
      <w:r w:rsidR="00D94F4F" w:rsidRPr="00B50B0F">
        <w:rPr>
          <w:rFonts w:ascii="Arial" w:hAnsi="Arial" w:cs="Arial"/>
          <w:sz w:val="24"/>
          <w:szCs w:val="24"/>
        </w:rPr>
        <w:t>Having a negative balance of -1.46% by the end of 2021 indicates that Marriott will not be able to meet its short-term obligations using funds produced from core activities.</w:t>
      </w:r>
    </w:p>
    <w:p w14:paraId="61E357E5" w14:textId="541DF3A9" w:rsidR="009A2C16" w:rsidRPr="00B50B0F" w:rsidRDefault="009A2C16" w:rsidP="000E0F30">
      <w:pPr>
        <w:spacing w:after="8" w:line="360" w:lineRule="auto"/>
        <w:ind w:firstLine="284"/>
        <w:jc w:val="both"/>
        <w:rPr>
          <w:rFonts w:ascii="Arial" w:hAnsi="Arial" w:cs="Arial"/>
          <w:sz w:val="24"/>
          <w:szCs w:val="24"/>
        </w:rPr>
      </w:pPr>
      <w:r w:rsidRPr="00B50B0F">
        <w:rPr>
          <w:rFonts w:ascii="Arial" w:hAnsi="Arial" w:cs="Arial"/>
          <w:noProof/>
          <w:sz w:val="24"/>
          <w:szCs w:val="24"/>
        </w:rPr>
        <w:lastRenderedPageBreak/>
        <w:drawing>
          <wp:inline distT="0" distB="0" distL="0" distR="0" wp14:anchorId="1C198339" wp14:editId="20574781">
            <wp:extent cx="5731510" cy="1113155"/>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5">
                      <a:duotone>
                        <a:prstClr val="black"/>
                        <a:schemeClr val="accent1">
                          <a:tint val="45000"/>
                          <a:satMod val="400000"/>
                        </a:schemeClr>
                      </a:duotone>
                    </a:blip>
                    <a:stretch>
                      <a:fillRect/>
                    </a:stretch>
                  </pic:blipFill>
                  <pic:spPr>
                    <a:xfrm>
                      <a:off x="0" y="0"/>
                      <a:ext cx="5731510" cy="1113155"/>
                    </a:xfrm>
                    <a:prstGeom prst="rect">
                      <a:avLst/>
                    </a:prstGeom>
                  </pic:spPr>
                </pic:pic>
              </a:graphicData>
            </a:graphic>
          </wp:inline>
        </w:drawing>
      </w:r>
    </w:p>
    <w:p w14:paraId="1C78F79B" w14:textId="35A700BE" w:rsidR="009A2C16" w:rsidRPr="00B50B0F" w:rsidRDefault="009A2C16" w:rsidP="000E0F30">
      <w:pPr>
        <w:spacing w:after="0" w:line="360" w:lineRule="auto"/>
        <w:ind w:firstLine="284"/>
        <w:jc w:val="both"/>
        <w:rPr>
          <w:rFonts w:ascii="Arial" w:hAnsi="Arial" w:cs="Arial"/>
          <w:sz w:val="24"/>
          <w:szCs w:val="24"/>
        </w:rPr>
      </w:pPr>
      <w:r w:rsidRPr="00B50B0F">
        <w:rPr>
          <w:rFonts w:ascii="Arial" w:eastAsia="Times New Roman" w:hAnsi="Arial" w:cs="Arial"/>
          <w:color w:val="000000"/>
          <w:sz w:val="24"/>
          <w:szCs w:val="24"/>
        </w:rPr>
        <w:tab/>
      </w:r>
      <w:r w:rsidRPr="00B50B0F">
        <w:rPr>
          <w:rFonts w:ascii="Arial" w:hAnsi="Arial" w:cs="Arial"/>
          <w:color w:val="000000"/>
          <w:sz w:val="24"/>
          <w:szCs w:val="24"/>
        </w:rPr>
        <w:t xml:space="preserve"> </w:t>
      </w:r>
    </w:p>
    <w:p w14:paraId="4247455B" w14:textId="3A7004D2" w:rsidR="00D74B40" w:rsidRPr="00B50B0F" w:rsidRDefault="009A2C16" w:rsidP="000E0F30">
      <w:pPr>
        <w:pStyle w:val="Heading2"/>
        <w:spacing w:line="360" w:lineRule="auto"/>
        <w:ind w:firstLine="284"/>
        <w:jc w:val="both"/>
        <w:rPr>
          <w:rFonts w:ascii="Arial" w:hAnsi="Arial" w:cs="Arial"/>
          <w:b/>
          <w:bCs/>
          <w:sz w:val="24"/>
          <w:szCs w:val="24"/>
        </w:rPr>
      </w:pPr>
      <w:bookmarkStart w:id="5" w:name="_Toc121151785"/>
      <w:r w:rsidRPr="00B50B0F">
        <w:rPr>
          <w:rFonts w:ascii="Arial" w:hAnsi="Arial" w:cs="Arial"/>
          <w:b/>
          <w:bCs/>
          <w:sz w:val="24"/>
          <w:szCs w:val="24"/>
        </w:rPr>
        <w:t>Gearing</w:t>
      </w:r>
      <w:bookmarkEnd w:id="5"/>
    </w:p>
    <w:p w14:paraId="07D0835A" w14:textId="0B4B83F1" w:rsidR="00D74B40" w:rsidRPr="00B50B0F" w:rsidRDefault="00D94F4F" w:rsidP="00DA140D">
      <w:pPr>
        <w:spacing w:after="361" w:line="360" w:lineRule="auto"/>
        <w:ind w:left="21" w:right="56" w:firstLine="284"/>
        <w:rPr>
          <w:rFonts w:ascii="Arial" w:hAnsi="Arial" w:cs="Arial"/>
          <w:color w:val="000000"/>
          <w:sz w:val="24"/>
          <w:szCs w:val="24"/>
        </w:rPr>
      </w:pPr>
      <w:r w:rsidRPr="00B50B0F">
        <w:rPr>
          <w:rFonts w:ascii="Arial" w:hAnsi="Arial" w:cs="Arial"/>
          <w:color w:val="000000"/>
          <w:sz w:val="24"/>
          <w:szCs w:val="24"/>
        </w:rPr>
        <w:t>A company's gearing ratio is the proportion of its equity to its total debt. Gearing is a measure of financial leverage that may be used to determine how much of a company's working capital comes from internal sources as opposed to borrowing from outside investors or creditors. The ratio of a company's long-term debt to its shareholders' equity is a measure of its degree of financial leverage. At the end of 2020, Marriott's debt to equity ratio was 24.13; at the end of 2021, it was 7.17, a difference of about -16%.</w:t>
      </w:r>
      <w:r w:rsidRPr="00B50B0F">
        <w:rPr>
          <w:rFonts w:ascii="Arial" w:hAnsi="Arial" w:cs="Arial"/>
          <w:color w:val="000000"/>
          <w:sz w:val="24"/>
          <w:szCs w:val="24"/>
        </w:rPr>
        <w:t xml:space="preserve"> </w:t>
      </w:r>
      <w:r w:rsidRPr="00B50B0F">
        <w:rPr>
          <w:rFonts w:ascii="Arial" w:hAnsi="Arial" w:cs="Arial"/>
          <w:color w:val="000000"/>
          <w:sz w:val="24"/>
          <w:szCs w:val="24"/>
        </w:rPr>
        <w:t xml:space="preserve">After accounting for fluctuations in cash and equivalents, Marriott's net debt was 8.7 billion dollars of 2021, with a total of $10.1 billion in debt and just 1.4 billion dollars in liquid assets. At the close of 2020, the company had accumulated $9.5 billion in net debt, or 10.4 billion dollars minus 0.9 billion dollars in cash and similar assets. </w:t>
      </w:r>
      <w:r w:rsidR="00DA140D">
        <w:rPr>
          <w:rFonts w:ascii="Arial" w:hAnsi="Arial" w:cs="Arial"/>
          <w:color w:val="000000"/>
          <w:sz w:val="24"/>
          <w:szCs w:val="24"/>
        </w:rPr>
        <w:t>(</w:t>
      </w:r>
      <w:r w:rsidR="00DA140D" w:rsidRPr="000E0F30">
        <w:rPr>
          <w:rFonts w:ascii="Arial" w:hAnsi="Arial" w:cs="Arial"/>
          <w:sz w:val="24"/>
          <w:szCs w:val="24"/>
        </w:rPr>
        <w:t>Marriott International, Inc. 2021)</w:t>
      </w:r>
      <w:r w:rsidR="00DA140D">
        <w:rPr>
          <w:rFonts w:ascii="Arial" w:hAnsi="Arial" w:cs="Arial"/>
          <w:sz w:val="24"/>
          <w:szCs w:val="24"/>
        </w:rPr>
        <w:t xml:space="preserve">. </w:t>
      </w:r>
      <w:r w:rsidRPr="00B50B0F">
        <w:rPr>
          <w:rFonts w:ascii="Arial" w:hAnsi="Arial" w:cs="Arial"/>
          <w:color w:val="000000"/>
          <w:sz w:val="24"/>
          <w:szCs w:val="24"/>
        </w:rPr>
        <w:t xml:space="preserve">Gearing ratios are most helpful to companies when compared with other similar ratios. When taken out of context, a gear ratio may have little significance. The gearing ratio might be useful information for everyone involved, both inside and outside of the company. Gearing ratios are higher for enterprises under regulation since they are permitted to take on more debt. Additionally, monopolistic firms often have higher gearing ratios since their dominant market position reduces the likelihood of default. </w:t>
      </w:r>
      <w:proofErr w:type="gramStart"/>
      <w:r w:rsidRPr="00B50B0F">
        <w:rPr>
          <w:rFonts w:ascii="Arial" w:hAnsi="Arial" w:cs="Arial"/>
          <w:color w:val="000000"/>
          <w:sz w:val="24"/>
          <w:szCs w:val="24"/>
        </w:rPr>
        <w:t>Last but not least</w:t>
      </w:r>
      <w:proofErr w:type="gramEnd"/>
      <w:r w:rsidRPr="00B50B0F">
        <w:rPr>
          <w:rFonts w:ascii="Arial" w:hAnsi="Arial" w:cs="Arial"/>
          <w:color w:val="000000"/>
          <w:sz w:val="24"/>
          <w:szCs w:val="24"/>
        </w:rPr>
        <w:t>, industries with a high dependence on expensive fixed assets often have higher gearing ratios since these assets are typically financed via debt.</w:t>
      </w:r>
      <w:r w:rsidR="00D74B40" w:rsidRPr="00B50B0F">
        <w:rPr>
          <w:rFonts w:ascii="Arial" w:hAnsi="Arial" w:cs="Arial"/>
          <w:color w:val="000000"/>
          <w:sz w:val="24"/>
          <w:szCs w:val="24"/>
        </w:rPr>
        <w:tab/>
      </w:r>
      <w:r w:rsidR="00D74B40" w:rsidRPr="00B50B0F">
        <w:rPr>
          <w:rFonts w:ascii="Arial" w:hAnsi="Arial" w:cs="Arial"/>
          <w:noProof/>
          <w:sz w:val="24"/>
          <w:szCs w:val="24"/>
        </w:rPr>
        <w:drawing>
          <wp:inline distT="0" distB="0" distL="0" distR="0" wp14:anchorId="34B5B9CD" wp14:editId="2DABE367">
            <wp:extent cx="5731510" cy="931545"/>
            <wp:effectExtent l="0" t="0" r="2540" b="1905"/>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6">
                      <a:duotone>
                        <a:prstClr val="black"/>
                        <a:schemeClr val="accent1">
                          <a:tint val="45000"/>
                          <a:satMod val="400000"/>
                        </a:schemeClr>
                      </a:duotone>
                    </a:blip>
                    <a:stretch>
                      <a:fillRect/>
                    </a:stretch>
                  </pic:blipFill>
                  <pic:spPr>
                    <a:xfrm>
                      <a:off x="0" y="0"/>
                      <a:ext cx="5731510" cy="931545"/>
                    </a:xfrm>
                    <a:prstGeom prst="rect">
                      <a:avLst/>
                    </a:prstGeom>
                  </pic:spPr>
                </pic:pic>
              </a:graphicData>
            </a:graphic>
          </wp:inline>
        </w:drawing>
      </w:r>
    </w:p>
    <w:p w14:paraId="47C5CEE8" w14:textId="00CE5B79" w:rsidR="00D74B40" w:rsidRPr="00B50B0F" w:rsidRDefault="00D74B40" w:rsidP="000E0F30">
      <w:pPr>
        <w:pStyle w:val="paragraph"/>
        <w:shd w:val="clear" w:color="auto" w:fill="FFFFFF"/>
        <w:spacing w:after="0" w:line="360" w:lineRule="auto"/>
        <w:ind w:firstLine="284"/>
        <w:jc w:val="both"/>
        <w:textAlignment w:val="baseline"/>
        <w:rPr>
          <w:rFonts w:ascii="Arial" w:eastAsiaTheme="minorHAnsi" w:hAnsi="Arial" w:cs="Arial"/>
          <w:lang w:eastAsia="en-US"/>
        </w:rPr>
      </w:pPr>
      <w:r w:rsidRPr="00B50B0F">
        <w:rPr>
          <w:rFonts w:ascii="Arial" w:eastAsiaTheme="minorHAnsi" w:hAnsi="Arial" w:cs="Arial"/>
          <w:lang w:eastAsia="en-US"/>
        </w:rPr>
        <w:t xml:space="preserve">Creditors often look at a company's debt to equity ratio to figure out how much debt it has, </w:t>
      </w:r>
      <w:proofErr w:type="gramStart"/>
      <w:r w:rsidRPr="00B50B0F">
        <w:rPr>
          <w:rFonts w:ascii="Arial" w:eastAsiaTheme="minorHAnsi" w:hAnsi="Arial" w:cs="Arial"/>
          <w:lang w:eastAsia="en-US"/>
        </w:rPr>
        <w:t>whether or not</w:t>
      </w:r>
      <w:proofErr w:type="gramEnd"/>
      <w:r w:rsidRPr="00B50B0F">
        <w:rPr>
          <w:rFonts w:ascii="Arial" w:eastAsiaTheme="minorHAnsi" w:hAnsi="Arial" w:cs="Arial"/>
          <w:lang w:eastAsia="en-US"/>
        </w:rPr>
        <w:t xml:space="preserve"> it can pay its debts, and whether or not to lend the business </w:t>
      </w:r>
      <w:r w:rsidRPr="00B50B0F">
        <w:rPr>
          <w:rFonts w:ascii="Arial" w:eastAsiaTheme="minorHAnsi" w:hAnsi="Arial" w:cs="Arial"/>
          <w:lang w:eastAsia="en-US"/>
        </w:rPr>
        <w:lastRenderedPageBreak/>
        <w:t>more money. However, investors evaluate the ratio to assess the company's financial health, whether it can fulfil its present and future commitments, and if it can provide a positive return on investment.</w:t>
      </w:r>
      <w:r w:rsidRPr="00B50B0F">
        <w:rPr>
          <w:rFonts w:ascii="Arial" w:eastAsiaTheme="minorHAnsi" w:hAnsi="Arial" w:cs="Arial"/>
          <w:lang w:eastAsia="en-US"/>
        </w:rPr>
        <w:t xml:space="preserve"> </w:t>
      </w:r>
      <w:proofErr w:type="gramStart"/>
      <w:r w:rsidRPr="00B50B0F">
        <w:rPr>
          <w:rFonts w:ascii="Arial" w:eastAsiaTheme="minorHAnsi" w:hAnsi="Arial" w:cs="Arial"/>
          <w:lang w:eastAsia="en-US"/>
        </w:rPr>
        <w:t>In order to</w:t>
      </w:r>
      <w:proofErr w:type="gramEnd"/>
      <w:r w:rsidRPr="00B50B0F">
        <w:rPr>
          <w:rFonts w:ascii="Arial" w:eastAsiaTheme="minorHAnsi" w:hAnsi="Arial" w:cs="Arial"/>
          <w:lang w:eastAsia="en-US"/>
        </w:rPr>
        <w:t xml:space="preserve"> provide loans, banks use gearing ratio </w:t>
      </w:r>
      <w:r w:rsidR="000E0F30" w:rsidRPr="00B50B0F">
        <w:rPr>
          <w:rFonts w:ascii="Arial" w:eastAsiaTheme="minorHAnsi" w:hAnsi="Arial" w:cs="Arial"/>
          <w:lang w:eastAsia="en-US"/>
        </w:rPr>
        <w:t>calculations</w:t>
      </w:r>
      <w:r w:rsidRPr="00B50B0F">
        <w:rPr>
          <w:rFonts w:ascii="Arial" w:eastAsiaTheme="minorHAnsi" w:hAnsi="Arial" w:cs="Arial"/>
          <w:lang w:eastAsia="en-US"/>
        </w:rPr>
        <w:t>. Additionally, loan agreements may stipulate that businesses adhere to certain rules for appropriate gearing ratio computations. On the other hand, gearing ratios are used by management internally to evaluate leverage and cash flows. A high gearing ratio often implies a significant degree of leverage. This is not indicative of a financially unstable business. Instead, a higher gearing ratio indicates a riskier finance arrangement for the organisation.</w:t>
      </w:r>
    </w:p>
    <w:p w14:paraId="0B71976F" w14:textId="62ADA3C1" w:rsidR="00D94F4F" w:rsidRPr="00B50B0F" w:rsidRDefault="00D74B40" w:rsidP="000E0F30">
      <w:pPr>
        <w:pStyle w:val="Heading1"/>
        <w:spacing w:line="360" w:lineRule="auto"/>
        <w:ind w:firstLine="284"/>
        <w:jc w:val="both"/>
        <w:rPr>
          <w:rFonts w:ascii="Arial" w:hAnsi="Arial" w:cs="Arial"/>
          <w:sz w:val="24"/>
          <w:szCs w:val="24"/>
        </w:rPr>
      </w:pPr>
      <w:bookmarkStart w:id="6" w:name="_Toc121151786"/>
      <w:r w:rsidRPr="00B50B0F">
        <w:rPr>
          <w:rFonts w:ascii="Arial" w:hAnsi="Arial" w:cs="Arial"/>
          <w:sz w:val="24"/>
          <w:szCs w:val="24"/>
        </w:rPr>
        <w:t>Knowledge from Ratio Analysis</w:t>
      </w:r>
      <w:bookmarkEnd w:id="6"/>
      <w:r w:rsidRPr="00B50B0F">
        <w:rPr>
          <w:rFonts w:ascii="Arial" w:hAnsi="Arial" w:cs="Arial"/>
          <w:sz w:val="24"/>
          <w:szCs w:val="24"/>
        </w:rPr>
        <w:t xml:space="preserve"> </w:t>
      </w:r>
    </w:p>
    <w:p w14:paraId="3B0F1B3E" w14:textId="77777777" w:rsidR="00D94F4F" w:rsidRPr="00B50B0F" w:rsidRDefault="00D94F4F" w:rsidP="000E0F30">
      <w:pPr>
        <w:spacing w:line="360" w:lineRule="auto"/>
        <w:ind w:firstLine="284"/>
        <w:jc w:val="both"/>
        <w:rPr>
          <w:rFonts w:ascii="Arial" w:hAnsi="Arial" w:cs="Arial"/>
          <w:sz w:val="24"/>
          <w:szCs w:val="24"/>
        </w:rPr>
      </w:pPr>
      <w:r w:rsidRPr="00B50B0F">
        <w:rPr>
          <w:rFonts w:ascii="Arial" w:hAnsi="Arial" w:cs="Arial"/>
          <w:sz w:val="24"/>
          <w:szCs w:val="24"/>
        </w:rPr>
        <w:t xml:space="preserve">Utilizing corporate finance ratios as a means of conducting a quantitative analysis of a company's performance is one method. Finance analysts, stock financial specialists, asset managers, and investors all use these measurements to evaluate the overall financial health of companies so that they may make better educated decisions about where to put their money and how it should be invested. Financial advisers and executives heavily depend on the information provided by corporate finance ratios </w:t>
      </w:r>
      <w:proofErr w:type="gramStart"/>
      <w:r w:rsidRPr="00B50B0F">
        <w:rPr>
          <w:rFonts w:ascii="Arial" w:hAnsi="Arial" w:cs="Arial"/>
          <w:sz w:val="24"/>
          <w:szCs w:val="24"/>
        </w:rPr>
        <w:t>in order to</w:t>
      </w:r>
      <w:proofErr w:type="gramEnd"/>
      <w:r w:rsidRPr="00B50B0F">
        <w:rPr>
          <w:rFonts w:ascii="Arial" w:hAnsi="Arial" w:cs="Arial"/>
          <w:sz w:val="24"/>
          <w:szCs w:val="24"/>
        </w:rPr>
        <w:t xml:space="preserve"> get perspective on the state of their respective companies.</w:t>
      </w:r>
    </w:p>
    <w:p w14:paraId="51E810F6" w14:textId="4D94F5AF" w:rsidR="00D94F4F" w:rsidRPr="00B50B0F" w:rsidRDefault="00D94F4F" w:rsidP="000E0F30">
      <w:pPr>
        <w:spacing w:line="360" w:lineRule="auto"/>
        <w:ind w:firstLine="284"/>
        <w:jc w:val="both"/>
        <w:rPr>
          <w:rFonts w:ascii="Arial" w:hAnsi="Arial" w:cs="Arial"/>
          <w:sz w:val="24"/>
          <w:szCs w:val="24"/>
        </w:rPr>
      </w:pPr>
      <w:r w:rsidRPr="00B50B0F">
        <w:rPr>
          <w:rFonts w:ascii="Arial" w:hAnsi="Arial" w:cs="Arial"/>
          <w:sz w:val="24"/>
          <w:szCs w:val="24"/>
        </w:rPr>
        <w:t>An analysis of ratios is very helpful when comparing companies that vary greatly in terms of their sizes, activities, and management styles. It is also an excellent instrument for measuring the efficiency of a firm's operations and the feasibility of the business model that it is using at the present time. For instance, one method for determining a company's level of financial security is to calculate its solvency ratios. Because of the usefulness of ratios as forecasting tools, the examination of financial statements makes considerable use of them. The numeric or quantitative link between two pieces of information is determined via the process of financial statement analysis. This is done so that a company's weaknesses and strengths, as well as its current financial status and historical performance, may be evaluated. When trying to determine how healthy a firm is, investors, debtors, and other stakeholders might consult this report for assistance.</w:t>
      </w:r>
    </w:p>
    <w:p w14:paraId="7058DD74" w14:textId="77777777" w:rsidR="00D74B40" w:rsidRPr="00B50B0F" w:rsidRDefault="00D74B40" w:rsidP="000E0F30">
      <w:pPr>
        <w:pStyle w:val="Heading1"/>
        <w:spacing w:line="360" w:lineRule="auto"/>
        <w:ind w:firstLine="284"/>
        <w:jc w:val="both"/>
        <w:rPr>
          <w:rFonts w:ascii="Arial" w:hAnsi="Arial" w:cs="Arial"/>
          <w:sz w:val="24"/>
          <w:szCs w:val="24"/>
        </w:rPr>
      </w:pPr>
      <w:bookmarkStart w:id="7" w:name="_Toc121151787"/>
      <w:r w:rsidRPr="00B50B0F">
        <w:rPr>
          <w:rFonts w:ascii="Arial" w:hAnsi="Arial" w:cs="Arial"/>
          <w:sz w:val="24"/>
          <w:szCs w:val="24"/>
        </w:rPr>
        <w:t>Benefits and Limitations of Ratio Analysis</w:t>
      </w:r>
      <w:bookmarkEnd w:id="7"/>
    </w:p>
    <w:p w14:paraId="3E0076FE" w14:textId="21BF817F" w:rsidR="00D74B40" w:rsidRPr="00B50B0F" w:rsidRDefault="00AF15DA" w:rsidP="000E0F30">
      <w:pPr>
        <w:spacing w:line="360" w:lineRule="auto"/>
        <w:ind w:firstLine="284"/>
        <w:jc w:val="both"/>
        <w:rPr>
          <w:rFonts w:ascii="Arial" w:hAnsi="Arial" w:cs="Arial"/>
          <w:sz w:val="24"/>
          <w:szCs w:val="24"/>
        </w:rPr>
      </w:pPr>
      <w:r w:rsidRPr="00B50B0F">
        <w:rPr>
          <w:rFonts w:ascii="Arial" w:hAnsi="Arial" w:cs="Arial"/>
          <w:sz w:val="24"/>
          <w:szCs w:val="24"/>
        </w:rPr>
        <w:t xml:space="preserve">Calculating ratios is a significant help in doing horizontal analysis, which involves following the development of one company indicator through time. As a firm grows </w:t>
      </w:r>
      <w:r w:rsidRPr="00B50B0F">
        <w:rPr>
          <w:rFonts w:ascii="Arial" w:hAnsi="Arial" w:cs="Arial"/>
          <w:sz w:val="24"/>
          <w:szCs w:val="24"/>
        </w:rPr>
        <w:lastRenderedPageBreak/>
        <w:t xml:space="preserve">through time, the scale of its operations and the nature of the work it does may both undergo transformations. It is possible to keep comparisons going with the help of ratios. </w:t>
      </w:r>
      <w:r w:rsidR="00DA140D">
        <w:rPr>
          <w:rFonts w:ascii="Arial" w:hAnsi="Arial" w:cs="Arial"/>
          <w:sz w:val="24"/>
          <w:szCs w:val="24"/>
        </w:rPr>
        <w:t>(</w:t>
      </w:r>
      <w:proofErr w:type="spellStart"/>
      <w:r w:rsidR="00DA140D" w:rsidRPr="000E0F30">
        <w:rPr>
          <w:rFonts w:ascii="Arial" w:hAnsi="Arial" w:cs="Arial"/>
          <w:sz w:val="24"/>
          <w:szCs w:val="24"/>
        </w:rPr>
        <w:t>Saleem.Q</w:t>
      </w:r>
      <w:proofErr w:type="spellEnd"/>
      <w:r w:rsidR="00DA140D" w:rsidRPr="000E0F30">
        <w:rPr>
          <w:rFonts w:ascii="Arial" w:hAnsi="Arial" w:cs="Arial"/>
          <w:sz w:val="24"/>
          <w:szCs w:val="24"/>
        </w:rPr>
        <w:t xml:space="preserve">. 2011). </w:t>
      </w:r>
      <w:r w:rsidRPr="00B50B0F">
        <w:rPr>
          <w:rFonts w:ascii="Arial" w:hAnsi="Arial" w:cs="Arial"/>
          <w:sz w:val="24"/>
          <w:szCs w:val="24"/>
        </w:rPr>
        <w:t xml:space="preserve">The use of ratios to the evaluation of financial data in a systematic manner </w:t>
      </w:r>
      <w:proofErr w:type="gramStart"/>
      <w:r w:rsidRPr="00B50B0F">
        <w:rPr>
          <w:rFonts w:ascii="Arial" w:hAnsi="Arial" w:cs="Arial"/>
          <w:sz w:val="24"/>
          <w:szCs w:val="24"/>
        </w:rPr>
        <w:t>in order to</w:t>
      </w:r>
      <w:proofErr w:type="gramEnd"/>
      <w:r w:rsidRPr="00B50B0F">
        <w:rPr>
          <w:rFonts w:ascii="Arial" w:hAnsi="Arial" w:cs="Arial"/>
          <w:sz w:val="24"/>
          <w:szCs w:val="24"/>
        </w:rPr>
        <w:t xml:space="preserve"> determine the relative merits of different hypotheses about the health, efficiency, and financial state of an organisation is what is referred to as ratio analysis.</w:t>
      </w:r>
      <w:r w:rsidRPr="00B50B0F">
        <w:rPr>
          <w:rFonts w:ascii="Arial" w:hAnsi="Arial" w:cs="Arial"/>
          <w:sz w:val="24"/>
          <w:szCs w:val="24"/>
        </w:rPr>
        <w:t xml:space="preserve"> </w:t>
      </w:r>
      <w:r w:rsidRPr="00B50B0F">
        <w:rPr>
          <w:rFonts w:ascii="Arial" w:hAnsi="Arial" w:cs="Arial"/>
          <w:sz w:val="24"/>
          <w:szCs w:val="24"/>
        </w:rPr>
        <w:t>Ratio analysis is a highly efficient way of analysis, and its use in performance assessment may bring about significant benefits to any organisation. The ratios calculated by an accountant are another sign of a company's financial health that the financial analyst need to investigate and evaluate.</w:t>
      </w:r>
      <w:r w:rsidR="000E0F30" w:rsidRPr="000E0F30">
        <w:rPr>
          <w:rFonts w:ascii="Arial" w:eastAsia="Times New Roman" w:hAnsi="Arial" w:cs="Arial"/>
          <w:sz w:val="24"/>
          <w:szCs w:val="24"/>
        </w:rPr>
        <w:t xml:space="preserve"> </w:t>
      </w:r>
      <w:r w:rsidR="000E0F30">
        <w:rPr>
          <w:rFonts w:ascii="Arial" w:eastAsia="Times New Roman" w:hAnsi="Arial" w:cs="Arial"/>
          <w:sz w:val="24"/>
          <w:szCs w:val="24"/>
        </w:rPr>
        <w:t>(</w:t>
      </w:r>
      <w:r w:rsidR="000E0F30" w:rsidRPr="000E0F30">
        <w:rPr>
          <w:rFonts w:ascii="Arial" w:eastAsia="Times New Roman" w:hAnsi="Arial" w:cs="Arial"/>
          <w:sz w:val="24"/>
          <w:szCs w:val="24"/>
        </w:rPr>
        <w:t>Drury, C. 2008).</w:t>
      </w:r>
    </w:p>
    <w:p w14:paraId="32E1BC93" w14:textId="3AF9360F" w:rsidR="00D74B40" w:rsidRPr="00B50B0F" w:rsidRDefault="00D74B40" w:rsidP="000E0F30">
      <w:pPr>
        <w:pStyle w:val="Heading1"/>
        <w:spacing w:line="360" w:lineRule="auto"/>
        <w:ind w:firstLine="284"/>
        <w:jc w:val="both"/>
        <w:rPr>
          <w:rFonts w:ascii="Arial" w:hAnsi="Arial" w:cs="Arial"/>
          <w:sz w:val="24"/>
          <w:szCs w:val="24"/>
        </w:rPr>
      </w:pPr>
      <w:bookmarkStart w:id="8" w:name="_Toc121151788"/>
      <w:r w:rsidRPr="00B50B0F">
        <w:rPr>
          <w:rFonts w:ascii="Arial" w:hAnsi="Arial" w:cs="Arial"/>
          <w:sz w:val="24"/>
          <w:szCs w:val="24"/>
        </w:rPr>
        <w:t>Conclusion</w:t>
      </w:r>
      <w:bookmarkEnd w:id="8"/>
      <w:r w:rsidRPr="00B50B0F">
        <w:rPr>
          <w:rFonts w:ascii="Arial" w:hAnsi="Arial" w:cs="Arial"/>
          <w:sz w:val="24"/>
          <w:szCs w:val="24"/>
        </w:rPr>
        <w:t xml:space="preserve"> </w:t>
      </w:r>
    </w:p>
    <w:p w14:paraId="5ECFAD30" w14:textId="4AD7A234" w:rsidR="000E0F30" w:rsidRDefault="00AF15DA" w:rsidP="00DA140D">
      <w:pPr>
        <w:spacing w:line="360" w:lineRule="auto"/>
        <w:ind w:firstLine="284"/>
        <w:jc w:val="both"/>
        <w:rPr>
          <w:rFonts w:ascii="Arial" w:hAnsi="Arial" w:cs="Arial"/>
          <w:sz w:val="24"/>
          <w:szCs w:val="24"/>
        </w:rPr>
      </w:pPr>
      <w:r w:rsidRPr="00B50B0F">
        <w:rPr>
          <w:rFonts w:ascii="Arial" w:hAnsi="Arial" w:cs="Arial"/>
          <w:sz w:val="24"/>
          <w:szCs w:val="24"/>
        </w:rPr>
        <w:t xml:space="preserve">As a direct consequence of the COVID-19 epidemic, both the number of people travelling and the </w:t>
      </w:r>
      <w:proofErr w:type="gramStart"/>
      <w:r w:rsidRPr="00B50B0F">
        <w:rPr>
          <w:rFonts w:ascii="Arial" w:hAnsi="Arial" w:cs="Arial"/>
          <w:sz w:val="24"/>
          <w:szCs w:val="24"/>
        </w:rPr>
        <w:t>interest for</w:t>
      </w:r>
      <w:proofErr w:type="gramEnd"/>
      <w:r w:rsidRPr="00B50B0F">
        <w:rPr>
          <w:rFonts w:ascii="Arial" w:hAnsi="Arial" w:cs="Arial"/>
          <w:sz w:val="24"/>
          <w:szCs w:val="24"/>
        </w:rPr>
        <w:t xml:space="preserve"> hotel rooms has drastically decreased. This has had and could continue to have a detrimental impact on Marriott's company, as well as its operational procedures and financial outcomes. The overall performance of Marriott International has been superior to that of other corporations, as seen by the 10.46% growth in the Net Profit Margin in 2021.</w:t>
      </w:r>
      <w:r w:rsidR="000E0F30">
        <w:rPr>
          <w:rFonts w:ascii="Arial" w:hAnsi="Arial" w:cs="Arial"/>
          <w:sz w:val="24"/>
          <w:szCs w:val="24"/>
        </w:rPr>
        <w:t xml:space="preserve"> </w:t>
      </w:r>
      <w:r w:rsidRPr="00B50B0F">
        <w:rPr>
          <w:rFonts w:ascii="Arial" w:hAnsi="Arial" w:cs="Arial"/>
          <w:sz w:val="24"/>
          <w:szCs w:val="24"/>
        </w:rPr>
        <w:t xml:space="preserve">The return on assets for Marriott International was negative in the year 2020, coming in at -1.08; however, this statistic improved by 5.38% the following year, reaching positive territory at 4.30%. As of the 31st of December in 2021, the Marriott Corporation's net profit margin is 7.93%, the Gross Margin </w:t>
      </w:r>
      <w:proofErr w:type="spellStart"/>
      <w:r w:rsidRPr="00B50B0F">
        <w:rPr>
          <w:rFonts w:ascii="Arial" w:hAnsi="Arial" w:cs="Arial"/>
          <w:sz w:val="24"/>
          <w:szCs w:val="24"/>
        </w:rPr>
        <w:t>Margin</w:t>
      </w:r>
      <w:proofErr w:type="spellEnd"/>
      <w:r w:rsidRPr="00B50B0F">
        <w:rPr>
          <w:rFonts w:ascii="Arial" w:hAnsi="Arial" w:cs="Arial"/>
          <w:sz w:val="24"/>
          <w:szCs w:val="24"/>
        </w:rPr>
        <w:t xml:space="preserve"> is 20.21%, and the Operating Margin </w:t>
      </w:r>
      <w:proofErr w:type="spellStart"/>
      <w:r w:rsidRPr="00B50B0F">
        <w:rPr>
          <w:rFonts w:ascii="Arial" w:hAnsi="Arial" w:cs="Arial"/>
          <w:sz w:val="24"/>
          <w:szCs w:val="24"/>
        </w:rPr>
        <w:t>Margin</w:t>
      </w:r>
      <w:proofErr w:type="spellEnd"/>
      <w:r w:rsidRPr="00B50B0F">
        <w:rPr>
          <w:rFonts w:ascii="Arial" w:hAnsi="Arial" w:cs="Arial"/>
          <w:sz w:val="24"/>
          <w:szCs w:val="24"/>
        </w:rPr>
        <w:t xml:space="preserve"> is 12.63%. The operational profit margin of Marriott rose by 11.83% from 2020 to 2021, which is indication of the success with which the company runs and the accuracy with which it manages expenses to maximise earnings. Marriott saw a rise of 10.46% while having a negative net profit margin of 2.53% at the end of 2020 as well as a positive net profit margin of 7.93% in 2021.</w:t>
      </w:r>
      <w:r w:rsidR="000E0F30">
        <w:rPr>
          <w:rFonts w:ascii="Arial" w:hAnsi="Arial" w:cs="Arial"/>
          <w:sz w:val="24"/>
          <w:szCs w:val="24"/>
        </w:rPr>
        <w:t xml:space="preserve"> </w:t>
      </w:r>
      <w:r w:rsidRPr="00B50B0F">
        <w:rPr>
          <w:rFonts w:ascii="Arial" w:hAnsi="Arial" w:cs="Arial"/>
          <w:sz w:val="24"/>
          <w:szCs w:val="24"/>
        </w:rPr>
        <w:t xml:space="preserve">At the end of 2021, Marriott's net debt was estimated to be $8.7 billion. However, after </w:t>
      </w:r>
      <w:proofErr w:type="gramStart"/>
      <w:r w:rsidRPr="00B50B0F">
        <w:rPr>
          <w:rFonts w:ascii="Arial" w:hAnsi="Arial" w:cs="Arial"/>
          <w:sz w:val="24"/>
          <w:szCs w:val="24"/>
        </w:rPr>
        <w:t>taking into account</w:t>
      </w:r>
      <w:proofErr w:type="gramEnd"/>
      <w:r w:rsidRPr="00B50B0F">
        <w:rPr>
          <w:rFonts w:ascii="Arial" w:hAnsi="Arial" w:cs="Arial"/>
          <w:sz w:val="24"/>
          <w:szCs w:val="24"/>
        </w:rPr>
        <w:t xml:space="preserve"> fluctuations in equity and cash equivalents, the corporation was shown to have a total of 10.1 billion dollars in debt but just 1.4 billion dollars liquid assets. A gearing ratio is something that should be known by all, both inside and outside of a </w:t>
      </w:r>
      <w:proofErr w:type="gramStart"/>
      <w:r w:rsidRPr="00B50B0F">
        <w:rPr>
          <w:rFonts w:ascii="Arial" w:hAnsi="Arial" w:cs="Arial"/>
          <w:sz w:val="24"/>
          <w:szCs w:val="24"/>
        </w:rPr>
        <w:t>company, since</w:t>
      </w:r>
      <w:proofErr w:type="gramEnd"/>
      <w:r w:rsidRPr="00B50B0F">
        <w:rPr>
          <w:rFonts w:ascii="Arial" w:hAnsi="Arial" w:cs="Arial"/>
          <w:sz w:val="24"/>
          <w:szCs w:val="24"/>
        </w:rPr>
        <w:t xml:space="preserve"> it may be beneficial. Because of the usefulness of ratios as forecasting tools, the examination of financial statements makes considerable use of them.</w:t>
      </w:r>
    </w:p>
    <w:p w14:paraId="2294A5DB" w14:textId="77777777" w:rsidR="000E0F30" w:rsidRPr="00B50B0F" w:rsidRDefault="000E0F30" w:rsidP="000E0F30">
      <w:pPr>
        <w:spacing w:line="360" w:lineRule="auto"/>
        <w:ind w:firstLine="284"/>
        <w:jc w:val="both"/>
        <w:rPr>
          <w:rFonts w:ascii="Arial" w:hAnsi="Arial" w:cs="Arial"/>
          <w:sz w:val="24"/>
          <w:szCs w:val="24"/>
        </w:rPr>
      </w:pPr>
    </w:p>
    <w:p w14:paraId="4D93E47E" w14:textId="6A03E65A" w:rsidR="00850B8B" w:rsidRPr="00B50B0F" w:rsidRDefault="00D74B40" w:rsidP="000E0F30">
      <w:pPr>
        <w:pStyle w:val="Heading1"/>
        <w:spacing w:line="360" w:lineRule="auto"/>
        <w:ind w:firstLine="284"/>
        <w:jc w:val="both"/>
        <w:rPr>
          <w:rFonts w:ascii="Arial" w:hAnsi="Arial" w:cs="Arial"/>
          <w:sz w:val="24"/>
          <w:szCs w:val="24"/>
        </w:rPr>
      </w:pPr>
      <w:bookmarkStart w:id="9" w:name="_Toc121151789"/>
      <w:r w:rsidRPr="00B50B0F">
        <w:rPr>
          <w:rFonts w:ascii="Arial" w:hAnsi="Arial" w:cs="Arial"/>
          <w:sz w:val="24"/>
          <w:szCs w:val="24"/>
        </w:rPr>
        <w:lastRenderedPageBreak/>
        <w:t>Bibliography</w:t>
      </w:r>
      <w:bookmarkEnd w:id="9"/>
    </w:p>
    <w:p w14:paraId="3DB1923C" w14:textId="77777777" w:rsidR="00850B8B" w:rsidRPr="00B50B0F" w:rsidRDefault="00850B8B" w:rsidP="000E0F30">
      <w:pPr>
        <w:spacing w:line="360" w:lineRule="auto"/>
        <w:ind w:firstLine="284"/>
        <w:jc w:val="both"/>
        <w:rPr>
          <w:rFonts w:ascii="Arial" w:hAnsi="Arial" w:cs="Arial"/>
          <w:sz w:val="24"/>
          <w:szCs w:val="24"/>
        </w:rPr>
      </w:pPr>
    </w:p>
    <w:p w14:paraId="51302ACA" w14:textId="77777777" w:rsidR="00850B8B" w:rsidRPr="000E0F30" w:rsidRDefault="00850B8B" w:rsidP="000E0F30">
      <w:pPr>
        <w:pStyle w:val="ListParagraph"/>
        <w:numPr>
          <w:ilvl w:val="0"/>
          <w:numId w:val="1"/>
        </w:numPr>
        <w:spacing w:after="164" w:line="360" w:lineRule="auto"/>
        <w:jc w:val="both"/>
        <w:rPr>
          <w:rFonts w:ascii="Arial" w:hAnsi="Arial" w:cs="Arial"/>
          <w:sz w:val="24"/>
          <w:szCs w:val="24"/>
        </w:rPr>
      </w:pPr>
      <w:r w:rsidRPr="000E0F30">
        <w:rPr>
          <w:rFonts w:ascii="Arial" w:eastAsia="Times New Roman" w:hAnsi="Arial" w:cs="Arial"/>
          <w:sz w:val="24"/>
          <w:szCs w:val="24"/>
        </w:rPr>
        <w:t xml:space="preserve">Drury, C. (2008). </w:t>
      </w:r>
      <w:r w:rsidRPr="000E0F30">
        <w:rPr>
          <w:rFonts w:ascii="Arial" w:eastAsia="Times New Roman" w:hAnsi="Arial" w:cs="Arial"/>
          <w:i/>
          <w:sz w:val="24"/>
          <w:szCs w:val="24"/>
        </w:rPr>
        <w:t>Management and Cost Accounting</w:t>
      </w:r>
      <w:r w:rsidRPr="000E0F30">
        <w:rPr>
          <w:rFonts w:ascii="Arial" w:eastAsia="Times New Roman" w:hAnsi="Arial" w:cs="Arial"/>
          <w:sz w:val="24"/>
          <w:szCs w:val="24"/>
        </w:rPr>
        <w:t xml:space="preserve">, (7th Ed), London: Prentice Hall </w:t>
      </w:r>
      <w:r w:rsidRPr="000E0F30">
        <w:rPr>
          <w:rFonts w:ascii="Arial" w:hAnsi="Arial" w:cs="Arial"/>
          <w:sz w:val="24"/>
          <w:szCs w:val="24"/>
          <w:vertAlign w:val="subscript"/>
        </w:rPr>
        <w:t xml:space="preserve"> </w:t>
      </w:r>
    </w:p>
    <w:p w14:paraId="0346A3BB" w14:textId="77777777" w:rsidR="00850B8B" w:rsidRPr="000E0F30" w:rsidRDefault="00850B8B" w:rsidP="000E0F30">
      <w:pPr>
        <w:pStyle w:val="ListParagraph"/>
        <w:numPr>
          <w:ilvl w:val="0"/>
          <w:numId w:val="1"/>
        </w:numPr>
        <w:spacing w:after="164" w:line="360" w:lineRule="auto"/>
        <w:jc w:val="both"/>
        <w:rPr>
          <w:rFonts w:ascii="Arial" w:hAnsi="Arial" w:cs="Arial"/>
          <w:sz w:val="24"/>
          <w:szCs w:val="24"/>
        </w:rPr>
      </w:pPr>
      <w:proofErr w:type="spellStart"/>
      <w:r w:rsidRPr="000E0F30">
        <w:rPr>
          <w:rFonts w:ascii="Arial" w:eastAsia="Times New Roman" w:hAnsi="Arial" w:cs="Arial"/>
          <w:sz w:val="24"/>
          <w:szCs w:val="24"/>
        </w:rPr>
        <w:t>Guilding</w:t>
      </w:r>
      <w:proofErr w:type="spellEnd"/>
      <w:r w:rsidRPr="000E0F30">
        <w:rPr>
          <w:rFonts w:ascii="Arial" w:eastAsia="Times New Roman" w:hAnsi="Arial" w:cs="Arial"/>
          <w:sz w:val="24"/>
          <w:szCs w:val="24"/>
        </w:rPr>
        <w:t xml:space="preserve">, C. (2013), </w:t>
      </w:r>
      <w:r w:rsidRPr="000E0F30">
        <w:rPr>
          <w:rFonts w:ascii="Arial" w:eastAsia="Times New Roman" w:hAnsi="Arial" w:cs="Arial"/>
          <w:i/>
          <w:sz w:val="24"/>
          <w:szCs w:val="24"/>
        </w:rPr>
        <w:t>Accounting Essentials for Hospitality Managers</w:t>
      </w:r>
      <w:r w:rsidRPr="000E0F30">
        <w:rPr>
          <w:rFonts w:ascii="Arial" w:eastAsia="Times New Roman" w:hAnsi="Arial" w:cs="Arial"/>
          <w:sz w:val="24"/>
          <w:szCs w:val="24"/>
        </w:rPr>
        <w:t xml:space="preserve">, London: Taylor and Francis. </w:t>
      </w:r>
      <w:r w:rsidRPr="000E0F30">
        <w:rPr>
          <w:rFonts w:ascii="Arial" w:hAnsi="Arial" w:cs="Arial"/>
          <w:sz w:val="24"/>
          <w:szCs w:val="24"/>
          <w:vertAlign w:val="subscript"/>
        </w:rPr>
        <w:t xml:space="preserve"> </w:t>
      </w:r>
    </w:p>
    <w:p w14:paraId="4803E060" w14:textId="77777777" w:rsidR="00850B8B" w:rsidRPr="000E0F30" w:rsidRDefault="00850B8B" w:rsidP="000E0F30">
      <w:pPr>
        <w:pStyle w:val="ListParagraph"/>
        <w:numPr>
          <w:ilvl w:val="0"/>
          <w:numId w:val="1"/>
        </w:numPr>
        <w:spacing w:after="231" w:line="360" w:lineRule="auto"/>
        <w:jc w:val="both"/>
        <w:rPr>
          <w:rFonts w:ascii="Arial" w:hAnsi="Arial" w:cs="Arial"/>
          <w:sz w:val="24"/>
          <w:szCs w:val="24"/>
        </w:rPr>
      </w:pPr>
      <w:r w:rsidRPr="000E0F30">
        <w:rPr>
          <w:rFonts w:ascii="Arial" w:eastAsia="Times New Roman" w:hAnsi="Arial" w:cs="Arial"/>
          <w:sz w:val="24"/>
          <w:szCs w:val="24"/>
        </w:rPr>
        <w:t xml:space="preserve">Hayes, M. &amp; Miller, A. (2012), </w:t>
      </w:r>
      <w:r w:rsidRPr="000E0F30">
        <w:rPr>
          <w:rFonts w:ascii="Arial" w:eastAsia="Times New Roman" w:hAnsi="Arial" w:cs="Arial"/>
          <w:i/>
          <w:sz w:val="24"/>
          <w:szCs w:val="24"/>
        </w:rPr>
        <w:t>Revenue Management for the Hospitality Industry</w:t>
      </w:r>
      <w:r w:rsidRPr="000E0F30">
        <w:rPr>
          <w:rFonts w:ascii="Arial" w:eastAsia="Times New Roman" w:hAnsi="Arial" w:cs="Arial"/>
          <w:sz w:val="24"/>
          <w:szCs w:val="24"/>
        </w:rPr>
        <w:t xml:space="preserve">, London: Wiley </w:t>
      </w:r>
      <w:r w:rsidRPr="000E0F30">
        <w:rPr>
          <w:rFonts w:ascii="Arial" w:hAnsi="Arial" w:cs="Arial"/>
          <w:sz w:val="24"/>
          <w:szCs w:val="24"/>
          <w:vertAlign w:val="subscript"/>
        </w:rPr>
        <w:t xml:space="preserve"> </w:t>
      </w:r>
    </w:p>
    <w:p w14:paraId="05E466B8" w14:textId="77777777" w:rsidR="00850B8B" w:rsidRPr="000E0F30" w:rsidRDefault="00850B8B" w:rsidP="000E0F30">
      <w:pPr>
        <w:pStyle w:val="ListParagraph"/>
        <w:numPr>
          <w:ilvl w:val="0"/>
          <w:numId w:val="1"/>
        </w:numPr>
        <w:spacing w:after="165" w:line="360" w:lineRule="auto"/>
        <w:jc w:val="both"/>
        <w:rPr>
          <w:rFonts w:ascii="Arial" w:hAnsi="Arial" w:cs="Arial"/>
          <w:sz w:val="24"/>
          <w:szCs w:val="24"/>
        </w:rPr>
      </w:pPr>
      <w:r w:rsidRPr="000E0F30">
        <w:rPr>
          <w:rFonts w:ascii="Arial" w:eastAsia="Times New Roman" w:hAnsi="Arial" w:cs="Arial"/>
          <w:sz w:val="24"/>
          <w:szCs w:val="24"/>
        </w:rPr>
        <w:t xml:space="preserve">Horner, D. (2017), </w:t>
      </w:r>
      <w:r w:rsidRPr="000E0F30">
        <w:rPr>
          <w:rFonts w:ascii="Arial" w:eastAsia="Times New Roman" w:hAnsi="Arial" w:cs="Arial"/>
          <w:i/>
          <w:sz w:val="24"/>
          <w:szCs w:val="24"/>
        </w:rPr>
        <w:t>Accounting for Non-Accountants</w:t>
      </w:r>
      <w:r w:rsidRPr="000E0F30">
        <w:rPr>
          <w:rFonts w:ascii="Arial" w:eastAsia="Times New Roman" w:hAnsi="Arial" w:cs="Arial"/>
          <w:sz w:val="24"/>
          <w:szCs w:val="24"/>
        </w:rPr>
        <w:t>, (11</w:t>
      </w:r>
      <w:r w:rsidRPr="000E0F30">
        <w:rPr>
          <w:rFonts w:ascii="Arial" w:eastAsia="Times New Roman" w:hAnsi="Arial" w:cs="Arial"/>
          <w:sz w:val="24"/>
          <w:szCs w:val="24"/>
          <w:vertAlign w:val="superscript"/>
        </w:rPr>
        <w:t>th</w:t>
      </w:r>
      <w:r w:rsidRPr="000E0F30">
        <w:rPr>
          <w:rFonts w:ascii="Arial" w:eastAsia="Times New Roman" w:hAnsi="Arial" w:cs="Arial"/>
          <w:sz w:val="24"/>
          <w:szCs w:val="24"/>
        </w:rPr>
        <w:t xml:space="preserve"> Edition), London: Kogan Page </w:t>
      </w:r>
      <w:r w:rsidRPr="000E0F30">
        <w:rPr>
          <w:rFonts w:ascii="Arial" w:hAnsi="Arial" w:cs="Arial"/>
          <w:sz w:val="24"/>
          <w:szCs w:val="24"/>
          <w:vertAlign w:val="subscript"/>
        </w:rPr>
        <w:t xml:space="preserve"> </w:t>
      </w:r>
    </w:p>
    <w:p w14:paraId="2645628F" w14:textId="77777777" w:rsidR="00850B8B" w:rsidRPr="000E0F30" w:rsidRDefault="00850B8B" w:rsidP="000E0F30">
      <w:pPr>
        <w:pStyle w:val="ListParagraph"/>
        <w:numPr>
          <w:ilvl w:val="0"/>
          <w:numId w:val="1"/>
        </w:numPr>
        <w:spacing w:after="164" w:line="360" w:lineRule="auto"/>
        <w:jc w:val="both"/>
        <w:rPr>
          <w:rFonts w:ascii="Arial" w:hAnsi="Arial" w:cs="Arial"/>
          <w:sz w:val="24"/>
          <w:szCs w:val="24"/>
        </w:rPr>
      </w:pPr>
      <w:r w:rsidRPr="000E0F30">
        <w:rPr>
          <w:rFonts w:ascii="Arial" w:eastAsia="Times New Roman" w:hAnsi="Arial" w:cs="Arial"/>
          <w:sz w:val="24"/>
          <w:szCs w:val="24"/>
        </w:rPr>
        <w:t xml:space="preserve">Horngren, C. T. and Forster, G. (2003), </w:t>
      </w:r>
      <w:r w:rsidRPr="000E0F30">
        <w:rPr>
          <w:rFonts w:ascii="Arial" w:eastAsia="Times New Roman" w:hAnsi="Arial" w:cs="Arial"/>
          <w:i/>
          <w:sz w:val="24"/>
          <w:szCs w:val="24"/>
        </w:rPr>
        <w:t>Cost Accounting, A Managerial Emphasis</w:t>
      </w:r>
      <w:r w:rsidRPr="000E0F30">
        <w:rPr>
          <w:rFonts w:ascii="Arial" w:eastAsia="Times New Roman" w:hAnsi="Arial" w:cs="Arial"/>
          <w:sz w:val="24"/>
          <w:szCs w:val="24"/>
        </w:rPr>
        <w:t xml:space="preserve">, (11th Ed), London: Prentice Hall International </w:t>
      </w:r>
      <w:r w:rsidRPr="000E0F30">
        <w:rPr>
          <w:rFonts w:ascii="Arial" w:hAnsi="Arial" w:cs="Arial"/>
          <w:sz w:val="24"/>
          <w:szCs w:val="24"/>
          <w:vertAlign w:val="subscript"/>
        </w:rPr>
        <w:t xml:space="preserve"> </w:t>
      </w:r>
    </w:p>
    <w:p w14:paraId="4EE2C6E3" w14:textId="77777777" w:rsidR="00850B8B" w:rsidRPr="000E0F30" w:rsidRDefault="00850B8B" w:rsidP="000E0F30">
      <w:pPr>
        <w:pStyle w:val="ListParagraph"/>
        <w:numPr>
          <w:ilvl w:val="0"/>
          <w:numId w:val="1"/>
        </w:numPr>
        <w:spacing w:after="142" w:line="360" w:lineRule="auto"/>
        <w:jc w:val="both"/>
        <w:rPr>
          <w:rFonts w:ascii="Arial" w:hAnsi="Arial" w:cs="Arial"/>
          <w:sz w:val="24"/>
          <w:szCs w:val="24"/>
        </w:rPr>
      </w:pPr>
      <w:r w:rsidRPr="000E0F30">
        <w:rPr>
          <w:rFonts w:ascii="Arial" w:eastAsia="Times New Roman" w:hAnsi="Arial" w:cs="Arial"/>
          <w:sz w:val="24"/>
          <w:szCs w:val="24"/>
        </w:rPr>
        <w:t xml:space="preserve">Marr, B. (2012), </w:t>
      </w:r>
      <w:r w:rsidRPr="000E0F30">
        <w:rPr>
          <w:rFonts w:ascii="Arial" w:eastAsia="Times New Roman" w:hAnsi="Arial" w:cs="Arial"/>
          <w:i/>
          <w:sz w:val="24"/>
          <w:szCs w:val="24"/>
        </w:rPr>
        <w:t>Key Performance Indicators</w:t>
      </w:r>
      <w:r w:rsidRPr="000E0F30">
        <w:rPr>
          <w:rFonts w:ascii="Arial" w:eastAsia="Times New Roman" w:hAnsi="Arial" w:cs="Arial"/>
          <w:sz w:val="24"/>
          <w:szCs w:val="24"/>
        </w:rPr>
        <w:t xml:space="preserve"> – The 75 Measures Every Manager Needs to Know</w:t>
      </w:r>
      <w:r w:rsidRPr="000E0F30">
        <w:rPr>
          <w:rFonts w:ascii="Arial" w:eastAsia="Times New Roman" w:hAnsi="Arial" w:cs="Arial"/>
          <w:i/>
          <w:sz w:val="24"/>
          <w:szCs w:val="24"/>
        </w:rPr>
        <w:t xml:space="preserve">, </w:t>
      </w:r>
      <w:r w:rsidRPr="000E0F30">
        <w:rPr>
          <w:rFonts w:ascii="Arial" w:eastAsia="Times New Roman" w:hAnsi="Arial" w:cs="Arial"/>
          <w:sz w:val="24"/>
          <w:szCs w:val="24"/>
        </w:rPr>
        <w:t xml:space="preserve">Harlow: Pearson </w:t>
      </w:r>
      <w:r w:rsidRPr="000E0F30">
        <w:rPr>
          <w:rFonts w:ascii="Arial" w:hAnsi="Arial" w:cs="Arial"/>
          <w:sz w:val="24"/>
          <w:szCs w:val="24"/>
          <w:vertAlign w:val="subscript"/>
        </w:rPr>
        <w:t xml:space="preserve"> </w:t>
      </w:r>
    </w:p>
    <w:p w14:paraId="6CF4E27B" w14:textId="1B11029E" w:rsidR="00850B8B" w:rsidRPr="000E0F30" w:rsidRDefault="00850B8B" w:rsidP="000E0F30">
      <w:pPr>
        <w:pStyle w:val="ListParagraph"/>
        <w:numPr>
          <w:ilvl w:val="0"/>
          <w:numId w:val="1"/>
        </w:numPr>
        <w:spacing w:after="164" w:line="360" w:lineRule="auto"/>
        <w:jc w:val="both"/>
        <w:rPr>
          <w:rFonts w:ascii="Arial" w:hAnsi="Arial" w:cs="Arial"/>
          <w:sz w:val="24"/>
          <w:szCs w:val="24"/>
        </w:rPr>
      </w:pPr>
      <w:r w:rsidRPr="000E0F30">
        <w:rPr>
          <w:rFonts w:ascii="Arial" w:hAnsi="Arial" w:cs="Arial"/>
          <w:sz w:val="24"/>
          <w:szCs w:val="24"/>
        </w:rPr>
        <w:t xml:space="preserve">Marriott International, (2021) </w:t>
      </w:r>
      <w:r w:rsidRPr="000E0F30">
        <w:rPr>
          <w:rFonts w:ascii="Arial" w:hAnsi="Arial" w:cs="Arial"/>
          <w:i/>
          <w:iCs/>
          <w:sz w:val="24"/>
          <w:szCs w:val="24"/>
        </w:rPr>
        <w:t>Analyst Ratings, Estimates &amp; Forecasts. Yahoo! Finance.</w:t>
      </w:r>
      <w:r w:rsidRPr="000E0F30">
        <w:rPr>
          <w:rFonts w:ascii="Arial" w:hAnsi="Arial" w:cs="Arial"/>
          <w:sz w:val="24"/>
          <w:szCs w:val="24"/>
        </w:rPr>
        <w:t xml:space="preserve"> Available at: https://finance.yahoo.com/quote/MAR/analysis/</w:t>
      </w:r>
      <w:proofErr w:type="gramStart"/>
      <w:r w:rsidRPr="000E0F30">
        <w:rPr>
          <w:rFonts w:ascii="Arial" w:hAnsi="Arial" w:cs="Arial"/>
          <w:sz w:val="24"/>
          <w:szCs w:val="24"/>
        </w:rPr>
        <w:t>. ,</w:t>
      </w:r>
      <w:proofErr w:type="gramEnd"/>
      <w:r w:rsidRPr="000E0F30">
        <w:rPr>
          <w:rFonts w:ascii="Arial" w:hAnsi="Arial" w:cs="Arial"/>
          <w:sz w:val="24"/>
          <w:szCs w:val="24"/>
        </w:rPr>
        <w:t xml:space="preserve"> accessed at 05</w:t>
      </w:r>
      <w:r w:rsidRPr="000E0F30">
        <w:rPr>
          <w:rFonts w:ascii="Arial" w:hAnsi="Arial" w:cs="Arial"/>
          <w:sz w:val="24"/>
          <w:szCs w:val="24"/>
          <w:vertAlign w:val="superscript"/>
        </w:rPr>
        <w:t>th</w:t>
      </w:r>
      <w:r w:rsidRPr="000E0F30">
        <w:rPr>
          <w:rFonts w:ascii="Arial" w:hAnsi="Arial" w:cs="Arial"/>
          <w:sz w:val="24"/>
          <w:szCs w:val="24"/>
        </w:rPr>
        <w:t xml:space="preserve"> December 2022</w:t>
      </w:r>
    </w:p>
    <w:p w14:paraId="09A177BB" w14:textId="77777777" w:rsidR="00850B8B" w:rsidRPr="000E0F30" w:rsidRDefault="00850B8B" w:rsidP="000E0F30">
      <w:pPr>
        <w:pStyle w:val="ListParagraph"/>
        <w:numPr>
          <w:ilvl w:val="0"/>
          <w:numId w:val="1"/>
        </w:numPr>
        <w:spacing w:after="164" w:line="360" w:lineRule="auto"/>
        <w:jc w:val="both"/>
        <w:rPr>
          <w:rFonts w:ascii="Arial" w:hAnsi="Arial" w:cs="Arial"/>
          <w:sz w:val="24"/>
          <w:szCs w:val="24"/>
        </w:rPr>
      </w:pPr>
      <w:r w:rsidRPr="000E0F30">
        <w:rPr>
          <w:rFonts w:ascii="Arial" w:hAnsi="Arial" w:cs="Arial"/>
          <w:sz w:val="24"/>
          <w:szCs w:val="24"/>
        </w:rPr>
        <w:t>Marriott International, (2022), Profit margin, Stocks, available at: https://www.macrotrends.net/stocks/charts/MAR/marriott/profit-margins, accessed 02</w:t>
      </w:r>
      <w:r w:rsidRPr="000E0F30">
        <w:rPr>
          <w:rFonts w:ascii="Arial" w:hAnsi="Arial" w:cs="Arial"/>
          <w:sz w:val="24"/>
          <w:szCs w:val="24"/>
          <w:vertAlign w:val="superscript"/>
        </w:rPr>
        <w:t>nd</w:t>
      </w:r>
      <w:r w:rsidRPr="000E0F30">
        <w:rPr>
          <w:rFonts w:ascii="Arial" w:hAnsi="Arial" w:cs="Arial"/>
          <w:sz w:val="24"/>
          <w:szCs w:val="24"/>
        </w:rPr>
        <w:t xml:space="preserve"> December 2022</w:t>
      </w:r>
    </w:p>
    <w:p w14:paraId="127AFBE8" w14:textId="77777777" w:rsidR="00850B8B" w:rsidRPr="000E0F30" w:rsidRDefault="00850B8B" w:rsidP="000E0F30">
      <w:pPr>
        <w:pStyle w:val="ListParagraph"/>
        <w:numPr>
          <w:ilvl w:val="0"/>
          <w:numId w:val="1"/>
        </w:numPr>
        <w:spacing w:after="164" w:line="360" w:lineRule="auto"/>
        <w:jc w:val="both"/>
        <w:rPr>
          <w:rFonts w:ascii="Arial" w:hAnsi="Arial" w:cs="Arial"/>
          <w:sz w:val="24"/>
          <w:szCs w:val="24"/>
        </w:rPr>
      </w:pPr>
      <w:r w:rsidRPr="000E0F30">
        <w:rPr>
          <w:rFonts w:ascii="Arial" w:hAnsi="Arial" w:cs="Arial"/>
          <w:sz w:val="24"/>
          <w:szCs w:val="24"/>
        </w:rPr>
        <w:t xml:space="preserve">Marriott International, Inc. (2020). </w:t>
      </w:r>
      <w:r w:rsidRPr="000E0F30">
        <w:rPr>
          <w:rFonts w:ascii="Arial" w:hAnsi="Arial" w:cs="Arial"/>
          <w:i/>
          <w:iCs/>
          <w:sz w:val="24"/>
          <w:szCs w:val="24"/>
        </w:rPr>
        <w:t>Annual Report 2020.,</w:t>
      </w:r>
      <w:r w:rsidRPr="000E0F30">
        <w:rPr>
          <w:rFonts w:ascii="Arial" w:hAnsi="Arial" w:cs="Arial"/>
          <w:sz w:val="24"/>
          <w:szCs w:val="24"/>
        </w:rPr>
        <w:t xml:space="preserve"> available at: https://marriott.gcs-web.com/static-files/c5e1faeff1e5-40e3-bd70-5efbbb929a7f, accessed </w:t>
      </w:r>
      <w:proofErr w:type="gramStart"/>
      <w:r w:rsidRPr="000E0F30">
        <w:rPr>
          <w:rFonts w:ascii="Arial" w:hAnsi="Arial" w:cs="Arial"/>
          <w:sz w:val="24"/>
          <w:szCs w:val="24"/>
        </w:rPr>
        <w:t>at</w:t>
      </w:r>
      <w:proofErr w:type="gramEnd"/>
      <w:r w:rsidRPr="000E0F30">
        <w:rPr>
          <w:rFonts w:ascii="Arial" w:hAnsi="Arial" w:cs="Arial"/>
          <w:sz w:val="24"/>
          <w:szCs w:val="24"/>
        </w:rPr>
        <w:t xml:space="preserve"> 25</w:t>
      </w:r>
      <w:r w:rsidRPr="000E0F30">
        <w:rPr>
          <w:rFonts w:ascii="Arial" w:hAnsi="Arial" w:cs="Arial"/>
          <w:sz w:val="24"/>
          <w:szCs w:val="24"/>
          <w:vertAlign w:val="superscript"/>
        </w:rPr>
        <w:t>th</w:t>
      </w:r>
      <w:r w:rsidRPr="000E0F30">
        <w:rPr>
          <w:rFonts w:ascii="Arial" w:hAnsi="Arial" w:cs="Arial"/>
          <w:sz w:val="24"/>
          <w:szCs w:val="24"/>
        </w:rPr>
        <w:t xml:space="preserve"> November 2022</w:t>
      </w:r>
    </w:p>
    <w:p w14:paraId="131EA4E3" w14:textId="028EC4E9" w:rsidR="00850B8B" w:rsidRPr="000E0F30" w:rsidRDefault="00850B8B" w:rsidP="000E0F30">
      <w:pPr>
        <w:pStyle w:val="ListParagraph"/>
        <w:numPr>
          <w:ilvl w:val="0"/>
          <w:numId w:val="1"/>
        </w:numPr>
        <w:spacing w:after="164" w:line="360" w:lineRule="auto"/>
        <w:jc w:val="both"/>
        <w:rPr>
          <w:rFonts w:ascii="Arial" w:hAnsi="Arial" w:cs="Arial"/>
          <w:sz w:val="24"/>
          <w:szCs w:val="24"/>
        </w:rPr>
      </w:pPr>
      <w:r w:rsidRPr="000E0F30">
        <w:rPr>
          <w:rFonts w:ascii="Arial" w:hAnsi="Arial" w:cs="Arial"/>
          <w:sz w:val="24"/>
          <w:szCs w:val="24"/>
        </w:rPr>
        <w:t>Marriott International</w:t>
      </w:r>
      <w:r w:rsidR="00DA140D">
        <w:rPr>
          <w:rFonts w:ascii="Arial" w:hAnsi="Arial" w:cs="Arial"/>
          <w:sz w:val="24"/>
          <w:szCs w:val="24"/>
        </w:rPr>
        <w:t>,</w:t>
      </w:r>
      <w:r w:rsidRPr="000E0F30">
        <w:rPr>
          <w:rFonts w:ascii="Arial" w:hAnsi="Arial" w:cs="Arial"/>
          <w:sz w:val="24"/>
          <w:szCs w:val="24"/>
        </w:rPr>
        <w:t xml:space="preserve"> (2021), </w:t>
      </w:r>
      <w:r w:rsidRPr="000E0F30">
        <w:rPr>
          <w:rFonts w:ascii="Arial" w:hAnsi="Arial" w:cs="Arial"/>
          <w:i/>
          <w:iCs/>
          <w:sz w:val="24"/>
          <w:szCs w:val="24"/>
        </w:rPr>
        <w:t>Form 10-K 2021,</w:t>
      </w:r>
      <w:r w:rsidRPr="000E0F30">
        <w:rPr>
          <w:rFonts w:ascii="Arial" w:hAnsi="Arial" w:cs="Arial"/>
          <w:sz w:val="24"/>
          <w:szCs w:val="24"/>
        </w:rPr>
        <w:t xml:space="preserve"> available at: https://marriott.gcs-web.com/static files/9fb40a9dd54f-41d8-b36d-f9c924ecf7db, accessed 27</w:t>
      </w:r>
      <w:r w:rsidRPr="000E0F30">
        <w:rPr>
          <w:rFonts w:ascii="Arial" w:hAnsi="Arial" w:cs="Arial"/>
          <w:sz w:val="24"/>
          <w:szCs w:val="24"/>
          <w:vertAlign w:val="superscript"/>
        </w:rPr>
        <w:t>th</w:t>
      </w:r>
      <w:r w:rsidRPr="000E0F30">
        <w:rPr>
          <w:rFonts w:ascii="Arial" w:hAnsi="Arial" w:cs="Arial"/>
          <w:sz w:val="24"/>
          <w:szCs w:val="24"/>
        </w:rPr>
        <w:t xml:space="preserve"> November 2022.</w:t>
      </w:r>
    </w:p>
    <w:p w14:paraId="19A85562" w14:textId="77777777" w:rsidR="00850B8B" w:rsidRPr="000E0F30" w:rsidRDefault="00850B8B" w:rsidP="000E0F30">
      <w:pPr>
        <w:pStyle w:val="ListParagraph"/>
        <w:numPr>
          <w:ilvl w:val="0"/>
          <w:numId w:val="1"/>
        </w:numPr>
        <w:spacing w:after="164" w:line="360" w:lineRule="auto"/>
        <w:jc w:val="both"/>
        <w:rPr>
          <w:rFonts w:ascii="Arial" w:hAnsi="Arial" w:cs="Arial"/>
          <w:sz w:val="24"/>
          <w:szCs w:val="24"/>
        </w:rPr>
      </w:pPr>
      <w:proofErr w:type="spellStart"/>
      <w:r w:rsidRPr="000E0F30">
        <w:rPr>
          <w:rFonts w:ascii="Arial" w:hAnsi="Arial" w:cs="Arial"/>
          <w:sz w:val="24"/>
          <w:szCs w:val="24"/>
        </w:rPr>
        <w:t>Saleem.Q</w:t>
      </w:r>
      <w:proofErr w:type="spellEnd"/>
      <w:r w:rsidRPr="000E0F30">
        <w:rPr>
          <w:rFonts w:ascii="Arial" w:hAnsi="Arial" w:cs="Arial"/>
          <w:sz w:val="24"/>
          <w:szCs w:val="24"/>
        </w:rPr>
        <w:t xml:space="preserve">. (2011). </w:t>
      </w:r>
      <w:r w:rsidRPr="000E0F30">
        <w:rPr>
          <w:rFonts w:ascii="Arial" w:hAnsi="Arial" w:cs="Arial"/>
          <w:i/>
          <w:iCs/>
          <w:sz w:val="24"/>
          <w:szCs w:val="24"/>
        </w:rPr>
        <w:t>Impacts of liquidity ratios on profitability</w:t>
      </w:r>
      <w:r w:rsidRPr="000E0F30">
        <w:rPr>
          <w:rFonts w:ascii="Arial" w:hAnsi="Arial" w:cs="Arial"/>
          <w:sz w:val="24"/>
          <w:szCs w:val="24"/>
        </w:rPr>
        <w:t>. Interdisciplinary Journal of Research in Business.</w:t>
      </w:r>
    </w:p>
    <w:p w14:paraId="69E05DED" w14:textId="77777777" w:rsidR="00850B8B" w:rsidRPr="000E0F30" w:rsidRDefault="00850B8B" w:rsidP="000E0F30">
      <w:pPr>
        <w:pStyle w:val="ListParagraph"/>
        <w:numPr>
          <w:ilvl w:val="0"/>
          <w:numId w:val="1"/>
        </w:numPr>
        <w:spacing w:after="167" w:line="360" w:lineRule="auto"/>
        <w:jc w:val="both"/>
        <w:rPr>
          <w:rFonts w:ascii="Arial" w:hAnsi="Arial" w:cs="Arial"/>
          <w:sz w:val="24"/>
          <w:szCs w:val="24"/>
        </w:rPr>
      </w:pPr>
      <w:r w:rsidRPr="000E0F30">
        <w:rPr>
          <w:rFonts w:ascii="Arial" w:eastAsia="Times New Roman" w:hAnsi="Arial" w:cs="Arial"/>
          <w:sz w:val="24"/>
          <w:szCs w:val="24"/>
        </w:rPr>
        <w:t xml:space="preserve">Seal, W., Garrison, R. H. and Noreen, E. (2008), </w:t>
      </w:r>
      <w:r w:rsidRPr="000E0F30">
        <w:rPr>
          <w:rFonts w:ascii="Arial" w:eastAsia="Times New Roman" w:hAnsi="Arial" w:cs="Arial"/>
          <w:i/>
          <w:sz w:val="24"/>
          <w:szCs w:val="24"/>
        </w:rPr>
        <w:t>Management Accounting</w:t>
      </w:r>
      <w:r w:rsidRPr="000E0F30">
        <w:rPr>
          <w:rFonts w:ascii="Arial" w:eastAsia="Times New Roman" w:hAnsi="Arial" w:cs="Arial"/>
          <w:sz w:val="24"/>
          <w:szCs w:val="24"/>
        </w:rPr>
        <w:t xml:space="preserve">, UK: McGraw Hill </w:t>
      </w:r>
      <w:r w:rsidRPr="000E0F30">
        <w:rPr>
          <w:rFonts w:ascii="Arial" w:hAnsi="Arial" w:cs="Arial"/>
          <w:sz w:val="24"/>
          <w:szCs w:val="24"/>
          <w:vertAlign w:val="subscript"/>
        </w:rPr>
        <w:t xml:space="preserve"> </w:t>
      </w:r>
    </w:p>
    <w:p w14:paraId="5F803852" w14:textId="77777777" w:rsidR="00850B8B" w:rsidRPr="000E0F30" w:rsidRDefault="00850B8B" w:rsidP="000E0F30">
      <w:pPr>
        <w:pStyle w:val="ListParagraph"/>
        <w:numPr>
          <w:ilvl w:val="0"/>
          <w:numId w:val="1"/>
        </w:numPr>
        <w:spacing w:after="231" w:line="360" w:lineRule="auto"/>
        <w:jc w:val="both"/>
        <w:rPr>
          <w:rFonts w:ascii="Arial" w:hAnsi="Arial" w:cs="Arial"/>
          <w:sz w:val="24"/>
          <w:szCs w:val="24"/>
        </w:rPr>
      </w:pPr>
      <w:r w:rsidRPr="000E0F30">
        <w:rPr>
          <w:rFonts w:ascii="Arial" w:eastAsia="Times New Roman" w:hAnsi="Arial" w:cs="Arial"/>
          <w:sz w:val="24"/>
          <w:szCs w:val="24"/>
        </w:rPr>
        <w:t xml:space="preserve">Walsh, C. (2008), </w:t>
      </w:r>
      <w:r w:rsidRPr="000E0F30">
        <w:rPr>
          <w:rFonts w:ascii="Arial" w:eastAsia="Times New Roman" w:hAnsi="Arial" w:cs="Arial"/>
          <w:i/>
          <w:sz w:val="24"/>
          <w:szCs w:val="24"/>
        </w:rPr>
        <w:t>Key Management Ratios</w:t>
      </w:r>
      <w:r w:rsidRPr="000E0F30">
        <w:rPr>
          <w:rFonts w:ascii="Arial" w:eastAsia="Times New Roman" w:hAnsi="Arial" w:cs="Arial"/>
          <w:sz w:val="24"/>
          <w:szCs w:val="24"/>
        </w:rPr>
        <w:t xml:space="preserve"> </w:t>
      </w:r>
      <w:r w:rsidRPr="000E0F30">
        <w:rPr>
          <w:rFonts w:ascii="Arial" w:eastAsia="Times New Roman" w:hAnsi="Arial" w:cs="Arial"/>
          <w:i/>
          <w:sz w:val="24"/>
          <w:szCs w:val="24"/>
        </w:rPr>
        <w:t xml:space="preserve">– The 100+ Ratios Every </w:t>
      </w:r>
      <w:proofErr w:type="gramStart"/>
      <w:r w:rsidRPr="000E0F30">
        <w:rPr>
          <w:rFonts w:ascii="Arial" w:eastAsia="Times New Roman" w:hAnsi="Arial" w:cs="Arial"/>
          <w:i/>
          <w:sz w:val="24"/>
          <w:szCs w:val="24"/>
        </w:rPr>
        <w:t xml:space="preserve">Manager </w:t>
      </w:r>
      <w:r w:rsidRPr="000E0F30">
        <w:rPr>
          <w:rFonts w:ascii="Arial" w:hAnsi="Arial" w:cs="Arial"/>
          <w:sz w:val="24"/>
          <w:szCs w:val="24"/>
          <w:vertAlign w:val="subscript"/>
        </w:rPr>
        <w:t xml:space="preserve"> </w:t>
      </w:r>
      <w:r w:rsidRPr="000E0F30">
        <w:rPr>
          <w:rFonts w:ascii="Arial" w:eastAsia="Times New Roman" w:hAnsi="Arial" w:cs="Arial"/>
          <w:i/>
          <w:sz w:val="24"/>
          <w:szCs w:val="24"/>
        </w:rPr>
        <w:t>Needs</w:t>
      </w:r>
      <w:proofErr w:type="gramEnd"/>
      <w:r w:rsidRPr="000E0F30">
        <w:rPr>
          <w:rFonts w:ascii="Arial" w:eastAsia="Times New Roman" w:hAnsi="Arial" w:cs="Arial"/>
          <w:i/>
          <w:sz w:val="24"/>
          <w:szCs w:val="24"/>
        </w:rPr>
        <w:t xml:space="preserve"> to Know, </w:t>
      </w:r>
      <w:r w:rsidRPr="000E0F30">
        <w:rPr>
          <w:rFonts w:ascii="Arial" w:eastAsia="Times New Roman" w:hAnsi="Arial" w:cs="Arial"/>
          <w:sz w:val="24"/>
          <w:szCs w:val="24"/>
        </w:rPr>
        <w:t>(4</w:t>
      </w:r>
      <w:r w:rsidRPr="000E0F30">
        <w:rPr>
          <w:rFonts w:ascii="Arial" w:eastAsia="Times New Roman" w:hAnsi="Arial" w:cs="Arial"/>
          <w:sz w:val="24"/>
          <w:szCs w:val="24"/>
          <w:vertAlign w:val="superscript"/>
        </w:rPr>
        <w:t>th</w:t>
      </w:r>
      <w:r w:rsidRPr="000E0F30">
        <w:rPr>
          <w:rFonts w:ascii="Arial" w:eastAsia="Times New Roman" w:hAnsi="Arial" w:cs="Arial"/>
          <w:sz w:val="24"/>
          <w:szCs w:val="24"/>
        </w:rPr>
        <w:t xml:space="preserve"> Edition), Harlow: Prentice Hall </w:t>
      </w:r>
      <w:r w:rsidRPr="000E0F30">
        <w:rPr>
          <w:rFonts w:ascii="Arial" w:hAnsi="Arial" w:cs="Arial"/>
          <w:sz w:val="24"/>
          <w:szCs w:val="24"/>
          <w:vertAlign w:val="subscript"/>
        </w:rPr>
        <w:t xml:space="preserve"> </w:t>
      </w:r>
    </w:p>
    <w:p w14:paraId="3F6E800B" w14:textId="77777777" w:rsidR="00850B8B" w:rsidRPr="00B50B0F" w:rsidRDefault="00850B8B" w:rsidP="000E0F30">
      <w:pPr>
        <w:spacing w:line="360" w:lineRule="auto"/>
        <w:ind w:firstLine="284"/>
        <w:jc w:val="both"/>
        <w:rPr>
          <w:rFonts w:ascii="Arial" w:hAnsi="Arial" w:cs="Arial"/>
          <w:sz w:val="24"/>
          <w:szCs w:val="24"/>
        </w:rPr>
      </w:pPr>
    </w:p>
    <w:p w14:paraId="713D6F86" w14:textId="77777777" w:rsidR="00D74B40" w:rsidRPr="00B50B0F" w:rsidRDefault="00D74B40" w:rsidP="000E0F30">
      <w:pPr>
        <w:pStyle w:val="paragraph"/>
        <w:shd w:val="clear" w:color="auto" w:fill="FFFFFF"/>
        <w:spacing w:after="0" w:line="360" w:lineRule="auto"/>
        <w:ind w:firstLine="284"/>
        <w:jc w:val="both"/>
        <w:textAlignment w:val="baseline"/>
        <w:rPr>
          <w:rFonts w:ascii="Arial" w:eastAsiaTheme="minorHAnsi" w:hAnsi="Arial" w:cs="Arial"/>
          <w:lang w:eastAsia="en-US"/>
        </w:rPr>
      </w:pPr>
    </w:p>
    <w:p w14:paraId="537D142C" w14:textId="77777777" w:rsidR="00D74B40" w:rsidRPr="00B50B0F" w:rsidRDefault="00D74B40" w:rsidP="000E0F30">
      <w:pPr>
        <w:spacing w:after="361" w:line="360" w:lineRule="auto"/>
        <w:ind w:left="21" w:right="56" w:firstLine="284"/>
        <w:jc w:val="both"/>
        <w:rPr>
          <w:rFonts w:ascii="Arial" w:hAnsi="Arial" w:cs="Arial"/>
          <w:sz w:val="24"/>
          <w:szCs w:val="24"/>
        </w:rPr>
      </w:pPr>
    </w:p>
    <w:p w14:paraId="6411379B" w14:textId="77777777" w:rsidR="00017682" w:rsidRPr="00B50B0F" w:rsidRDefault="00017682" w:rsidP="000E0F30">
      <w:pPr>
        <w:spacing w:after="373" w:line="360" w:lineRule="auto"/>
        <w:ind w:firstLine="284"/>
        <w:jc w:val="both"/>
        <w:rPr>
          <w:rFonts w:ascii="Arial" w:hAnsi="Arial" w:cs="Arial"/>
          <w:sz w:val="24"/>
          <w:szCs w:val="24"/>
        </w:rPr>
      </w:pPr>
    </w:p>
    <w:p w14:paraId="1736E2F9" w14:textId="77777777" w:rsidR="00017682" w:rsidRPr="00B50B0F" w:rsidRDefault="00017682" w:rsidP="000E0F30">
      <w:pPr>
        <w:spacing w:line="360" w:lineRule="auto"/>
        <w:ind w:firstLine="284"/>
        <w:jc w:val="both"/>
        <w:rPr>
          <w:rFonts w:ascii="Arial" w:hAnsi="Arial" w:cs="Arial"/>
          <w:sz w:val="24"/>
          <w:szCs w:val="24"/>
        </w:rPr>
      </w:pPr>
    </w:p>
    <w:p w14:paraId="4EF96D3C" w14:textId="77777777" w:rsidR="00017682" w:rsidRPr="00B50B0F" w:rsidRDefault="00017682" w:rsidP="000E0F30">
      <w:pPr>
        <w:spacing w:line="360" w:lineRule="auto"/>
        <w:ind w:firstLine="284"/>
        <w:jc w:val="both"/>
        <w:rPr>
          <w:rFonts w:ascii="Arial" w:hAnsi="Arial" w:cs="Arial"/>
          <w:sz w:val="24"/>
          <w:szCs w:val="24"/>
        </w:rPr>
      </w:pPr>
    </w:p>
    <w:p w14:paraId="37204779" w14:textId="77777777" w:rsidR="00A34AE3" w:rsidRPr="00B50B0F" w:rsidRDefault="00A34AE3" w:rsidP="000E0F30">
      <w:pPr>
        <w:spacing w:line="360" w:lineRule="auto"/>
        <w:ind w:firstLine="284"/>
        <w:jc w:val="both"/>
        <w:rPr>
          <w:rFonts w:ascii="Arial" w:hAnsi="Arial" w:cs="Arial"/>
          <w:sz w:val="24"/>
          <w:szCs w:val="24"/>
        </w:rPr>
      </w:pPr>
    </w:p>
    <w:sectPr w:rsidR="00A34AE3" w:rsidRPr="00B50B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2A7186"/>
    <w:multiLevelType w:val="hybridMultilevel"/>
    <w:tmpl w:val="014054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2502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C0E"/>
    <w:rsid w:val="00017682"/>
    <w:rsid w:val="000E0F30"/>
    <w:rsid w:val="002C6BE9"/>
    <w:rsid w:val="003C6E1A"/>
    <w:rsid w:val="006C05F3"/>
    <w:rsid w:val="007015F1"/>
    <w:rsid w:val="00850B8B"/>
    <w:rsid w:val="009A2C16"/>
    <w:rsid w:val="00A23C0E"/>
    <w:rsid w:val="00A34AE3"/>
    <w:rsid w:val="00AF15DA"/>
    <w:rsid w:val="00B50B0F"/>
    <w:rsid w:val="00D74B40"/>
    <w:rsid w:val="00D94F4F"/>
    <w:rsid w:val="00DA1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32858"/>
  <w15:chartTrackingRefBased/>
  <w15:docId w15:val="{07729013-7CF3-429E-BA0E-68D09F719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3C0E"/>
  </w:style>
  <w:style w:type="paragraph" w:styleId="Heading1">
    <w:name w:val="heading 1"/>
    <w:basedOn w:val="Normal"/>
    <w:next w:val="Normal"/>
    <w:link w:val="Heading1Char"/>
    <w:uiPriority w:val="9"/>
    <w:qFormat/>
    <w:rsid w:val="00A23C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176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3C0E"/>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A23C0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3C0E"/>
    <w:rPr>
      <w:rFonts w:eastAsiaTheme="minorEastAsia"/>
      <w:lang w:val="en-US"/>
    </w:rPr>
  </w:style>
  <w:style w:type="paragraph" w:styleId="TOCHeading">
    <w:name w:val="TOC Heading"/>
    <w:basedOn w:val="Heading1"/>
    <w:next w:val="Normal"/>
    <w:uiPriority w:val="39"/>
    <w:unhideWhenUsed/>
    <w:qFormat/>
    <w:rsid w:val="00A23C0E"/>
    <w:pPr>
      <w:outlineLvl w:val="9"/>
    </w:pPr>
    <w:rPr>
      <w:lang w:val="en-US"/>
    </w:rPr>
  </w:style>
  <w:style w:type="paragraph" w:styleId="TOC1">
    <w:name w:val="toc 1"/>
    <w:basedOn w:val="Normal"/>
    <w:next w:val="Normal"/>
    <w:autoRedefine/>
    <w:uiPriority w:val="39"/>
    <w:unhideWhenUsed/>
    <w:rsid w:val="00A23C0E"/>
    <w:pPr>
      <w:spacing w:after="100"/>
    </w:pPr>
  </w:style>
  <w:style w:type="character" w:styleId="Hyperlink">
    <w:name w:val="Hyperlink"/>
    <w:basedOn w:val="DefaultParagraphFont"/>
    <w:uiPriority w:val="99"/>
    <w:unhideWhenUsed/>
    <w:rsid w:val="00A23C0E"/>
    <w:rPr>
      <w:color w:val="0563C1" w:themeColor="hyperlink"/>
      <w:u w:val="single"/>
    </w:rPr>
  </w:style>
  <w:style w:type="paragraph" w:styleId="TOC2">
    <w:name w:val="toc 2"/>
    <w:basedOn w:val="Normal"/>
    <w:next w:val="Normal"/>
    <w:autoRedefine/>
    <w:uiPriority w:val="39"/>
    <w:unhideWhenUsed/>
    <w:rsid w:val="00A23C0E"/>
    <w:pPr>
      <w:spacing w:after="100"/>
      <w:ind w:left="220"/>
    </w:pPr>
  </w:style>
  <w:style w:type="character" w:customStyle="1" w:styleId="Heading2Char">
    <w:name w:val="Heading 2 Char"/>
    <w:basedOn w:val="DefaultParagraphFont"/>
    <w:link w:val="Heading2"/>
    <w:uiPriority w:val="9"/>
    <w:rsid w:val="00017682"/>
    <w:rPr>
      <w:rFonts w:asciiTheme="majorHAnsi" w:eastAsiaTheme="majorEastAsia" w:hAnsiTheme="majorHAnsi" w:cstheme="majorBidi"/>
      <w:color w:val="2F5496" w:themeColor="accent1" w:themeShade="BF"/>
      <w:sz w:val="26"/>
      <w:szCs w:val="26"/>
    </w:rPr>
  </w:style>
  <w:style w:type="paragraph" w:customStyle="1" w:styleId="paragraph">
    <w:name w:val="paragraph"/>
    <w:basedOn w:val="Normal"/>
    <w:rsid w:val="00D74B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D74B40"/>
  </w:style>
  <w:style w:type="character" w:styleId="Strong">
    <w:name w:val="Strong"/>
    <w:basedOn w:val="DefaultParagraphFont"/>
    <w:uiPriority w:val="22"/>
    <w:qFormat/>
    <w:rsid w:val="00850B8B"/>
    <w:rPr>
      <w:b/>
      <w:bCs/>
    </w:rPr>
  </w:style>
  <w:style w:type="paragraph" w:styleId="ListParagraph">
    <w:name w:val="List Paragraph"/>
    <w:basedOn w:val="Normal"/>
    <w:uiPriority w:val="34"/>
    <w:qFormat/>
    <w:rsid w:val="000E0F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image" Target="media/image8.png"/><Relationship Id="rId10" Type="http://schemas.openxmlformats.org/officeDocument/2006/relationships/chart" Target="charts/chart1.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7.png"/></Relationships>
</file>

<file path=word/charts/_rels/chart1.xml.rels><?xml version="1.0" encoding="UTF-8" standalone="yes"?>
<Relationships xmlns="http://schemas.openxmlformats.org/package/2006/relationships"><Relationship Id="rId3" Type="http://schemas.openxmlformats.org/officeDocument/2006/relationships/oleObject" Target="file:///C:\D\Lori%202021\Facultate%20hotel%20management-LAPTOP-N6JKKE2I-LAPTOP-N6JKKE2I\Year%202\Financial%20Manangement\Ass%202\marriott%20figure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Marriott Annual data 2020/2021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31/12/2021</c:v>
                </c:pt>
              </c:strCache>
            </c:strRef>
          </c:tx>
          <c:spPr>
            <a:ln w="28575" cap="rnd">
              <a:solidFill>
                <a:schemeClr val="accent1"/>
              </a:solidFill>
              <a:round/>
            </a:ln>
            <a:effectLst/>
          </c:spPr>
          <c:marker>
            <c:symbol val="none"/>
          </c:marker>
          <c:cat>
            <c:strRef>
              <c:f>Sheet1!$A$2:$A$21</c:f>
              <c:strCache>
                <c:ptCount val="20"/>
                <c:pt idx="0">
                  <c:v>Current Ratio</c:v>
                </c:pt>
                <c:pt idx="1">
                  <c:v>Long-term Debt / Capital</c:v>
                </c:pt>
                <c:pt idx="2">
                  <c:v>Debt/Equity Ratio</c:v>
                </c:pt>
                <c:pt idx="3">
                  <c:v>Gross Margin</c:v>
                </c:pt>
                <c:pt idx="4">
                  <c:v>Operating Margin</c:v>
                </c:pt>
                <c:pt idx="5">
                  <c:v>EBIT Margin</c:v>
                </c:pt>
                <c:pt idx="6">
                  <c:v>EBITDA Margin</c:v>
                </c:pt>
                <c:pt idx="7">
                  <c:v>Pre-Tax Profit Margin</c:v>
                </c:pt>
                <c:pt idx="8">
                  <c:v>Net Profit Margin</c:v>
                </c:pt>
                <c:pt idx="9">
                  <c:v>Asset Turnover</c:v>
                </c:pt>
                <c:pt idx="10">
                  <c:v>Inventory Turnover Ratio </c:v>
                </c:pt>
                <c:pt idx="11">
                  <c:v>Receiveable Turnover</c:v>
                </c:pt>
                <c:pt idx="12">
                  <c:v>Days Sales In Receivables</c:v>
                </c:pt>
                <c:pt idx="13">
                  <c:v>ROE - Return On Equity</c:v>
                </c:pt>
                <c:pt idx="14">
                  <c:v>Return On Tangible Equity</c:v>
                </c:pt>
                <c:pt idx="15">
                  <c:v>ROA - Return On Assets</c:v>
                </c:pt>
                <c:pt idx="16">
                  <c:v>ROI - Return On Investment</c:v>
                </c:pt>
                <c:pt idx="17">
                  <c:v>Book Value Per Share</c:v>
                </c:pt>
                <c:pt idx="18">
                  <c:v>Operating Cash Flow Per Share</c:v>
                </c:pt>
                <c:pt idx="19">
                  <c:v>Free Cash Flow Per Share</c:v>
                </c:pt>
              </c:strCache>
            </c:strRef>
          </c:cat>
          <c:val>
            <c:numRef>
              <c:f>Sheet1!$B$2:$B$21</c:f>
              <c:numCache>
                <c:formatCode>#,##0.00_);\(#,##0.00\)</c:formatCode>
                <c:ptCount val="20"/>
                <c:pt idx="0">
                  <c:v>0.56589999999999996</c:v>
                </c:pt>
                <c:pt idx="1">
                  <c:v>0.86839999999999995</c:v>
                </c:pt>
                <c:pt idx="2">
                  <c:v>7.1696999999999997</c:v>
                </c:pt>
                <c:pt idx="3">
                  <c:v>20.2136</c:v>
                </c:pt>
                <c:pt idx="4">
                  <c:v>12.629</c:v>
                </c:pt>
                <c:pt idx="5">
                  <c:v>12.629</c:v>
                </c:pt>
                <c:pt idx="6">
                  <c:v>14.757899999999999</c:v>
                </c:pt>
                <c:pt idx="7">
                  <c:v>8.5155999999999992</c:v>
                </c:pt>
                <c:pt idx="8">
                  <c:v>7.931</c:v>
                </c:pt>
                <c:pt idx="9">
                  <c:v>0.5423</c:v>
                </c:pt>
                <c:pt idx="11">
                  <c:v>6.9913999999999996</c:v>
                </c:pt>
                <c:pt idx="12">
                  <c:v>52.206800000000001</c:v>
                </c:pt>
                <c:pt idx="13">
                  <c:v>77.722800000000007</c:v>
                </c:pt>
                <c:pt idx="14">
                  <c:v>-6.6265000000000001</c:v>
                </c:pt>
                <c:pt idx="15">
                  <c:v>4.3009000000000004</c:v>
                </c:pt>
                <c:pt idx="16">
                  <c:v>10.226100000000001</c:v>
                </c:pt>
                <c:pt idx="17">
                  <c:v>4.3334000000000001</c:v>
                </c:pt>
                <c:pt idx="18">
                  <c:v>-1.4564999999999999</c:v>
                </c:pt>
                <c:pt idx="19">
                  <c:v>-2.3593999999999999</c:v>
                </c:pt>
              </c:numCache>
            </c:numRef>
          </c:val>
          <c:smooth val="0"/>
          <c:extLst>
            <c:ext xmlns:c16="http://schemas.microsoft.com/office/drawing/2014/chart" uri="{C3380CC4-5D6E-409C-BE32-E72D297353CC}">
              <c16:uniqueId val="{00000000-9DB7-4762-BEB7-C1FD18F0C612}"/>
            </c:ext>
          </c:extLst>
        </c:ser>
        <c:ser>
          <c:idx val="1"/>
          <c:order val="1"/>
          <c:tx>
            <c:strRef>
              <c:f>Sheet1!$C$1</c:f>
              <c:strCache>
                <c:ptCount val="1"/>
                <c:pt idx="0">
                  <c:v>31/12/2020</c:v>
                </c:pt>
              </c:strCache>
            </c:strRef>
          </c:tx>
          <c:spPr>
            <a:ln w="28575" cap="rnd">
              <a:solidFill>
                <a:schemeClr val="accent2"/>
              </a:solidFill>
              <a:round/>
            </a:ln>
            <a:effectLst/>
          </c:spPr>
          <c:marker>
            <c:symbol val="none"/>
          </c:marker>
          <c:cat>
            <c:strRef>
              <c:f>Sheet1!$A$2:$A$21</c:f>
              <c:strCache>
                <c:ptCount val="20"/>
                <c:pt idx="0">
                  <c:v>Current Ratio</c:v>
                </c:pt>
                <c:pt idx="1">
                  <c:v>Long-term Debt / Capital</c:v>
                </c:pt>
                <c:pt idx="2">
                  <c:v>Debt/Equity Ratio</c:v>
                </c:pt>
                <c:pt idx="3">
                  <c:v>Gross Margin</c:v>
                </c:pt>
                <c:pt idx="4">
                  <c:v>Operating Margin</c:v>
                </c:pt>
                <c:pt idx="5">
                  <c:v>EBIT Margin</c:v>
                </c:pt>
                <c:pt idx="6">
                  <c:v>EBITDA Margin</c:v>
                </c:pt>
                <c:pt idx="7">
                  <c:v>Pre-Tax Profit Margin</c:v>
                </c:pt>
                <c:pt idx="8">
                  <c:v>Net Profit Margin</c:v>
                </c:pt>
                <c:pt idx="9">
                  <c:v>Asset Turnover</c:v>
                </c:pt>
                <c:pt idx="10">
                  <c:v>Inventory Turnover Ratio </c:v>
                </c:pt>
                <c:pt idx="11">
                  <c:v>Receiveable Turnover</c:v>
                </c:pt>
                <c:pt idx="12">
                  <c:v>Days Sales In Receivables</c:v>
                </c:pt>
                <c:pt idx="13">
                  <c:v>ROE - Return On Equity</c:v>
                </c:pt>
                <c:pt idx="14">
                  <c:v>Return On Tangible Equity</c:v>
                </c:pt>
                <c:pt idx="15">
                  <c:v>ROA - Return On Assets</c:v>
                </c:pt>
                <c:pt idx="16">
                  <c:v>ROI - Return On Investment</c:v>
                </c:pt>
                <c:pt idx="17">
                  <c:v>Book Value Per Share</c:v>
                </c:pt>
                <c:pt idx="18">
                  <c:v>Operating Cash Flow Per Share</c:v>
                </c:pt>
                <c:pt idx="19">
                  <c:v>Free Cash Flow Per Share</c:v>
                </c:pt>
              </c:strCache>
            </c:strRef>
          </c:cat>
          <c:val>
            <c:numRef>
              <c:f>Sheet1!$C$2:$C$21</c:f>
              <c:numCache>
                <c:formatCode>#,##0.00_);\(#,##0.00\)</c:formatCode>
                <c:ptCount val="20"/>
                <c:pt idx="0">
                  <c:v>0.49109999999999998</c:v>
                </c:pt>
                <c:pt idx="1">
                  <c:v>0.95540000000000003</c:v>
                </c:pt>
                <c:pt idx="2">
                  <c:v>24.130199999999999</c:v>
                </c:pt>
                <c:pt idx="3">
                  <c:v>13.8019</c:v>
                </c:pt>
                <c:pt idx="4">
                  <c:v>0.79459999999999997</c:v>
                </c:pt>
                <c:pt idx="5">
                  <c:v>0.79459999999999997</c:v>
                </c:pt>
                <c:pt idx="6">
                  <c:v>5.3163999999999998</c:v>
                </c:pt>
                <c:pt idx="7">
                  <c:v>-4.4082999999999997</c:v>
                </c:pt>
                <c:pt idx="8">
                  <c:v>-2.5257999999999998</c:v>
                </c:pt>
                <c:pt idx="9">
                  <c:v>0.42799999999999999</c:v>
                </c:pt>
                <c:pt idx="10">
                  <c:v>0</c:v>
                </c:pt>
                <c:pt idx="11">
                  <c:v>5.9790999999999999</c:v>
                </c:pt>
                <c:pt idx="12">
                  <c:v>61.046300000000002</c:v>
                </c:pt>
                <c:pt idx="13">
                  <c:v>-62.093000000000004</c:v>
                </c:pt>
                <c:pt idx="14">
                  <c:v>1.5056</c:v>
                </c:pt>
                <c:pt idx="15">
                  <c:v>-1.0809</c:v>
                </c:pt>
                <c:pt idx="16">
                  <c:v>-2.7717000000000001</c:v>
                </c:pt>
                <c:pt idx="17">
                  <c:v>1.3254999999999999</c:v>
                </c:pt>
                <c:pt idx="18">
                  <c:v>8.3000000000000001E-3</c:v>
                </c:pt>
                <c:pt idx="19">
                  <c:v>1.161</c:v>
                </c:pt>
              </c:numCache>
            </c:numRef>
          </c:val>
          <c:smooth val="0"/>
          <c:extLst>
            <c:ext xmlns:c16="http://schemas.microsoft.com/office/drawing/2014/chart" uri="{C3380CC4-5D6E-409C-BE32-E72D297353CC}">
              <c16:uniqueId val="{00000001-9DB7-4762-BEB7-C1FD18F0C612}"/>
            </c:ext>
          </c:extLst>
        </c:ser>
        <c:dLbls>
          <c:showLegendKey val="0"/>
          <c:showVal val="0"/>
          <c:showCatName val="0"/>
          <c:showSerName val="0"/>
          <c:showPercent val="0"/>
          <c:showBubbleSize val="0"/>
        </c:dLbls>
        <c:smooth val="0"/>
        <c:axId val="1498069663"/>
        <c:axId val="1498070079"/>
      </c:lineChart>
      <c:catAx>
        <c:axId val="14980696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8070079"/>
        <c:crosses val="autoZero"/>
        <c:auto val="1"/>
        <c:lblAlgn val="ctr"/>
        <c:lblOffset val="100"/>
        <c:noMultiLvlLbl val="0"/>
      </c:catAx>
      <c:valAx>
        <c:axId val="1498070079"/>
        <c:scaling>
          <c:orientation val="minMax"/>
        </c:scaling>
        <c:delete val="0"/>
        <c:axPos val="l"/>
        <c:majorGridlines>
          <c:spPr>
            <a:ln w="9525" cap="flat" cmpd="sng" algn="ctr">
              <a:solidFill>
                <a:schemeClr val="tx1">
                  <a:lumMod val="15000"/>
                  <a:lumOff val="85000"/>
                </a:schemeClr>
              </a:solidFill>
              <a:round/>
            </a:ln>
            <a:effectLst/>
          </c:spPr>
        </c:majorGridlines>
        <c:numFmt formatCode="#,##0.00_);\(#,##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80696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1837B21D08B45108316A5FFEA572561"/>
        <w:category>
          <w:name w:val="General"/>
          <w:gallery w:val="placeholder"/>
        </w:category>
        <w:types>
          <w:type w:val="bbPlcHdr"/>
        </w:types>
        <w:behaviors>
          <w:behavior w:val="content"/>
        </w:behaviors>
        <w:guid w:val="{AED3726D-50F0-4296-92AD-22297D000A40}"/>
      </w:docPartPr>
      <w:docPartBody>
        <w:p w:rsidR="00000000" w:rsidRDefault="00D4417D" w:rsidP="00D4417D">
          <w:pPr>
            <w:pStyle w:val="A1837B21D08B45108316A5FFEA57256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17D"/>
    <w:rsid w:val="00D1010E"/>
    <w:rsid w:val="00D44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1837B21D08B45108316A5FFEA572561">
    <w:name w:val="A1837B21D08B45108316A5FFEA572561"/>
    <w:rsid w:val="00D4417D"/>
  </w:style>
  <w:style w:type="paragraph" w:customStyle="1" w:styleId="94E758F9A7EB4FA29CB4C546E89B815A">
    <w:name w:val="94E758F9A7EB4FA29CB4C546E89B815A"/>
    <w:rsid w:val="00D4417D"/>
  </w:style>
  <w:style w:type="paragraph" w:customStyle="1" w:styleId="07A7981B427845188B5A0CE1E3A49390">
    <w:name w:val="07A7981B427845188B5A0CE1E3A49390"/>
    <w:rsid w:val="00D4417D"/>
  </w:style>
  <w:style w:type="paragraph" w:customStyle="1" w:styleId="85C23551CD244F92B5CECF48D8E7EBB3">
    <w:name w:val="85C23551CD244F92B5CECF48D8E7EBB3"/>
    <w:rsid w:val="00D441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97B27F-96A1-42F8-89F2-E7E9561460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996</TotalTime>
  <Pages>12</Pages>
  <Words>2340</Words>
  <Characters>13340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Marriott International</dc:title>
  <dc:subject/>
  <dc:creator>Ioana Dinu (2025758)</dc:creator>
  <cp:keywords/>
  <dc:description/>
  <cp:lastModifiedBy>Ioana Dinu</cp:lastModifiedBy>
  <cp:revision>2</cp:revision>
  <dcterms:created xsi:type="dcterms:W3CDTF">2022-12-04T17:30:00Z</dcterms:created>
  <dcterms:modified xsi:type="dcterms:W3CDTF">2022-12-05T17:08:00Z</dcterms:modified>
</cp:coreProperties>
</file>