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04CB7" w14:textId="7434D14A" w:rsidR="00CC3C2E" w:rsidRDefault="00AC0FB1">
      <w:r>
        <w:t xml:space="preserve">                                     Conference Research Paper </w:t>
      </w:r>
    </w:p>
    <w:p w14:paraId="3394287E" w14:textId="544A2796" w:rsidR="00AC0FB1" w:rsidRDefault="00AC0FB1">
      <w:r>
        <w:t xml:space="preserve">                                     </w:t>
      </w:r>
      <w:r>
        <w:t>Option Two: Sustainability in terms of Food waste and its efficacy</w:t>
      </w:r>
    </w:p>
    <w:p w14:paraId="2DA9D83A" w14:textId="0E72C751" w:rsidR="00AC0FB1" w:rsidRDefault="00AC0FB1">
      <w:r>
        <w:t xml:space="preserve">      </w:t>
      </w:r>
    </w:p>
    <w:p w14:paraId="3321B426" w14:textId="77777777" w:rsidR="00AC0FB1" w:rsidRDefault="00AC0FB1"/>
    <w:p w14:paraId="030F9370" w14:textId="4A0A6E65" w:rsidR="00AC0FB1" w:rsidRDefault="00AC0FB1">
      <w:r>
        <w:t xml:space="preserve">                                   Module Code: BMIH6001</w:t>
      </w:r>
    </w:p>
    <w:p w14:paraId="05A97F98" w14:textId="1297E947" w:rsidR="00AC0FB1" w:rsidRDefault="00AC0FB1">
      <w:r>
        <w:t xml:space="preserve">                                   Lecturer Name: Natalie Brailsford </w:t>
      </w:r>
    </w:p>
    <w:p w14:paraId="3A9CCBB6" w14:textId="02F73B86" w:rsidR="00AC0FB1" w:rsidRDefault="00AC0FB1">
      <w:r>
        <w:t xml:space="preserve">                                   Student Name: Anaida Adamache </w:t>
      </w:r>
    </w:p>
    <w:p w14:paraId="58670E16" w14:textId="34528F65" w:rsidR="00AC0FB1" w:rsidRDefault="00AC0FB1">
      <w:r>
        <w:t xml:space="preserve">                                   Student Number:2026381</w:t>
      </w:r>
    </w:p>
    <w:p w14:paraId="7C5B9786" w14:textId="77777777" w:rsidR="00AC0FB1" w:rsidRPr="0034120D" w:rsidRDefault="00AC0FB1"/>
    <w:p w14:paraId="2525E53E" w14:textId="7741706E" w:rsidR="008804F5" w:rsidRPr="0034120D" w:rsidRDefault="00AC0FB1" w:rsidP="008804F5">
      <w:pPr>
        <w:jc w:val="center"/>
        <w:rPr>
          <w:b/>
          <w:bCs/>
          <w:sz w:val="36"/>
          <w:szCs w:val="36"/>
        </w:rPr>
      </w:pPr>
      <w:r>
        <w:rPr>
          <w:b/>
          <w:bCs/>
          <w:sz w:val="36"/>
          <w:szCs w:val="36"/>
        </w:rPr>
        <w:t xml:space="preserve">                                                                                                      </w:t>
      </w:r>
    </w:p>
    <w:p w14:paraId="3772CEF2" w14:textId="77777777" w:rsidR="008804F5" w:rsidRPr="0034120D" w:rsidRDefault="008804F5" w:rsidP="008804F5">
      <w:pPr>
        <w:jc w:val="center"/>
        <w:rPr>
          <w:b/>
          <w:bCs/>
          <w:sz w:val="36"/>
          <w:szCs w:val="36"/>
        </w:rPr>
      </w:pPr>
    </w:p>
    <w:p w14:paraId="4332C8AA" w14:textId="77777777" w:rsidR="008804F5" w:rsidRPr="0034120D" w:rsidRDefault="008804F5" w:rsidP="008804F5">
      <w:pPr>
        <w:jc w:val="center"/>
        <w:rPr>
          <w:b/>
          <w:bCs/>
          <w:sz w:val="36"/>
          <w:szCs w:val="36"/>
        </w:rPr>
      </w:pPr>
    </w:p>
    <w:p w14:paraId="221F604A" w14:textId="77777777" w:rsidR="008804F5" w:rsidRPr="0034120D" w:rsidRDefault="008804F5" w:rsidP="008804F5">
      <w:pPr>
        <w:jc w:val="center"/>
        <w:rPr>
          <w:b/>
          <w:bCs/>
          <w:sz w:val="36"/>
          <w:szCs w:val="36"/>
        </w:rPr>
      </w:pPr>
    </w:p>
    <w:p w14:paraId="1176837E" w14:textId="77777777" w:rsidR="008804F5" w:rsidRPr="0034120D" w:rsidRDefault="008804F5" w:rsidP="008804F5">
      <w:pPr>
        <w:jc w:val="center"/>
        <w:rPr>
          <w:b/>
          <w:bCs/>
          <w:sz w:val="36"/>
          <w:szCs w:val="36"/>
        </w:rPr>
      </w:pPr>
    </w:p>
    <w:p w14:paraId="7ED549BA" w14:textId="77777777" w:rsidR="008804F5" w:rsidRPr="0034120D" w:rsidRDefault="00691D5E">
      <w:pPr>
        <w:spacing w:line="259" w:lineRule="auto"/>
        <w:jc w:val="left"/>
        <w:rPr>
          <w:b/>
          <w:bCs/>
          <w:sz w:val="36"/>
          <w:szCs w:val="36"/>
        </w:rPr>
      </w:pPr>
      <w:r w:rsidRPr="0034120D">
        <w:rPr>
          <w:b/>
          <w:bCs/>
          <w:sz w:val="36"/>
          <w:szCs w:val="36"/>
        </w:rPr>
        <w:br w:type="page"/>
      </w:r>
    </w:p>
    <w:p w14:paraId="65DBA398" w14:textId="032B7586" w:rsidR="001B3B98" w:rsidRPr="0034120D" w:rsidRDefault="00691D5E" w:rsidP="001B3B98">
      <w:pPr>
        <w:jc w:val="center"/>
        <w:rPr>
          <w:b/>
          <w:bCs/>
        </w:rPr>
      </w:pPr>
      <w:r w:rsidRPr="0034120D">
        <w:rPr>
          <w:b/>
          <w:bCs/>
        </w:rPr>
        <w:lastRenderedPageBreak/>
        <w:t>Abstract</w:t>
      </w:r>
    </w:p>
    <w:p w14:paraId="31E62CCD" w14:textId="471D1BA5" w:rsidR="001B3B98" w:rsidRPr="0034120D" w:rsidRDefault="00691D5E" w:rsidP="001B3B98">
      <w:r w:rsidRPr="0034120D">
        <w:t>In this conference paper, the issue of assigning food waste management in the hospitality sector has been viewed with references to its impact on the operations, environment, and finances. Thematic analysis of literature about academic materials and industry reports was done qualitatively</w:t>
      </w:r>
      <w:r w:rsidR="000717C2" w:rsidRPr="0034120D">
        <w:t xml:space="preserve"> </w:t>
      </w:r>
      <w:r w:rsidRPr="0034120D">
        <w:t xml:space="preserve">to ensure that the main causes, strategies and challenges were identified. </w:t>
      </w:r>
      <w:r w:rsidR="000717C2" w:rsidRPr="0034120D">
        <w:t>The r</w:t>
      </w:r>
      <w:r w:rsidRPr="0034120D">
        <w:t xml:space="preserve">esults indicated that technological solutions, staff engagement and practices dictated in a circular economy administration brought about waste reduction and helped to sustain and maximise profitability. This </w:t>
      </w:r>
      <w:r w:rsidR="000717C2" w:rsidRPr="0034120D">
        <w:t xml:space="preserve">conference </w:t>
      </w:r>
      <w:r w:rsidRPr="0034120D">
        <w:t xml:space="preserve">paper has </w:t>
      </w:r>
      <w:r w:rsidR="006E115F" w:rsidRPr="0034120D">
        <w:t>concluded</w:t>
      </w:r>
      <w:r w:rsidRPr="0034120D">
        <w:t xml:space="preserve"> that integrated strategies will enable hotel companies to achieve a balance between efficiency and guest satisfaction with environmental responsibility.</w:t>
      </w:r>
    </w:p>
    <w:p w14:paraId="4C5A8690" w14:textId="48EDCCEE" w:rsidR="001B3B98" w:rsidRPr="0034120D" w:rsidRDefault="00691D5E" w:rsidP="001B3B98">
      <w:pPr>
        <w:rPr>
          <w:rFonts w:eastAsiaTheme="majorEastAsia" w:cstheme="majorBidi"/>
          <w:szCs w:val="32"/>
        </w:rPr>
      </w:pPr>
      <w:r w:rsidRPr="0034120D">
        <w:br w:type="page"/>
      </w:r>
    </w:p>
    <w:sdt>
      <w:sdtPr>
        <w:id w:val="1248696150"/>
        <w:docPartObj>
          <w:docPartGallery w:val="Table of Contents"/>
          <w:docPartUnique/>
        </w:docPartObj>
      </w:sdtPr>
      <w:sdtEndPr>
        <w:rPr>
          <w:b/>
          <w:bCs/>
          <w:noProof/>
        </w:rPr>
      </w:sdtEndPr>
      <w:sdtContent>
        <w:p w14:paraId="3F0FA2CF" w14:textId="3BE3977B" w:rsidR="00BF396D" w:rsidRPr="0034120D" w:rsidRDefault="00691D5E" w:rsidP="00BF396D">
          <w:pPr>
            <w:jc w:val="center"/>
            <w:rPr>
              <w:b/>
              <w:bCs/>
              <w:sz w:val="28"/>
              <w:szCs w:val="24"/>
            </w:rPr>
          </w:pPr>
          <w:r w:rsidRPr="0034120D">
            <w:rPr>
              <w:b/>
              <w:bCs/>
              <w:sz w:val="28"/>
              <w:szCs w:val="24"/>
            </w:rPr>
            <w:t>Table of Contents</w:t>
          </w:r>
        </w:p>
        <w:p w14:paraId="7B07E4E1" w14:textId="4264FE73" w:rsidR="00AC179E" w:rsidRPr="0034120D" w:rsidRDefault="00691D5E">
          <w:pPr>
            <w:pStyle w:val="TOC1"/>
            <w:tabs>
              <w:tab w:val="right" w:leader="dot" w:pos="9016"/>
            </w:tabs>
            <w:rPr>
              <w:rFonts w:asciiTheme="minorHAnsi" w:eastAsiaTheme="minorEastAsia" w:hAnsiTheme="minorHAnsi"/>
              <w:noProof/>
              <w:szCs w:val="24"/>
              <w:lang w:val="en-IN" w:eastAsia="en-IN"/>
            </w:rPr>
          </w:pPr>
          <w:r w:rsidRPr="0034120D">
            <w:fldChar w:fldCharType="begin"/>
          </w:r>
          <w:r w:rsidRPr="0034120D">
            <w:instrText xml:space="preserve"> TOC \o "1-3" \h \z \u </w:instrText>
          </w:r>
          <w:r w:rsidRPr="0034120D">
            <w:fldChar w:fldCharType="separate"/>
          </w:r>
          <w:hyperlink w:anchor="_Toc211475805" w:history="1">
            <w:r w:rsidR="00AC179E" w:rsidRPr="0034120D">
              <w:rPr>
                <w:rStyle w:val="Hyperlink"/>
                <w:noProof/>
                <w:color w:val="000000" w:themeColor="text1"/>
              </w:rPr>
              <w:t>Assignment One: Conference Research Paper</w:t>
            </w:r>
            <w:r w:rsidR="00AC179E" w:rsidRPr="0034120D">
              <w:rPr>
                <w:noProof/>
                <w:webHidden/>
              </w:rPr>
              <w:tab/>
            </w:r>
            <w:r w:rsidR="00AC179E" w:rsidRPr="0034120D">
              <w:rPr>
                <w:noProof/>
                <w:webHidden/>
              </w:rPr>
              <w:fldChar w:fldCharType="begin"/>
            </w:r>
            <w:r w:rsidR="00AC179E" w:rsidRPr="0034120D">
              <w:rPr>
                <w:noProof/>
                <w:webHidden/>
              </w:rPr>
              <w:instrText xml:space="preserve"> PAGEREF _Toc211475805 \h </w:instrText>
            </w:r>
            <w:r w:rsidR="00AC179E" w:rsidRPr="0034120D">
              <w:rPr>
                <w:noProof/>
                <w:webHidden/>
              </w:rPr>
            </w:r>
            <w:r w:rsidR="00AC179E" w:rsidRPr="0034120D">
              <w:rPr>
                <w:noProof/>
                <w:webHidden/>
              </w:rPr>
              <w:fldChar w:fldCharType="separate"/>
            </w:r>
            <w:r w:rsidR="00AC179E" w:rsidRPr="0034120D">
              <w:rPr>
                <w:noProof/>
                <w:webHidden/>
              </w:rPr>
              <w:t>4</w:t>
            </w:r>
            <w:r w:rsidR="00AC179E" w:rsidRPr="0034120D">
              <w:rPr>
                <w:noProof/>
                <w:webHidden/>
              </w:rPr>
              <w:fldChar w:fldCharType="end"/>
            </w:r>
          </w:hyperlink>
        </w:p>
        <w:p w14:paraId="78E482CC" w14:textId="1E66550E" w:rsidR="00AC179E" w:rsidRPr="0034120D" w:rsidRDefault="00AC179E">
          <w:pPr>
            <w:pStyle w:val="TOC2"/>
            <w:tabs>
              <w:tab w:val="right" w:leader="dot" w:pos="9016"/>
            </w:tabs>
            <w:rPr>
              <w:rFonts w:asciiTheme="minorHAnsi" w:eastAsiaTheme="minorEastAsia" w:hAnsiTheme="minorHAnsi"/>
              <w:noProof/>
              <w:szCs w:val="24"/>
              <w:lang w:val="en-IN" w:eastAsia="en-IN"/>
            </w:rPr>
          </w:pPr>
          <w:hyperlink w:anchor="_Toc211475806" w:history="1">
            <w:r w:rsidRPr="0034120D">
              <w:rPr>
                <w:rStyle w:val="Hyperlink"/>
                <w:noProof/>
                <w:color w:val="000000" w:themeColor="text1"/>
              </w:rPr>
              <w:t>Introduction</w:t>
            </w:r>
            <w:r w:rsidRPr="0034120D">
              <w:rPr>
                <w:noProof/>
                <w:webHidden/>
              </w:rPr>
              <w:tab/>
            </w:r>
            <w:r w:rsidRPr="0034120D">
              <w:rPr>
                <w:noProof/>
                <w:webHidden/>
              </w:rPr>
              <w:fldChar w:fldCharType="begin"/>
            </w:r>
            <w:r w:rsidRPr="0034120D">
              <w:rPr>
                <w:noProof/>
                <w:webHidden/>
              </w:rPr>
              <w:instrText xml:space="preserve"> PAGEREF _Toc211475806 \h </w:instrText>
            </w:r>
            <w:r w:rsidRPr="0034120D">
              <w:rPr>
                <w:noProof/>
                <w:webHidden/>
              </w:rPr>
            </w:r>
            <w:r w:rsidRPr="0034120D">
              <w:rPr>
                <w:noProof/>
                <w:webHidden/>
              </w:rPr>
              <w:fldChar w:fldCharType="separate"/>
            </w:r>
            <w:r w:rsidRPr="0034120D">
              <w:rPr>
                <w:noProof/>
                <w:webHidden/>
              </w:rPr>
              <w:t>4</w:t>
            </w:r>
            <w:r w:rsidRPr="0034120D">
              <w:rPr>
                <w:noProof/>
                <w:webHidden/>
              </w:rPr>
              <w:fldChar w:fldCharType="end"/>
            </w:r>
          </w:hyperlink>
        </w:p>
        <w:p w14:paraId="717ABE13" w14:textId="7C6D8ABC" w:rsidR="00AC179E" w:rsidRPr="0034120D" w:rsidRDefault="00AC179E">
          <w:pPr>
            <w:pStyle w:val="TOC2"/>
            <w:tabs>
              <w:tab w:val="right" w:leader="dot" w:pos="9016"/>
            </w:tabs>
            <w:rPr>
              <w:rFonts w:asciiTheme="minorHAnsi" w:eastAsiaTheme="minorEastAsia" w:hAnsiTheme="minorHAnsi"/>
              <w:noProof/>
              <w:szCs w:val="24"/>
              <w:lang w:val="en-IN" w:eastAsia="en-IN"/>
            </w:rPr>
          </w:pPr>
          <w:hyperlink w:anchor="_Toc211475807" w:history="1">
            <w:r w:rsidRPr="0034120D">
              <w:rPr>
                <w:rStyle w:val="Hyperlink"/>
                <w:noProof/>
                <w:color w:val="000000" w:themeColor="text1"/>
              </w:rPr>
              <w:t>Literature Review</w:t>
            </w:r>
            <w:r w:rsidRPr="0034120D">
              <w:rPr>
                <w:noProof/>
                <w:webHidden/>
              </w:rPr>
              <w:tab/>
            </w:r>
            <w:r w:rsidRPr="0034120D">
              <w:rPr>
                <w:noProof/>
                <w:webHidden/>
              </w:rPr>
              <w:fldChar w:fldCharType="begin"/>
            </w:r>
            <w:r w:rsidRPr="0034120D">
              <w:rPr>
                <w:noProof/>
                <w:webHidden/>
              </w:rPr>
              <w:instrText xml:space="preserve"> PAGEREF _Toc211475807 \h </w:instrText>
            </w:r>
            <w:r w:rsidRPr="0034120D">
              <w:rPr>
                <w:noProof/>
                <w:webHidden/>
              </w:rPr>
            </w:r>
            <w:r w:rsidRPr="0034120D">
              <w:rPr>
                <w:noProof/>
                <w:webHidden/>
              </w:rPr>
              <w:fldChar w:fldCharType="separate"/>
            </w:r>
            <w:r w:rsidRPr="0034120D">
              <w:rPr>
                <w:noProof/>
                <w:webHidden/>
              </w:rPr>
              <w:t>5</w:t>
            </w:r>
            <w:r w:rsidRPr="0034120D">
              <w:rPr>
                <w:noProof/>
                <w:webHidden/>
              </w:rPr>
              <w:fldChar w:fldCharType="end"/>
            </w:r>
          </w:hyperlink>
        </w:p>
        <w:p w14:paraId="0CDAC362" w14:textId="1A24B168" w:rsidR="00AC179E" w:rsidRPr="0034120D" w:rsidRDefault="00AC179E">
          <w:pPr>
            <w:pStyle w:val="TOC2"/>
            <w:tabs>
              <w:tab w:val="right" w:leader="dot" w:pos="9016"/>
            </w:tabs>
            <w:rPr>
              <w:rFonts w:asciiTheme="minorHAnsi" w:eastAsiaTheme="minorEastAsia" w:hAnsiTheme="minorHAnsi"/>
              <w:noProof/>
              <w:szCs w:val="24"/>
              <w:lang w:val="en-IN" w:eastAsia="en-IN"/>
            </w:rPr>
          </w:pPr>
          <w:hyperlink w:anchor="_Toc211475808" w:history="1">
            <w:r w:rsidRPr="0034120D">
              <w:rPr>
                <w:rStyle w:val="Hyperlink"/>
                <w:noProof/>
                <w:color w:val="000000" w:themeColor="text1"/>
              </w:rPr>
              <w:t>Method</w:t>
            </w:r>
            <w:r w:rsidRPr="0034120D">
              <w:rPr>
                <w:noProof/>
                <w:webHidden/>
              </w:rPr>
              <w:tab/>
            </w:r>
            <w:r w:rsidRPr="0034120D">
              <w:rPr>
                <w:noProof/>
                <w:webHidden/>
              </w:rPr>
              <w:fldChar w:fldCharType="begin"/>
            </w:r>
            <w:r w:rsidRPr="0034120D">
              <w:rPr>
                <w:noProof/>
                <w:webHidden/>
              </w:rPr>
              <w:instrText xml:space="preserve"> PAGEREF _Toc211475808 \h </w:instrText>
            </w:r>
            <w:r w:rsidRPr="0034120D">
              <w:rPr>
                <w:noProof/>
                <w:webHidden/>
              </w:rPr>
            </w:r>
            <w:r w:rsidRPr="0034120D">
              <w:rPr>
                <w:noProof/>
                <w:webHidden/>
              </w:rPr>
              <w:fldChar w:fldCharType="separate"/>
            </w:r>
            <w:r w:rsidRPr="0034120D">
              <w:rPr>
                <w:noProof/>
                <w:webHidden/>
              </w:rPr>
              <w:t>7</w:t>
            </w:r>
            <w:r w:rsidRPr="0034120D">
              <w:rPr>
                <w:noProof/>
                <w:webHidden/>
              </w:rPr>
              <w:fldChar w:fldCharType="end"/>
            </w:r>
          </w:hyperlink>
        </w:p>
        <w:p w14:paraId="3F865068" w14:textId="57DF6369" w:rsidR="00AC179E" w:rsidRPr="0034120D" w:rsidRDefault="00AC179E">
          <w:pPr>
            <w:pStyle w:val="TOC2"/>
            <w:tabs>
              <w:tab w:val="right" w:leader="dot" w:pos="9016"/>
            </w:tabs>
            <w:rPr>
              <w:rFonts w:asciiTheme="minorHAnsi" w:eastAsiaTheme="minorEastAsia" w:hAnsiTheme="minorHAnsi"/>
              <w:noProof/>
              <w:szCs w:val="24"/>
              <w:lang w:val="en-IN" w:eastAsia="en-IN"/>
            </w:rPr>
          </w:pPr>
          <w:hyperlink w:anchor="_Toc211475809" w:history="1">
            <w:r w:rsidRPr="0034120D">
              <w:rPr>
                <w:rStyle w:val="Hyperlink"/>
                <w:noProof/>
                <w:color w:val="000000" w:themeColor="text1"/>
              </w:rPr>
              <w:t>Theme Impact Analysis</w:t>
            </w:r>
            <w:r w:rsidRPr="0034120D">
              <w:rPr>
                <w:noProof/>
                <w:webHidden/>
              </w:rPr>
              <w:tab/>
            </w:r>
            <w:r w:rsidRPr="0034120D">
              <w:rPr>
                <w:noProof/>
                <w:webHidden/>
              </w:rPr>
              <w:fldChar w:fldCharType="begin"/>
            </w:r>
            <w:r w:rsidRPr="0034120D">
              <w:rPr>
                <w:noProof/>
                <w:webHidden/>
              </w:rPr>
              <w:instrText xml:space="preserve"> PAGEREF _Toc211475809 \h </w:instrText>
            </w:r>
            <w:r w:rsidRPr="0034120D">
              <w:rPr>
                <w:noProof/>
                <w:webHidden/>
              </w:rPr>
            </w:r>
            <w:r w:rsidRPr="0034120D">
              <w:rPr>
                <w:noProof/>
                <w:webHidden/>
              </w:rPr>
              <w:fldChar w:fldCharType="separate"/>
            </w:r>
            <w:r w:rsidRPr="0034120D">
              <w:rPr>
                <w:noProof/>
                <w:webHidden/>
              </w:rPr>
              <w:t>8</w:t>
            </w:r>
            <w:r w:rsidRPr="0034120D">
              <w:rPr>
                <w:noProof/>
                <w:webHidden/>
              </w:rPr>
              <w:fldChar w:fldCharType="end"/>
            </w:r>
          </w:hyperlink>
        </w:p>
        <w:p w14:paraId="1EC77C67" w14:textId="79B89685" w:rsidR="00AC179E" w:rsidRPr="0034120D" w:rsidRDefault="00AC179E">
          <w:pPr>
            <w:pStyle w:val="TOC2"/>
            <w:tabs>
              <w:tab w:val="right" w:leader="dot" w:pos="9016"/>
            </w:tabs>
            <w:rPr>
              <w:rFonts w:asciiTheme="minorHAnsi" w:eastAsiaTheme="minorEastAsia" w:hAnsiTheme="minorHAnsi"/>
              <w:noProof/>
              <w:szCs w:val="24"/>
              <w:lang w:val="en-IN" w:eastAsia="en-IN"/>
            </w:rPr>
          </w:pPr>
          <w:hyperlink w:anchor="_Toc211475810" w:history="1">
            <w:r w:rsidRPr="0034120D">
              <w:rPr>
                <w:rStyle w:val="Hyperlink"/>
                <w:noProof/>
                <w:color w:val="000000" w:themeColor="text1"/>
              </w:rPr>
              <w:t>Conclusion</w:t>
            </w:r>
            <w:r w:rsidRPr="0034120D">
              <w:rPr>
                <w:noProof/>
                <w:webHidden/>
              </w:rPr>
              <w:tab/>
            </w:r>
            <w:r w:rsidRPr="0034120D">
              <w:rPr>
                <w:noProof/>
                <w:webHidden/>
              </w:rPr>
              <w:fldChar w:fldCharType="begin"/>
            </w:r>
            <w:r w:rsidRPr="0034120D">
              <w:rPr>
                <w:noProof/>
                <w:webHidden/>
              </w:rPr>
              <w:instrText xml:space="preserve"> PAGEREF _Toc211475810 \h </w:instrText>
            </w:r>
            <w:r w:rsidRPr="0034120D">
              <w:rPr>
                <w:noProof/>
                <w:webHidden/>
              </w:rPr>
            </w:r>
            <w:r w:rsidRPr="0034120D">
              <w:rPr>
                <w:noProof/>
                <w:webHidden/>
              </w:rPr>
              <w:fldChar w:fldCharType="separate"/>
            </w:r>
            <w:r w:rsidRPr="0034120D">
              <w:rPr>
                <w:noProof/>
                <w:webHidden/>
              </w:rPr>
              <w:t>10</w:t>
            </w:r>
            <w:r w:rsidRPr="0034120D">
              <w:rPr>
                <w:noProof/>
                <w:webHidden/>
              </w:rPr>
              <w:fldChar w:fldCharType="end"/>
            </w:r>
          </w:hyperlink>
        </w:p>
        <w:p w14:paraId="65FC2DFE" w14:textId="18990436" w:rsidR="00AC179E" w:rsidRPr="0034120D" w:rsidRDefault="00AC179E">
          <w:pPr>
            <w:pStyle w:val="TOC2"/>
            <w:tabs>
              <w:tab w:val="right" w:leader="dot" w:pos="9016"/>
            </w:tabs>
            <w:rPr>
              <w:rFonts w:asciiTheme="minorHAnsi" w:eastAsiaTheme="minorEastAsia" w:hAnsiTheme="minorHAnsi"/>
              <w:noProof/>
              <w:szCs w:val="24"/>
              <w:lang w:val="en-IN" w:eastAsia="en-IN"/>
            </w:rPr>
          </w:pPr>
          <w:hyperlink w:anchor="_Toc211475811" w:history="1">
            <w:r w:rsidRPr="0034120D">
              <w:rPr>
                <w:rStyle w:val="Hyperlink"/>
                <w:noProof/>
                <w:color w:val="000000" w:themeColor="text1"/>
              </w:rPr>
              <w:t>Recommendations</w:t>
            </w:r>
            <w:r w:rsidRPr="0034120D">
              <w:rPr>
                <w:noProof/>
                <w:webHidden/>
              </w:rPr>
              <w:tab/>
            </w:r>
            <w:r w:rsidRPr="0034120D">
              <w:rPr>
                <w:noProof/>
                <w:webHidden/>
              </w:rPr>
              <w:fldChar w:fldCharType="begin"/>
            </w:r>
            <w:r w:rsidRPr="0034120D">
              <w:rPr>
                <w:noProof/>
                <w:webHidden/>
              </w:rPr>
              <w:instrText xml:space="preserve"> PAGEREF _Toc211475811 \h </w:instrText>
            </w:r>
            <w:r w:rsidRPr="0034120D">
              <w:rPr>
                <w:noProof/>
                <w:webHidden/>
              </w:rPr>
            </w:r>
            <w:r w:rsidRPr="0034120D">
              <w:rPr>
                <w:noProof/>
                <w:webHidden/>
              </w:rPr>
              <w:fldChar w:fldCharType="separate"/>
            </w:r>
            <w:r w:rsidRPr="0034120D">
              <w:rPr>
                <w:noProof/>
                <w:webHidden/>
              </w:rPr>
              <w:t>11</w:t>
            </w:r>
            <w:r w:rsidRPr="0034120D">
              <w:rPr>
                <w:noProof/>
                <w:webHidden/>
              </w:rPr>
              <w:fldChar w:fldCharType="end"/>
            </w:r>
          </w:hyperlink>
        </w:p>
        <w:p w14:paraId="167D5A6B" w14:textId="4E1FD323" w:rsidR="00AC179E" w:rsidRPr="0034120D" w:rsidRDefault="00AC179E">
          <w:pPr>
            <w:pStyle w:val="TOC1"/>
            <w:tabs>
              <w:tab w:val="right" w:leader="dot" w:pos="9016"/>
            </w:tabs>
            <w:rPr>
              <w:rFonts w:asciiTheme="minorHAnsi" w:eastAsiaTheme="minorEastAsia" w:hAnsiTheme="minorHAnsi"/>
              <w:noProof/>
              <w:szCs w:val="24"/>
              <w:lang w:val="en-IN" w:eastAsia="en-IN"/>
            </w:rPr>
          </w:pPr>
          <w:hyperlink w:anchor="_Toc211475812" w:history="1">
            <w:r w:rsidRPr="0034120D">
              <w:rPr>
                <w:rStyle w:val="Hyperlink"/>
                <w:noProof/>
                <w:color w:val="000000" w:themeColor="text1"/>
              </w:rPr>
              <w:t>References</w:t>
            </w:r>
            <w:r w:rsidRPr="0034120D">
              <w:rPr>
                <w:noProof/>
                <w:webHidden/>
              </w:rPr>
              <w:tab/>
            </w:r>
            <w:r w:rsidRPr="0034120D">
              <w:rPr>
                <w:noProof/>
                <w:webHidden/>
              </w:rPr>
              <w:fldChar w:fldCharType="begin"/>
            </w:r>
            <w:r w:rsidRPr="0034120D">
              <w:rPr>
                <w:noProof/>
                <w:webHidden/>
              </w:rPr>
              <w:instrText xml:space="preserve"> PAGEREF _Toc211475812 \h </w:instrText>
            </w:r>
            <w:r w:rsidRPr="0034120D">
              <w:rPr>
                <w:noProof/>
                <w:webHidden/>
              </w:rPr>
            </w:r>
            <w:r w:rsidRPr="0034120D">
              <w:rPr>
                <w:noProof/>
                <w:webHidden/>
              </w:rPr>
              <w:fldChar w:fldCharType="separate"/>
            </w:r>
            <w:r w:rsidRPr="0034120D">
              <w:rPr>
                <w:noProof/>
                <w:webHidden/>
              </w:rPr>
              <w:t>13</w:t>
            </w:r>
            <w:r w:rsidRPr="0034120D">
              <w:rPr>
                <w:noProof/>
                <w:webHidden/>
              </w:rPr>
              <w:fldChar w:fldCharType="end"/>
            </w:r>
          </w:hyperlink>
        </w:p>
        <w:p w14:paraId="55E5C387" w14:textId="620278FC" w:rsidR="00BF396D" w:rsidRPr="0034120D" w:rsidRDefault="00691D5E">
          <w:r w:rsidRPr="0034120D">
            <w:rPr>
              <w:b/>
              <w:bCs/>
              <w:noProof/>
            </w:rPr>
            <w:fldChar w:fldCharType="end"/>
          </w:r>
        </w:p>
      </w:sdtContent>
    </w:sdt>
    <w:p w14:paraId="23A74FB7" w14:textId="77777777" w:rsidR="00BF396D" w:rsidRPr="0034120D" w:rsidRDefault="00691D5E">
      <w:pPr>
        <w:spacing w:line="259" w:lineRule="auto"/>
        <w:jc w:val="left"/>
        <w:rPr>
          <w:rFonts w:eastAsiaTheme="majorEastAsia" w:cstheme="majorBidi"/>
          <w:b/>
          <w:szCs w:val="32"/>
        </w:rPr>
      </w:pPr>
      <w:r w:rsidRPr="0034120D">
        <w:br w:type="page"/>
      </w:r>
    </w:p>
    <w:p w14:paraId="01F7F2B5" w14:textId="736C7A93" w:rsidR="001718A6" w:rsidRPr="0034120D" w:rsidRDefault="00691D5E" w:rsidP="001718A6">
      <w:pPr>
        <w:pStyle w:val="Heading1"/>
      </w:pPr>
      <w:bookmarkStart w:id="0" w:name="_Toc211475805"/>
      <w:r w:rsidRPr="0034120D">
        <w:lastRenderedPageBreak/>
        <w:t>Assignment One: Conference Research Paper</w:t>
      </w:r>
      <w:bookmarkEnd w:id="0"/>
    </w:p>
    <w:p w14:paraId="036692AE" w14:textId="537F84F5" w:rsidR="00FB34AF" w:rsidRPr="0034120D" w:rsidRDefault="00691D5E" w:rsidP="00721B96">
      <w:pPr>
        <w:pStyle w:val="Heading2"/>
      </w:pPr>
      <w:bookmarkStart w:id="1" w:name="_Toc211475806"/>
      <w:r w:rsidRPr="0034120D">
        <w:t>Introduction</w:t>
      </w:r>
      <w:bookmarkEnd w:id="1"/>
    </w:p>
    <w:p w14:paraId="4A7E926D" w14:textId="290FAFF9" w:rsidR="00F6421B" w:rsidRPr="0034120D" w:rsidRDefault="00691D5E" w:rsidP="00F6421B">
      <w:r w:rsidRPr="0034120D">
        <w:t>The entire hospitality industry has found sustainability to be a main area of concern, and food waste is one of the main areas of disagreement, with a high level of urgency</w:t>
      </w:r>
      <w:r w:rsidR="005D68BF" w:rsidRPr="0034120D">
        <w:t xml:space="preserve"> due to its contribution to the total food waste in the UK (Figure 1)</w:t>
      </w:r>
      <w:r w:rsidR="0093728E" w:rsidRPr="0034120D">
        <w:t xml:space="preserve"> (AHDB, 2021)</w:t>
      </w:r>
      <w:r w:rsidRPr="0034120D">
        <w:t>. The presence of the hotels that mainly provide services of large-scale food and beverage production produces a large portion of garbage through overproduction, buffet services and also through poor inventory management</w:t>
      </w:r>
      <w:r w:rsidR="00100653" w:rsidRPr="0034120D">
        <w:t xml:space="preserve"> (Omar </w:t>
      </w:r>
      <w:r w:rsidR="00100653" w:rsidRPr="0034120D">
        <w:rPr>
          <w:i/>
          <w:iCs/>
        </w:rPr>
        <w:t>et al.,</w:t>
      </w:r>
      <w:r w:rsidR="00100653" w:rsidRPr="0034120D">
        <w:t xml:space="preserve"> 2024).</w:t>
      </w:r>
      <w:r w:rsidRPr="0034120D">
        <w:t xml:space="preserve"> This not only reflects in the level of operations but also adds to the level of environmental degradation by </w:t>
      </w:r>
      <w:r w:rsidR="00641BEE" w:rsidRPr="0034120D">
        <w:t>releasing</w:t>
      </w:r>
      <w:r w:rsidRPr="0034120D">
        <w:t xml:space="preserve"> more greenhouse gas emissions and wastage of resources into the environment. As awareness of the guests about issues relating to the environment increases, there is mounting pressure on hotels to practise responsible and open nature sustainability practices</w:t>
      </w:r>
      <w:r w:rsidR="00100653" w:rsidRPr="0034120D">
        <w:t xml:space="preserve"> (Brotherton, 2015).</w:t>
      </w:r>
    </w:p>
    <w:p w14:paraId="244C608D" w14:textId="3E412DB8" w:rsidR="005D68BF" w:rsidRPr="0034120D" w:rsidRDefault="00691D5E" w:rsidP="0093728E">
      <w:pPr>
        <w:jc w:val="center"/>
      </w:pPr>
      <w:r w:rsidRPr="0034120D">
        <w:rPr>
          <w:noProof/>
        </w:rPr>
        <w:drawing>
          <wp:inline distT="0" distB="0" distL="0" distR="0" wp14:anchorId="3E0AEDD2" wp14:editId="137BB872">
            <wp:extent cx="3535680" cy="1850493"/>
            <wp:effectExtent l="76200" t="76200" r="140970" b="130810"/>
            <wp:docPr id="1332936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36654" name=""/>
                    <pic:cNvPicPr/>
                  </pic:nvPicPr>
                  <pic:blipFill>
                    <a:blip r:embed="rId8"/>
                    <a:stretch>
                      <a:fillRect/>
                    </a:stretch>
                  </pic:blipFill>
                  <pic:spPr>
                    <a:xfrm>
                      <a:off x="0" y="0"/>
                      <a:ext cx="3538546" cy="18519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C2B658" w14:textId="4F517CEF" w:rsidR="005D68BF" w:rsidRPr="0034120D" w:rsidRDefault="00691D5E" w:rsidP="0093728E">
      <w:pPr>
        <w:jc w:val="center"/>
        <w:rPr>
          <w:b/>
          <w:bCs/>
        </w:rPr>
      </w:pPr>
      <w:r w:rsidRPr="0034120D">
        <w:rPr>
          <w:b/>
          <w:bCs/>
        </w:rPr>
        <w:t>Figure 1: Amount of Food Waste Generation in the UK by sector (post farm gate)</w:t>
      </w:r>
    </w:p>
    <w:p w14:paraId="2737B936" w14:textId="1A229D8A" w:rsidR="005D68BF" w:rsidRPr="0034120D" w:rsidRDefault="00691D5E" w:rsidP="0093728E">
      <w:pPr>
        <w:jc w:val="center"/>
      </w:pPr>
      <w:r w:rsidRPr="0034120D">
        <w:t>(AHDB, 2021)</w:t>
      </w:r>
    </w:p>
    <w:p w14:paraId="58BAE598" w14:textId="09B6A157" w:rsidR="00127211" w:rsidRPr="0034120D" w:rsidRDefault="00691D5E" w:rsidP="00F6421B">
      <w:r w:rsidRPr="0034120D">
        <w:t>The significance behind factors of food waste in the hospitality industry is twofold</w:t>
      </w:r>
      <w:r w:rsidR="00A80188" w:rsidRPr="0034120D">
        <w:t>.</w:t>
      </w:r>
      <w:r w:rsidRPr="0034120D">
        <w:t xml:space="preserve"> </w:t>
      </w:r>
      <w:r w:rsidR="00A80188" w:rsidRPr="0034120D">
        <w:t>It</w:t>
      </w:r>
      <w:r w:rsidRPr="0034120D">
        <w:t xml:space="preserve"> is economical as well as being environmentally responsible. The use of smart inventory management, sourcing locally, and composting has a great potential to decrease the costs of operation, particularly with regard to mid-sized and independent hotels that might not have massive sustainability expenses on a basis</w:t>
      </w:r>
      <w:r w:rsidR="00100653" w:rsidRPr="0034120D">
        <w:t xml:space="preserve"> (Cooper and Hall, 2019).</w:t>
      </w:r>
      <w:r w:rsidRPr="0034120D">
        <w:t xml:space="preserve"> </w:t>
      </w:r>
      <w:r w:rsidR="00C8078B" w:rsidRPr="0034120D">
        <w:t>Moreover, net-zero targets, environmental sustainability certification, and environmental friendliness turned out to be a competitive advantage and a factor of customer choice and opinion on the brand. The success of these plans would also be discussed in the conference paper, where a critical examination of how a hotel is balancing between elements of operation and being eco-sustainable would be covered.</w:t>
      </w:r>
    </w:p>
    <w:p w14:paraId="5E399CD5" w14:textId="0E8B9098" w:rsidR="001B3B98" w:rsidRPr="0034120D" w:rsidRDefault="00691D5E" w:rsidP="00721B96">
      <w:pPr>
        <w:pStyle w:val="Heading2"/>
      </w:pPr>
      <w:bookmarkStart w:id="2" w:name="_Toc211475807"/>
      <w:r w:rsidRPr="0034120D">
        <w:lastRenderedPageBreak/>
        <w:t>Literature Review</w:t>
      </w:r>
      <w:bookmarkEnd w:id="2"/>
    </w:p>
    <w:p w14:paraId="36BECED9" w14:textId="612343BD" w:rsidR="00F6421B" w:rsidRPr="0034120D" w:rsidRDefault="00691D5E" w:rsidP="00F6421B">
      <w:pPr>
        <w:rPr>
          <w:b/>
          <w:bCs/>
        </w:rPr>
      </w:pPr>
      <w:r w:rsidRPr="0034120D">
        <w:rPr>
          <w:b/>
          <w:bCs/>
        </w:rPr>
        <w:t>Scale and Significance of Food Waste</w:t>
      </w:r>
    </w:p>
    <w:p w14:paraId="76986241" w14:textId="58A60ADE" w:rsidR="00EF5955" w:rsidRPr="0034120D" w:rsidRDefault="00691D5E" w:rsidP="00C8078B">
      <w:r w:rsidRPr="0034120D">
        <w:t xml:space="preserve">One of the most significant concerns in the hospitality industry is food waste, which is also one of the vital problems of sustainability. It is established that the bulk food players operate in hotels and specifically those in places where they serve buffet foods, and those possibly involved in massive food events per year (Singh </w:t>
      </w:r>
      <w:r w:rsidRPr="0034120D">
        <w:rPr>
          <w:i/>
          <w:iCs/>
        </w:rPr>
        <w:t>et al.,</w:t>
      </w:r>
      <w:r w:rsidRPr="0034120D">
        <w:t xml:space="preserve"> 2024). This not only </w:t>
      </w:r>
      <w:r w:rsidR="00A17369" w:rsidRPr="0034120D">
        <w:t>wastes but</w:t>
      </w:r>
      <w:r w:rsidRPr="0034120D">
        <w:t xml:space="preserve"> also brings a loss of finances to the financial institutions in terms of the need for raw materials and the costs of labour, but it also has a colossal effect on the environment. The food in a landfill also produces methane as it decomposes, and it is an effective greenhouse gas that is likely to cause climate change. </w:t>
      </w:r>
      <w:r w:rsidR="00EF154E" w:rsidRPr="0034120D">
        <w:t>Besides, resources engaged in food production, like water, energy, farming inputs, among others, are thrown away once the food is thrown away, which also increases the environmental footprint</w:t>
      </w:r>
      <w:r w:rsidR="00100653" w:rsidRPr="0034120D">
        <w:t xml:space="preserve"> (Pearson </w:t>
      </w:r>
      <w:r w:rsidR="00100653" w:rsidRPr="0034120D">
        <w:rPr>
          <w:i/>
          <w:iCs/>
        </w:rPr>
        <w:t>et al.,</w:t>
      </w:r>
      <w:r w:rsidR="00100653" w:rsidRPr="0034120D">
        <w:t xml:space="preserve"> 2025).</w:t>
      </w:r>
      <w:r w:rsidR="00EF154E" w:rsidRPr="0034120D">
        <w:t xml:space="preserve"> With the trend in the environmental awareness of guests, the hospitality industry is being compelled to go greener to exude corporate citizenship and environmental management.</w:t>
      </w:r>
    </w:p>
    <w:p w14:paraId="32585035" w14:textId="02E91EBF" w:rsidR="00143EC4" w:rsidRPr="0034120D" w:rsidRDefault="00691D5E" w:rsidP="00F6421B">
      <w:pPr>
        <w:rPr>
          <w:b/>
          <w:bCs/>
        </w:rPr>
      </w:pPr>
      <w:r w:rsidRPr="0034120D">
        <w:rPr>
          <w:b/>
          <w:bCs/>
        </w:rPr>
        <w:t>Contributing Factors to Food Waste in Hotels</w:t>
      </w:r>
    </w:p>
    <w:p w14:paraId="56AA3DC7" w14:textId="6DAEEB47" w:rsidR="00EF5955" w:rsidRPr="0034120D" w:rsidRDefault="00691D5E" w:rsidP="00EF5955">
      <w:r w:rsidRPr="0034120D">
        <w:t>Storage and consumption of food in hotels have several operational and behavioural reasons that lead to wastage. Overproduction is also a typical tactic where the chefs usually prepare more than required and stock up to be available to prevent a shortage, resulting in unsold and unused products</w:t>
      </w:r>
      <w:r w:rsidR="00100653" w:rsidRPr="0034120D">
        <w:t xml:space="preserve"> (Mill, 2012).</w:t>
      </w:r>
      <w:r w:rsidRPr="0034120D">
        <w:t xml:space="preserve"> Buffet-style service, which is common in most hotels, will prompt the client to consume more food than they can handle, and this will create huge amounts of waste on their plates. The menu planning is one of the most important too</w:t>
      </w:r>
      <w:r w:rsidR="005D6DAE" w:rsidRPr="0034120D">
        <w:t xml:space="preserve"> - </w:t>
      </w:r>
      <w:r w:rsidRPr="0034120D">
        <w:t>the fixed menu or the offered too large portions could result in the leftover food that cannot be safely re-used</w:t>
      </w:r>
      <w:r w:rsidR="00100653" w:rsidRPr="0034120D">
        <w:t xml:space="preserve"> (Ford and Sturman, 2020).</w:t>
      </w:r>
      <w:r w:rsidRPr="0034120D">
        <w:t xml:space="preserve"> Moreover, the inadequate knowledge of the staff and training about the waste reduction methods might worsen the situation, since the employees might accidentally throw away the helpful food, or they might fail to introduce effective food preparation and storage procedures.</w:t>
      </w:r>
    </w:p>
    <w:p w14:paraId="137AC438" w14:textId="6404FB5A" w:rsidR="00FC55F6" w:rsidRPr="0034120D" w:rsidRDefault="00691D5E" w:rsidP="00F6421B">
      <w:pPr>
        <w:rPr>
          <w:b/>
          <w:bCs/>
        </w:rPr>
      </w:pPr>
      <w:r w:rsidRPr="0034120D">
        <w:rPr>
          <w:b/>
          <w:bCs/>
        </w:rPr>
        <w:t>Strategies for Reducing Food Waste</w:t>
      </w:r>
    </w:p>
    <w:p w14:paraId="1BA69491" w14:textId="1CF18803" w:rsidR="00EF5955" w:rsidRPr="0034120D" w:rsidRDefault="00691D5E" w:rsidP="00EF5955">
      <w:r w:rsidRPr="0034120D">
        <w:t>Numerous operational, technological and cultural solutions are combined in hotels to ensure the reduction of food waste. The utilisation of smart inventory management further enables kitchens to better monitor the usage of food materials and also predict better and reduce over-ordering and spoilage</w:t>
      </w:r>
      <w:r w:rsidR="00100653" w:rsidRPr="0034120D">
        <w:t xml:space="preserve"> (Pearson, 2024).</w:t>
      </w:r>
      <w:r w:rsidRPr="0034120D">
        <w:t xml:space="preserve"> Resizing portion quantities according to the consumption of guests has been effective in decreasing wastage of plates, and the flexibility of </w:t>
      </w:r>
      <w:r w:rsidRPr="0034120D">
        <w:lastRenderedPageBreak/>
        <w:t>menu planning can help to put the remaining ingredients to use as alternative dishes. Food scraps can be composted and re</w:t>
      </w:r>
      <w:r w:rsidR="00100653" w:rsidRPr="0034120D">
        <w:t xml:space="preserve">used </w:t>
      </w:r>
      <w:r w:rsidRPr="0034120D">
        <w:t>into footwear, therefore decreasing landfill levels and facilitating the way yard waste is reused</w:t>
      </w:r>
      <w:r w:rsidR="00100653" w:rsidRPr="0034120D">
        <w:t xml:space="preserve"> (Gerassimidou </w:t>
      </w:r>
      <w:r w:rsidR="00100653" w:rsidRPr="0034120D">
        <w:rPr>
          <w:i/>
          <w:iCs/>
        </w:rPr>
        <w:t>et al.,</w:t>
      </w:r>
      <w:r w:rsidR="00100653" w:rsidRPr="0034120D">
        <w:t xml:space="preserve"> 2022).</w:t>
      </w:r>
      <w:r w:rsidRPr="0034120D">
        <w:t xml:space="preserve"> </w:t>
      </w:r>
    </w:p>
    <w:p w14:paraId="3242AF45" w14:textId="59726FC5" w:rsidR="00FC55F6" w:rsidRPr="0034120D" w:rsidRDefault="00691D5E" w:rsidP="00F6421B">
      <w:pPr>
        <w:rPr>
          <w:b/>
          <w:bCs/>
        </w:rPr>
      </w:pPr>
      <w:r w:rsidRPr="0034120D">
        <w:rPr>
          <w:b/>
          <w:bCs/>
        </w:rPr>
        <w:t>Technological Innovations</w:t>
      </w:r>
    </w:p>
    <w:p w14:paraId="3D576FA5" w14:textId="133F25B9" w:rsidR="00EF5955" w:rsidRPr="0034120D" w:rsidRDefault="00691D5E" w:rsidP="000F4094">
      <w:r w:rsidRPr="0034120D">
        <w:t>The manner in which hotels can overcome food waste is changing due to technology. Available ones include artificial intelligence and data analytics (in particular, real-time kitchen waste monitoring, trend simulations, and recommendations to the purchasing, preparation, and serving practices)</w:t>
      </w:r>
      <w:r w:rsidR="00100653" w:rsidRPr="0034120D">
        <w:t xml:space="preserve"> (Chawla </w:t>
      </w:r>
      <w:r w:rsidR="00100653" w:rsidRPr="0034120D">
        <w:rPr>
          <w:i/>
          <w:iCs/>
        </w:rPr>
        <w:t>et al.,</w:t>
      </w:r>
      <w:r w:rsidR="00100653" w:rsidRPr="0034120D">
        <w:t xml:space="preserve"> 2022).</w:t>
      </w:r>
      <w:r w:rsidRPr="0034120D">
        <w:t xml:space="preserve"> AI-based solutions enable the managers to maximise the use of ingredients and reduce wastage. Moreover, improvements in food packaging, such as smart packaging, which prolongs the shelf life, are useful in diminishing spoilage during storage and transportation. Hotels that incorporate such technologies enjoy the advantages of efficiency in their operations </w:t>
      </w:r>
      <w:r w:rsidR="005D6DAE" w:rsidRPr="0034120D">
        <w:t>and</w:t>
      </w:r>
      <w:r w:rsidRPr="0034120D">
        <w:t xml:space="preserve"> sustainability credence to their environmentally friendly consumers</w:t>
      </w:r>
      <w:r w:rsidR="00100653" w:rsidRPr="0034120D">
        <w:t xml:space="preserve"> (Ruiz Molina </w:t>
      </w:r>
      <w:r w:rsidR="00100653" w:rsidRPr="0034120D">
        <w:rPr>
          <w:i/>
          <w:iCs/>
        </w:rPr>
        <w:t>et al.,</w:t>
      </w:r>
      <w:r w:rsidR="00100653" w:rsidRPr="0034120D">
        <w:t xml:space="preserve"> 2022).</w:t>
      </w:r>
    </w:p>
    <w:p w14:paraId="065AB6CB" w14:textId="6549D1A7" w:rsidR="00FC55F6" w:rsidRPr="0034120D" w:rsidRDefault="00691D5E" w:rsidP="00F6421B">
      <w:pPr>
        <w:rPr>
          <w:b/>
          <w:bCs/>
        </w:rPr>
      </w:pPr>
      <w:r w:rsidRPr="0034120D">
        <w:rPr>
          <w:b/>
          <w:bCs/>
        </w:rPr>
        <w:t>Circular Economy and Sustainability Practices</w:t>
      </w:r>
    </w:p>
    <w:p w14:paraId="100EDCEE" w14:textId="30ECB139" w:rsidR="00EF5955" w:rsidRPr="0034120D" w:rsidRDefault="00691D5E" w:rsidP="000F4094">
      <w:r w:rsidRPr="0034120D">
        <w:t>The principles of the circular economy are also being embraced by hotels in order to support sustainable utilisation of resources. Recovery programmes like the provision of compost made of organic waste materials or the provision of energy help alleviate the environmental pressure associated with the nature of recycling food</w:t>
      </w:r>
      <w:r w:rsidR="00100653" w:rsidRPr="0034120D">
        <w:t xml:space="preserve"> (Walliman, 2021).</w:t>
      </w:r>
      <w:r w:rsidRPr="0034120D">
        <w:t xml:space="preserve"> There are closed-loop systems wherein the waste products are also reused back into the operations to reduce further raw materials, as well as the encouragement of sustainable practices. Such initiatives not only help in environmental objectives but also meet the requirements of the guests on the need to approach corporate responsibilities and transparency responsibly</w:t>
      </w:r>
      <w:r w:rsidR="00100653" w:rsidRPr="0034120D">
        <w:t xml:space="preserve"> (Akkerman and Cruijssen, 2024).</w:t>
      </w:r>
    </w:p>
    <w:p w14:paraId="592D7ED4" w14:textId="01432C52" w:rsidR="00FC55F6" w:rsidRPr="0034120D" w:rsidRDefault="00691D5E" w:rsidP="00F6421B">
      <w:pPr>
        <w:rPr>
          <w:b/>
          <w:bCs/>
        </w:rPr>
      </w:pPr>
      <w:r w:rsidRPr="0034120D">
        <w:rPr>
          <w:b/>
          <w:bCs/>
        </w:rPr>
        <w:t>Challenges and Barriers</w:t>
      </w:r>
    </w:p>
    <w:p w14:paraId="27291675" w14:textId="61934473" w:rsidR="000F4094" w:rsidRPr="0034120D" w:rsidRDefault="00691D5E" w:rsidP="000F4094">
      <w:r w:rsidRPr="0034120D">
        <w:t>Among the advantages, there are a number of obstacles that do not allow generalising on food waste reduction strategies. Other constraints include a lack of funding (finance) that may impede investment in new technologies and employee training activities, especially among the small hotels</w:t>
      </w:r>
      <w:r w:rsidR="00100653" w:rsidRPr="0034120D">
        <w:t xml:space="preserve"> (Pearson, 2024). </w:t>
      </w:r>
      <w:r w:rsidRPr="0034120D">
        <w:t>There is a possibility of operational disruptions during the implementation of the new practices, as time and resources would have to be utilised to change the workflow. There is also guest conduct, which is also a challenge</w:t>
      </w:r>
      <w:r w:rsidR="005D6DAE" w:rsidRPr="0034120D">
        <w:t xml:space="preserve"> like </w:t>
      </w:r>
      <w:r w:rsidRPr="0034120D">
        <w:t xml:space="preserve">healthy eating habits, in buffet restaurants, demanding the application of effective communication and engagement </w:t>
      </w:r>
      <w:r w:rsidRPr="0034120D">
        <w:lastRenderedPageBreak/>
        <w:t>strategies</w:t>
      </w:r>
      <w:r w:rsidR="00100653" w:rsidRPr="0034120D">
        <w:t xml:space="preserve"> (Talukder </w:t>
      </w:r>
      <w:r w:rsidR="00100653" w:rsidRPr="0034120D">
        <w:rPr>
          <w:i/>
          <w:iCs/>
        </w:rPr>
        <w:t>et al.,</w:t>
      </w:r>
      <w:r w:rsidR="00100653" w:rsidRPr="0034120D">
        <w:t xml:space="preserve"> 2024).</w:t>
      </w:r>
      <w:r w:rsidRPr="0034120D">
        <w:t xml:space="preserve"> To effectively reduce food waste in hotels and remain competitive in issues that effectively cut costs and sustain high levels of satisfaction among the guests, it is necessary to overcome these challenges.</w:t>
      </w:r>
    </w:p>
    <w:p w14:paraId="489EEAD5" w14:textId="51A0963C" w:rsidR="001B3B98" w:rsidRPr="0034120D" w:rsidRDefault="00691D5E" w:rsidP="00721B96">
      <w:pPr>
        <w:pStyle w:val="Heading2"/>
      </w:pPr>
      <w:bookmarkStart w:id="3" w:name="_Toc211475808"/>
      <w:r w:rsidRPr="0034120D">
        <w:t>Method</w:t>
      </w:r>
      <w:bookmarkEnd w:id="3"/>
    </w:p>
    <w:p w14:paraId="6920C602" w14:textId="401D78E0" w:rsidR="00753BFE" w:rsidRPr="0034120D" w:rsidRDefault="00691D5E" w:rsidP="00753BFE">
      <w:r w:rsidRPr="0034120D">
        <w:t xml:space="preserve">As part of the research, the researcher will harness a secondary method of thematic analysis of information, the qualitative method, in researching the food waste management in the hospitality business, and its effectiveness. </w:t>
      </w:r>
      <w:r w:rsidR="0093728E" w:rsidRPr="0034120D">
        <w:t>This also follows Braun and Clarke's six-phase framework for performing thematic analysis (</w:t>
      </w:r>
      <w:r w:rsidR="0093728E" w:rsidRPr="0034120D">
        <w:rPr>
          <w:rFonts w:cs="Times New Roman"/>
          <w:szCs w:val="24"/>
        </w:rPr>
        <w:t xml:space="preserve">Ahmed </w:t>
      </w:r>
      <w:r w:rsidR="0093728E" w:rsidRPr="0034120D">
        <w:rPr>
          <w:rFonts w:cs="Times New Roman"/>
          <w:i/>
          <w:iCs/>
          <w:szCs w:val="24"/>
        </w:rPr>
        <w:t>et al.,</w:t>
      </w:r>
      <w:r w:rsidR="0093728E" w:rsidRPr="0034120D">
        <w:rPr>
          <w:rFonts w:cs="Times New Roman"/>
          <w:szCs w:val="24"/>
        </w:rPr>
        <w:t xml:space="preserve"> 2025)</w:t>
      </w:r>
      <w:r w:rsidR="0093728E" w:rsidRPr="0034120D">
        <w:t xml:space="preserve">. </w:t>
      </w:r>
      <w:r w:rsidRPr="0034120D">
        <w:t>The secondary records were compiled on the basis of existing academic literature, trade news, case studies and valid sources over the internet, which reported on the problem of sustainability and food waste management plans and efficiency of operations in the hotel sector. The approach will offer a thorough understanding of the current trends, problems, and innovative solutions without necessarily being required to collect the primary information, and the findings will be premised on plausible evidence (Walliman, 2021).</w:t>
      </w:r>
    </w:p>
    <w:p w14:paraId="7EC78B03" w14:textId="6BD1DC71" w:rsidR="0093728E" w:rsidRPr="0034120D" w:rsidRDefault="00691D5E" w:rsidP="0093728E">
      <w:pPr>
        <w:jc w:val="center"/>
      </w:pPr>
      <w:r w:rsidRPr="0034120D">
        <w:rPr>
          <w:noProof/>
        </w:rPr>
        <w:drawing>
          <wp:inline distT="0" distB="0" distL="0" distR="0" wp14:anchorId="4452770B" wp14:editId="21B69256">
            <wp:extent cx="2723012" cy="2182091"/>
            <wp:effectExtent l="76200" t="76200" r="134620" b="142240"/>
            <wp:docPr id="1449081423" name="Picture 1" descr="Clarke and Braun's Thematic Data Analysis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081423" name="Picture 1" descr="Clarke and Braun's Thematic Data Analysis Service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733116" cy="21901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0B4491" w14:textId="2993A93D" w:rsidR="0093728E" w:rsidRPr="0034120D" w:rsidRDefault="00691D5E" w:rsidP="0093728E">
      <w:pPr>
        <w:jc w:val="center"/>
        <w:rPr>
          <w:b/>
          <w:bCs/>
        </w:rPr>
      </w:pPr>
      <w:r w:rsidRPr="0034120D">
        <w:rPr>
          <w:b/>
          <w:bCs/>
        </w:rPr>
        <w:t>Figure 2: Braun and Clarke's Six-Phase Framework</w:t>
      </w:r>
    </w:p>
    <w:p w14:paraId="7308C479" w14:textId="35795914" w:rsidR="0093728E" w:rsidRPr="0034120D" w:rsidRDefault="00691D5E" w:rsidP="0093728E">
      <w:pPr>
        <w:jc w:val="center"/>
      </w:pPr>
      <w:r w:rsidRPr="0034120D">
        <w:t>(</w:t>
      </w:r>
      <w:r w:rsidRPr="0034120D">
        <w:rPr>
          <w:rFonts w:cs="Times New Roman"/>
          <w:szCs w:val="24"/>
        </w:rPr>
        <w:t xml:space="preserve">Ahmed </w:t>
      </w:r>
      <w:r w:rsidRPr="0034120D">
        <w:rPr>
          <w:rFonts w:cs="Times New Roman"/>
          <w:i/>
          <w:iCs/>
          <w:szCs w:val="24"/>
        </w:rPr>
        <w:t>et al.,</w:t>
      </w:r>
      <w:r w:rsidRPr="0034120D">
        <w:rPr>
          <w:rFonts w:cs="Times New Roman"/>
          <w:szCs w:val="24"/>
        </w:rPr>
        <w:t xml:space="preserve"> 2025)</w:t>
      </w:r>
    </w:p>
    <w:p w14:paraId="3D3C8446" w14:textId="528EC51C" w:rsidR="00753BFE" w:rsidRPr="0034120D" w:rsidRDefault="00691D5E" w:rsidP="00753BFE">
      <w:r w:rsidRPr="0034120D">
        <w:t xml:space="preserve">The collected literature was properly supported through the method of systematic review, and a thematic code process was then conducted to find out the most important themes. These were the main themes that caused food wastefulness, technological interventions, staff operation strategies, staff engagement and impediments to implementation. The review has been conducted based on the comparative framework, which enabled drawing up similar patterns and deviations in the studies. A methodology will aid in providing a systematic understanding </w:t>
      </w:r>
      <w:r w:rsidRPr="0034120D">
        <w:lastRenderedPageBreak/>
        <w:t>of how the different strategies will impact the minimisation of food waste and their efficiency in application, but also the harmony of the operation efficiency and sustainability goals. The analysis responses are now used in the discussion of vindication of the industry and recommendations.</w:t>
      </w:r>
    </w:p>
    <w:p w14:paraId="3ED24B66" w14:textId="2A966286" w:rsidR="001B3B98" w:rsidRPr="0034120D" w:rsidRDefault="00691D5E" w:rsidP="00721B96">
      <w:pPr>
        <w:pStyle w:val="Heading2"/>
      </w:pPr>
      <w:bookmarkStart w:id="4" w:name="_Toc211475809"/>
      <w:r w:rsidRPr="0034120D">
        <w:t>Theme Impact Analysis</w:t>
      </w:r>
      <w:bookmarkEnd w:id="4"/>
    </w:p>
    <w:p w14:paraId="13667594" w14:textId="77777777" w:rsidR="005D68BF" w:rsidRPr="0034120D" w:rsidRDefault="00691D5E" w:rsidP="005D68BF">
      <w:pPr>
        <w:rPr>
          <w:rFonts w:cs="Times New Roman"/>
          <w:szCs w:val="24"/>
        </w:rPr>
      </w:pPr>
      <w:r w:rsidRPr="0034120D">
        <w:rPr>
          <w:rFonts w:cs="Times New Roman"/>
          <w:szCs w:val="24"/>
        </w:rPr>
        <w:t xml:space="preserve">The PESTLE analysis framework is being applied here for analysing the external environment of the hospitality sector. </w:t>
      </w:r>
    </w:p>
    <w:tbl>
      <w:tblPr>
        <w:tblStyle w:val="TableGrid"/>
        <w:tblW w:w="0" w:type="auto"/>
        <w:tblLook w:val="04A0" w:firstRow="1" w:lastRow="0" w:firstColumn="1" w:lastColumn="0" w:noHBand="0" w:noVBand="1"/>
      </w:tblPr>
      <w:tblGrid>
        <w:gridCol w:w="1759"/>
        <w:gridCol w:w="7257"/>
      </w:tblGrid>
      <w:tr w:rsidR="0034120D" w:rsidRPr="0034120D" w14:paraId="6DC4346C" w14:textId="77777777" w:rsidTr="006B754A">
        <w:tc>
          <w:tcPr>
            <w:tcW w:w="1696" w:type="dxa"/>
          </w:tcPr>
          <w:p w14:paraId="5CB9580D" w14:textId="77777777" w:rsidR="005D68BF" w:rsidRPr="0034120D" w:rsidRDefault="00691D5E" w:rsidP="00407056">
            <w:pPr>
              <w:jc w:val="center"/>
              <w:rPr>
                <w:rFonts w:cs="Times New Roman"/>
                <w:b/>
                <w:bCs/>
                <w:szCs w:val="24"/>
              </w:rPr>
            </w:pPr>
            <w:r w:rsidRPr="0034120D">
              <w:rPr>
                <w:rFonts w:cs="Times New Roman"/>
                <w:b/>
                <w:bCs/>
                <w:szCs w:val="24"/>
              </w:rPr>
              <w:t>Political</w:t>
            </w:r>
          </w:p>
        </w:tc>
        <w:tc>
          <w:tcPr>
            <w:tcW w:w="7320" w:type="dxa"/>
          </w:tcPr>
          <w:p w14:paraId="4D73C7C8" w14:textId="77777777" w:rsidR="005D68BF" w:rsidRPr="0034120D" w:rsidRDefault="00691D5E" w:rsidP="006B754A">
            <w:pPr>
              <w:rPr>
                <w:rFonts w:cs="Times New Roman"/>
                <w:szCs w:val="24"/>
              </w:rPr>
            </w:pPr>
            <w:r w:rsidRPr="0034120D">
              <w:rPr>
                <w:rFonts w:cs="Times New Roman"/>
                <w:szCs w:val="24"/>
              </w:rPr>
              <w:t xml:space="preserve">The sustainability concerns have increased as the UK government emphasises such initiatives. For instance, the UK Food and Drink Pact was launched through WRAP by the government as a voluntary initiative, which aims to reduce food waste by 50% per capita. So, these policies prompt companies to minimise their food waste generation as well. It also connects them to local authorities (Murphy, 2025). By partnering up with them, food waste can be prevented from going to landfills and instead donated to local communities. For instance, Hotel Marriott has a partnership with Winnow, which has enabled them to reduce food waste by 25% across all hotels using AI (Cousins, 2024). </w:t>
            </w:r>
          </w:p>
        </w:tc>
      </w:tr>
      <w:tr w:rsidR="0034120D" w:rsidRPr="0034120D" w14:paraId="66F1E520" w14:textId="77777777" w:rsidTr="006B754A">
        <w:tc>
          <w:tcPr>
            <w:tcW w:w="1696" w:type="dxa"/>
          </w:tcPr>
          <w:p w14:paraId="1B1BFB3D" w14:textId="77777777" w:rsidR="005D68BF" w:rsidRPr="0034120D" w:rsidRDefault="00691D5E" w:rsidP="00407056">
            <w:pPr>
              <w:jc w:val="center"/>
              <w:rPr>
                <w:rFonts w:cs="Times New Roman"/>
                <w:b/>
                <w:bCs/>
                <w:szCs w:val="24"/>
              </w:rPr>
            </w:pPr>
            <w:r w:rsidRPr="0034120D">
              <w:rPr>
                <w:rFonts w:cs="Times New Roman"/>
                <w:b/>
                <w:bCs/>
                <w:szCs w:val="24"/>
              </w:rPr>
              <w:t>Economic</w:t>
            </w:r>
          </w:p>
        </w:tc>
        <w:tc>
          <w:tcPr>
            <w:tcW w:w="7320" w:type="dxa"/>
          </w:tcPr>
          <w:p w14:paraId="1B820B22" w14:textId="77777777" w:rsidR="005D68BF" w:rsidRPr="0034120D" w:rsidRDefault="00691D5E" w:rsidP="006B754A">
            <w:pPr>
              <w:rPr>
                <w:rFonts w:cs="Times New Roman"/>
                <w:szCs w:val="24"/>
              </w:rPr>
            </w:pPr>
            <w:r w:rsidRPr="0034120D">
              <w:rPr>
                <w:rFonts w:cs="Times New Roman"/>
                <w:szCs w:val="24"/>
              </w:rPr>
              <w:t xml:space="preserve">Food waste generation also has financial implications for the organisations. The Waste Managed stated that this issue costs the country £20 billion per year and affects the supply chain (WasteManaged, 2025). Moreover, it is not just the organisations, but also food manufacturers and farmers who face financial loss. Therefore, it is apparent that the hotels can minimise their operational costs by minimising waste generation by reducing disposal and landfill waste costs (Kholijah, 2024). Radisson is an exceptional example as they chose to not only cut down costs of waste but also create additional revenue by partnering up with Too Good To Go. It allows them to sell the extra food through the app (BW Hotelier, 2021). </w:t>
            </w:r>
          </w:p>
        </w:tc>
      </w:tr>
      <w:tr w:rsidR="0034120D" w:rsidRPr="0034120D" w14:paraId="61B9C8E9" w14:textId="77777777" w:rsidTr="006B754A">
        <w:tc>
          <w:tcPr>
            <w:tcW w:w="1696" w:type="dxa"/>
          </w:tcPr>
          <w:p w14:paraId="68EFEB4B" w14:textId="77777777" w:rsidR="005D68BF" w:rsidRPr="0034120D" w:rsidRDefault="00691D5E" w:rsidP="00407056">
            <w:pPr>
              <w:jc w:val="center"/>
              <w:rPr>
                <w:rFonts w:cs="Times New Roman"/>
                <w:b/>
                <w:bCs/>
                <w:szCs w:val="24"/>
              </w:rPr>
            </w:pPr>
            <w:r w:rsidRPr="0034120D">
              <w:rPr>
                <w:rFonts w:cs="Times New Roman"/>
                <w:b/>
                <w:bCs/>
                <w:szCs w:val="24"/>
              </w:rPr>
              <w:t>Social</w:t>
            </w:r>
          </w:p>
        </w:tc>
        <w:tc>
          <w:tcPr>
            <w:tcW w:w="7320" w:type="dxa"/>
          </w:tcPr>
          <w:p w14:paraId="572280F3" w14:textId="5B52471F" w:rsidR="005D68BF" w:rsidRPr="0034120D" w:rsidRDefault="00691D5E" w:rsidP="006B754A">
            <w:pPr>
              <w:rPr>
                <w:rFonts w:cs="Times New Roman"/>
                <w:szCs w:val="24"/>
              </w:rPr>
            </w:pPr>
            <w:r w:rsidRPr="0034120D">
              <w:rPr>
                <w:rFonts w:cs="Times New Roman"/>
                <w:szCs w:val="24"/>
              </w:rPr>
              <w:t xml:space="preserve">The current consumer awareness regarding climate change and sustainability also indicates that they prefer hotels that have eco-friendly practices. A 2023 survey by Forbes revealed that almost 6 in every 10 travellers are more inclined to choose hotels that have sustainability practices (Razgaitis, 2024). So, this probes hospitality organisations to </w:t>
            </w:r>
            <w:r w:rsidRPr="0034120D">
              <w:rPr>
                <w:rFonts w:cs="Times New Roman"/>
                <w:szCs w:val="24"/>
              </w:rPr>
              <w:lastRenderedPageBreak/>
              <w:t>align their practices with consumer expectations for appealing to the ethical and environmentally conscious segments by implementing food waste reduction initiatives and campaigns.</w:t>
            </w:r>
          </w:p>
        </w:tc>
      </w:tr>
      <w:tr w:rsidR="0034120D" w:rsidRPr="0034120D" w14:paraId="31DB54CF" w14:textId="77777777" w:rsidTr="006B754A">
        <w:tc>
          <w:tcPr>
            <w:tcW w:w="1696" w:type="dxa"/>
          </w:tcPr>
          <w:p w14:paraId="2F5D7C4B" w14:textId="77777777" w:rsidR="005D68BF" w:rsidRPr="0034120D" w:rsidRDefault="00691D5E" w:rsidP="00407056">
            <w:pPr>
              <w:jc w:val="center"/>
              <w:rPr>
                <w:rFonts w:cs="Times New Roman"/>
                <w:b/>
                <w:bCs/>
                <w:szCs w:val="24"/>
              </w:rPr>
            </w:pPr>
            <w:r w:rsidRPr="0034120D">
              <w:rPr>
                <w:rFonts w:cs="Times New Roman"/>
                <w:b/>
                <w:bCs/>
                <w:szCs w:val="24"/>
              </w:rPr>
              <w:lastRenderedPageBreak/>
              <w:t>Technological</w:t>
            </w:r>
          </w:p>
        </w:tc>
        <w:tc>
          <w:tcPr>
            <w:tcW w:w="7320" w:type="dxa"/>
          </w:tcPr>
          <w:p w14:paraId="3076276F" w14:textId="77777777" w:rsidR="005D68BF" w:rsidRPr="0034120D" w:rsidRDefault="00691D5E" w:rsidP="006B754A">
            <w:pPr>
              <w:rPr>
                <w:rFonts w:cs="Times New Roman"/>
                <w:szCs w:val="24"/>
              </w:rPr>
            </w:pPr>
            <w:r w:rsidRPr="0034120D">
              <w:rPr>
                <w:rFonts w:cs="Times New Roman"/>
                <w:szCs w:val="24"/>
              </w:rPr>
              <w:t xml:space="preserve">AI is being increasingly used by hospitality organisations to monitor their value chain for tracking food waste, and the systems can provide solid insights into categories and portions of food thrown away. Based on this, they can adjust their menu and the portion size of each meal. Sigala </w:t>
            </w:r>
            <w:r w:rsidRPr="0034120D">
              <w:rPr>
                <w:rFonts w:cs="Times New Roman"/>
                <w:i/>
                <w:iCs/>
                <w:szCs w:val="24"/>
              </w:rPr>
              <w:t>et al.</w:t>
            </w:r>
            <w:r w:rsidRPr="0034120D">
              <w:rPr>
                <w:rFonts w:cs="Times New Roman"/>
                <w:szCs w:val="24"/>
              </w:rPr>
              <w:t xml:space="preserve"> (2025) talked about an AI system called KITRO that cut down food waste by 23-51%. Hotel Marriott serves as an example that did this successfully. Hence, it can also enable hotels to optimise their inventory accordingly. </w:t>
            </w:r>
          </w:p>
          <w:p w14:paraId="3FD38D2A" w14:textId="77777777" w:rsidR="005D68BF" w:rsidRPr="0034120D" w:rsidRDefault="00691D5E" w:rsidP="006B754A">
            <w:pPr>
              <w:rPr>
                <w:rFonts w:cs="Times New Roman"/>
                <w:szCs w:val="24"/>
              </w:rPr>
            </w:pPr>
            <w:r w:rsidRPr="0034120D">
              <w:rPr>
                <w:rFonts w:cs="Times New Roman"/>
                <w:szCs w:val="24"/>
              </w:rPr>
              <w:t>Meanwhile, smart packaging is gradually becoming common in the market, which can help organisations to improve their inventory and value chain by cutting down spoilage during transportation and storage (Taner, 2024). Even though these technologies are capable of enhancing operational effectiveness, they also require substantial capital investment and staff training.</w:t>
            </w:r>
          </w:p>
        </w:tc>
      </w:tr>
      <w:tr w:rsidR="0034120D" w:rsidRPr="0034120D" w14:paraId="529DC0F2" w14:textId="77777777" w:rsidTr="006B754A">
        <w:tc>
          <w:tcPr>
            <w:tcW w:w="1696" w:type="dxa"/>
          </w:tcPr>
          <w:p w14:paraId="465146CA" w14:textId="77777777" w:rsidR="005D68BF" w:rsidRPr="0034120D" w:rsidRDefault="00691D5E" w:rsidP="00407056">
            <w:pPr>
              <w:jc w:val="center"/>
              <w:rPr>
                <w:rFonts w:cs="Times New Roman"/>
                <w:b/>
                <w:bCs/>
                <w:szCs w:val="24"/>
              </w:rPr>
            </w:pPr>
            <w:r w:rsidRPr="0034120D">
              <w:rPr>
                <w:rFonts w:cs="Times New Roman"/>
                <w:b/>
                <w:bCs/>
                <w:szCs w:val="24"/>
              </w:rPr>
              <w:t>Legal</w:t>
            </w:r>
          </w:p>
        </w:tc>
        <w:tc>
          <w:tcPr>
            <w:tcW w:w="7320" w:type="dxa"/>
          </w:tcPr>
          <w:p w14:paraId="37159910" w14:textId="77777777" w:rsidR="005D68BF" w:rsidRPr="0034120D" w:rsidRDefault="00691D5E" w:rsidP="006B754A">
            <w:pPr>
              <w:rPr>
                <w:rFonts w:cs="Times New Roman"/>
                <w:szCs w:val="24"/>
              </w:rPr>
            </w:pPr>
            <w:r w:rsidRPr="0034120D">
              <w:rPr>
                <w:rFonts w:cs="Times New Roman"/>
                <w:szCs w:val="24"/>
              </w:rPr>
              <w:t xml:space="preserve">Food waste is a major concern in the UK, but the legislative system at present still lacks any major regulation mandating businesses to report their food waste. So, this has raised pressure for legal reforms. However, there are still Food Waste regulations in the country that make companies obligated to separate their food waste from other categories (Legislation.gov.uk, 2022). This prevents them from reaching the landfills by donating the surplus or near-expiration-date food to local communities. Apart from that, food waste can also be converted into energy using processes like anaerobic digestion (Legislation.gov.uk, 2022). </w:t>
            </w:r>
          </w:p>
        </w:tc>
      </w:tr>
      <w:tr w:rsidR="002134BF" w:rsidRPr="0034120D" w14:paraId="77A37588" w14:textId="77777777" w:rsidTr="006B754A">
        <w:tc>
          <w:tcPr>
            <w:tcW w:w="1696" w:type="dxa"/>
          </w:tcPr>
          <w:p w14:paraId="08FFDE5B" w14:textId="77777777" w:rsidR="005D68BF" w:rsidRPr="0034120D" w:rsidRDefault="00691D5E" w:rsidP="00407056">
            <w:pPr>
              <w:jc w:val="center"/>
              <w:rPr>
                <w:rFonts w:cs="Times New Roman"/>
                <w:b/>
                <w:bCs/>
                <w:szCs w:val="24"/>
              </w:rPr>
            </w:pPr>
            <w:r w:rsidRPr="0034120D">
              <w:rPr>
                <w:rFonts w:cs="Times New Roman"/>
                <w:b/>
                <w:bCs/>
                <w:szCs w:val="24"/>
              </w:rPr>
              <w:t>Environmental</w:t>
            </w:r>
          </w:p>
        </w:tc>
        <w:tc>
          <w:tcPr>
            <w:tcW w:w="7320" w:type="dxa"/>
          </w:tcPr>
          <w:p w14:paraId="5B0205C0" w14:textId="21A70008" w:rsidR="005D68BF" w:rsidRPr="0034120D" w:rsidRDefault="00691D5E" w:rsidP="006B754A">
            <w:pPr>
              <w:rPr>
                <w:rFonts w:cs="Times New Roman"/>
                <w:szCs w:val="24"/>
              </w:rPr>
            </w:pPr>
            <w:r w:rsidRPr="0034120D">
              <w:rPr>
                <w:rFonts w:cs="Times New Roman"/>
                <w:szCs w:val="24"/>
              </w:rPr>
              <w:t xml:space="preserve">As explained previously, the UK government has emphasised achieving sustainability, which involves this issue as well. So, it also influences social groups and environmental organisations to create pressure on hospitality organisations to cut down their waste generation (Pearson </w:t>
            </w:r>
            <w:r w:rsidRPr="0034120D">
              <w:rPr>
                <w:rFonts w:cs="Times New Roman"/>
                <w:i/>
                <w:iCs/>
                <w:szCs w:val="24"/>
              </w:rPr>
              <w:t>et al.,</w:t>
            </w:r>
            <w:r w:rsidRPr="0034120D">
              <w:rPr>
                <w:rFonts w:cs="Times New Roman"/>
                <w:szCs w:val="24"/>
              </w:rPr>
              <w:t xml:space="preserve"> 2025). In response to this, more hotels have been adopting the circular economy principles, supporting different applications of the waste</w:t>
            </w:r>
            <w:r w:rsidR="0093728E" w:rsidRPr="0034120D">
              <w:rPr>
                <w:rFonts w:cs="Times New Roman"/>
                <w:szCs w:val="24"/>
              </w:rPr>
              <w:t xml:space="preserve"> (fig3)</w:t>
            </w:r>
            <w:r w:rsidRPr="0034120D">
              <w:rPr>
                <w:rFonts w:cs="Times New Roman"/>
                <w:szCs w:val="24"/>
              </w:rPr>
              <w:t xml:space="preserve">. For instance, Raymond Blanc Hotel adopted a closed-loop composting </w:t>
            </w:r>
            <w:r w:rsidRPr="0034120D">
              <w:rPr>
                <w:rFonts w:cs="Times New Roman"/>
                <w:szCs w:val="24"/>
              </w:rPr>
              <w:lastRenderedPageBreak/>
              <w:t>system, which achieved 94% on-site waste composting of total yearly food waste (RecyclingInside, 2021).</w:t>
            </w:r>
          </w:p>
        </w:tc>
      </w:tr>
    </w:tbl>
    <w:p w14:paraId="5117BB37" w14:textId="77777777" w:rsidR="005D68BF" w:rsidRPr="0034120D" w:rsidRDefault="005D68BF" w:rsidP="005D68BF">
      <w:pPr>
        <w:rPr>
          <w:rFonts w:cs="Times New Roman"/>
          <w:szCs w:val="24"/>
        </w:rPr>
      </w:pPr>
    </w:p>
    <w:p w14:paraId="610EC3F2" w14:textId="0D82B43F" w:rsidR="0093728E" w:rsidRPr="0034120D" w:rsidRDefault="00691D5E" w:rsidP="007E0B02">
      <w:pPr>
        <w:jc w:val="center"/>
        <w:rPr>
          <w:rFonts w:cs="Times New Roman"/>
          <w:szCs w:val="24"/>
        </w:rPr>
      </w:pPr>
      <w:r w:rsidRPr="0034120D">
        <w:rPr>
          <w:noProof/>
        </w:rPr>
        <w:drawing>
          <wp:inline distT="0" distB="0" distL="0" distR="0" wp14:anchorId="2AADAE19" wp14:editId="14EC0866">
            <wp:extent cx="3449782" cy="2587527"/>
            <wp:effectExtent l="76200" t="76200" r="132080" b="137160"/>
            <wp:docPr id="864666498" name="Picture 2" descr="What Are the Three Principles of a Circular Economy ? - REC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666498" name="Picture 3" descr="What Are the Three Principles of a Circular Economy ? - RECAPP"/>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469913" cy="26026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41643F" w14:textId="681D8134" w:rsidR="0093728E" w:rsidRPr="0034120D" w:rsidRDefault="00691D5E" w:rsidP="007E0B02">
      <w:pPr>
        <w:jc w:val="center"/>
        <w:rPr>
          <w:rFonts w:cs="Times New Roman"/>
          <w:b/>
          <w:bCs/>
          <w:szCs w:val="24"/>
        </w:rPr>
      </w:pPr>
      <w:r w:rsidRPr="0034120D">
        <w:rPr>
          <w:rFonts w:cs="Times New Roman"/>
          <w:b/>
          <w:bCs/>
          <w:szCs w:val="24"/>
        </w:rPr>
        <w:t>Figure 3: Circular Economy Principles</w:t>
      </w:r>
    </w:p>
    <w:p w14:paraId="1A8AFCE7" w14:textId="7F14AD31" w:rsidR="0093728E" w:rsidRPr="0034120D" w:rsidRDefault="00691D5E" w:rsidP="007E0B02">
      <w:pPr>
        <w:jc w:val="center"/>
        <w:rPr>
          <w:rFonts w:cs="Times New Roman"/>
          <w:szCs w:val="24"/>
        </w:rPr>
      </w:pPr>
      <w:r w:rsidRPr="0034120D">
        <w:rPr>
          <w:rFonts w:cs="Times New Roman"/>
          <w:szCs w:val="24"/>
        </w:rPr>
        <w:t>(Rabbi and Amin, 2024)</w:t>
      </w:r>
    </w:p>
    <w:p w14:paraId="27B83F25" w14:textId="163D1CA6" w:rsidR="000747D3" w:rsidRPr="0034120D" w:rsidRDefault="00691D5E" w:rsidP="00C0452F">
      <w:pPr>
        <w:rPr>
          <w:b/>
          <w:bCs/>
        </w:rPr>
      </w:pPr>
      <w:r w:rsidRPr="0034120D">
        <w:rPr>
          <w:b/>
          <w:bCs/>
        </w:rPr>
        <w:t>Industry Examples and Best Practices</w:t>
      </w:r>
    </w:p>
    <w:p w14:paraId="661BA669" w14:textId="1B584457" w:rsidR="00D44749" w:rsidRPr="0034120D" w:rsidRDefault="00691D5E" w:rsidP="00D44749">
      <w:r w:rsidRPr="0034120D">
        <w:t xml:space="preserve">There are several examples of successful food waste minimisation, which are provided by several international hotel chains. The use of AI-based monitoring systems in Europe has also enabled Hilton Hotels to provide measurable benefits in the form of reducing both quantifiable amounts of kitchen and post-consumer waste. Similarly, the same Accor Hotels has embraced styles and approaches of circular economy activities, such as organic waste to create compost or bioenergy, which has been possible, and this aspect depicts the practicability of implementing sustainability in the management of their hotels (Sarangi </w:t>
      </w:r>
      <w:r w:rsidRPr="0034120D">
        <w:rPr>
          <w:i/>
          <w:iCs/>
        </w:rPr>
        <w:t>et al.,</w:t>
      </w:r>
      <w:r w:rsidRPr="0034120D">
        <w:t xml:space="preserve"> 2024). </w:t>
      </w:r>
    </w:p>
    <w:p w14:paraId="7F94DC6A" w14:textId="43C4ED4C" w:rsidR="000747D3" w:rsidRPr="0034120D" w:rsidRDefault="00691D5E" w:rsidP="00C0452F">
      <w:pPr>
        <w:rPr>
          <w:b/>
          <w:bCs/>
        </w:rPr>
      </w:pPr>
      <w:r w:rsidRPr="0034120D">
        <w:rPr>
          <w:b/>
          <w:bCs/>
        </w:rPr>
        <w:t>Implications for the Hospitality Industry</w:t>
      </w:r>
    </w:p>
    <w:p w14:paraId="1654EB83" w14:textId="2E36506E" w:rsidR="00D44749" w:rsidRPr="0034120D" w:rsidRDefault="00691D5E" w:rsidP="00D44749">
      <w:r w:rsidRPr="0034120D">
        <w:t xml:space="preserve">The discussion discloses the fact that it is not only an environmental issue but a multidimensional problem that impacts the operational efficiency of the corporations in terms of financial performance, corporate image, and the control of the issue within the legal framework. The fact that the agencies have not enacted their food waste plans would imply that the hotels would have to incur the risk of losing revenues, reputation, and an even greater concern about the environment (Cozzio </w:t>
      </w:r>
      <w:r w:rsidRPr="0034120D">
        <w:rPr>
          <w:i/>
          <w:iCs/>
        </w:rPr>
        <w:t>et al.,</w:t>
      </w:r>
      <w:r w:rsidRPr="0034120D">
        <w:t xml:space="preserve"> 2024).</w:t>
      </w:r>
    </w:p>
    <w:p w14:paraId="6A79CEC9" w14:textId="20EF7495" w:rsidR="00721B96" w:rsidRPr="0034120D" w:rsidRDefault="00691D5E" w:rsidP="00721B96">
      <w:pPr>
        <w:pStyle w:val="Heading2"/>
      </w:pPr>
      <w:bookmarkStart w:id="5" w:name="_Toc211475810"/>
      <w:r w:rsidRPr="0034120D">
        <w:lastRenderedPageBreak/>
        <w:t>Conclusion</w:t>
      </w:r>
      <w:bookmarkEnd w:id="5"/>
    </w:p>
    <w:p w14:paraId="28B8918A" w14:textId="53F945A4" w:rsidR="00D44749" w:rsidRPr="0034120D" w:rsidRDefault="00691D5E" w:rsidP="00D44749">
      <w:r w:rsidRPr="0034120D">
        <w:t xml:space="preserve">One of the problems of the hospitality industry is food waste that affects the efficiency of working at the facility, environmental sustainability and profitability. Hotels should find a balance between the expectations of the guests and the economic control of the available resources and resort to several tricks, such as intelligent tools for removing stocks, participation of employees, and technology intervention. The problems of cost and cultural norms cannot be denied; however, in combination, these problems can have positive outcomes which can be measured. </w:t>
      </w:r>
    </w:p>
    <w:p w14:paraId="49C7B864" w14:textId="3A4F3AC3" w:rsidR="00B574F5" w:rsidRPr="0034120D" w:rsidRDefault="00691D5E" w:rsidP="00B5353A">
      <w:pPr>
        <w:pStyle w:val="Heading2"/>
      </w:pPr>
      <w:bookmarkStart w:id="6" w:name="_Toc211475811"/>
      <w:r w:rsidRPr="0034120D">
        <w:t>Recommendations</w:t>
      </w:r>
      <w:bookmarkEnd w:id="6"/>
    </w:p>
    <w:p w14:paraId="003D300C" w14:textId="1D951615" w:rsidR="00F21874" w:rsidRPr="0034120D" w:rsidRDefault="00691D5E" w:rsidP="00F21874">
      <w:r w:rsidRPr="0034120D">
        <w:t>To begin with, the hotels ought to invest in the use of technological solutions to track and monitor the food waste trends. Waste tracking systems powered by AIs will give useful information that can be taken to action within the kitchens to modulate production, cut overstocking, and improve menu offerings</w:t>
      </w:r>
      <w:r w:rsidR="005772D7" w:rsidRPr="0034120D">
        <w:t xml:space="preserve"> (Clark </w:t>
      </w:r>
      <w:r w:rsidR="005772D7" w:rsidRPr="0034120D">
        <w:rPr>
          <w:i/>
          <w:iCs/>
        </w:rPr>
        <w:t>et al.,</w:t>
      </w:r>
      <w:r w:rsidR="005772D7" w:rsidRPr="0034120D">
        <w:t xml:space="preserve"> 2025).</w:t>
      </w:r>
      <w:r w:rsidRPr="0034120D">
        <w:t xml:space="preserve"> Though it might be invested heavily in the cost in the initial stages, operating investments and environmental costs are positive in the long run. It is possible to apply smaller-scale digital tools/software in smaller hotels to efficiently track the trends in inventory and waste.</w:t>
      </w:r>
    </w:p>
    <w:p w14:paraId="3FB219DA" w14:textId="1DC43DF7" w:rsidR="00F21874" w:rsidRPr="0034120D" w:rsidRDefault="00691D5E" w:rsidP="00F21874">
      <w:r w:rsidRPr="0034120D">
        <w:t>Secondly, engagement and staff training are necessary. Employees in hotels should be sensitised on the environmental, social and economic effects of food waste that will enable them to embrace the best practices in food preparation, portion control, and reduction of wastes</w:t>
      </w:r>
      <w:r w:rsidR="005772D7" w:rsidRPr="0034120D">
        <w:t xml:space="preserve"> (Nand </w:t>
      </w:r>
      <w:r w:rsidR="005772D7" w:rsidRPr="0034120D">
        <w:rPr>
          <w:i/>
          <w:iCs/>
        </w:rPr>
        <w:t xml:space="preserve">et al., </w:t>
      </w:r>
      <w:r w:rsidR="005772D7" w:rsidRPr="0034120D">
        <w:t>2025).</w:t>
      </w:r>
      <w:r w:rsidRPr="0034120D">
        <w:t xml:space="preserve"> This could be by introducing incentive plans, reward schemes or sustainability-oriented KPIs that could motivate the employees to step up to the plate and establish the culture of responsibility throughout all departments, as the front office personnel come in contact with the guests.</w:t>
      </w:r>
    </w:p>
    <w:p w14:paraId="61752A64" w14:textId="5FF33957" w:rsidR="00F21874" w:rsidRPr="0034120D" w:rsidRDefault="00691D5E" w:rsidP="00F21874">
      <w:r w:rsidRPr="0034120D">
        <w:t>Thirdly, the operational strategies can be supported with the help or involvement of guests. Hotels ought to use printed materials in the rooms, buffets, or their websites to communicate sustainability objectives to customers so as to influence sustainability-friendly consumption</w:t>
      </w:r>
      <w:r w:rsidR="005772D7" w:rsidRPr="0034120D">
        <w:t xml:space="preserve"> (Pearson, 2024).</w:t>
      </w:r>
      <w:r w:rsidRPr="0034120D">
        <w:t xml:space="preserve"> The ability to order portions, to ask for them to serve less, and to demonstrate the service as a strictly transparent initiative, such as a composting campaign or donations programmes, will help to organise and follow the behaviour of the guests in alignment with sustainability goals.</w:t>
      </w:r>
    </w:p>
    <w:p w14:paraId="71DFB0AF" w14:textId="7C13CA8C" w:rsidR="00F21874" w:rsidRPr="0034120D" w:rsidRDefault="00691D5E" w:rsidP="00F21874">
      <w:r w:rsidRPr="0034120D">
        <w:t xml:space="preserve">Fourthly, the exercises of the circular economy enhance sustainability in the long run. Hotels ought to investigate the reuse of organic waste to compost or energy </w:t>
      </w:r>
      <w:r w:rsidR="00A17369" w:rsidRPr="0034120D">
        <w:t>equally and</w:t>
      </w:r>
      <w:r w:rsidRPr="0034120D">
        <w:t xml:space="preserve"> engage in </w:t>
      </w:r>
      <w:r w:rsidRPr="0034120D">
        <w:lastRenderedPageBreak/>
        <w:t>collaborating with the local farming or garbage collectors</w:t>
      </w:r>
      <w:r w:rsidR="005772D7" w:rsidRPr="0034120D">
        <w:t xml:space="preserve"> (Hashmi, 2024).</w:t>
      </w:r>
      <w:r w:rsidRPr="0034120D">
        <w:t xml:space="preserve"> Not only will such initiatives lower the contribution to landfills, but they will also improve the image of environmental stewardship by a hotel, which will improve the hotel brand and its customers.</w:t>
      </w:r>
    </w:p>
    <w:p w14:paraId="67B6D6C2" w14:textId="77777777" w:rsidR="00F21874" w:rsidRPr="0034120D" w:rsidRDefault="00691D5E">
      <w:pPr>
        <w:spacing w:line="259" w:lineRule="auto"/>
        <w:jc w:val="left"/>
        <w:rPr>
          <w:rFonts w:eastAsiaTheme="majorEastAsia" w:cstheme="majorBidi"/>
          <w:b/>
          <w:szCs w:val="32"/>
        </w:rPr>
      </w:pPr>
      <w:r w:rsidRPr="0034120D">
        <w:br w:type="page"/>
      </w:r>
    </w:p>
    <w:p w14:paraId="146577CD" w14:textId="23B1F227" w:rsidR="00D006F8" w:rsidRPr="0034120D" w:rsidRDefault="00691D5E" w:rsidP="00D006F8">
      <w:pPr>
        <w:pStyle w:val="Heading1"/>
      </w:pPr>
      <w:bookmarkStart w:id="7" w:name="_Toc211475812"/>
      <w:r w:rsidRPr="0034120D">
        <w:lastRenderedPageBreak/>
        <w:t>References</w:t>
      </w:r>
      <w:bookmarkEnd w:id="7"/>
    </w:p>
    <w:p w14:paraId="03780569" w14:textId="77777777" w:rsidR="00691D5E" w:rsidRPr="0034120D" w:rsidRDefault="00691D5E" w:rsidP="00C77984">
      <w:pPr>
        <w:rPr>
          <w:rFonts w:cs="Times New Roman"/>
          <w:szCs w:val="24"/>
        </w:rPr>
      </w:pPr>
      <w:r w:rsidRPr="0034120D">
        <w:rPr>
          <w:rFonts w:cs="Times New Roman"/>
          <w:szCs w:val="24"/>
        </w:rPr>
        <w:t xml:space="preserve">AHDB. (2021) </w:t>
      </w:r>
      <w:r w:rsidRPr="0034120D">
        <w:rPr>
          <w:rFonts w:cs="Times New Roman"/>
          <w:i/>
          <w:iCs/>
          <w:szCs w:val="24"/>
        </w:rPr>
        <w:t>Positive movements in UK food waste reduction reverse as COVID-19 restrictions are removed</w:t>
      </w:r>
      <w:r w:rsidRPr="0034120D">
        <w:rPr>
          <w:rFonts w:cs="Times New Roman"/>
          <w:szCs w:val="24"/>
        </w:rPr>
        <w:t xml:space="preserve">, </w:t>
      </w:r>
      <w:r w:rsidRPr="0034120D">
        <w:rPr>
          <w:rFonts w:cs="Times New Roman"/>
          <w:i/>
          <w:iCs/>
          <w:szCs w:val="24"/>
        </w:rPr>
        <w:t>AHDB</w:t>
      </w:r>
      <w:r w:rsidRPr="0034120D">
        <w:rPr>
          <w:rFonts w:cs="Times New Roman"/>
          <w:szCs w:val="24"/>
        </w:rPr>
        <w:t xml:space="preserve">. Available at: https://ahdb.org.uk/news/consumer-insight-positive-movements-in-uk-food-waste-reduction-reverse-as-covid-19-restrictions-are-removed (Accessed: 16 October 2025). </w:t>
      </w:r>
    </w:p>
    <w:p w14:paraId="2E743D1A" w14:textId="0780DDBD" w:rsidR="00691D5E" w:rsidRPr="0034120D" w:rsidRDefault="00691D5E" w:rsidP="00C77984">
      <w:pPr>
        <w:rPr>
          <w:rFonts w:cs="Times New Roman"/>
          <w:szCs w:val="24"/>
        </w:rPr>
      </w:pPr>
      <w:r w:rsidRPr="0034120D">
        <w:rPr>
          <w:rFonts w:cs="Times New Roman"/>
          <w:szCs w:val="24"/>
        </w:rPr>
        <w:t>Ahmed, S.K., Mohammed, R.A., Nashwan, A.J., Ibrahim, R.H., Abdalla, A.Q., Ameen, B.M.M. and Khdhir, R.M. (2025) Using thematic analysis in qualitative research. </w:t>
      </w:r>
      <w:r w:rsidRPr="0034120D">
        <w:rPr>
          <w:rFonts w:cs="Times New Roman"/>
          <w:i/>
          <w:iCs/>
          <w:szCs w:val="24"/>
        </w:rPr>
        <w:t>Journal of Public Health</w:t>
      </w:r>
      <w:r w:rsidRPr="0034120D">
        <w:rPr>
          <w:rFonts w:cs="Times New Roman"/>
          <w:szCs w:val="24"/>
        </w:rPr>
        <w:t>, </w:t>
      </w:r>
      <w:r w:rsidRPr="0034120D">
        <w:rPr>
          <w:rFonts w:cs="Times New Roman"/>
          <w:i/>
          <w:iCs/>
          <w:szCs w:val="24"/>
        </w:rPr>
        <w:t>6</w:t>
      </w:r>
      <w:r w:rsidRPr="0034120D">
        <w:rPr>
          <w:rFonts w:cs="Times New Roman"/>
          <w:szCs w:val="24"/>
        </w:rPr>
        <w:t>, p.100198.</w:t>
      </w:r>
    </w:p>
    <w:p w14:paraId="3C58CB83" w14:textId="77777777" w:rsidR="00691D5E" w:rsidRPr="0034120D" w:rsidRDefault="00691D5E" w:rsidP="00AC57AE">
      <w:r w:rsidRPr="0034120D">
        <w:t>Akkerman, R. and Cruijssen, F. (2024) Food loss, food waste, and sustainability in food supply chains. In </w:t>
      </w:r>
      <w:r w:rsidRPr="0034120D">
        <w:rPr>
          <w:i/>
          <w:iCs/>
        </w:rPr>
        <w:t>Sustainable supply chains: a research-based textbook on operations and strategy</w:t>
      </w:r>
      <w:r w:rsidRPr="0034120D">
        <w:t> (pp. 219-239). Cham: Springer International Publishing.</w:t>
      </w:r>
    </w:p>
    <w:p w14:paraId="35843BDA" w14:textId="77777777" w:rsidR="00691D5E" w:rsidRPr="0034120D" w:rsidRDefault="00691D5E" w:rsidP="00AC57AE">
      <w:r w:rsidRPr="0034120D">
        <w:t>Brotherton. B. (2015) Researching Hospitality &amp; Tourism 2</w:t>
      </w:r>
      <w:r w:rsidRPr="0034120D">
        <w:rPr>
          <w:vertAlign w:val="superscript"/>
        </w:rPr>
        <w:t>nd</w:t>
      </w:r>
      <w:r w:rsidRPr="0034120D">
        <w:t xml:space="preserve"> Edn. Sage. London.</w:t>
      </w:r>
    </w:p>
    <w:p w14:paraId="2CF8FD2D" w14:textId="77777777" w:rsidR="00691D5E" w:rsidRPr="0034120D" w:rsidRDefault="00691D5E" w:rsidP="00C77984">
      <w:pPr>
        <w:rPr>
          <w:rFonts w:cs="Times New Roman"/>
          <w:szCs w:val="24"/>
        </w:rPr>
      </w:pPr>
      <w:r w:rsidRPr="0034120D">
        <w:rPr>
          <w:rFonts w:cs="Times New Roman"/>
          <w:szCs w:val="24"/>
        </w:rPr>
        <w:t xml:space="preserve">BW Hotelier. (2021) </w:t>
      </w:r>
      <w:r w:rsidRPr="0034120D">
        <w:rPr>
          <w:rFonts w:cs="Times New Roman"/>
          <w:i/>
          <w:iCs/>
          <w:szCs w:val="24"/>
        </w:rPr>
        <w:t>Radisson Hotel Group and too good to go launch partnership Tackling Food Waste | hospitality technology</w:t>
      </w:r>
      <w:r w:rsidRPr="0034120D">
        <w:rPr>
          <w:rFonts w:cs="Times New Roman"/>
          <w:szCs w:val="24"/>
        </w:rPr>
        <w:t xml:space="preserve">. Available at: https://hospitalitytech.com/radisson-hotel-group-and-too-good-go-launch-partnership-tackling-food-waste (Accessed: 15 October 2025). </w:t>
      </w:r>
    </w:p>
    <w:p w14:paraId="67157F29" w14:textId="77777777" w:rsidR="00691D5E" w:rsidRPr="0034120D" w:rsidRDefault="00691D5E" w:rsidP="00AC57AE">
      <w:r w:rsidRPr="0034120D">
        <w:t>Chawla, G., Lugosi, P. and Hawkins, R. (2022) Factors influencing hospitality employees’ pro-environmental behaviours toward food waste. </w:t>
      </w:r>
      <w:r w:rsidRPr="0034120D">
        <w:rPr>
          <w:i/>
          <w:iCs/>
        </w:rPr>
        <w:t>Sustainability</w:t>
      </w:r>
      <w:r w:rsidRPr="0034120D">
        <w:t>, </w:t>
      </w:r>
      <w:r w:rsidRPr="0034120D">
        <w:rPr>
          <w:i/>
          <w:iCs/>
        </w:rPr>
        <w:t>14</w:t>
      </w:r>
      <w:r w:rsidRPr="0034120D">
        <w:t>(15), p.9015.</w:t>
      </w:r>
    </w:p>
    <w:p w14:paraId="3EBC439A" w14:textId="77777777" w:rsidR="00691D5E" w:rsidRPr="0034120D" w:rsidRDefault="00691D5E" w:rsidP="00AC57AE">
      <w:r w:rsidRPr="0034120D">
        <w:t>Clark, Q.M., Kanavikar, D.B., Clark, J. and Donnelly, P.J. (2025) Exploring the potential of AI-driven food waste management strategies used in the hospitality industry for application in household settings. </w:t>
      </w:r>
      <w:r w:rsidRPr="0034120D">
        <w:rPr>
          <w:i/>
          <w:iCs/>
        </w:rPr>
        <w:t>Frontiers in Artificial Intelligence</w:t>
      </w:r>
      <w:r w:rsidRPr="0034120D">
        <w:t>, </w:t>
      </w:r>
      <w:r w:rsidRPr="0034120D">
        <w:rPr>
          <w:i/>
          <w:iCs/>
        </w:rPr>
        <w:t>7</w:t>
      </w:r>
      <w:r w:rsidRPr="0034120D">
        <w:t>, p.1429477.</w:t>
      </w:r>
    </w:p>
    <w:p w14:paraId="577A4083" w14:textId="77777777" w:rsidR="00691D5E" w:rsidRPr="0034120D" w:rsidRDefault="00691D5E" w:rsidP="00AC57AE">
      <w:r w:rsidRPr="0034120D">
        <w:t>Cooper, C. and Hall, M. (2019) Contemporary Tourism: An International Approach, 4</w:t>
      </w:r>
      <w:r w:rsidRPr="0034120D">
        <w:rPr>
          <w:vertAlign w:val="superscript"/>
        </w:rPr>
        <w:t>th</w:t>
      </w:r>
      <w:r w:rsidRPr="0034120D">
        <w:t xml:space="preserve"> Edn. Goodfellows, Oxford.</w:t>
      </w:r>
    </w:p>
    <w:p w14:paraId="0809CC11" w14:textId="77777777" w:rsidR="00691D5E" w:rsidRPr="0034120D" w:rsidRDefault="00691D5E" w:rsidP="00C77984">
      <w:pPr>
        <w:rPr>
          <w:rFonts w:cs="Times New Roman"/>
          <w:szCs w:val="24"/>
        </w:rPr>
      </w:pPr>
      <w:r w:rsidRPr="0034120D">
        <w:rPr>
          <w:rFonts w:cs="Times New Roman"/>
          <w:szCs w:val="24"/>
        </w:rPr>
        <w:t xml:space="preserve">Cousins, F. (2024) </w:t>
      </w:r>
      <w:r w:rsidRPr="0034120D">
        <w:rPr>
          <w:rFonts w:cs="Times New Roman"/>
          <w:i/>
          <w:iCs/>
          <w:szCs w:val="24"/>
        </w:rPr>
        <w:t>Marriott and winnow reduce food waste by 25 per cent</w:t>
      </w:r>
      <w:r w:rsidRPr="0034120D">
        <w:rPr>
          <w:rFonts w:cs="Times New Roman"/>
          <w:szCs w:val="24"/>
        </w:rPr>
        <w:t xml:space="preserve">, </w:t>
      </w:r>
      <w:r w:rsidRPr="0034120D">
        <w:rPr>
          <w:rFonts w:cs="Times New Roman"/>
          <w:i/>
          <w:iCs/>
          <w:szCs w:val="24"/>
        </w:rPr>
        <w:t>Sustainable Hotel News</w:t>
      </w:r>
      <w:r w:rsidRPr="0034120D">
        <w:rPr>
          <w:rFonts w:cs="Times New Roman"/>
          <w:szCs w:val="24"/>
        </w:rPr>
        <w:t xml:space="preserve">. Available at: https://sustainablehotelnews.com/marriott-and-winnow-reduce-food-waste-by-25-per-cent/ (Accessed: 16 October 2025). </w:t>
      </w:r>
    </w:p>
    <w:p w14:paraId="7AE65FEB" w14:textId="77777777" w:rsidR="00691D5E" w:rsidRPr="0034120D" w:rsidRDefault="00691D5E" w:rsidP="00AC57AE">
      <w:r w:rsidRPr="0034120D">
        <w:t>Cozzio, C., Schäufele-Elbers, I. and Maurer, O. (2024) Empowering tomorrow: Nurturing young tourists to lower food waste. </w:t>
      </w:r>
      <w:r w:rsidRPr="0034120D">
        <w:rPr>
          <w:i/>
          <w:iCs/>
        </w:rPr>
        <w:t>Annals of Tourism Research Empirical Insights</w:t>
      </w:r>
      <w:r w:rsidRPr="0034120D">
        <w:t>, </w:t>
      </w:r>
      <w:r w:rsidRPr="0034120D">
        <w:rPr>
          <w:i/>
          <w:iCs/>
        </w:rPr>
        <w:t>5</w:t>
      </w:r>
      <w:r w:rsidRPr="0034120D">
        <w:t>(2), p.100156.</w:t>
      </w:r>
    </w:p>
    <w:p w14:paraId="72FABFF7" w14:textId="77777777" w:rsidR="00691D5E" w:rsidRPr="0034120D" w:rsidRDefault="00691D5E" w:rsidP="00AC57AE">
      <w:r w:rsidRPr="0034120D">
        <w:lastRenderedPageBreak/>
        <w:t>Filimonau, V., Sezerel, H., Ashton, M., Kubal-Czerwińska, M., Bhaskara, G.I. and Ermolaev, V.A. (2024) How chefs develop the practice to manage food waste in professional kitchens. </w:t>
      </w:r>
      <w:r w:rsidRPr="0034120D">
        <w:rPr>
          <w:i/>
          <w:iCs/>
        </w:rPr>
        <w:t>International Journal of Hospitality Management</w:t>
      </w:r>
      <w:r w:rsidRPr="0034120D">
        <w:t>, </w:t>
      </w:r>
      <w:r w:rsidRPr="0034120D">
        <w:rPr>
          <w:i/>
          <w:iCs/>
        </w:rPr>
        <w:t>119</w:t>
      </w:r>
      <w:r w:rsidRPr="0034120D">
        <w:t>, p.103712.</w:t>
      </w:r>
    </w:p>
    <w:p w14:paraId="18A361D7" w14:textId="77777777" w:rsidR="00691D5E" w:rsidRPr="0034120D" w:rsidRDefault="00691D5E" w:rsidP="00AC57AE">
      <w:r w:rsidRPr="0034120D">
        <w:t>Ford. R.C Sturman. M.C. (2020) Managing Hospitality Organisations 2</w:t>
      </w:r>
      <w:r w:rsidRPr="0034120D">
        <w:rPr>
          <w:vertAlign w:val="superscript"/>
        </w:rPr>
        <w:t>nd</w:t>
      </w:r>
      <w:r w:rsidRPr="0034120D">
        <w:t xml:space="preserve"> Edn. Sage, London.</w:t>
      </w:r>
    </w:p>
    <w:p w14:paraId="4EED395D" w14:textId="77777777" w:rsidR="00691D5E" w:rsidRPr="0034120D" w:rsidRDefault="00691D5E" w:rsidP="00AC57AE">
      <w:r w:rsidRPr="0034120D">
        <w:t>Gerassimidou, S., Dora, M. and Iacovidou, E. (2022) A tool for the selection of food waste management approaches for the hospitality and food service sector in the UK. </w:t>
      </w:r>
      <w:r w:rsidRPr="0034120D">
        <w:rPr>
          <w:i/>
          <w:iCs/>
        </w:rPr>
        <w:t>Resources</w:t>
      </w:r>
      <w:r w:rsidRPr="0034120D">
        <w:t>, </w:t>
      </w:r>
      <w:r w:rsidRPr="0034120D">
        <w:rPr>
          <w:i/>
          <w:iCs/>
        </w:rPr>
        <w:t>11</w:t>
      </w:r>
      <w:r w:rsidRPr="0034120D">
        <w:t>(10), p.80.</w:t>
      </w:r>
    </w:p>
    <w:p w14:paraId="7DBE90D4" w14:textId="77777777" w:rsidR="00691D5E" w:rsidRPr="0034120D" w:rsidRDefault="00691D5E" w:rsidP="00AC57AE">
      <w:r w:rsidRPr="0034120D">
        <w:t>Hashmi, G. (2024) Lancaster London Hotel: Glamour and sustainability: thriving on a strong sustainability culture as a pioneer in hospitality. In </w:t>
      </w:r>
      <w:r w:rsidRPr="0034120D">
        <w:rPr>
          <w:i/>
          <w:iCs/>
        </w:rPr>
        <w:t>Award-winning Case Studies 2015</w:t>
      </w:r>
      <w:r w:rsidRPr="0034120D">
        <w:t> (pp. 41-101). Routledge.</w:t>
      </w:r>
    </w:p>
    <w:p w14:paraId="12C71260" w14:textId="77777777" w:rsidR="00691D5E" w:rsidRPr="0034120D" w:rsidRDefault="00691D5E" w:rsidP="00AC57AE">
      <w:r w:rsidRPr="0034120D">
        <w:t xml:space="preserve">Kaman, G.S., Bozkurt, I., Bölükbaş, R., Özhasar, Y., Demi̇rci̇, B. and Yazicioğlu, İ. (2024) The strategy for food waste in restaurants: A systematic literature review. </w:t>
      </w:r>
      <w:r w:rsidRPr="0034120D">
        <w:rPr>
          <w:i/>
          <w:iCs/>
        </w:rPr>
        <w:t>Trends in Food Science &amp; Technology</w:t>
      </w:r>
      <w:r w:rsidRPr="0034120D">
        <w:t>, </w:t>
      </w:r>
      <w:r w:rsidRPr="0034120D">
        <w:rPr>
          <w:i/>
          <w:iCs/>
        </w:rPr>
        <w:t>151</w:t>
      </w:r>
      <w:r w:rsidRPr="0034120D">
        <w:t>, p.104625.</w:t>
      </w:r>
    </w:p>
    <w:p w14:paraId="7A189C00" w14:textId="77777777" w:rsidR="00691D5E" w:rsidRPr="0034120D" w:rsidRDefault="00691D5E" w:rsidP="00C77984">
      <w:pPr>
        <w:rPr>
          <w:rFonts w:cs="Times New Roman"/>
          <w:szCs w:val="24"/>
        </w:rPr>
      </w:pPr>
      <w:r w:rsidRPr="0034120D">
        <w:rPr>
          <w:rFonts w:cs="Times New Roman"/>
          <w:szCs w:val="24"/>
        </w:rPr>
        <w:t>Kholijah, S. (2024) Analysis of economic and environmental benefits of green business practices in the hospitality and tourism sector. </w:t>
      </w:r>
      <w:r w:rsidRPr="0034120D">
        <w:rPr>
          <w:rFonts w:cs="Times New Roman"/>
          <w:i/>
          <w:iCs/>
          <w:szCs w:val="24"/>
        </w:rPr>
        <w:t>Involvement International Journal of Business</w:t>
      </w:r>
      <w:r w:rsidRPr="0034120D">
        <w:rPr>
          <w:rFonts w:cs="Times New Roman"/>
          <w:szCs w:val="24"/>
        </w:rPr>
        <w:t>, </w:t>
      </w:r>
      <w:r w:rsidRPr="0034120D">
        <w:rPr>
          <w:rFonts w:cs="Times New Roman"/>
          <w:i/>
          <w:iCs/>
          <w:szCs w:val="24"/>
        </w:rPr>
        <w:t>1</w:t>
      </w:r>
      <w:r w:rsidRPr="0034120D">
        <w:rPr>
          <w:rFonts w:cs="Times New Roman"/>
          <w:szCs w:val="24"/>
        </w:rPr>
        <w:t>(1), pp.60-74.</w:t>
      </w:r>
    </w:p>
    <w:p w14:paraId="1D25B5DF" w14:textId="77777777" w:rsidR="00691D5E" w:rsidRPr="0034120D" w:rsidRDefault="00691D5E" w:rsidP="00C77984">
      <w:pPr>
        <w:rPr>
          <w:rFonts w:cs="Times New Roman"/>
          <w:szCs w:val="24"/>
        </w:rPr>
      </w:pPr>
      <w:r w:rsidRPr="0034120D">
        <w:rPr>
          <w:rFonts w:cs="Times New Roman"/>
          <w:szCs w:val="24"/>
        </w:rPr>
        <w:t xml:space="preserve">Legislation.gov.uk. (2022) </w:t>
      </w:r>
      <w:r w:rsidRPr="0034120D">
        <w:rPr>
          <w:rFonts w:cs="Times New Roman"/>
          <w:i/>
          <w:iCs/>
          <w:szCs w:val="24"/>
        </w:rPr>
        <w:t>The Landfill (England and Wales) Regulations 2002 (revoked)</w:t>
      </w:r>
      <w:r w:rsidRPr="0034120D">
        <w:rPr>
          <w:rFonts w:cs="Times New Roman"/>
          <w:szCs w:val="24"/>
        </w:rPr>
        <w:t xml:space="preserve">, </w:t>
      </w:r>
      <w:r w:rsidRPr="0034120D">
        <w:rPr>
          <w:rFonts w:cs="Times New Roman"/>
          <w:i/>
          <w:iCs/>
          <w:szCs w:val="24"/>
        </w:rPr>
        <w:t>Legislation.gov.uk</w:t>
      </w:r>
      <w:r w:rsidRPr="0034120D">
        <w:rPr>
          <w:rFonts w:cs="Times New Roman"/>
          <w:szCs w:val="24"/>
        </w:rPr>
        <w:t xml:space="preserve">. Available at: https://www.legislation.gov.uk/uksi/2002/1559/contents (Accessed: 16 October 2025). </w:t>
      </w:r>
    </w:p>
    <w:p w14:paraId="4ABEE7E1" w14:textId="77777777" w:rsidR="00691D5E" w:rsidRPr="0034120D" w:rsidRDefault="00691D5E" w:rsidP="00AC57AE">
      <w:r w:rsidRPr="0034120D">
        <w:t>Mill, R. (2012) Resorts Management and Operations (3</w:t>
      </w:r>
      <w:r w:rsidRPr="0034120D">
        <w:rPr>
          <w:vertAlign w:val="superscript"/>
        </w:rPr>
        <w:t>rd</w:t>
      </w:r>
      <w:r w:rsidRPr="0034120D">
        <w:t xml:space="preserve"> Ed), Wiley, London.</w:t>
      </w:r>
    </w:p>
    <w:p w14:paraId="18D2819A" w14:textId="77777777" w:rsidR="00691D5E" w:rsidRPr="0034120D" w:rsidRDefault="00691D5E" w:rsidP="00C77984">
      <w:pPr>
        <w:rPr>
          <w:rFonts w:cs="Times New Roman"/>
          <w:szCs w:val="24"/>
        </w:rPr>
      </w:pPr>
      <w:r w:rsidRPr="0034120D">
        <w:rPr>
          <w:rFonts w:cs="Times New Roman"/>
          <w:szCs w:val="24"/>
        </w:rPr>
        <w:t xml:space="preserve">Murphy, K. (2025) </w:t>
      </w:r>
      <w:r w:rsidRPr="0034120D">
        <w:rPr>
          <w:rFonts w:cs="Times New Roman"/>
          <w:i/>
          <w:iCs/>
          <w:szCs w:val="24"/>
        </w:rPr>
        <w:t>UK food and Drink Pact</w:t>
      </w:r>
      <w:r w:rsidRPr="0034120D">
        <w:rPr>
          <w:rFonts w:cs="Times New Roman"/>
          <w:szCs w:val="24"/>
        </w:rPr>
        <w:t xml:space="preserve">, </w:t>
      </w:r>
      <w:r w:rsidRPr="0034120D">
        <w:rPr>
          <w:rFonts w:cs="Times New Roman"/>
          <w:i/>
          <w:iCs/>
          <w:szCs w:val="24"/>
        </w:rPr>
        <w:t>WRAP</w:t>
      </w:r>
      <w:r w:rsidRPr="0034120D">
        <w:rPr>
          <w:rFonts w:cs="Times New Roman"/>
          <w:szCs w:val="24"/>
        </w:rPr>
        <w:t xml:space="preserve">. Available at: https://www.wrap.ngo/take-action/uk-food-drink-pact (Accessed: 16 October 2025). </w:t>
      </w:r>
    </w:p>
    <w:p w14:paraId="5EC2A2C5" w14:textId="77777777" w:rsidR="00691D5E" w:rsidRPr="0034120D" w:rsidRDefault="00691D5E" w:rsidP="00AC57AE">
      <w:r w:rsidRPr="0034120D">
        <w:t>Nand, A.A., Bhattacharya, A., Prajogo, D., Sohal, A. and de Vass, T. (2025) Understanding food waste in the hospitality industry: A social practice theory approach. </w:t>
      </w:r>
      <w:r w:rsidRPr="0034120D">
        <w:rPr>
          <w:i/>
          <w:iCs/>
        </w:rPr>
        <w:t>International Journal of Hospitality Management</w:t>
      </w:r>
      <w:r w:rsidRPr="0034120D">
        <w:t>, </w:t>
      </w:r>
      <w:r w:rsidRPr="0034120D">
        <w:rPr>
          <w:i/>
          <w:iCs/>
        </w:rPr>
        <w:t>130</w:t>
      </w:r>
      <w:r w:rsidRPr="0034120D">
        <w:t>, p.104232.</w:t>
      </w:r>
    </w:p>
    <w:p w14:paraId="6BEB57C0" w14:textId="77777777" w:rsidR="00691D5E" w:rsidRPr="0034120D" w:rsidRDefault="00691D5E" w:rsidP="00AC57AE">
      <w:r w:rsidRPr="0034120D">
        <w:t>Omar, I.A., Hasan, H.R., Jayaraman, R., Salah, K. and Omar, M. (2024) Using blockchain technology to achieve sustainability in the hospitality industry by reducing food waste. </w:t>
      </w:r>
      <w:r w:rsidRPr="0034120D">
        <w:rPr>
          <w:i/>
          <w:iCs/>
        </w:rPr>
        <w:t>Computers &amp; Industrial Engineering</w:t>
      </w:r>
      <w:r w:rsidRPr="0034120D">
        <w:t>, </w:t>
      </w:r>
      <w:r w:rsidRPr="0034120D">
        <w:rPr>
          <w:i/>
          <w:iCs/>
        </w:rPr>
        <w:t>197</w:t>
      </w:r>
      <w:r w:rsidRPr="0034120D">
        <w:t>, p.110586.</w:t>
      </w:r>
    </w:p>
    <w:p w14:paraId="3E924814" w14:textId="77777777" w:rsidR="00691D5E" w:rsidRPr="0034120D" w:rsidRDefault="00691D5E" w:rsidP="00AC57AE">
      <w:r w:rsidRPr="0034120D">
        <w:lastRenderedPageBreak/>
        <w:t>Patel, S., Dora, M., Hahladakis, J.N. and Iacovidou, E. (2021) Opportunities, challenges and trade-offs with decreasing avoidable food waste in the UK. </w:t>
      </w:r>
      <w:r w:rsidRPr="0034120D">
        <w:rPr>
          <w:i/>
          <w:iCs/>
        </w:rPr>
        <w:t>Waste Management &amp; Research</w:t>
      </w:r>
      <w:r w:rsidRPr="0034120D">
        <w:t>, </w:t>
      </w:r>
      <w:r w:rsidRPr="0034120D">
        <w:rPr>
          <w:i/>
          <w:iCs/>
        </w:rPr>
        <w:t>39</w:t>
      </w:r>
      <w:r w:rsidRPr="0034120D">
        <w:t>(3), pp.473-488.</w:t>
      </w:r>
    </w:p>
    <w:p w14:paraId="0CE3ED54" w14:textId="77777777" w:rsidR="00691D5E" w:rsidRPr="0034120D" w:rsidRDefault="00691D5E" w:rsidP="00AC57AE">
      <w:r w:rsidRPr="0034120D">
        <w:t>Pearson, N. (2024) Rethinking food waste: lessons from best practice. </w:t>
      </w:r>
      <w:r w:rsidRPr="0034120D">
        <w:rPr>
          <w:i/>
          <w:iCs/>
        </w:rPr>
        <w:t>Journal of Sustainable Tourism</w:t>
      </w:r>
      <w:r w:rsidRPr="0034120D">
        <w:t>, pp.1-22.</w:t>
      </w:r>
    </w:p>
    <w:p w14:paraId="1F145CA0" w14:textId="77777777" w:rsidR="00691D5E" w:rsidRPr="0034120D" w:rsidRDefault="00691D5E" w:rsidP="00C77984">
      <w:pPr>
        <w:rPr>
          <w:rFonts w:cs="Times New Roman"/>
          <w:szCs w:val="24"/>
        </w:rPr>
      </w:pPr>
      <w:r w:rsidRPr="0034120D">
        <w:rPr>
          <w:rFonts w:cs="Times New Roman"/>
          <w:szCs w:val="24"/>
        </w:rPr>
        <w:t>Pearson, N., Davies, I., Nuttall, P. and Yalabik, B. (2025) Influencing others to prevent hospitality food waste: The reception of food waste messages by hospitality employees. </w:t>
      </w:r>
      <w:r w:rsidRPr="0034120D">
        <w:rPr>
          <w:rFonts w:cs="Times New Roman"/>
          <w:i/>
          <w:iCs/>
          <w:szCs w:val="24"/>
        </w:rPr>
        <w:t>International Journal of Hospitality Management</w:t>
      </w:r>
      <w:r w:rsidRPr="0034120D">
        <w:rPr>
          <w:rFonts w:cs="Times New Roman"/>
          <w:szCs w:val="24"/>
        </w:rPr>
        <w:t>, </w:t>
      </w:r>
      <w:r w:rsidRPr="0034120D">
        <w:rPr>
          <w:rFonts w:cs="Times New Roman"/>
          <w:i/>
          <w:iCs/>
          <w:szCs w:val="24"/>
        </w:rPr>
        <w:t>126</w:t>
      </w:r>
      <w:r w:rsidRPr="0034120D">
        <w:rPr>
          <w:rFonts w:cs="Times New Roman"/>
          <w:szCs w:val="24"/>
        </w:rPr>
        <w:t>, p.104042.</w:t>
      </w:r>
    </w:p>
    <w:p w14:paraId="6B3226F0" w14:textId="77777777" w:rsidR="00691D5E" w:rsidRPr="0034120D" w:rsidRDefault="00691D5E" w:rsidP="00AC57AE">
      <w:r w:rsidRPr="0034120D">
        <w:t>Pearson, N., Davies, I., Nuttall, P. and Yalabik, B. (2025) Influencing others to prevent hospitality food waste: The reception of food waste messages by hospitality employees. </w:t>
      </w:r>
      <w:r w:rsidRPr="0034120D">
        <w:rPr>
          <w:i/>
          <w:iCs/>
        </w:rPr>
        <w:t>International Journal of Hospitality Management</w:t>
      </w:r>
      <w:r w:rsidRPr="0034120D">
        <w:t>, </w:t>
      </w:r>
      <w:r w:rsidRPr="0034120D">
        <w:rPr>
          <w:i/>
          <w:iCs/>
        </w:rPr>
        <w:t>126</w:t>
      </w:r>
      <w:r w:rsidRPr="0034120D">
        <w:t>, p.104042.</w:t>
      </w:r>
    </w:p>
    <w:p w14:paraId="7E0CA398" w14:textId="77777777" w:rsidR="00691D5E" w:rsidRPr="0034120D" w:rsidRDefault="00691D5E" w:rsidP="00C77984">
      <w:pPr>
        <w:rPr>
          <w:rFonts w:cs="Times New Roman"/>
          <w:szCs w:val="24"/>
        </w:rPr>
      </w:pPr>
      <w:r w:rsidRPr="0034120D">
        <w:rPr>
          <w:rFonts w:cs="Times New Roman"/>
          <w:szCs w:val="24"/>
        </w:rPr>
        <w:t>Rabbi, M.F. and Amin, M.B. (2024) Circular economy and sustainable practices in the food industry: A comprehensive bibliometric analysis. </w:t>
      </w:r>
      <w:r w:rsidRPr="0034120D">
        <w:rPr>
          <w:rFonts w:cs="Times New Roman"/>
          <w:i/>
          <w:iCs/>
          <w:szCs w:val="24"/>
        </w:rPr>
        <w:t>Cleaner and Responsible Consumption</w:t>
      </w:r>
      <w:r w:rsidRPr="0034120D">
        <w:rPr>
          <w:rFonts w:cs="Times New Roman"/>
          <w:szCs w:val="24"/>
        </w:rPr>
        <w:t>, </w:t>
      </w:r>
      <w:r w:rsidRPr="0034120D">
        <w:rPr>
          <w:rFonts w:cs="Times New Roman"/>
          <w:i/>
          <w:iCs/>
          <w:szCs w:val="24"/>
        </w:rPr>
        <w:t>14</w:t>
      </w:r>
      <w:r w:rsidRPr="0034120D">
        <w:rPr>
          <w:rFonts w:cs="Times New Roman"/>
          <w:szCs w:val="24"/>
        </w:rPr>
        <w:t>, p.100206.</w:t>
      </w:r>
    </w:p>
    <w:p w14:paraId="45ECF953" w14:textId="77777777" w:rsidR="00691D5E" w:rsidRPr="0034120D" w:rsidRDefault="00691D5E" w:rsidP="00C77984">
      <w:pPr>
        <w:rPr>
          <w:rFonts w:cs="Times New Roman"/>
          <w:szCs w:val="24"/>
        </w:rPr>
      </w:pPr>
      <w:r w:rsidRPr="0034120D">
        <w:rPr>
          <w:rFonts w:cs="Times New Roman"/>
          <w:szCs w:val="24"/>
        </w:rPr>
        <w:t xml:space="preserve">Razgaitis, R. (2024) </w:t>
      </w:r>
      <w:r w:rsidRPr="0034120D">
        <w:rPr>
          <w:rFonts w:cs="Times New Roman"/>
          <w:i/>
          <w:iCs/>
          <w:szCs w:val="24"/>
        </w:rPr>
        <w:t>Sustainability drives consumer choice for travelers</w:t>
      </w:r>
      <w:r w:rsidRPr="0034120D">
        <w:rPr>
          <w:rFonts w:cs="Times New Roman"/>
          <w:szCs w:val="24"/>
        </w:rPr>
        <w:t xml:space="preserve">, </w:t>
      </w:r>
      <w:r w:rsidRPr="0034120D">
        <w:rPr>
          <w:rFonts w:cs="Times New Roman"/>
          <w:i/>
          <w:iCs/>
          <w:szCs w:val="24"/>
        </w:rPr>
        <w:t>Forbes</w:t>
      </w:r>
      <w:r w:rsidRPr="0034120D">
        <w:rPr>
          <w:rFonts w:cs="Times New Roman"/>
          <w:szCs w:val="24"/>
        </w:rPr>
        <w:t xml:space="preserve">. Available at: https://www.forbes.com/councils/forbesbusinesscouncil/2023/08/18/sustainability-drives-consumer-choice-for-travelers/ (Accessed: 16 October 2025). </w:t>
      </w:r>
    </w:p>
    <w:p w14:paraId="2F25CFC7" w14:textId="77777777" w:rsidR="00691D5E" w:rsidRPr="0034120D" w:rsidRDefault="00691D5E" w:rsidP="00C77984">
      <w:pPr>
        <w:rPr>
          <w:rFonts w:cs="Times New Roman"/>
          <w:szCs w:val="24"/>
        </w:rPr>
      </w:pPr>
      <w:r w:rsidRPr="0034120D">
        <w:rPr>
          <w:rFonts w:cs="Times New Roman"/>
          <w:szCs w:val="24"/>
        </w:rPr>
        <w:t xml:space="preserve">RecyclingInside. (2021) </w:t>
      </w:r>
      <w:r w:rsidRPr="0034120D">
        <w:rPr>
          <w:rFonts w:cs="Times New Roman"/>
          <w:i/>
          <w:iCs/>
          <w:szCs w:val="24"/>
        </w:rPr>
        <w:t>Raymond Blanc Hotel Closes Food Waste Loop with rocket composter investment</w:t>
      </w:r>
      <w:r w:rsidRPr="0034120D">
        <w:rPr>
          <w:rFonts w:cs="Times New Roman"/>
          <w:szCs w:val="24"/>
        </w:rPr>
        <w:t xml:space="preserve">, </w:t>
      </w:r>
      <w:r w:rsidRPr="0034120D">
        <w:rPr>
          <w:rFonts w:cs="Times New Roman"/>
          <w:i/>
          <w:iCs/>
          <w:szCs w:val="24"/>
        </w:rPr>
        <w:t>RecyclingInside</w:t>
      </w:r>
      <w:r w:rsidRPr="0034120D">
        <w:rPr>
          <w:rFonts w:cs="Times New Roman"/>
          <w:szCs w:val="24"/>
        </w:rPr>
        <w:t xml:space="preserve">. Available at: https://recyclinginside.com/food-waste-recycling/raymond-blanc-hotel-closes-food-waste-loop-with-rocket-composter-investment/#:~:text=Marketing%20Marketing-,Raymond%20Blanc%20Hotel%20Closes%20Food%20Waste%20Loop%20with%20Rocket%20Composter,Blanc%20Cookery%20and%20Gardening%20Schools. (Accessed: 16 October 2025). </w:t>
      </w:r>
    </w:p>
    <w:p w14:paraId="58A0CAFA" w14:textId="77777777" w:rsidR="00691D5E" w:rsidRPr="0034120D" w:rsidRDefault="00691D5E" w:rsidP="00AC57AE">
      <w:r w:rsidRPr="0034120D">
        <w:t>Ruiz Molina, M.E., Belda-Miquel, S., Hytti, A. and Gil-Saura, I. (2022) Addressing sustainable food management in hotels: proposing a framework and examining hotel groups. </w:t>
      </w:r>
      <w:r w:rsidRPr="0034120D">
        <w:rPr>
          <w:i/>
          <w:iCs/>
        </w:rPr>
        <w:t>British Food Journal</w:t>
      </w:r>
      <w:r w:rsidRPr="0034120D">
        <w:t>, </w:t>
      </w:r>
      <w:r w:rsidRPr="0034120D">
        <w:rPr>
          <w:i/>
          <w:iCs/>
        </w:rPr>
        <w:t>124</w:t>
      </w:r>
      <w:r w:rsidRPr="0034120D">
        <w:t>(2), pp.462-492.</w:t>
      </w:r>
    </w:p>
    <w:p w14:paraId="2B97AFD0" w14:textId="77777777" w:rsidR="00691D5E" w:rsidRPr="0034120D" w:rsidRDefault="00691D5E" w:rsidP="00AC57AE">
      <w:r w:rsidRPr="0034120D">
        <w:t>Sarangi, P.K., Pal, P., Singh, A.K., Sahoo, U.K. and Prus, P. (2024) Food waste to food security: Transition from bioresources to sustainability. </w:t>
      </w:r>
      <w:r w:rsidRPr="0034120D">
        <w:rPr>
          <w:i/>
          <w:iCs/>
        </w:rPr>
        <w:t>Resources</w:t>
      </w:r>
      <w:r w:rsidRPr="0034120D">
        <w:t>, </w:t>
      </w:r>
      <w:r w:rsidRPr="0034120D">
        <w:rPr>
          <w:i/>
          <w:iCs/>
        </w:rPr>
        <w:t>13</w:t>
      </w:r>
      <w:r w:rsidRPr="0034120D">
        <w:t>(12), p.164.</w:t>
      </w:r>
    </w:p>
    <w:p w14:paraId="754093FA" w14:textId="77777777" w:rsidR="00691D5E" w:rsidRPr="0034120D" w:rsidRDefault="00691D5E" w:rsidP="00AC57AE">
      <w:r w:rsidRPr="0034120D">
        <w:lastRenderedPageBreak/>
        <w:t>Sarker, A., Ahmmed, R., Ahsan, S.M., Rana, J., Ghosh, M.K. and Nandi, R. (2024) A comprehensive review of food waste valorisation for the sustainable management of global food waste. </w:t>
      </w:r>
      <w:r w:rsidRPr="0034120D">
        <w:rPr>
          <w:i/>
          <w:iCs/>
        </w:rPr>
        <w:t>Sustainable Food Technology</w:t>
      </w:r>
      <w:r w:rsidRPr="0034120D">
        <w:t>, </w:t>
      </w:r>
      <w:r w:rsidRPr="0034120D">
        <w:rPr>
          <w:i/>
          <w:iCs/>
        </w:rPr>
        <w:t>2</w:t>
      </w:r>
      <w:r w:rsidRPr="0034120D">
        <w:t>(1), pp.48-69.</w:t>
      </w:r>
    </w:p>
    <w:p w14:paraId="4979E0B8" w14:textId="77777777" w:rsidR="00691D5E" w:rsidRPr="0034120D" w:rsidRDefault="00691D5E" w:rsidP="00C77984">
      <w:pPr>
        <w:rPr>
          <w:rFonts w:cs="Times New Roman"/>
          <w:szCs w:val="24"/>
        </w:rPr>
      </w:pPr>
      <w:r w:rsidRPr="0034120D">
        <w:rPr>
          <w:rFonts w:cs="Times New Roman"/>
          <w:szCs w:val="24"/>
        </w:rPr>
        <w:t>Sigala, E.G., Gerwin, P., Chroni, C., Abeliotis, K., Strotmann, C. and Lasaridi, K. (2025) Reducing food waste in the HORECA sector using AI-based waste-tracking devices. </w:t>
      </w:r>
      <w:r w:rsidRPr="0034120D">
        <w:rPr>
          <w:rFonts w:cs="Times New Roman"/>
          <w:i/>
          <w:iCs/>
          <w:szCs w:val="24"/>
        </w:rPr>
        <w:t>Waste Management</w:t>
      </w:r>
      <w:r w:rsidRPr="0034120D">
        <w:rPr>
          <w:rFonts w:cs="Times New Roman"/>
          <w:szCs w:val="24"/>
        </w:rPr>
        <w:t>, </w:t>
      </w:r>
      <w:r w:rsidRPr="0034120D">
        <w:rPr>
          <w:rFonts w:cs="Times New Roman"/>
          <w:i/>
          <w:iCs/>
          <w:szCs w:val="24"/>
        </w:rPr>
        <w:t>198</w:t>
      </w:r>
      <w:r w:rsidRPr="0034120D">
        <w:rPr>
          <w:rFonts w:cs="Times New Roman"/>
          <w:szCs w:val="24"/>
        </w:rPr>
        <w:t>, pp.77-86.</w:t>
      </w:r>
    </w:p>
    <w:p w14:paraId="63AED945" w14:textId="77777777" w:rsidR="00691D5E" w:rsidRPr="0034120D" w:rsidRDefault="00691D5E" w:rsidP="00AC57AE">
      <w:r w:rsidRPr="0034120D">
        <w:t>Singh, A., Tyagi, P.K. and Garg, A. eds. (2024) </w:t>
      </w:r>
      <w:r w:rsidRPr="0034120D">
        <w:rPr>
          <w:i/>
          <w:iCs/>
        </w:rPr>
        <w:t>Sustainable disposal methods of food waste in hospitality operations</w:t>
      </w:r>
      <w:r w:rsidRPr="0034120D">
        <w:t>. IGI Global.</w:t>
      </w:r>
    </w:p>
    <w:p w14:paraId="45D21185" w14:textId="77777777" w:rsidR="00691D5E" w:rsidRPr="0034120D" w:rsidRDefault="00691D5E" w:rsidP="00AC57AE">
      <w:r w:rsidRPr="0034120D">
        <w:t>Singh, B. and Kaunert, C. (2024) Salvaging responsible consumption and production of food in the hospitality industry: harnessing machine learning and deep learning for zero food waste. In </w:t>
      </w:r>
      <w:r w:rsidRPr="0034120D">
        <w:rPr>
          <w:i/>
          <w:iCs/>
        </w:rPr>
        <w:t>Sustainable Disposal Methods of Food Wastes in Hospitality Operations</w:t>
      </w:r>
      <w:r w:rsidRPr="0034120D">
        <w:t> (pp. 176-192). IGI Global Scientific Publishing.</w:t>
      </w:r>
    </w:p>
    <w:p w14:paraId="26F6F2E9" w14:textId="77777777" w:rsidR="00691D5E" w:rsidRPr="0034120D" w:rsidRDefault="00691D5E" w:rsidP="00AC57AE">
      <w:r w:rsidRPr="0034120D">
        <w:t>Talukder, M.B., Kumar, S. and Das, I.R. (2024) Food wastage on the economic outcome: Evidence from the hotel industry. In </w:t>
      </w:r>
      <w:r w:rsidRPr="0034120D">
        <w:rPr>
          <w:i/>
          <w:iCs/>
        </w:rPr>
        <w:t>Sustainable disposal methods of food wastes in hospitality operations</w:t>
      </w:r>
      <w:r w:rsidRPr="0034120D">
        <w:t> (pp. 68-80). IGI Global Scientific Publishing.</w:t>
      </w:r>
    </w:p>
    <w:p w14:paraId="6AD19515" w14:textId="77777777" w:rsidR="00691D5E" w:rsidRPr="0034120D" w:rsidRDefault="00691D5E" w:rsidP="00C77984">
      <w:pPr>
        <w:rPr>
          <w:rFonts w:cs="Times New Roman"/>
          <w:szCs w:val="24"/>
        </w:rPr>
      </w:pPr>
      <w:r w:rsidRPr="0034120D">
        <w:rPr>
          <w:rFonts w:cs="Times New Roman"/>
          <w:szCs w:val="24"/>
        </w:rPr>
        <w:t>Taner, O.O. (2024) Sustainable food and agriculture production: Reducing food waste through technological advancements and assessing its economic impact. </w:t>
      </w:r>
      <w:r w:rsidRPr="0034120D">
        <w:rPr>
          <w:rFonts w:cs="Times New Roman"/>
          <w:i/>
          <w:iCs/>
          <w:szCs w:val="24"/>
        </w:rPr>
        <w:t>Research on World Agricultural Economy</w:t>
      </w:r>
      <w:r w:rsidRPr="0034120D">
        <w:rPr>
          <w:rFonts w:cs="Times New Roman"/>
          <w:szCs w:val="24"/>
        </w:rPr>
        <w:t>, </w:t>
      </w:r>
      <w:r w:rsidRPr="0034120D">
        <w:rPr>
          <w:rFonts w:cs="Times New Roman"/>
          <w:i/>
          <w:iCs/>
          <w:szCs w:val="24"/>
        </w:rPr>
        <w:t>5</w:t>
      </w:r>
      <w:r w:rsidRPr="0034120D">
        <w:rPr>
          <w:rFonts w:cs="Times New Roman"/>
          <w:szCs w:val="24"/>
        </w:rPr>
        <w:t>(3).</w:t>
      </w:r>
    </w:p>
    <w:p w14:paraId="05512890" w14:textId="77777777" w:rsidR="00691D5E" w:rsidRPr="0034120D" w:rsidRDefault="00691D5E" w:rsidP="00AC57AE">
      <w:r w:rsidRPr="0034120D">
        <w:t xml:space="preserve">Urugo, M.M., Teka, T.A., Gemede, H.F., Mersha, S., Tessema, A., Woldemariam, H.W. and Admassu, H. (2024) </w:t>
      </w:r>
      <w:r w:rsidRPr="0034120D">
        <w:rPr>
          <w:i/>
          <w:iCs/>
        </w:rPr>
        <w:t>A comprehensive review of current approaches on food waste reduction strategies.</w:t>
      </w:r>
      <w:r w:rsidRPr="0034120D">
        <w:rPr>
          <w:b/>
          <w:bCs/>
        </w:rPr>
        <w:t xml:space="preserve"> </w:t>
      </w:r>
      <w:r w:rsidRPr="0034120D">
        <w:t xml:space="preserve">Available at: </w:t>
      </w:r>
      <w:hyperlink r:id="rId11" w:history="1">
        <w:r w:rsidRPr="0034120D">
          <w:rPr>
            <w:rStyle w:val="Hyperlink"/>
            <w:color w:val="000000" w:themeColor="text1"/>
          </w:rPr>
          <w:t>https://ift.onlinelibrary.wiley.com/doi/10.1111/1541-4337.70011</w:t>
        </w:r>
      </w:hyperlink>
      <w:r w:rsidRPr="0034120D">
        <w:t xml:space="preserve"> [Accessed on: 10 October 2025].</w:t>
      </w:r>
    </w:p>
    <w:p w14:paraId="158DDF60" w14:textId="77777777" w:rsidR="00691D5E" w:rsidRPr="0034120D" w:rsidRDefault="00691D5E" w:rsidP="00021E6B">
      <w:pPr>
        <w:rPr>
          <w:rFonts w:eastAsiaTheme="majorEastAsia" w:cstheme="majorBidi"/>
          <w:b/>
          <w:szCs w:val="32"/>
        </w:rPr>
      </w:pPr>
      <w:r w:rsidRPr="0034120D">
        <w:t>Walliman, N. (2021) </w:t>
      </w:r>
      <w:r w:rsidRPr="0034120D">
        <w:rPr>
          <w:i/>
          <w:iCs/>
        </w:rPr>
        <w:t>Research methods: The basics</w:t>
      </w:r>
      <w:r w:rsidRPr="0034120D">
        <w:t>. Routledge.</w:t>
      </w:r>
    </w:p>
    <w:p w14:paraId="7EBF2F27" w14:textId="77777777" w:rsidR="00691D5E" w:rsidRPr="0034120D" w:rsidRDefault="00691D5E" w:rsidP="00C77984">
      <w:pPr>
        <w:rPr>
          <w:rFonts w:cs="Times New Roman"/>
          <w:szCs w:val="24"/>
        </w:rPr>
      </w:pPr>
      <w:r w:rsidRPr="0034120D">
        <w:rPr>
          <w:rFonts w:cs="Times New Roman"/>
          <w:szCs w:val="24"/>
        </w:rPr>
        <w:t xml:space="preserve">WasteManaged. (2025) </w:t>
      </w:r>
      <w:r w:rsidRPr="0034120D">
        <w:rPr>
          <w:rFonts w:cs="Times New Roman"/>
          <w:i/>
          <w:iCs/>
          <w:szCs w:val="24"/>
        </w:rPr>
        <w:t>How food waste affects the UK economy</w:t>
      </w:r>
      <w:r w:rsidRPr="0034120D">
        <w:rPr>
          <w:rFonts w:cs="Times New Roman"/>
          <w:szCs w:val="24"/>
        </w:rPr>
        <w:t xml:space="preserve">. Available at: https://www.wastemanaged.co.uk/our-news/food-waste/how-food-waste-effects-the-uk-economy/ (Accessed: 15 October 2025). </w:t>
      </w:r>
    </w:p>
    <w:sectPr w:rsidR="00691D5E" w:rsidRPr="0034120D" w:rsidSect="0093315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27AB9" w14:textId="77777777" w:rsidR="00903D42" w:rsidRDefault="00903D42">
      <w:pPr>
        <w:spacing w:after="0" w:line="240" w:lineRule="auto"/>
      </w:pPr>
      <w:r>
        <w:separator/>
      </w:r>
    </w:p>
  </w:endnote>
  <w:endnote w:type="continuationSeparator" w:id="0">
    <w:p w14:paraId="6D7E1782" w14:textId="77777777" w:rsidR="00903D42" w:rsidRDefault="00903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700121"/>
      <w:docPartObj>
        <w:docPartGallery w:val="Page Numbers (Bottom of Page)"/>
        <w:docPartUnique/>
      </w:docPartObj>
    </w:sdtPr>
    <w:sdtEndPr>
      <w:rPr>
        <w:color w:val="7F7F7F" w:themeColor="background1" w:themeShade="7F"/>
        <w:spacing w:val="60"/>
      </w:rPr>
    </w:sdtEndPr>
    <w:sdtContent>
      <w:p w14:paraId="104E364F" w14:textId="70944BEB" w:rsidR="008804F5" w:rsidRDefault="00691D5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1CD50E3" w14:textId="77777777" w:rsidR="008804F5" w:rsidRDefault="00880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93D15" w14:textId="77777777" w:rsidR="00903D42" w:rsidRDefault="00903D42">
      <w:pPr>
        <w:spacing w:after="0" w:line="240" w:lineRule="auto"/>
      </w:pPr>
      <w:r>
        <w:separator/>
      </w:r>
    </w:p>
  </w:footnote>
  <w:footnote w:type="continuationSeparator" w:id="0">
    <w:p w14:paraId="729E46B9" w14:textId="77777777" w:rsidR="00903D42" w:rsidRDefault="00903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195"/>
    <w:multiLevelType w:val="hybridMultilevel"/>
    <w:tmpl w:val="AA1A2124"/>
    <w:lvl w:ilvl="0" w:tplc="51BC1984">
      <w:start w:val="1"/>
      <w:numFmt w:val="bullet"/>
      <w:lvlText w:val=""/>
      <w:lvlJc w:val="left"/>
      <w:pPr>
        <w:ind w:left="720" w:hanging="360"/>
      </w:pPr>
      <w:rPr>
        <w:rFonts w:ascii="Symbol" w:hAnsi="Symbol" w:hint="default"/>
      </w:rPr>
    </w:lvl>
    <w:lvl w:ilvl="1" w:tplc="27F66E68" w:tentative="1">
      <w:start w:val="1"/>
      <w:numFmt w:val="bullet"/>
      <w:lvlText w:val="o"/>
      <w:lvlJc w:val="left"/>
      <w:pPr>
        <w:ind w:left="1440" w:hanging="360"/>
      </w:pPr>
      <w:rPr>
        <w:rFonts w:ascii="Courier New" w:hAnsi="Courier New" w:cs="Courier New" w:hint="default"/>
      </w:rPr>
    </w:lvl>
    <w:lvl w:ilvl="2" w:tplc="2CFABBD2" w:tentative="1">
      <w:start w:val="1"/>
      <w:numFmt w:val="bullet"/>
      <w:lvlText w:val=""/>
      <w:lvlJc w:val="left"/>
      <w:pPr>
        <w:ind w:left="2160" w:hanging="360"/>
      </w:pPr>
      <w:rPr>
        <w:rFonts w:ascii="Wingdings" w:hAnsi="Wingdings" w:hint="default"/>
      </w:rPr>
    </w:lvl>
    <w:lvl w:ilvl="3" w:tplc="1996D00C" w:tentative="1">
      <w:start w:val="1"/>
      <w:numFmt w:val="bullet"/>
      <w:lvlText w:val=""/>
      <w:lvlJc w:val="left"/>
      <w:pPr>
        <w:ind w:left="2880" w:hanging="360"/>
      </w:pPr>
      <w:rPr>
        <w:rFonts w:ascii="Symbol" w:hAnsi="Symbol" w:hint="default"/>
      </w:rPr>
    </w:lvl>
    <w:lvl w:ilvl="4" w:tplc="FA6A4244" w:tentative="1">
      <w:start w:val="1"/>
      <w:numFmt w:val="bullet"/>
      <w:lvlText w:val="o"/>
      <w:lvlJc w:val="left"/>
      <w:pPr>
        <w:ind w:left="3600" w:hanging="360"/>
      </w:pPr>
      <w:rPr>
        <w:rFonts w:ascii="Courier New" w:hAnsi="Courier New" w:cs="Courier New" w:hint="default"/>
      </w:rPr>
    </w:lvl>
    <w:lvl w:ilvl="5" w:tplc="8132EEA0" w:tentative="1">
      <w:start w:val="1"/>
      <w:numFmt w:val="bullet"/>
      <w:lvlText w:val=""/>
      <w:lvlJc w:val="left"/>
      <w:pPr>
        <w:ind w:left="4320" w:hanging="360"/>
      </w:pPr>
      <w:rPr>
        <w:rFonts w:ascii="Wingdings" w:hAnsi="Wingdings" w:hint="default"/>
      </w:rPr>
    </w:lvl>
    <w:lvl w:ilvl="6" w:tplc="F5B494AC" w:tentative="1">
      <w:start w:val="1"/>
      <w:numFmt w:val="bullet"/>
      <w:lvlText w:val=""/>
      <w:lvlJc w:val="left"/>
      <w:pPr>
        <w:ind w:left="5040" w:hanging="360"/>
      </w:pPr>
      <w:rPr>
        <w:rFonts w:ascii="Symbol" w:hAnsi="Symbol" w:hint="default"/>
      </w:rPr>
    </w:lvl>
    <w:lvl w:ilvl="7" w:tplc="11D8C906" w:tentative="1">
      <w:start w:val="1"/>
      <w:numFmt w:val="bullet"/>
      <w:lvlText w:val="o"/>
      <w:lvlJc w:val="left"/>
      <w:pPr>
        <w:ind w:left="5760" w:hanging="360"/>
      </w:pPr>
      <w:rPr>
        <w:rFonts w:ascii="Courier New" w:hAnsi="Courier New" w:cs="Courier New" w:hint="default"/>
      </w:rPr>
    </w:lvl>
    <w:lvl w:ilvl="8" w:tplc="9D648F88" w:tentative="1">
      <w:start w:val="1"/>
      <w:numFmt w:val="bullet"/>
      <w:lvlText w:val=""/>
      <w:lvlJc w:val="left"/>
      <w:pPr>
        <w:ind w:left="6480" w:hanging="360"/>
      </w:pPr>
      <w:rPr>
        <w:rFonts w:ascii="Wingdings" w:hAnsi="Wingdings" w:hint="default"/>
      </w:rPr>
    </w:lvl>
  </w:abstractNum>
  <w:abstractNum w:abstractNumId="1" w15:restartNumberingAfterBreak="0">
    <w:nsid w:val="097B74EA"/>
    <w:multiLevelType w:val="hybridMultilevel"/>
    <w:tmpl w:val="2DBE5892"/>
    <w:lvl w:ilvl="0" w:tplc="7ADE274E">
      <w:start w:val="1"/>
      <w:numFmt w:val="bullet"/>
      <w:lvlText w:val=""/>
      <w:lvlJc w:val="left"/>
      <w:pPr>
        <w:ind w:left="720" w:hanging="360"/>
      </w:pPr>
      <w:rPr>
        <w:rFonts w:ascii="Symbol" w:hAnsi="Symbol" w:hint="default"/>
      </w:rPr>
    </w:lvl>
    <w:lvl w:ilvl="1" w:tplc="4D58BF3A" w:tentative="1">
      <w:start w:val="1"/>
      <w:numFmt w:val="bullet"/>
      <w:lvlText w:val="o"/>
      <w:lvlJc w:val="left"/>
      <w:pPr>
        <w:ind w:left="1440" w:hanging="360"/>
      </w:pPr>
      <w:rPr>
        <w:rFonts w:ascii="Courier New" w:hAnsi="Courier New" w:cs="Courier New" w:hint="default"/>
      </w:rPr>
    </w:lvl>
    <w:lvl w:ilvl="2" w:tplc="A1D4B89A" w:tentative="1">
      <w:start w:val="1"/>
      <w:numFmt w:val="bullet"/>
      <w:lvlText w:val=""/>
      <w:lvlJc w:val="left"/>
      <w:pPr>
        <w:ind w:left="2160" w:hanging="360"/>
      </w:pPr>
      <w:rPr>
        <w:rFonts w:ascii="Wingdings" w:hAnsi="Wingdings" w:hint="default"/>
      </w:rPr>
    </w:lvl>
    <w:lvl w:ilvl="3" w:tplc="64C448F0" w:tentative="1">
      <w:start w:val="1"/>
      <w:numFmt w:val="bullet"/>
      <w:lvlText w:val=""/>
      <w:lvlJc w:val="left"/>
      <w:pPr>
        <w:ind w:left="2880" w:hanging="360"/>
      </w:pPr>
      <w:rPr>
        <w:rFonts w:ascii="Symbol" w:hAnsi="Symbol" w:hint="default"/>
      </w:rPr>
    </w:lvl>
    <w:lvl w:ilvl="4" w:tplc="82488286" w:tentative="1">
      <w:start w:val="1"/>
      <w:numFmt w:val="bullet"/>
      <w:lvlText w:val="o"/>
      <w:lvlJc w:val="left"/>
      <w:pPr>
        <w:ind w:left="3600" w:hanging="360"/>
      </w:pPr>
      <w:rPr>
        <w:rFonts w:ascii="Courier New" w:hAnsi="Courier New" w:cs="Courier New" w:hint="default"/>
      </w:rPr>
    </w:lvl>
    <w:lvl w:ilvl="5" w:tplc="C66007E6" w:tentative="1">
      <w:start w:val="1"/>
      <w:numFmt w:val="bullet"/>
      <w:lvlText w:val=""/>
      <w:lvlJc w:val="left"/>
      <w:pPr>
        <w:ind w:left="4320" w:hanging="360"/>
      </w:pPr>
      <w:rPr>
        <w:rFonts w:ascii="Wingdings" w:hAnsi="Wingdings" w:hint="default"/>
      </w:rPr>
    </w:lvl>
    <w:lvl w:ilvl="6" w:tplc="7C3CB080" w:tentative="1">
      <w:start w:val="1"/>
      <w:numFmt w:val="bullet"/>
      <w:lvlText w:val=""/>
      <w:lvlJc w:val="left"/>
      <w:pPr>
        <w:ind w:left="5040" w:hanging="360"/>
      </w:pPr>
      <w:rPr>
        <w:rFonts w:ascii="Symbol" w:hAnsi="Symbol" w:hint="default"/>
      </w:rPr>
    </w:lvl>
    <w:lvl w:ilvl="7" w:tplc="CEFAFCDA" w:tentative="1">
      <w:start w:val="1"/>
      <w:numFmt w:val="bullet"/>
      <w:lvlText w:val="o"/>
      <w:lvlJc w:val="left"/>
      <w:pPr>
        <w:ind w:left="5760" w:hanging="360"/>
      </w:pPr>
      <w:rPr>
        <w:rFonts w:ascii="Courier New" w:hAnsi="Courier New" w:cs="Courier New" w:hint="default"/>
      </w:rPr>
    </w:lvl>
    <w:lvl w:ilvl="8" w:tplc="BA562004" w:tentative="1">
      <w:start w:val="1"/>
      <w:numFmt w:val="bullet"/>
      <w:lvlText w:val=""/>
      <w:lvlJc w:val="left"/>
      <w:pPr>
        <w:ind w:left="6480" w:hanging="360"/>
      </w:pPr>
      <w:rPr>
        <w:rFonts w:ascii="Wingdings" w:hAnsi="Wingdings" w:hint="default"/>
      </w:rPr>
    </w:lvl>
  </w:abstractNum>
  <w:abstractNum w:abstractNumId="2" w15:restartNumberingAfterBreak="0">
    <w:nsid w:val="0F5F71E3"/>
    <w:multiLevelType w:val="hybridMultilevel"/>
    <w:tmpl w:val="C28C02C0"/>
    <w:lvl w:ilvl="0" w:tplc="039CDEF6">
      <w:start w:val="1"/>
      <w:numFmt w:val="decimal"/>
      <w:lvlText w:val="%1."/>
      <w:lvlJc w:val="left"/>
      <w:pPr>
        <w:ind w:left="720" w:hanging="360"/>
      </w:pPr>
    </w:lvl>
    <w:lvl w:ilvl="1" w:tplc="00E6CB88" w:tentative="1">
      <w:start w:val="1"/>
      <w:numFmt w:val="lowerLetter"/>
      <w:lvlText w:val="%2."/>
      <w:lvlJc w:val="left"/>
      <w:pPr>
        <w:ind w:left="1440" w:hanging="360"/>
      </w:pPr>
    </w:lvl>
    <w:lvl w:ilvl="2" w:tplc="AD40EFA4" w:tentative="1">
      <w:start w:val="1"/>
      <w:numFmt w:val="lowerRoman"/>
      <w:lvlText w:val="%3."/>
      <w:lvlJc w:val="right"/>
      <w:pPr>
        <w:ind w:left="2160" w:hanging="180"/>
      </w:pPr>
    </w:lvl>
    <w:lvl w:ilvl="3" w:tplc="08B0B744" w:tentative="1">
      <w:start w:val="1"/>
      <w:numFmt w:val="decimal"/>
      <w:lvlText w:val="%4."/>
      <w:lvlJc w:val="left"/>
      <w:pPr>
        <w:ind w:left="2880" w:hanging="360"/>
      </w:pPr>
    </w:lvl>
    <w:lvl w:ilvl="4" w:tplc="637E3784" w:tentative="1">
      <w:start w:val="1"/>
      <w:numFmt w:val="lowerLetter"/>
      <w:lvlText w:val="%5."/>
      <w:lvlJc w:val="left"/>
      <w:pPr>
        <w:ind w:left="3600" w:hanging="360"/>
      </w:pPr>
    </w:lvl>
    <w:lvl w:ilvl="5" w:tplc="235A92BC" w:tentative="1">
      <w:start w:val="1"/>
      <w:numFmt w:val="lowerRoman"/>
      <w:lvlText w:val="%6."/>
      <w:lvlJc w:val="right"/>
      <w:pPr>
        <w:ind w:left="4320" w:hanging="180"/>
      </w:pPr>
    </w:lvl>
    <w:lvl w:ilvl="6" w:tplc="CE74DCD4" w:tentative="1">
      <w:start w:val="1"/>
      <w:numFmt w:val="decimal"/>
      <w:lvlText w:val="%7."/>
      <w:lvlJc w:val="left"/>
      <w:pPr>
        <w:ind w:left="5040" w:hanging="360"/>
      </w:pPr>
    </w:lvl>
    <w:lvl w:ilvl="7" w:tplc="365CB9A4" w:tentative="1">
      <w:start w:val="1"/>
      <w:numFmt w:val="lowerLetter"/>
      <w:lvlText w:val="%8."/>
      <w:lvlJc w:val="left"/>
      <w:pPr>
        <w:ind w:left="5760" w:hanging="360"/>
      </w:pPr>
    </w:lvl>
    <w:lvl w:ilvl="8" w:tplc="3EC459C0" w:tentative="1">
      <w:start w:val="1"/>
      <w:numFmt w:val="lowerRoman"/>
      <w:lvlText w:val="%9."/>
      <w:lvlJc w:val="right"/>
      <w:pPr>
        <w:ind w:left="6480" w:hanging="180"/>
      </w:pPr>
    </w:lvl>
  </w:abstractNum>
  <w:abstractNum w:abstractNumId="3" w15:restartNumberingAfterBreak="0">
    <w:nsid w:val="0F6727AA"/>
    <w:multiLevelType w:val="hybridMultilevel"/>
    <w:tmpl w:val="D700D32E"/>
    <w:lvl w:ilvl="0" w:tplc="A7445C92">
      <w:start w:val="1"/>
      <w:numFmt w:val="bullet"/>
      <w:lvlText w:val=""/>
      <w:lvlJc w:val="left"/>
      <w:pPr>
        <w:ind w:left="720" w:hanging="360"/>
      </w:pPr>
      <w:rPr>
        <w:rFonts w:ascii="Symbol" w:hAnsi="Symbol" w:hint="default"/>
      </w:rPr>
    </w:lvl>
    <w:lvl w:ilvl="1" w:tplc="D6121792" w:tentative="1">
      <w:start w:val="1"/>
      <w:numFmt w:val="bullet"/>
      <w:lvlText w:val="o"/>
      <w:lvlJc w:val="left"/>
      <w:pPr>
        <w:ind w:left="1440" w:hanging="360"/>
      </w:pPr>
      <w:rPr>
        <w:rFonts w:ascii="Courier New" w:hAnsi="Courier New" w:cs="Courier New" w:hint="default"/>
      </w:rPr>
    </w:lvl>
    <w:lvl w:ilvl="2" w:tplc="AC3879BC" w:tentative="1">
      <w:start w:val="1"/>
      <w:numFmt w:val="bullet"/>
      <w:lvlText w:val=""/>
      <w:lvlJc w:val="left"/>
      <w:pPr>
        <w:ind w:left="2160" w:hanging="360"/>
      </w:pPr>
      <w:rPr>
        <w:rFonts w:ascii="Wingdings" w:hAnsi="Wingdings" w:hint="default"/>
      </w:rPr>
    </w:lvl>
    <w:lvl w:ilvl="3" w:tplc="AA40FE8C" w:tentative="1">
      <w:start w:val="1"/>
      <w:numFmt w:val="bullet"/>
      <w:lvlText w:val=""/>
      <w:lvlJc w:val="left"/>
      <w:pPr>
        <w:ind w:left="2880" w:hanging="360"/>
      </w:pPr>
      <w:rPr>
        <w:rFonts w:ascii="Symbol" w:hAnsi="Symbol" w:hint="default"/>
      </w:rPr>
    </w:lvl>
    <w:lvl w:ilvl="4" w:tplc="E4BEDD68" w:tentative="1">
      <w:start w:val="1"/>
      <w:numFmt w:val="bullet"/>
      <w:lvlText w:val="o"/>
      <w:lvlJc w:val="left"/>
      <w:pPr>
        <w:ind w:left="3600" w:hanging="360"/>
      </w:pPr>
      <w:rPr>
        <w:rFonts w:ascii="Courier New" w:hAnsi="Courier New" w:cs="Courier New" w:hint="default"/>
      </w:rPr>
    </w:lvl>
    <w:lvl w:ilvl="5" w:tplc="6CCC4052" w:tentative="1">
      <w:start w:val="1"/>
      <w:numFmt w:val="bullet"/>
      <w:lvlText w:val=""/>
      <w:lvlJc w:val="left"/>
      <w:pPr>
        <w:ind w:left="4320" w:hanging="360"/>
      </w:pPr>
      <w:rPr>
        <w:rFonts w:ascii="Wingdings" w:hAnsi="Wingdings" w:hint="default"/>
      </w:rPr>
    </w:lvl>
    <w:lvl w:ilvl="6" w:tplc="03D660DE" w:tentative="1">
      <w:start w:val="1"/>
      <w:numFmt w:val="bullet"/>
      <w:lvlText w:val=""/>
      <w:lvlJc w:val="left"/>
      <w:pPr>
        <w:ind w:left="5040" w:hanging="360"/>
      </w:pPr>
      <w:rPr>
        <w:rFonts w:ascii="Symbol" w:hAnsi="Symbol" w:hint="default"/>
      </w:rPr>
    </w:lvl>
    <w:lvl w:ilvl="7" w:tplc="A47832C2" w:tentative="1">
      <w:start w:val="1"/>
      <w:numFmt w:val="bullet"/>
      <w:lvlText w:val="o"/>
      <w:lvlJc w:val="left"/>
      <w:pPr>
        <w:ind w:left="5760" w:hanging="360"/>
      </w:pPr>
      <w:rPr>
        <w:rFonts w:ascii="Courier New" w:hAnsi="Courier New" w:cs="Courier New" w:hint="default"/>
      </w:rPr>
    </w:lvl>
    <w:lvl w:ilvl="8" w:tplc="B64623A4" w:tentative="1">
      <w:start w:val="1"/>
      <w:numFmt w:val="bullet"/>
      <w:lvlText w:val=""/>
      <w:lvlJc w:val="left"/>
      <w:pPr>
        <w:ind w:left="6480" w:hanging="360"/>
      </w:pPr>
      <w:rPr>
        <w:rFonts w:ascii="Wingdings" w:hAnsi="Wingdings" w:hint="default"/>
      </w:rPr>
    </w:lvl>
  </w:abstractNum>
  <w:abstractNum w:abstractNumId="4" w15:restartNumberingAfterBreak="0">
    <w:nsid w:val="166672F1"/>
    <w:multiLevelType w:val="hybridMultilevel"/>
    <w:tmpl w:val="CB44807E"/>
    <w:lvl w:ilvl="0" w:tplc="D0CCD0FA">
      <w:start w:val="1"/>
      <w:numFmt w:val="bullet"/>
      <w:lvlText w:val=""/>
      <w:lvlJc w:val="left"/>
      <w:pPr>
        <w:ind w:left="720" w:hanging="360"/>
      </w:pPr>
      <w:rPr>
        <w:rFonts w:ascii="Symbol" w:hAnsi="Symbol" w:hint="default"/>
      </w:rPr>
    </w:lvl>
    <w:lvl w:ilvl="1" w:tplc="C2F2605C" w:tentative="1">
      <w:start w:val="1"/>
      <w:numFmt w:val="bullet"/>
      <w:lvlText w:val="o"/>
      <w:lvlJc w:val="left"/>
      <w:pPr>
        <w:ind w:left="1440" w:hanging="360"/>
      </w:pPr>
      <w:rPr>
        <w:rFonts w:ascii="Courier New" w:hAnsi="Courier New" w:cs="Courier New" w:hint="default"/>
      </w:rPr>
    </w:lvl>
    <w:lvl w:ilvl="2" w:tplc="0DA00D7E" w:tentative="1">
      <w:start w:val="1"/>
      <w:numFmt w:val="bullet"/>
      <w:lvlText w:val=""/>
      <w:lvlJc w:val="left"/>
      <w:pPr>
        <w:ind w:left="2160" w:hanging="360"/>
      </w:pPr>
      <w:rPr>
        <w:rFonts w:ascii="Wingdings" w:hAnsi="Wingdings" w:hint="default"/>
      </w:rPr>
    </w:lvl>
    <w:lvl w:ilvl="3" w:tplc="E9B20CCE" w:tentative="1">
      <w:start w:val="1"/>
      <w:numFmt w:val="bullet"/>
      <w:lvlText w:val=""/>
      <w:lvlJc w:val="left"/>
      <w:pPr>
        <w:ind w:left="2880" w:hanging="360"/>
      </w:pPr>
      <w:rPr>
        <w:rFonts w:ascii="Symbol" w:hAnsi="Symbol" w:hint="default"/>
      </w:rPr>
    </w:lvl>
    <w:lvl w:ilvl="4" w:tplc="97E6E97E" w:tentative="1">
      <w:start w:val="1"/>
      <w:numFmt w:val="bullet"/>
      <w:lvlText w:val="o"/>
      <w:lvlJc w:val="left"/>
      <w:pPr>
        <w:ind w:left="3600" w:hanging="360"/>
      </w:pPr>
      <w:rPr>
        <w:rFonts w:ascii="Courier New" w:hAnsi="Courier New" w:cs="Courier New" w:hint="default"/>
      </w:rPr>
    </w:lvl>
    <w:lvl w:ilvl="5" w:tplc="4E4E9CAA" w:tentative="1">
      <w:start w:val="1"/>
      <w:numFmt w:val="bullet"/>
      <w:lvlText w:val=""/>
      <w:lvlJc w:val="left"/>
      <w:pPr>
        <w:ind w:left="4320" w:hanging="360"/>
      </w:pPr>
      <w:rPr>
        <w:rFonts w:ascii="Wingdings" w:hAnsi="Wingdings" w:hint="default"/>
      </w:rPr>
    </w:lvl>
    <w:lvl w:ilvl="6" w:tplc="98E404C2" w:tentative="1">
      <w:start w:val="1"/>
      <w:numFmt w:val="bullet"/>
      <w:lvlText w:val=""/>
      <w:lvlJc w:val="left"/>
      <w:pPr>
        <w:ind w:left="5040" w:hanging="360"/>
      </w:pPr>
      <w:rPr>
        <w:rFonts w:ascii="Symbol" w:hAnsi="Symbol" w:hint="default"/>
      </w:rPr>
    </w:lvl>
    <w:lvl w:ilvl="7" w:tplc="E996C1FC" w:tentative="1">
      <w:start w:val="1"/>
      <w:numFmt w:val="bullet"/>
      <w:lvlText w:val="o"/>
      <w:lvlJc w:val="left"/>
      <w:pPr>
        <w:ind w:left="5760" w:hanging="360"/>
      </w:pPr>
      <w:rPr>
        <w:rFonts w:ascii="Courier New" w:hAnsi="Courier New" w:cs="Courier New" w:hint="default"/>
      </w:rPr>
    </w:lvl>
    <w:lvl w:ilvl="8" w:tplc="7D7C6856" w:tentative="1">
      <w:start w:val="1"/>
      <w:numFmt w:val="bullet"/>
      <w:lvlText w:val=""/>
      <w:lvlJc w:val="left"/>
      <w:pPr>
        <w:ind w:left="6480" w:hanging="360"/>
      </w:pPr>
      <w:rPr>
        <w:rFonts w:ascii="Wingdings" w:hAnsi="Wingdings" w:hint="default"/>
      </w:rPr>
    </w:lvl>
  </w:abstractNum>
  <w:abstractNum w:abstractNumId="5" w15:restartNumberingAfterBreak="0">
    <w:nsid w:val="259B5CF0"/>
    <w:multiLevelType w:val="hybridMultilevel"/>
    <w:tmpl w:val="389AE5BA"/>
    <w:lvl w:ilvl="0" w:tplc="228A8328">
      <w:start w:val="1"/>
      <w:numFmt w:val="bullet"/>
      <w:lvlText w:val=""/>
      <w:lvlJc w:val="left"/>
      <w:pPr>
        <w:ind w:left="720" w:hanging="360"/>
      </w:pPr>
      <w:rPr>
        <w:rFonts w:ascii="Symbol" w:hAnsi="Symbol" w:hint="default"/>
      </w:rPr>
    </w:lvl>
    <w:lvl w:ilvl="1" w:tplc="1F6CEB3E" w:tentative="1">
      <w:start w:val="1"/>
      <w:numFmt w:val="bullet"/>
      <w:lvlText w:val="o"/>
      <w:lvlJc w:val="left"/>
      <w:pPr>
        <w:ind w:left="1440" w:hanging="360"/>
      </w:pPr>
      <w:rPr>
        <w:rFonts w:ascii="Courier New" w:hAnsi="Courier New" w:cs="Courier New" w:hint="default"/>
      </w:rPr>
    </w:lvl>
    <w:lvl w:ilvl="2" w:tplc="6A523720" w:tentative="1">
      <w:start w:val="1"/>
      <w:numFmt w:val="bullet"/>
      <w:lvlText w:val=""/>
      <w:lvlJc w:val="left"/>
      <w:pPr>
        <w:ind w:left="2160" w:hanging="360"/>
      </w:pPr>
      <w:rPr>
        <w:rFonts w:ascii="Wingdings" w:hAnsi="Wingdings" w:hint="default"/>
      </w:rPr>
    </w:lvl>
    <w:lvl w:ilvl="3" w:tplc="288281E2" w:tentative="1">
      <w:start w:val="1"/>
      <w:numFmt w:val="bullet"/>
      <w:lvlText w:val=""/>
      <w:lvlJc w:val="left"/>
      <w:pPr>
        <w:ind w:left="2880" w:hanging="360"/>
      </w:pPr>
      <w:rPr>
        <w:rFonts w:ascii="Symbol" w:hAnsi="Symbol" w:hint="default"/>
      </w:rPr>
    </w:lvl>
    <w:lvl w:ilvl="4" w:tplc="5AE8F2AE" w:tentative="1">
      <w:start w:val="1"/>
      <w:numFmt w:val="bullet"/>
      <w:lvlText w:val="o"/>
      <w:lvlJc w:val="left"/>
      <w:pPr>
        <w:ind w:left="3600" w:hanging="360"/>
      </w:pPr>
      <w:rPr>
        <w:rFonts w:ascii="Courier New" w:hAnsi="Courier New" w:cs="Courier New" w:hint="default"/>
      </w:rPr>
    </w:lvl>
    <w:lvl w:ilvl="5" w:tplc="C81ED0CC" w:tentative="1">
      <w:start w:val="1"/>
      <w:numFmt w:val="bullet"/>
      <w:lvlText w:val=""/>
      <w:lvlJc w:val="left"/>
      <w:pPr>
        <w:ind w:left="4320" w:hanging="360"/>
      </w:pPr>
      <w:rPr>
        <w:rFonts w:ascii="Wingdings" w:hAnsi="Wingdings" w:hint="default"/>
      </w:rPr>
    </w:lvl>
    <w:lvl w:ilvl="6" w:tplc="BFC8E4A2" w:tentative="1">
      <w:start w:val="1"/>
      <w:numFmt w:val="bullet"/>
      <w:lvlText w:val=""/>
      <w:lvlJc w:val="left"/>
      <w:pPr>
        <w:ind w:left="5040" w:hanging="360"/>
      </w:pPr>
      <w:rPr>
        <w:rFonts w:ascii="Symbol" w:hAnsi="Symbol" w:hint="default"/>
      </w:rPr>
    </w:lvl>
    <w:lvl w:ilvl="7" w:tplc="B8CAAD22" w:tentative="1">
      <w:start w:val="1"/>
      <w:numFmt w:val="bullet"/>
      <w:lvlText w:val="o"/>
      <w:lvlJc w:val="left"/>
      <w:pPr>
        <w:ind w:left="5760" w:hanging="360"/>
      </w:pPr>
      <w:rPr>
        <w:rFonts w:ascii="Courier New" w:hAnsi="Courier New" w:cs="Courier New" w:hint="default"/>
      </w:rPr>
    </w:lvl>
    <w:lvl w:ilvl="8" w:tplc="88AEE198" w:tentative="1">
      <w:start w:val="1"/>
      <w:numFmt w:val="bullet"/>
      <w:lvlText w:val=""/>
      <w:lvlJc w:val="left"/>
      <w:pPr>
        <w:ind w:left="6480" w:hanging="360"/>
      </w:pPr>
      <w:rPr>
        <w:rFonts w:ascii="Wingdings" w:hAnsi="Wingdings" w:hint="default"/>
      </w:rPr>
    </w:lvl>
  </w:abstractNum>
  <w:abstractNum w:abstractNumId="6" w15:restartNumberingAfterBreak="0">
    <w:nsid w:val="2738389A"/>
    <w:multiLevelType w:val="hybridMultilevel"/>
    <w:tmpl w:val="52423158"/>
    <w:lvl w:ilvl="0" w:tplc="574C7E48">
      <w:start w:val="1"/>
      <w:numFmt w:val="bullet"/>
      <w:lvlText w:val=""/>
      <w:lvlJc w:val="left"/>
      <w:pPr>
        <w:ind w:left="720" w:hanging="360"/>
      </w:pPr>
      <w:rPr>
        <w:rFonts w:ascii="Symbol" w:hAnsi="Symbol" w:hint="default"/>
      </w:rPr>
    </w:lvl>
    <w:lvl w:ilvl="1" w:tplc="F3FE1E10" w:tentative="1">
      <w:start w:val="1"/>
      <w:numFmt w:val="bullet"/>
      <w:lvlText w:val="o"/>
      <w:lvlJc w:val="left"/>
      <w:pPr>
        <w:ind w:left="1440" w:hanging="360"/>
      </w:pPr>
      <w:rPr>
        <w:rFonts w:ascii="Courier New" w:hAnsi="Courier New" w:cs="Courier New" w:hint="default"/>
      </w:rPr>
    </w:lvl>
    <w:lvl w:ilvl="2" w:tplc="CF1E4388" w:tentative="1">
      <w:start w:val="1"/>
      <w:numFmt w:val="bullet"/>
      <w:lvlText w:val=""/>
      <w:lvlJc w:val="left"/>
      <w:pPr>
        <w:ind w:left="2160" w:hanging="360"/>
      </w:pPr>
      <w:rPr>
        <w:rFonts w:ascii="Wingdings" w:hAnsi="Wingdings" w:hint="default"/>
      </w:rPr>
    </w:lvl>
    <w:lvl w:ilvl="3" w:tplc="16400B3A" w:tentative="1">
      <w:start w:val="1"/>
      <w:numFmt w:val="bullet"/>
      <w:lvlText w:val=""/>
      <w:lvlJc w:val="left"/>
      <w:pPr>
        <w:ind w:left="2880" w:hanging="360"/>
      </w:pPr>
      <w:rPr>
        <w:rFonts w:ascii="Symbol" w:hAnsi="Symbol" w:hint="default"/>
      </w:rPr>
    </w:lvl>
    <w:lvl w:ilvl="4" w:tplc="35C8A62A" w:tentative="1">
      <w:start w:val="1"/>
      <w:numFmt w:val="bullet"/>
      <w:lvlText w:val="o"/>
      <w:lvlJc w:val="left"/>
      <w:pPr>
        <w:ind w:left="3600" w:hanging="360"/>
      </w:pPr>
      <w:rPr>
        <w:rFonts w:ascii="Courier New" w:hAnsi="Courier New" w:cs="Courier New" w:hint="default"/>
      </w:rPr>
    </w:lvl>
    <w:lvl w:ilvl="5" w:tplc="2EFE497C" w:tentative="1">
      <w:start w:val="1"/>
      <w:numFmt w:val="bullet"/>
      <w:lvlText w:val=""/>
      <w:lvlJc w:val="left"/>
      <w:pPr>
        <w:ind w:left="4320" w:hanging="360"/>
      </w:pPr>
      <w:rPr>
        <w:rFonts w:ascii="Wingdings" w:hAnsi="Wingdings" w:hint="default"/>
      </w:rPr>
    </w:lvl>
    <w:lvl w:ilvl="6" w:tplc="742A0D38" w:tentative="1">
      <w:start w:val="1"/>
      <w:numFmt w:val="bullet"/>
      <w:lvlText w:val=""/>
      <w:lvlJc w:val="left"/>
      <w:pPr>
        <w:ind w:left="5040" w:hanging="360"/>
      </w:pPr>
      <w:rPr>
        <w:rFonts w:ascii="Symbol" w:hAnsi="Symbol" w:hint="default"/>
      </w:rPr>
    </w:lvl>
    <w:lvl w:ilvl="7" w:tplc="883A95A6" w:tentative="1">
      <w:start w:val="1"/>
      <w:numFmt w:val="bullet"/>
      <w:lvlText w:val="o"/>
      <w:lvlJc w:val="left"/>
      <w:pPr>
        <w:ind w:left="5760" w:hanging="360"/>
      </w:pPr>
      <w:rPr>
        <w:rFonts w:ascii="Courier New" w:hAnsi="Courier New" w:cs="Courier New" w:hint="default"/>
      </w:rPr>
    </w:lvl>
    <w:lvl w:ilvl="8" w:tplc="93B29340" w:tentative="1">
      <w:start w:val="1"/>
      <w:numFmt w:val="bullet"/>
      <w:lvlText w:val=""/>
      <w:lvlJc w:val="left"/>
      <w:pPr>
        <w:ind w:left="6480" w:hanging="360"/>
      </w:pPr>
      <w:rPr>
        <w:rFonts w:ascii="Wingdings" w:hAnsi="Wingdings" w:hint="default"/>
      </w:rPr>
    </w:lvl>
  </w:abstractNum>
  <w:abstractNum w:abstractNumId="7" w15:restartNumberingAfterBreak="0">
    <w:nsid w:val="30E174E4"/>
    <w:multiLevelType w:val="hybridMultilevel"/>
    <w:tmpl w:val="20D6358E"/>
    <w:lvl w:ilvl="0" w:tplc="F28C6456">
      <w:start w:val="1"/>
      <w:numFmt w:val="bullet"/>
      <w:lvlText w:val=""/>
      <w:lvlJc w:val="left"/>
      <w:pPr>
        <w:ind w:left="720" w:hanging="360"/>
      </w:pPr>
      <w:rPr>
        <w:rFonts w:ascii="Symbol" w:hAnsi="Symbol" w:hint="default"/>
      </w:rPr>
    </w:lvl>
    <w:lvl w:ilvl="1" w:tplc="C41C1808" w:tentative="1">
      <w:start w:val="1"/>
      <w:numFmt w:val="bullet"/>
      <w:lvlText w:val="o"/>
      <w:lvlJc w:val="left"/>
      <w:pPr>
        <w:ind w:left="1440" w:hanging="360"/>
      </w:pPr>
      <w:rPr>
        <w:rFonts w:ascii="Courier New" w:hAnsi="Courier New" w:cs="Courier New" w:hint="default"/>
      </w:rPr>
    </w:lvl>
    <w:lvl w:ilvl="2" w:tplc="67F489F8" w:tentative="1">
      <w:start w:val="1"/>
      <w:numFmt w:val="bullet"/>
      <w:lvlText w:val=""/>
      <w:lvlJc w:val="left"/>
      <w:pPr>
        <w:ind w:left="2160" w:hanging="360"/>
      </w:pPr>
      <w:rPr>
        <w:rFonts w:ascii="Wingdings" w:hAnsi="Wingdings" w:hint="default"/>
      </w:rPr>
    </w:lvl>
    <w:lvl w:ilvl="3" w:tplc="54584AE4" w:tentative="1">
      <w:start w:val="1"/>
      <w:numFmt w:val="bullet"/>
      <w:lvlText w:val=""/>
      <w:lvlJc w:val="left"/>
      <w:pPr>
        <w:ind w:left="2880" w:hanging="360"/>
      </w:pPr>
      <w:rPr>
        <w:rFonts w:ascii="Symbol" w:hAnsi="Symbol" w:hint="default"/>
      </w:rPr>
    </w:lvl>
    <w:lvl w:ilvl="4" w:tplc="6D5CC0AC" w:tentative="1">
      <w:start w:val="1"/>
      <w:numFmt w:val="bullet"/>
      <w:lvlText w:val="o"/>
      <w:lvlJc w:val="left"/>
      <w:pPr>
        <w:ind w:left="3600" w:hanging="360"/>
      </w:pPr>
      <w:rPr>
        <w:rFonts w:ascii="Courier New" w:hAnsi="Courier New" w:cs="Courier New" w:hint="default"/>
      </w:rPr>
    </w:lvl>
    <w:lvl w:ilvl="5" w:tplc="0F5EF7AE" w:tentative="1">
      <w:start w:val="1"/>
      <w:numFmt w:val="bullet"/>
      <w:lvlText w:val=""/>
      <w:lvlJc w:val="left"/>
      <w:pPr>
        <w:ind w:left="4320" w:hanging="360"/>
      </w:pPr>
      <w:rPr>
        <w:rFonts w:ascii="Wingdings" w:hAnsi="Wingdings" w:hint="default"/>
      </w:rPr>
    </w:lvl>
    <w:lvl w:ilvl="6" w:tplc="867E34BE" w:tentative="1">
      <w:start w:val="1"/>
      <w:numFmt w:val="bullet"/>
      <w:lvlText w:val=""/>
      <w:lvlJc w:val="left"/>
      <w:pPr>
        <w:ind w:left="5040" w:hanging="360"/>
      </w:pPr>
      <w:rPr>
        <w:rFonts w:ascii="Symbol" w:hAnsi="Symbol" w:hint="default"/>
      </w:rPr>
    </w:lvl>
    <w:lvl w:ilvl="7" w:tplc="C1DA5B48" w:tentative="1">
      <w:start w:val="1"/>
      <w:numFmt w:val="bullet"/>
      <w:lvlText w:val="o"/>
      <w:lvlJc w:val="left"/>
      <w:pPr>
        <w:ind w:left="5760" w:hanging="360"/>
      </w:pPr>
      <w:rPr>
        <w:rFonts w:ascii="Courier New" w:hAnsi="Courier New" w:cs="Courier New" w:hint="default"/>
      </w:rPr>
    </w:lvl>
    <w:lvl w:ilvl="8" w:tplc="6CB4A24C" w:tentative="1">
      <w:start w:val="1"/>
      <w:numFmt w:val="bullet"/>
      <w:lvlText w:val=""/>
      <w:lvlJc w:val="left"/>
      <w:pPr>
        <w:ind w:left="6480" w:hanging="360"/>
      </w:pPr>
      <w:rPr>
        <w:rFonts w:ascii="Wingdings" w:hAnsi="Wingdings" w:hint="default"/>
      </w:rPr>
    </w:lvl>
  </w:abstractNum>
  <w:abstractNum w:abstractNumId="8" w15:restartNumberingAfterBreak="0">
    <w:nsid w:val="43542CC2"/>
    <w:multiLevelType w:val="hybridMultilevel"/>
    <w:tmpl w:val="929CE2E6"/>
    <w:lvl w:ilvl="0" w:tplc="F89AEE80">
      <w:start w:val="1"/>
      <w:numFmt w:val="bullet"/>
      <w:lvlText w:val=""/>
      <w:lvlJc w:val="left"/>
      <w:pPr>
        <w:ind w:left="720" w:hanging="360"/>
      </w:pPr>
      <w:rPr>
        <w:rFonts w:ascii="Symbol" w:hAnsi="Symbol" w:hint="default"/>
      </w:rPr>
    </w:lvl>
    <w:lvl w:ilvl="1" w:tplc="5A1EC4A2" w:tentative="1">
      <w:start w:val="1"/>
      <w:numFmt w:val="bullet"/>
      <w:lvlText w:val="o"/>
      <w:lvlJc w:val="left"/>
      <w:pPr>
        <w:ind w:left="1440" w:hanging="360"/>
      </w:pPr>
      <w:rPr>
        <w:rFonts w:ascii="Courier New" w:hAnsi="Courier New" w:cs="Courier New" w:hint="default"/>
      </w:rPr>
    </w:lvl>
    <w:lvl w:ilvl="2" w:tplc="025E2AE2" w:tentative="1">
      <w:start w:val="1"/>
      <w:numFmt w:val="bullet"/>
      <w:lvlText w:val=""/>
      <w:lvlJc w:val="left"/>
      <w:pPr>
        <w:ind w:left="2160" w:hanging="360"/>
      </w:pPr>
      <w:rPr>
        <w:rFonts w:ascii="Wingdings" w:hAnsi="Wingdings" w:hint="default"/>
      </w:rPr>
    </w:lvl>
    <w:lvl w:ilvl="3" w:tplc="81AAD534" w:tentative="1">
      <w:start w:val="1"/>
      <w:numFmt w:val="bullet"/>
      <w:lvlText w:val=""/>
      <w:lvlJc w:val="left"/>
      <w:pPr>
        <w:ind w:left="2880" w:hanging="360"/>
      </w:pPr>
      <w:rPr>
        <w:rFonts w:ascii="Symbol" w:hAnsi="Symbol" w:hint="default"/>
      </w:rPr>
    </w:lvl>
    <w:lvl w:ilvl="4" w:tplc="D0B8A334" w:tentative="1">
      <w:start w:val="1"/>
      <w:numFmt w:val="bullet"/>
      <w:lvlText w:val="o"/>
      <w:lvlJc w:val="left"/>
      <w:pPr>
        <w:ind w:left="3600" w:hanging="360"/>
      </w:pPr>
      <w:rPr>
        <w:rFonts w:ascii="Courier New" w:hAnsi="Courier New" w:cs="Courier New" w:hint="default"/>
      </w:rPr>
    </w:lvl>
    <w:lvl w:ilvl="5" w:tplc="7444E4AA" w:tentative="1">
      <w:start w:val="1"/>
      <w:numFmt w:val="bullet"/>
      <w:lvlText w:val=""/>
      <w:lvlJc w:val="left"/>
      <w:pPr>
        <w:ind w:left="4320" w:hanging="360"/>
      </w:pPr>
      <w:rPr>
        <w:rFonts w:ascii="Wingdings" w:hAnsi="Wingdings" w:hint="default"/>
      </w:rPr>
    </w:lvl>
    <w:lvl w:ilvl="6" w:tplc="0366C3D8" w:tentative="1">
      <w:start w:val="1"/>
      <w:numFmt w:val="bullet"/>
      <w:lvlText w:val=""/>
      <w:lvlJc w:val="left"/>
      <w:pPr>
        <w:ind w:left="5040" w:hanging="360"/>
      </w:pPr>
      <w:rPr>
        <w:rFonts w:ascii="Symbol" w:hAnsi="Symbol" w:hint="default"/>
      </w:rPr>
    </w:lvl>
    <w:lvl w:ilvl="7" w:tplc="E54644C4" w:tentative="1">
      <w:start w:val="1"/>
      <w:numFmt w:val="bullet"/>
      <w:lvlText w:val="o"/>
      <w:lvlJc w:val="left"/>
      <w:pPr>
        <w:ind w:left="5760" w:hanging="360"/>
      </w:pPr>
      <w:rPr>
        <w:rFonts w:ascii="Courier New" w:hAnsi="Courier New" w:cs="Courier New" w:hint="default"/>
      </w:rPr>
    </w:lvl>
    <w:lvl w:ilvl="8" w:tplc="77EE7224" w:tentative="1">
      <w:start w:val="1"/>
      <w:numFmt w:val="bullet"/>
      <w:lvlText w:val=""/>
      <w:lvlJc w:val="left"/>
      <w:pPr>
        <w:ind w:left="6480" w:hanging="360"/>
      </w:pPr>
      <w:rPr>
        <w:rFonts w:ascii="Wingdings" w:hAnsi="Wingdings" w:hint="default"/>
      </w:rPr>
    </w:lvl>
  </w:abstractNum>
  <w:abstractNum w:abstractNumId="9" w15:restartNumberingAfterBreak="0">
    <w:nsid w:val="5B38428E"/>
    <w:multiLevelType w:val="hybridMultilevel"/>
    <w:tmpl w:val="0584F9CC"/>
    <w:lvl w:ilvl="0" w:tplc="3D72C58E">
      <w:start w:val="1"/>
      <w:numFmt w:val="decimal"/>
      <w:lvlText w:val="%1."/>
      <w:lvlJc w:val="left"/>
      <w:pPr>
        <w:ind w:left="720" w:hanging="360"/>
      </w:pPr>
    </w:lvl>
    <w:lvl w:ilvl="1" w:tplc="54AA66D0" w:tentative="1">
      <w:start w:val="1"/>
      <w:numFmt w:val="lowerLetter"/>
      <w:lvlText w:val="%2."/>
      <w:lvlJc w:val="left"/>
      <w:pPr>
        <w:ind w:left="1440" w:hanging="360"/>
      </w:pPr>
    </w:lvl>
    <w:lvl w:ilvl="2" w:tplc="CDC0F5B6" w:tentative="1">
      <w:start w:val="1"/>
      <w:numFmt w:val="lowerRoman"/>
      <w:lvlText w:val="%3."/>
      <w:lvlJc w:val="right"/>
      <w:pPr>
        <w:ind w:left="2160" w:hanging="180"/>
      </w:pPr>
    </w:lvl>
    <w:lvl w:ilvl="3" w:tplc="077EE10C" w:tentative="1">
      <w:start w:val="1"/>
      <w:numFmt w:val="decimal"/>
      <w:lvlText w:val="%4."/>
      <w:lvlJc w:val="left"/>
      <w:pPr>
        <w:ind w:left="2880" w:hanging="360"/>
      </w:pPr>
    </w:lvl>
    <w:lvl w:ilvl="4" w:tplc="4B58CB12" w:tentative="1">
      <w:start w:val="1"/>
      <w:numFmt w:val="lowerLetter"/>
      <w:lvlText w:val="%5."/>
      <w:lvlJc w:val="left"/>
      <w:pPr>
        <w:ind w:left="3600" w:hanging="360"/>
      </w:pPr>
    </w:lvl>
    <w:lvl w:ilvl="5" w:tplc="EF8C8A84" w:tentative="1">
      <w:start w:val="1"/>
      <w:numFmt w:val="lowerRoman"/>
      <w:lvlText w:val="%6."/>
      <w:lvlJc w:val="right"/>
      <w:pPr>
        <w:ind w:left="4320" w:hanging="180"/>
      </w:pPr>
    </w:lvl>
    <w:lvl w:ilvl="6" w:tplc="7848C34C" w:tentative="1">
      <w:start w:val="1"/>
      <w:numFmt w:val="decimal"/>
      <w:lvlText w:val="%7."/>
      <w:lvlJc w:val="left"/>
      <w:pPr>
        <w:ind w:left="5040" w:hanging="360"/>
      </w:pPr>
    </w:lvl>
    <w:lvl w:ilvl="7" w:tplc="CF08DDD0" w:tentative="1">
      <w:start w:val="1"/>
      <w:numFmt w:val="lowerLetter"/>
      <w:lvlText w:val="%8."/>
      <w:lvlJc w:val="left"/>
      <w:pPr>
        <w:ind w:left="5760" w:hanging="360"/>
      </w:pPr>
    </w:lvl>
    <w:lvl w:ilvl="8" w:tplc="060AED38" w:tentative="1">
      <w:start w:val="1"/>
      <w:numFmt w:val="lowerRoman"/>
      <w:lvlText w:val="%9."/>
      <w:lvlJc w:val="right"/>
      <w:pPr>
        <w:ind w:left="6480" w:hanging="180"/>
      </w:pPr>
    </w:lvl>
  </w:abstractNum>
  <w:abstractNum w:abstractNumId="10" w15:restartNumberingAfterBreak="0">
    <w:nsid w:val="78B16631"/>
    <w:multiLevelType w:val="hybridMultilevel"/>
    <w:tmpl w:val="857A34F0"/>
    <w:lvl w:ilvl="0" w:tplc="A290EC14">
      <w:start w:val="1"/>
      <w:numFmt w:val="bullet"/>
      <w:lvlText w:val=""/>
      <w:lvlJc w:val="left"/>
      <w:pPr>
        <w:ind w:left="720" w:hanging="360"/>
      </w:pPr>
      <w:rPr>
        <w:rFonts w:ascii="Symbol" w:hAnsi="Symbol" w:hint="default"/>
      </w:rPr>
    </w:lvl>
    <w:lvl w:ilvl="1" w:tplc="5BE4A2AC" w:tentative="1">
      <w:start w:val="1"/>
      <w:numFmt w:val="bullet"/>
      <w:lvlText w:val="o"/>
      <w:lvlJc w:val="left"/>
      <w:pPr>
        <w:ind w:left="1440" w:hanging="360"/>
      </w:pPr>
      <w:rPr>
        <w:rFonts w:ascii="Courier New" w:hAnsi="Courier New" w:cs="Courier New" w:hint="default"/>
      </w:rPr>
    </w:lvl>
    <w:lvl w:ilvl="2" w:tplc="2EDE6D26" w:tentative="1">
      <w:start w:val="1"/>
      <w:numFmt w:val="bullet"/>
      <w:lvlText w:val=""/>
      <w:lvlJc w:val="left"/>
      <w:pPr>
        <w:ind w:left="2160" w:hanging="360"/>
      </w:pPr>
      <w:rPr>
        <w:rFonts w:ascii="Wingdings" w:hAnsi="Wingdings" w:hint="default"/>
      </w:rPr>
    </w:lvl>
    <w:lvl w:ilvl="3" w:tplc="B164D3FE" w:tentative="1">
      <w:start w:val="1"/>
      <w:numFmt w:val="bullet"/>
      <w:lvlText w:val=""/>
      <w:lvlJc w:val="left"/>
      <w:pPr>
        <w:ind w:left="2880" w:hanging="360"/>
      </w:pPr>
      <w:rPr>
        <w:rFonts w:ascii="Symbol" w:hAnsi="Symbol" w:hint="default"/>
      </w:rPr>
    </w:lvl>
    <w:lvl w:ilvl="4" w:tplc="3E966598" w:tentative="1">
      <w:start w:val="1"/>
      <w:numFmt w:val="bullet"/>
      <w:lvlText w:val="o"/>
      <w:lvlJc w:val="left"/>
      <w:pPr>
        <w:ind w:left="3600" w:hanging="360"/>
      </w:pPr>
      <w:rPr>
        <w:rFonts w:ascii="Courier New" w:hAnsi="Courier New" w:cs="Courier New" w:hint="default"/>
      </w:rPr>
    </w:lvl>
    <w:lvl w:ilvl="5" w:tplc="D18C6956" w:tentative="1">
      <w:start w:val="1"/>
      <w:numFmt w:val="bullet"/>
      <w:lvlText w:val=""/>
      <w:lvlJc w:val="left"/>
      <w:pPr>
        <w:ind w:left="4320" w:hanging="360"/>
      </w:pPr>
      <w:rPr>
        <w:rFonts w:ascii="Wingdings" w:hAnsi="Wingdings" w:hint="default"/>
      </w:rPr>
    </w:lvl>
    <w:lvl w:ilvl="6" w:tplc="7A20BC74" w:tentative="1">
      <w:start w:val="1"/>
      <w:numFmt w:val="bullet"/>
      <w:lvlText w:val=""/>
      <w:lvlJc w:val="left"/>
      <w:pPr>
        <w:ind w:left="5040" w:hanging="360"/>
      </w:pPr>
      <w:rPr>
        <w:rFonts w:ascii="Symbol" w:hAnsi="Symbol" w:hint="default"/>
      </w:rPr>
    </w:lvl>
    <w:lvl w:ilvl="7" w:tplc="36002524" w:tentative="1">
      <w:start w:val="1"/>
      <w:numFmt w:val="bullet"/>
      <w:lvlText w:val="o"/>
      <w:lvlJc w:val="left"/>
      <w:pPr>
        <w:ind w:left="5760" w:hanging="360"/>
      </w:pPr>
      <w:rPr>
        <w:rFonts w:ascii="Courier New" w:hAnsi="Courier New" w:cs="Courier New" w:hint="default"/>
      </w:rPr>
    </w:lvl>
    <w:lvl w:ilvl="8" w:tplc="62641352" w:tentative="1">
      <w:start w:val="1"/>
      <w:numFmt w:val="bullet"/>
      <w:lvlText w:val=""/>
      <w:lvlJc w:val="left"/>
      <w:pPr>
        <w:ind w:left="6480" w:hanging="360"/>
      </w:pPr>
      <w:rPr>
        <w:rFonts w:ascii="Wingdings" w:hAnsi="Wingdings" w:hint="default"/>
      </w:rPr>
    </w:lvl>
  </w:abstractNum>
  <w:num w:numId="1" w16cid:durableId="1150710314">
    <w:abstractNumId w:val="2"/>
  </w:num>
  <w:num w:numId="2" w16cid:durableId="31391861">
    <w:abstractNumId w:val="8"/>
  </w:num>
  <w:num w:numId="3" w16cid:durableId="1910114835">
    <w:abstractNumId w:val="5"/>
  </w:num>
  <w:num w:numId="4" w16cid:durableId="426005590">
    <w:abstractNumId w:val="6"/>
  </w:num>
  <w:num w:numId="5" w16cid:durableId="1622224161">
    <w:abstractNumId w:val="10"/>
  </w:num>
  <w:num w:numId="6" w16cid:durableId="536165117">
    <w:abstractNumId w:val="7"/>
  </w:num>
  <w:num w:numId="7" w16cid:durableId="303463292">
    <w:abstractNumId w:val="1"/>
  </w:num>
  <w:num w:numId="8" w16cid:durableId="790049662">
    <w:abstractNumId w:val="4"/>
  </w:num>
  <w:num w:numId="9" w16cid:durableId="1616131632">
    <w:abstractNumId w:val="0"/>
  </w:num>
  <w:num w:numId="10" w16cid:durableId="469174112">
    <w:abstractNumId w:val="3"/>
  </w:num>
  <w:num w:numId="11" w16cid:durableId="13574632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26C"/>
    <w:rsid w:val="0000206F"/>
    <w:rsid w:val="00004A7C"/>
    <w:rsid w:val="000104AA"/>
    <w:rsid w:val="00021E6B"/>
    <w:rsid w:val="0006326C"/>
    <w:rsid w:val="000717C2"/>
    <w:rsid w:val="000718E8"/>
    <w:rsid w:val="000747D3"/>
    <w:rsid w:val="000872DA"/>
    <w:rsid w:val="000A2031"/>
    <w:rsid w:val="000A3101"/>
    <w:rsid w:val="000B67CA"/>
    <w:rsid w:val="000C5A5A"/>
    <w:rsid w:val="000C7183"/>
    <w:rsid w:val="000D149E"/>
    <w:rsid w:val="000F2785"/>
    <w:rsid w:val="000F4094"/>
    <w:rsid w:val="00100653"/>
    <w:rsid w:val="001260D1"/>
    <w:rsid w:val="00127211"/>
    <w:rsid w:val="00134A88"/>
    <w:rsid w:val="00143EC4"/>
    <w:rsid w:val="0015108D"/>
    <w:rsid w:val="00153F8C"/>
    <w:rsid w:val="00165D5C"/>
    <w:rsid w:val="001703B6"/>
    <w:rsid w:val="00170E40"/>
    <w:rsid w:val="00171725"/>
    <w:rsid w:val="001718A6"/>
    <w:rsid w:val="00181758"/>
    <w:rsid w:val="0018363C"/>
    <w:rsid w:val="00187F2D"/>
    <w:rsid w:val="001B262E"/>
    <w:rsid w:val="001B3B98"/>
    <w:rsid w:val="001E2258"/>
    <w:rsid w:val="001E359E"/>
    <w:rsid w:val="001F03FD"/>
    <w:rsid w:val="001F6FA3"/>
    <w:rsid w:val="00203909"/>
    <w:rsid w:val="00207A83"/>
    <w:rsid w:val="00210A04"/>
    <w:rsid w:val="00211D52"/>
    <w:rsid w:val="002134BF"/>
    <w:rsid w:val="002160B3"/>
    <w:rsid w:val="002278E6"/>
    <w:rsid w:val="00274772"/>
    <w:rsid w:val="00286675"/>
    <w:rsid w:val="002879C9"/>
    <w:rsid w:val="00295F0C"/>
    <w:rsid w:val="002A28E9"/>
    <w:rsid w:val="002A50C3"/>
    <w:rsid w:val="002A5BC4"/>
    <w:rsid w:val="002B638D"/>
    <w:rsid w:val="002D2BAC"/>
    <w:rsid w:val="002D59FD"/>
    <w:rsid w:val="002E36F1"/>
    <w:rsid w:val="00304FC3"/>
    <w:rsid w:val="003072BF"/>
    <w:rsid w:val="00310AA5"/>
    <w:rsid w:val="00312806"/>
    <w:rsid w:val="0032422D"/>
    <w:rsid w:val="003300AC"/>
    <w:rsid w:val="00337C93"/>
    <w:rsid w:val="0034120D"/>
    <w:rsid w:val="00342DC8"/>
    <w:rsid w:val="0034629D"/>
    <w:rsid w:val="00375C85"/>
    <w:rsid w:val="00376FB2"/>
    <w:rsid w:val="00384889"/>
    <w:rsid w:val="003862F1"/>
    <w:rsid w:val="00387DB3"/>
    <w:rsid w:val="00393DE6"/>
    <w:rsid w:val="003A280A"/>
    <w:rsid w:val="003A317E"/>
    <w:rsid w:val="003C4A87"/>
    <w:rsid w:val="003C71EE"/>
    <w:rsid w:val="003D192B"/>
    <w:rsid w:val="003D2862"/>
    <w:rsid w:val="003E5AB6"/>
    <w:rsid w:val="0040047E"/>
    <w:rsid w:val="00407056"/>
    <w:rsid w:val="00461E50"/>
    <w:rsid w:val="00465F91"/>
    <w:rsid w:val="0047166B"/>
    <w:rsid w:val="0048008D"/>
    <w:rsid w:val="004A25E9"/>
    <w:rsid w:val="004A7567"/>
    <w:rsid w:val="004B0563"/>
    <w:rsid w:val="004B772D"/>
    <w:rsid w:val="004E4078"/>
    <w:rsid w:val="004F232C"/>
    <w:rsid w:val="004F62E3"/>
    <w:rsid w:val="00503123"/>
    <w:rsid w:val="00520C2B"/>
    <w:rsid w:val="00535BE2"/>
    <w:rsid w:val="00576515"/>
    <w:rsid w:val="005772D7"/>
    <w:rsid w:val="00592864"/>
    <w:rsid w:val="005A30C6"/>
    <w:rsid w:val="005B1C20"/>
    <w:rsid w:val="005B3E2B"/>
    <w:rsid w:val="005C10BE"/>
    <w:rsid w:val="005C3DF5"/>
    <w:rsid w:val="005D68BF"/>
    <w:rsid w:val="005D6DAE"/>
    <w:rsid w:val="005D74E5"/>
    <w:rsid w:val="00604AA7"/>
    <w:rsid w:val="006065AC"/>
    <w:rsid w:val="00641BEE"/>
    <w:rsid w:val="006479AD"/>
    <w:rsid w:val="006656E3"/>
    <w:rsid w:val="0066763B"/>
    <w:rsid w:val="006801EA"/>
    <w:rsid w:val="0068367B"/>
    <w:rsid w:val="00691D5E"/>
    <w:rsid w:val="00693BB7"/>
    <w:rsid w:val="00695F96"/>
    <w:rsid w:val="006B041F"/>
    <w:rsid w:val="006B754A"/>
    <w:rsid w:val="006E115F"/>
    <w:rsid w:val="006E535C"/>
    <w:rsid w:val="006F51B9"/>
    <w:rsid w:val="006F559F"/>
    <w:rsid w:val="0070751F"/>
    <w:rsid w:val="00721B96"/>
    <w:rsid w:val="00724A8E"/>
    <w:rsid w:val="00725A99"/>
    <w:rsid w:val="0073094E"/>
    <w:rsid w:val="00753BFE"/>
    <w:rsid w:val="00797574"/>
    <w:rsid w:val="007E0B02"/>
    <w:rsid w:val="007E46EE"/>
    <w:rsid w:val="007F6781"/>
    <w:rsid w:val="0080640B"/>
    <w:rsid w:val="00816455"/>
    <w:rsid w:val="00862A87"/>
    <w:rsid w:val="00870DCE"/>
    <w:rsid w:val="00872957"/>
    <w:rsid w:val="00872EAB"/>
    <w:rsid w:val="008804F5"/>
    <w:rsid w:val="00880A7D"/>
    <w:rsid w:val="00886637"/>
    <w:rsid w:val="00893F54"/>
    <w:rsid w:val="008C37EB"/>
    <w:rsid w:val="008C60C0"/>
    <w:rsid w:val="008D6544"/>
    <w:rsid w:val="008E1C0C"/>
    <w:rsid w:val="00903D42"/>
    <w:rsid w:val="00930B9F"/>
    <w:rsid w:val="0093315E"/>
    <w:rsid w:val="0093728E"/>
    <w:rsid w:val="0093765D"/>
    <w:rsid w:val="0094003D"/>
    <w:rsid w:val="009769BF"/>
    <w:rsid w:val="0098637F"/>
    <w:rsid w:val="00993B7D"/>
    <w:rsid w:val="009E6B71"/>
    <w:rsid w:val="009E6D0A"/>
    <w:rsid w:val="00A153A3"/>
    <w:rsid w:val="00A15E86"/>
    <w:rsid w:val="00A17369"/>
    <w:rsid w:val="00A22CEC"/>
    <w:rsid w:val="00A51E78"/>
    <w:rsid w:val="00A6186B"/>
    <w:rsid w:val="00A80188"/>
    <w:rsid w:val="00A85262"/>
    <w:rsid w:val="00A87B10"/>
    <w:rsid w:val="00A92E20"/>
    <w:rsid w:val="00AA01D2"/>
    <w:rsid w:val="00AA1727"/>
    <w:rsid w:val="00AB1AA5"/>
    <w:rsid w:val="00AB256F"/>
    <w:rsid w:val="00AC0FB1"/>
    <w:rsid w:val="00AC179E"/>
    <w:rsid w:val="00AC57AE"/>
    <w:rsid w:val="00AC6099"/>
    <w:rsid w:val="00AF5A85"/>
    <w:rsid w:val="00B0687C"/>
    <w:rsid w:val="00B16FE2"/>
    <w:rsid w:val="00B36A93"/>
    <w:rsid w:val="00B5282D"/>
    <w:rsid w:val="00B5353A"/>
    <w:rsid w:val="00B55638"/>
    <w:rsid w:val="00B55A8D"/>
    <w:rsid w:val="00B55DB3"/>
    <w:rsid w:val="00B574F5"/>
    <w:rsid w:val="00B60166"/>
    <w:rsid w:val="00B76193"/>
    <w:rsid w:val="00BA5D38"/>
    <w:rsid w:val="00BB0114"/>
    <w:rsid w:val="00BB16D7"/>
    <w:rsid w:val="00BB754D"/>
    <w:rsid w:val="00BC0A17"/>
    <w:rsid w:val="00BC24FA"/>
    <w:rsid w:val="00BE2837"/>
    <w:rsid w:val="00BE3728"/>
    <w:rsid w:val="00BE3A9E"/>
    <w:rsid w:val="00BF06B4"/>
    <w:rsid w:val="00BF396D"/>
    <w:rsid w:val="00C017F1"/>
    <w:rsid w:val="00C0452F"/>
    <w:rsid w:val="00C04AE0"/>
    <w:rsid w:val="00C06382"/>
    <w:rsid w:val="00C301B6"/>
    <w:rsid w:val="00C337BA"/>
    <w:rsid w:val="00C4118E"/>
    <w:rsid w:val="00C63239"/>
    <w:rsid w:val="00C77984"/>
    <w:rsid w:val="00C8078B"/>
    <w:rsid w:val="00C941F3"/>
    <w:rsid w:val="00C96AB7"/>
    <w:rsid w:val="00CA104F"/>
    <w:rsid w:val="00CA3A66"/>
    <w:rsid w:val="00CA64E5"/>
    <w:rsid w:val="00CB2F21"/>
    <w:rsid w:val="00CC3C2E"/>
    <w:rsid w:val="00CF5C6E"/>
    <w:rsid w:val="00D006F8"/>
    <w:rsid w:val="00D01470"/>
    <w:rsid w:val="00D44749"/>
    <w:rsid w:val="00D77AF1"/>
    <w:rsid w:val="00D82C61"/>
    <w:rsid w:val="00D902DC"/>
    <w:rsid w:val="00DA6BAA"/>
    <w:rsid w:val="00DB72EB"/>
    <w:rsid w:val="00DC68B7"/>
    <w:rsid w:val="00DD0462"/>
    <w:rsid w:val="00DF45FA"/>
    <w:rsid w:val="00E24AC3"/>
    <w:rsid w:val="00E33A01"/>
    <w:rsid w:val="00E5729C"/>
    <w:rsid w:val="00E759B7"/>
    <w:rsid w:val="00E77BB6"/>
    <w:rsid w:val="00E818AA"/>
    <w:rsid w:val="00E85FB0"/>
    <w:rsid w:val="00E95EDF"/>
    <w:rsid w:val="00EB232C"/>
    <w:rsid w:val="00EC3C07"/>
    <w:rsid w:val="00EE5B81"/>
    <w:rsid w:val="00EF154E"/>
    <w:rsid w:val="00EF250B"/>
    <w:rsid w:val="00EF5955"/>
    <w:rsid w:val="00F066DA"/>
    <w:rsid w:val="00F1318E"/>
    <w:rsid w:val="00F1674C"/>
    <w:rsid w:val="00F21874"/>
    <w:rsid w:val="00F34853"/>
    <w:rsid w:val="00F4415D"/>
    <w:rsid w:val="00F52C6C"/>
    <w:rsid w:val="00F620AC"/>
    <w:rsid w:val="00F6421B"/>
    <w:rsid w:val="00F709AB"/>
    <w:rsid w:val="00F748E8"/>
    <w:rsid w:val="00F80D00"/>
    <w:rsid w:val="00F954D3"/>
    <w:rsid w:val="00F961BA"/>
    <w:rsid w:val="00FB074A"/>
    <w:rsid w:val="00FB34AF"/>
    <w:rsid w:val="00FC3F8F"/>
    <w:rsid w:val="00FC55F6"/>
    <w:rsid w:val="00FE244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4BFD6"/>
  <w15:chartTrackingRefBased/>
  <w15:docId w15:val="{0EA4039F-7A67-416B-9DF6-B64C2B8CA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9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6763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725A9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4A25E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06326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326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326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32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326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326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63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25A99"/>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4A25E9"/>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06326C"/>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6326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6326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6326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6326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6326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6326C"/>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632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26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2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26C"/>
    <w:pPr>
      <w:spacing w:before="160"/>
      <w:jc w:val="center"/>
    </w:pPr>
    <w:rPr>
      <w:i/>
      <w:iCs/>
      <w:color w:val="404040" w:themeColor="text1" w:themeTint="BF"/>
    </w:rPr>
  </w:style>
  <w:style w:type="character" w:customStyle="1" w:styleId="QuoteChar">
    <w:name w:val="Quote Char"/>
    <w:basedOn w:val="DefaultParagraphFont"/>
    <w:link w:val="Quote"/>
    <w:uiPriority w:val="29"/>
    <w:rsid w:val="0006326C"/>
    <w:rPr>
      <w:rFonts w:ascii="Times New Roman" w:hAnsi="Times New Roman"/>
      <w:i/>
      <w:iCs/>
      <w:color w:val="404040" w:themeColor="text1" w:themeTint="BF"/>
      <w:sz w:val="24"/>
    </w:rPr>
  </w:style>
  <w:style w:type="paragraph" w:styleId="ListParagraph">
    <w:name w:val="List Paragraph"/>
    <w:basedOn w:val="Normal"/>
    <w:uiPriority w:val="34"/>
    <w:qFormat/>
    <w:rsid w:val="0006326C"/>
    <w:pPr>
      <w:ind w:left="720"/>
      <w:contextualSpacing/>
    </w:pPr>
  </w:style>
  <w:style w:type="character" w:styleId="IntenseEmphasis">
    <w:name w:val="Intense Emphasis"/>
    <w:basedOn w:val="DefaultParagraphFont"/>
    <w:uiPriority w:val="21"/>
    <w:qFormat/>
    <w:rsid w:val="0006326C"/>
    <w:rPr>
      <w:i/>
      <w:iCs/>
      <w:color w:val="2F5496" w:themeColor="accent1" w:themeShade="BF"/>
    </w:rPr>
  </w:style>
  <w:style w:type="paragraph" w:styleId="IntenseQuote">
    <w:name w:val="Intense Quote"/>
    <w:basedOn w:val="Normal"/>
    <w:next w:val="Normal"/>
    <w:link w:val="IntenseQuoteChar"/>
    <w:uiPriority w:val="30"/>
    <w:qFormat/>
    <w:rsid w:val="000632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326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6326C"/>
    <w:rPr>
      <w:b/>
      <w:bCs/>
      <w:smallCaps/>
      <w:color w:val="2F5496" w:themeColor="accent1" w:themeShade="BF"/>
      <w:spacing w:val="5"/>
    </w:rPr>
  </w:style>
  <w:style w:type="paragraph" w:styleId="Header">
    <w:name w:val="header"/>
    <w:basedOn w:val="Normal"/>
    <w:link w:val="HeaderChar"/>
    <w:uiPriority w:val="99"/>
    <w:unhideWhenUsed/>
    <w:rsid w:val="00880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4F5"/>
    <w:rPr>
      <w:rFonts w:ascii="Times New Roman" w:hAnsi="Times New Roman"/>
      <w:color w:val="000000" w:themeColor="text1"/>
      <w:sz w:val="24"/>
    </w:rPr>
  </w:style>
  <w:style w:type="paragraph" w:styleId="Footer">
    <w:name w:val="footer"/>
    <w:basedOn w:val="Normal"/>
    <w:link w:val="FooterChar"/>
    <w:uiPriority w:val="99"/>
    <w:unhideWhenUsed/>
    <w:rsid w:val="00880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4F5"/>
    <w:rPr>
      <w:rFonts w:ascii="Times New Roman" w:hAnsi="Times New Roman"/>
      <w:color w:val="000000" w:themeColor="text1"/>
      <w:sz w:val="24"/>
    </w:rPr>
  </w:style>
  <w:style w:type="paragraph" w:styleId="TOCHeading">
    <w:name w:val="TOC Heading"/>
    <w:basedOn w:val="Heading1"/>
    <w:next w:val="Normal"/>
    <w:uiPriority w:val="39"/>
    <w:unhideWhenUsed/>
    <w:qFormat/>
    <w:rsid w:val="00BF396D"/>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F396D"/>
    <w:pPr>
      <w:spacing w:after="100"/>
    </w:pPr>
  </w:style>
  <w:style w:type="paragraph" w:styleId="TOC2">
    <w:name w:val="toc 2"/>
    <w:basedOn w:val="Normal"/>
    <w:next w:val="Normal"/>
    <w:autoRedefine/>
    <w:uiPriority w:val="39"/>
    <w:unhideWhenUsed/>
    <w:rsid w:val="00BF396D"/>
    <w:pPr>
      <w:spacing w:after="100"/>
      <w:ind w:left="240"/>
    </w:pPr>
  </w:style>
  <w:style w:type="character" w:styleId="Hyperlink">
    <w:name w:val="Hyperlink"/>
    <w:basedOn w:val="DefaultParagraphFont"/>
    <w:uiPriority w:val="99"/>
    <w:unhideWhenUsed/>
    <w:rsid w:val="00BF396D"/>
    <w:rPr>
      <w:color w:val="0563C1" w:themeColor="hyperlink"/>
      <w:u w:val="single"/>
    </w:rPr>
  </w:style>
  <w:style w:type="character" w:styleId="UnresolvedMention">
    <w:name w:val="Unresolved Mention"/>
    <w:basedOn w:val="DefaultParagraphFont"/>
    <w:uiPriority w:val="99"/>
    <w:semiHidden/>
    <w:unhideWhenUsed/>
    <w:rsid w:val="00693BB7"/>
    <w:rPr>
      <w:color w:val="605E5C"/>
      <w:shd w:val="clear" w:color="auto" w:fill="E1DFDD"/>
    </w:rPr>
  </w:style>
  <w:style w:type="table" w:styleId="TableGrid">
    <w:name w:val="Table Grid"/>
    <w:basedOn w:val="TableNormal"/>
    <w:uiPriority w:val="39"/>
    <w:rsid w:val="005D68BF"/>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ft.onlinelibrary.wiley.com/doi/10.1111/1541-4337.70011"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1B106-BC52-4278-B58B-C1EC6D429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4110</Words>
  <Characters>23430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anaida adamache</dc:creator>
  <cp:lastModifiedBy>Anaida Adamache (2026381)</cp:lastModifiedBy>
  <cp:revision>2</cp:revision>
  <dcterms:created xsi:type="dcterms:W3CDTF">2025-10-27T10:45:00Z</dcterms:created>
  <dcterms:modified xsi:type="dcterms:W3CDTF">2025-10-27T10:45:00Z</dcterms:modified>
</cp:coreProperties>
</file>