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8780A" w14:textId="77777777" w:rsidR="008755CF" w:rsidRDefault="008755CF" w:rsidP="008755CF">
      <w:pPr>
        <w:jc w:val="center"/>
        <w:rPr>
          <w:u w:val="single"/>
        </w:rPr>
      </w:pPr>
      <w:r>
        <w:rPr>
          <w:u w:val="single"/>
        </w:rPr>
        <w:t>Commentary on The Letter of St Bernard of Clairvaux</w:t>
      </w:r>
    </w:p>
    <w:p w14:paraId="6F6210A4" w14:textId="77777777" w:rsidR="00691EA7" w:rsidRPr="008755CF" w:rsidRDefault="008755CF" w:rsidP="008755CF">
      <w:pPr>
        <w:jc w:val="center"/>
        <w:rPr>
          <w:u w:val="single"/>
        </w:rPr>
      </w:pPr>
      <w:r>
        <w:rPr>
          <w:u w:val="single"/>
        </w:rPr>
        <w:t xml:space="preserve"> to his Nephew Robert</w:t>
      </w:r>
    </w:p>
    <w:p w14:paraId="20254AE8" w14:textId="77777777" w:rsidR="00BD1694" w:rsidRDefault="00BD1694" w:rsidP="00865A72">
      <w:pPr>
        <w:spacing w:line="360" w:lineRule="auto"/>
      </w:pPr>
      <w:bookmarkStart w:id="0" w:name="_Hlk33187572"/>
      <w:bookmarkStart w:id="1" w:name="_Hlk33187949"/>
    </w:p>
    <w:p w14:paraId="51B76C57" w14:textId="208CF4B1" w:rsidR="00354F08" w:rsidRDefault="00BD1694" w:rsidP="00865A72">
      <w:pPr>
        <w:spacing w:line="360" w:lineRule="auto"/>
      </w:pPr>
      <w:bookmarkStart w:id="2" w:name="_Hlk33184822"/>
      <w:r>
        <w:t xml:space="preserve">This extract is taken from </w:t>
      </w:r>
      <w:r w:rsidR="004B7001">
        <w:t>Bernard of Clairvaux’s letter to his nephew Robert. Bernard opens with a greeting to his nephew,</w:t>
      </w:r>
      <w:r w:rsidR="001850BE">
        <w:t xml:space="preserve"> in which</w:t>
      </w:r>
      <w:r w:rsidR="004B7001">
        <w:t xml:space="preserve"> </w:t>
      </w:r>
      <w:r w:rsidR="00354F08">
        <w:t>he uses</w:t>
      </w:r>
      <w:r w:rsidR="004B7001">
        <w:t xml:space="preserve"> the word ‘dearest’ a translation from the Latin, </w:t>
      </w:r>
      <w:r w:rsidR="004B7001">
        <w:rPr>
          <w:i/>
        </w:rPr>
        <w:t xml:space="preserve">carissimus. </w:t>
      </w:r>
      <w:r w:rsidR="004B7001">
        <w:t xml:space="preserve">Although Bernard’s wording suggests a familial bond, Haseldine notes that </w:t>
      </w:r>
      <w:r w:rsidR="008835A8">
        <w:t>Bernard</w:t>
      </w:r>
      <w:r w:rsidR="004B7001">
        <w:t xml:space="preserve"> uses this term in</w:t>
      </w:r>
      <w:r w:rsidR="00354F08">
        <w:t xml:space="preserve"> twelve </w:t>
      </w:r>
      <w:r w:rsidR="008835A8">
        <w:t>to</w:t>
      </w:r>
      <w:r w:rsidR="00354F08">
        <w:t xml:space="preserve"> forty</w:t>
      </w:r>
      <w:r w:rsidR="008F421D">
        <w:t>-</w:t>
      </w:r>
      <w:r w:rsidR="00354F08">
        <w:t>five percent of his letters.</w:t>
      </w:r>
      <w:r w:rsidR="00643D87">
        <w:rPr>
          <w:rStyle w:val="FootnoteReference"/>
        </w:rPr>
        <w:footnoteReference w:id="1"/>
      </w:r>
      <w:r w:rsidR="00354F08">
        <w:t xml:space="preserve"> The initial disarming tone of Bernard’s greeting is not unique and, does not continue. </w:t>
      </w:r>
    </w:p>
    <w:p w14:paraId="04C41914" w14:textId="77777777" w:rsidR="00643D87" w:rsidRDefault="0016500D" w:rsidP="00865A72">
      <w:pPr>
        <w:spacing w:line="360" w:lineRule="auto"/>
      </w:pPr>
      <w:r>
        <w:t>Bernard’s reference to a ‘grand prior’ as a ‘sheep in wolf</w:t>
      </w:r>
      <w:r w:rsidR="008F421D">
        <w:t>’</w:t>
      </w:r>
      <w:r>
        <w:t>s clothing’ is an evocative use of language. Here he is making some very serious accusations under thinly veiled metaphor. His use of the word grand is very sarcastic, his accusation that his flock was infiltrated not only by an individual</w:t>
      </w:r>
      <w:r w:rsidR="001850BE">
        <w:t>;</w:t>
      </w:r>
      <w:r>
        <w:t xml:space="preserve"> but under the orders of the head of ‘chief prior’ of the Cluniac’s suggests a conspiracy. In using the analogy of a sheep in wolf</w:t>
      </w:r>
      <w:r w:rsidR="008F421D">
        <w:t>’</w:t>
      </w:r>
      <w:r>
        <w:t>s clothing and linking it to the Cluniac Abbot</w:t>
      </w:r>
      <w:r w:rsidR="001850BE">
        <w:t>,</w:t>
      </w:r>
      <w:r>
        <w:t xml:space="preserve"> Bernard is insinuating that the entire order are false prophets.</w:t>
      </w:r>
      <w:r>
        <w:rPr>
          <w:rStyle w:val="FootnoteReference"/>
        </w:rPr>
        <w:footnoteReference w:id="2"/>
      </w:r>
      <w:r>
        <w:t xml:space="preserve"> </w:t>
      </w:r>
    </w:p>
    <w:p w14:paraId="7202D513" w14:textId="2FA62336" w:rsidR="00643D87" w:rsidRDefault="00643D87" w:rsidP="00865A72">
      <w:pPr>
        <w:spacing w:line="360" w:lineRule="auto"/>
      </w:pPr>
      <w:r>
        <w:t>Bernard</w:t>
      </w:r>
      <w:r w:rsidR="00776400">
        <w:t xml:space="preserve"> further accuses the</w:t>
      </w:r>
      <w:r>
        <w:t xml:space="preserve"> Cluniac’s</w:t>
      </w:r>
      <w:r w:rsidR="00776400">
        <w:t xml:space="preserve"> of manipulation, </w:t>
      </w:r>
      <w:r w:rsidR="00170A68">
        <w:t>claiming</w:t>
      </w:r>
      <w:r w:rsidR="00776400">
        <w:t xml:space="preserve"> they allegedly tricked</w:t>
      </w:r>
      <w:r>
        <w:t xml:space="preserve"> the </w:t>
      </w:r>
      <w:r w:rsidR="00776400">
        <w:t>pope</w:t>
      </w:r>
      <w:r>
        <w:t xml:space="preserve"> into releasing Robert from the Cistercian order so that he may join Cluny. Here, Bernard is very careful not to criticise the pope </w:t>
      </w:r>
      <w:r w:rsidR="00776400">
        <w:t xml:space="preserve">and states </w:t>
      </w:r>
      <w:r>
        <w:t xml:space="preserve">that the </w:t>
      </w:r>
      <w:r w:rsidR="001761EC">
        <w:t>pope’s</w:t>
      </w:r>
      <w:r w:rsidR="00776400">
        <w:t xml:space="preserve"> </w:t>
      </w:r>
      <w:r>
        <w:t>wrong decision</w:t>
      </w:r>
      <w:r w:rsidR="00776400">
        <w:t xml:space="preserve"> was</w:t>
      </w:r>
      <w:r>
        <w:t xml:space="preserve"> </w:t>
      </w:r>
      <w:r w:rsidR="00776400">
        <w:t xml:space="preserve">due </w:t>
      </w:r>
      <w:r>
        <w:t>only to the treachery of the Cluniac’s and the corruption of the legal system. It is i</w:t>
      </w:r>
      <w:r w:rsidR="00170A68">
        <w:t>nteresting</w:t>
      </w:r>
      <w:r>
        <w:t xml:space="preserve"> that here, Bernard suggests that the oblation of his nephew was a complete lie</w:t>
      </w:r>
      <w:bookmarkStart w:id="4" w:name="_Hlk33184840"/>
      <w:bookmarkEnd w:id="2"/>
      <w:r w:rsidR="00BA6A23">
        <w:t>; as in t</w:t>
      </w:r>
      <w:r w:rsidR="001850BE">
        <w:t>he extract itself</w:t>
      </w:r>
      <w:r w:rsidR="008F421D">
        <w:t>,</w:t>
      </w:r>
      <w:r w:rsidR="001850BE">
        <w:t xml:space="preserve"> </w:t>
      </w:r>
      <w:r w:rsidR="00BA6A23">
        <w:t>he</w:t>
      </w:r>
      <w:r w:rsidR="001850BE">
        <w:t xml:space="preserve"> counters </w:t>
      </w:r>
      <w:r w:rsidR="00BA6A23">
        <w:t>the said</w:t>
      </w:r>
      <w:r w:rsidR="001850BE">
        <w:t xml:space="preserve"> claim</w:t>
      </w:r>
      <w:r w:rsidR="00BA6A23">
        <w:t>. H</w:t>
      </w:r>
      <w:r w:rsidR="001850BE">
        <w:t>e writes that Robert had been promised to Cluny as a child</w:t>
      </w:r>
      <w:r w:rsidR="00BA6A23">
        <w:t xml:space="preserve"> but without formal oblation</w:t>
      </w:r>
      <w:r w:rsidR="001850BE">
        <w:t>. Bernard uses this paragraph to attack the institution of child oblates generally. He</w:t>
      </w:r>
      <w:r w:rsidR="001761EC">
        <w:t xml:space="preserve"> points out</w:t>
      </w:r>
      <w:r w:rsidR="001850BE">
        <w:t xml:space="preserve"> th</w:t>
      </w:r>
      <w:r w:rsidR="001761EC">
        <w:t>e absurdity</w:t>
      </w:r>
      <w:r w:rsidR="00BA14F5">
        <w:t xml:space="preserve"> </w:t>
      </w:r>
      <w:r w:rsidR="001761EC">
        <w:t>of a</w:t>
      </w:r>
      <w:r w:rsidR="00BA6A23">
        <w:t>llowing a</w:t>
      </w:r>
      <w:r w:rsidR="00BA14F5">
        <w:t xml:space="preserve"> parent</w:t>
      </w:r>
      <w:r w:rsidR="005C2AFB">
        <w:t xml:space="preserve"> to</w:t>
      </w:r>
      <w:r w:rsidR="00BA14F5">
        <w:t xml:space="preserve"> mak</w:t>
      </w:r>
      <w:r w:rsidR="005C2AFB">
        <w:t>e</w:t>
      </w:r>
      <w:r w:rsidR="00BA14F5">
        <w:t xml:space="preserve"> such a decision on behalf of a child</w:t>
      </w:r>
      <w:r w:rsidR="001761EC">
        <w:t>;</w:t>
      </w:r>
      <w:r w:rsidR="00BA14F5">
        <w:t xml:space="preserve"> whilst disregarding that same child’s vows in adulthood. Bernard does not </w:t>
      </w:r>
      <w:r w:rsidR="00AA29F3">
        <w:t>entertain the idea that</w:t>
      </w:r>
      <w:r w:rsidR="00BA14F5">
        <w:t xml:space="preserve"> Robert</w:t>
      </w:r>
      <w:r w:rsidR="00AA29F3">
        <w:t xml:space="preserve"> had a</w:t>
      </w:r>
      <w:r w:rsidR="00BA14F5">
        <w:t xml:space="preserve"> responsibility to ‘honour thy father and thy mother’.</w:t>
      </w:r>
      <w:r w:rsidR="00BA14F5">
        <w:rPr>
          <w:rStyle w:val="FootnoteReference"/>
        </w:rPr>
        <w:footnoteReference w:id="3"/>
      </w:r>
      <w:r w:rsidR="00691EA7">
        <w:t xml:space="preserve"> </w:t>
      </w:r>
      <w:r w:rsidR="00821031">
        <w:t xml:space="preserve">It is possible that Robert’s sense of </w:t>
      </w:r>
      <w:r w:rsidR="005C2AFB">
        <w:t>duty</w:t>
      </w:r>
      <w:r w:rsidR="00821031">
        <w:t xml:space="preserve"> to his parents was the instigating force behind his departure. Bernard claims that the oblation of Robert was never formalised in accordance with the Rule</w:t>
      </w:r>
      <w:r w:rsidR="001761EC">
        <w:rPr>
          <w:rStyle w:val="FootnoteReference"/>
        </w:rPr>
        <w:footnoteReference w:id="4"/>
      </w:r>
      <w:r w:rsidR="00AA29F3">
        <w:t xml:space="preserve"> as</w:t>
      </w:r>
      <w:r w:rsidR="00821031">
        <w:t xml:space="preserve"> </w:t>
      </w:r>
      <w:r w:rsidR="00AA29F3">
        <w:t>h</w:t>
      </w:r>
      <w:r w:rsidR="00821031">
        <w:t>is hand was not bound and there were no witnesses. Although it seems unlikely that Bernard would have been able to know this information for a fact; it is likely t</w:t>
      </w:r>
      <w:r w:rsidR="00E723E8">
        <w:t>o be</w:t>
      </w:r>
      <w:r w:rsidR="00821031">
        <w:t xml:space="preserve"> true. Eastburn Boswell</w:t>
      </w:r>
      <w:r w:rsidR="00497809">
        <w:t>’s article states</w:t>
      </w:r>
      <w:r w:rsidR="00E723E8">
        <w:t>,</w:t>
      </w:r>
      <w:r w:rsidR="00497809">
        <w:t xml:space="preserve"> that parents would sometimes try to </w:t>
      </w:r>
      <w:r w:rsidR="005C2AFB">
        <w:t>recover</w:t>
      </w:r>
      <w:r w:rsidR="00497809">
        <w:t xml:space="preserve"> </w:t>
      </w:r>
      <w:r w:rsidR="00497809">
        <w:lastRenderedPageBreak/>
        <w:t>children from monasteries</w:t>
      </w:r>
      <w:r w:rsidR="001761EC">
        <w:t>,</w:t>
      </w:r>
      <w:r w:rsidR="00E723E8">
        <w:t xml:space="preserve"> requiring laws to be made</w:t>
      </w:r>
      <w:r w:rsidR="00497809">
        <w:t xml:space="preserve"> in the early middle </w:t>
      </w:r>
      <w:r w:rsidR="00AA29F3">
        <w:t>ages</w:t>
      </w:r>
      <w:r w:rsidR="00497809">
        <w:t xml:space="preserve"> to prevent such retrievals.</w:t>
      </w:r>
      <w:r w:rsidR="00497809">
        <w:rPr>
          <w:rStyle w:val="FootnoteReference"/>
        </w:rPr>
        <w:footnoteReference w:id="5"/>
      </w:r>
      <w:r w:rsidR="00497809">
        <w:t xml:space="preserve"> This would explain why Robert was only promised to Cluny </w:t>
      </w:r>
      <w:r w:rsidR="00396362">
        <w:t>without a formal oblation</w:t>
      </w:r>
      <w:r w:rsidR="00497809">
        <w:t>, his parents may have wanted the option of keeping their son.</w:t>
      </w:r>
    </w:p>
    <w:p w14:paraId="71B53EAC" w14:textId="77777777" w:rsidR="00E723E8" w:rsidRDefault="00396362" w:rsidP="00865A72">
      <w:pPr>
        <w:spacing w:line="360" w:lineRule="auto"/>
      </w:pPr>
      <w:bookmarkStart w:id="5" w:name="_Hlk33187592"/>
      <w:bookmarkEnd w:id="0"/>
      <w:r>
        <w:t>Following on from the extract in the same paragraph, Bernard starts to address Robert directly. In the first half of the letter</w:t>
      </w:r>
      <w:r w:rsidR="008F421D">
        <w:t>,</w:t>
      </w:r>
      <w:r>
        <w:t xml:space="preserve"> he is writing in the past tense and addressing a wider audience. </w:t>
      </w:r>
      <w:r w:rsidR="00DD7343">
        <w:t>This change in tone reflects the purpose of this letter, Haseldine argues that monastic letters from the middle ages can be divided into six functions and often serve more that one purpose. Bernard’s letter fits into three of the six groups. Initially</w:t>
      </w:r>
      <w:r w:rsidR="008F421D">
        <w:t>,</w:t>
      </w:r>
      <w:r w:rsidR="00DD7343">
        <w:t xml:space="preserve"> it is a letter dealing with an intellectual matter</w:t>
      </w:r>
      <w:r w:rsidR="001761EC">
        <w:t>;</w:t>
      </w:r>
      <w:r w:rsidR="00DD7343">
        <w:t xml:space="preserve"> the deliberation of Robert</w:t>
      </w:r>
      <w:r w:rsidR="008F421D">
        <w:t>’</w:t>
      </w:r>
      <w:r w:rsidR="00DD7343">
        <w:t>s moral and legal obligations certainly required an intellectual mind, well versed in religious teachings. Secondly</w:t>
      </w:r>
      <w:r w:rsidR="008F421D">
        <w:t>,</w:t>
      </w:r>
      <w:r w:rsidR="00DD7343">
        <w:t xml:space="preserve"> it is a letter of appeal</w:t>
      </w:r>
      <w:r w:rsidR="001761EC">
        <w:t>;</w:t>
      </w:r>
      <w:r w:rsidR="00DD7343">
        <w:t xml:space="preserve"> as Bernard turns his attention to </w:t>
      </w:r>
      <w:bookmarkStart w:id="6" w:name="_Hlk33187968"/>
      <w:bookmarkEnd w:id="1"/>
      <w:r w:rsidR="00DD7343">
        <w:t>Robert directly and implores him to consider his actions carefully. Thirdly it is a letter of conflict</w:t>
      </w:r>
      <w:r w:rsidR="001761EC">
        <w:t>;</w:t>
      </w:r>
      <w:r w:rsidR="003D0C45">
        <w:rPr>
          <w:rStyle w:val="FootnoteReference"/>
        </w:rPr>
        <w:footnoteReference w:id="6"/>
      </w:r>
      <w:r w:rsidR="00DD7343">
        <w:t xml:space="preserve"> not only is there conflict between nephew and uncle but Bernard initiates a conflict with the Cluniac’s in this letter, it has been referred to as ‘the first shot in the great controversy between the congregation of Cluny and the </w:t>
      </w:r>
      <w:r w:rsidR="003D0C45">
        <w:t>Cistercian reform’.</w:t>
      </w:r>
      <w:r w:rsidR="00C22391">
        <w:rPr>
          <w:rStyle w:val="FootnoteReference"/>
        </w:rPr>
        <w:footnoteReference w:id="7"/>
      </w:r>
    </w:p>
    <w:p w14:paraId="51324797" w14:textId="5DD215CF" w:rsidR="004A0FF5" w:rsidRDefault="00BB2DC8" w:rsidP="00865A72">
      <w:pPr>
        <w:spacing w:line="360" w:lineRule="auto"/>
      </w:pPr>
      <w:r>
        <w:t>The tone of Bernard’s letter increases in dramatic tension, it is as if he is shouting at his nephew as</w:t>
      </w:r>
      <w:r w:rsidR="00AA29F3">
        <w:t xml:space="preserve"> he</w:t>
      </w:r>
      <w:r>
        <w:t xml:space="preserve"> yells</w:t>
      </w:r>
      <w:r w:rsidR="00223707">
        <w:t>,</w:t>
      </w:r>
      <w:r>
        <w:t xml:space="preserve"> ‘You foolish boy!’ through his writing. </w:t>
      </w:r>
      <w:r w:rsidR="001761EC">
        <w:t>I</w:t>
      </w:r>
      <w:r w:rsidR="00DE598C">
        <w:t>t would seem that he genuinely cares for the soul of his nephew. Although this is probably true</w:t>
      </w:r>
      <w:r w:rsidR="00BB2DAA">
        <w:t>,</w:t>
      </w:r>
      <w:r w:rsidR="00DE598C">
        <w:t xml:space="preserve"> Bernard’s insistence on Robert’s return may also have been for selfish reasons. Bernard himself writes</w:t>
      </w:r>
      <w:r w:rsidR="00223707">
        <w:t xml:space="preserve"> in his</w:t>
      </w:r>
      <w:r w:rsidR="00D65072">
        <w:t>,</w:t>
      </w:r>
      <w:r w:rsidR="00223707">
        <w:t xml:space="preserve"> </w:t>
      </w:r>
      <w:r w:rsidR="00223707">
        <w:rPr>
          <w:i/>
          <w:iCs/>
        </w:rPr>
        <w:t>an apologia to abbot William</w:t>
      </w:r>
      <w:r w:rsidR="00DE598C">
        <w:t>,</w:t>
      </w:r>
      <w:r w:rsidR="00BB2DAA">
        <w:t xml:space="preserve"> ’The Rule states that the superior will be responsible for the wrong-doing of his subjects’.</w:t>
      </w:r>
      <w:r w:rsidR="00DE598C">
        <w:rPr>
          <w:rStyle w:val="FootnoteReference"/>
        </w:rPr>
        <w:footnoteReference w:id="8"/>
      </w:r>
      <w:r w:rsidR="00BB2DAA">
        <w:t xml:space="preserve"> As abbot, Bernard w</w:t>
      </w:r>
      <w:r w:rsidR="001761EC">
        <w:t>ould</w:t>
      </w:r>
      <w:r w:rsidR="00BB2DAA">
        <w:t xml:space="preserve"> be held accountable for </w:t>
      </w:r>
      <w:r w:rsidR="004A0FF5">
        <w:t>Robert’s</w:t>
      </w:r>
      <w:r w:rsidR="00BB2DAA">
        <w:t xml:space="preserve"> abandonment of his vows.</w:t>
      </w:r>
    </w:p>
    <w:bookmarkEnd w:id="4"/>
    <w:p w14:paraId="10F1567B" w14:textId="1FE04882" w:rsidR="00BA6A23" w:rsidRDefault="00BB2304" w:rsidP="00865A72">
      <w:pPr>
        <w:spacing w:line="360" w:lineRule="auto"/>
      </w:pPr>
      <w:r>
        <w:t xml:space="preserve">In the final chapter Bernard explicitly tells Robert what he needs to do to overcome his weaknesses and succeed in his Cistercian life. Bernard is speaking from experience, in William of Thierry’s </w:t>
      </w:r>
      <w:r w:rsidRPr="00BB2304">
        <w:rPr>
          <w:i/>
        </w:rPr>
        <w:t>Life</w:t>
      </w:r>
      <w:r w:rsidR="008F421D">
        <w:rPr>
          <w:i/>
        </w:rPr>
        <w:t>,</w:t>
      </w:r>
      <w:r w:rsidR="00DD7343">
        <w:t xml:space="preserve"> </w:t>
      </w:r>
      <w:r>
        <w:t>he writes that Bernard was himself weak, sic</w:t>
      </w:r>
      <w:r w:rsidR="00AA29F3">
        <w:t>kly and unused to manual labour.</w:t>
      </w:r>
      <w:r w:rsidR="00AA29F3">
        <w:rPr>
          <w:rStyle w:val="FootnoteReference"/>
        </w:rPr>
        <w:footnoteReference w:id="9"/>
      </w:r>
      <w:r w:rsidR="00396362">
        <w:t xml:space="preserve"> </w:t>
      </w:r>
      <w:r w:rsidR="00AA29F3">
        <w:t xml:space="preserve">Bernard had fought his own demons to become a Cistercian and he was not going to let his nephew give up. </w:t>
      </w:r>
      <w:r w:rsidR="002A6803">
        <w:t>Robert’s abandonment of the order would have hurt and humbled Bernard. Leclerq writes how Bernard was an extraordinary man from a young age; at just twenty-one years old he had persuaded thirty of his kin to join him at Citeax.</w:t>
      </w:r>
      <w:r w:rsidR="002A6803">
        <w:rPr>
          <w:rStyle w:val="FootnoteReference"/>
        </w:rPr>
        <w:footnoteReference w:id="10"/>
      </w:r>
      <w:r w:rsidR="002A6803">
        <w:t xml:space="preserve"> Although he was one of the youngest </w:t>
      </w:r>
      <w:r w:rsidR="005C2AFB">
        <w:t>in</w:t>
      </w:r>
      <w:r w:rsidR="002A6803">
        <w:t xml:space="preserve"> the group he was definitely their </w:t>
      </w:r>
      <w:r w:rsidR="002A6803">
        <w:lastRenderedPageBreak/>
        <w:t>leader and he</w:t>
      </w:r>
      <w:r w:rsidR="005C2AFB">
        <w:t xml:space="preserve"> continuously</w:t>
      </w:r>
      <w:r w:rsidR="009F16A1">
        <w:t xml:space="preserve"> utilised</w:t>
      </w:r>
      <w:r w:rsidR="002A6803">
        <w:t xml:space="preserve"> his powers of persuasion and manipulation throughout his life.</w:t>
      </w:r>
      <w:r w:rsidR="009F16A1">
        <w:t xml:space="preserve"> Bernard’s inability to </w:t>
      </w:r>
      <w:r w:rsidR="001761EC">
        <w:t>control</w:t>
      </w:r>
      <w:r w:rsidR="009F16A1">
        <w:t xml:space="preserve"> his nephew would have reminded him that his powers were not boundless. Robert’s abandonment of his vows may have been more to do with </w:t>
      </w:r>
      <w:r w:rsidR="008F421D">
        <w:t xml:space="preserve">the </w:t>
      </w:r>
      <w:r w:rsidR="009F16A1">
        <w:t>overbearing manner of his controlling uncle rather than any spiritual or temporal</w:t>
      </w:r>
      <w:r w:rsidR="002A6803">
        <w:t xml:space="preserve"> </w:t>
      </w:r>
      <w:r w:rsidR="009F16A1">
        <w:t>gain.</w:t>
      </w:r>
      <w:r w:rsidR="002A6803">
        <w:t xml:space="preserve"> </w:t>
      </w:r>
    </w:p>
    <w:p w14:paraId="158F725F" w14:textId="77777777" w:rsidR="00A21C1E" w:rsidRDefault="00A21C1E" w:rsidP="00865A72">
      <w:pPr>
        <w:spacing w:line="360" w:lineRule="auto"/>
      </w:pPr>
    </w:p>
    <w:p w14:paraId="3B235724" w14:textId="77777777" w:rsidR="00A21C1E" w:rsidRDefault="00A21C1E" w:rsidP="00DE211D"/>
    <w:p w14:paraId="55D2D57F" w14:textId="77777777" w:rsidR="00A21C1E" w:rsidRDefault="00A21C1E" w:rsidP="00DE211D"/>
    <w:p w14:paraId="145545AD" w14:textId="77777777" w:rsidR="00A21C1E" w:rsidRDefault="00A21C1E" w:rsidP="00DE211D"/>
    <w:p w14:paraId="265EBDD7" w14:textId="77777777" w:rsidR="00A21C1E" w:rsidRDefault="00A21C1E" w:rsidP="00DE211D"/>
    <w:p w14:paraId="1BA5993B" w14:textId="77777777" w:rsidR="00A21C1E" w:rsidRDefault="00A21C1E" w:rsidP="00DE211D"/>
    <w:p w14:paraId="3AF421C8" w14:textId="77777777" w:rsidR="00A21C1E" w:rsidRDefault="00A21C1E" w:rsidP="00DE211D"/>
    <w:p w14:paraId="42C0DC15" w14:textId="77777777" w:rsidR="00A21C1E" w:rsidRDefault="00A21C1E" w:rsidP="00DE211D"/>
    <w:p w14:paraId="7BC7F714" w14:textId="77777777" w:rsidR="00A21C1E" w:rsidRDefault="00A21C1E" w:rsidP="00DE211D"/>
    <w:p w14:paraId="415EB838" w14:textId="77777777" w:rsidR="00A21C1E" w:rsidRDefault="00A21C1E" w:rsidP="00DE211D"/>
    <w:p w14:paraId="69CE2338" w14:textId="77777777" w:rsidR="00865A72" w:rsidRDefault="00865A72" w:rsidP="00DE211D"/>
    <w:p w14:paraId="242A043F" w14:textId="77777777" w:rsidR="00865A72" w:rsidRDefault="00865A72" w:rsidP="00DE211D"/>
    <w:p w14:paraId="7AF1A3C0" w14:textId="77777777" w:rsidR="00865A72" w:rsidRDefault="00865A72" w:rsidP="00DE211D"/>
    <w:p w14:paraId="2323E5CD" w14:textId="77777777" w:rsidR="00865A72" w:rsidRDefault="00865A72" w:rsidP="00DE211D"/>
    <w:p w14:paraId="3333B66D" w14:textId="77777777" w:rsidR="00865A72" w:rsidRDefault="00865A72" w:rsidP="00DE211D"/>
    <w:p w14:paraId="61EA3BFA" w14:textId="77777777" w:rsidR="00865A72" w:rsidRDefault="00865A72" w:rsidP="00DE211D"/>
    <w:p w14:paraId="720BD17D" w14:textId="77777777" w:rsidR="00865A72" w:rsidRDefault="00865A72" w:rsidP="00DE211D"/>
    <w:p w14:paraId="4A70A949" w14:textId="77777777" w:rsidR="00865A72" w:rsidRDefault="00865A72" w:rsidP="00DE211D"/>
    <w:p w14:paraId="5F1B3F8B" w14:textId="77777777" w:rsidR="00865A72" w:rsidRDefault="00865A72" w:rsidP="00DE211D"/>
    <w:p w14:paraId="33619229" w14:textId="77777777" w:rsidR="00865A72" w:rsidRDefault="00865A72" w:rsidP="00DE211D"/>
    <w:p w14:paraId="4131007E" w14:textId="77777777" w:rsidR="00865A72" w:rsidRDefault="00865A72" w:rsidP="00DE211D"/>
    <w:p w14:paraId="0FECB433" w14:textId="77777777" w:rsidR="00865A72" w:rsidRDefault="00865A72" w:rsidP="00DE211D"/>
    <w:p w14:paraId="06C9B484" w14:textId="77777777" w:rsidR="00865A72" w:rsidRDefault="00865A72" w:rsidP="00DE211D"/>
    <w:p w14:paraId="031ED0F9" w14:textId="77777777" w:rsidR="00865A72" w:rsidRDefault="00865A72" w:rsidP="00DE211D"/>
    <w:p w14:paraId="50438998" w14:textId="77777777" w:rsidR="00DE211D" w:rsidRDefault="002A6803" w:rsidP="00DE211D">
      <w:pPr>
        <w:rPr>
          <w:u w:val="single"/>
        </w:rPr>
      </w:pPr>
      <w:r>
        <w:lastRenderedPageBreak/>
        <w:t xml:space="preserve"> </w:t>
      </w:r>
      <w:r w:rsidR="00DE211D" w:rsidRPr="00DE211D">
        <w:rPr>
          <w:u w:val="single"/>
        </w:rPr>
        <w:t>Bibliography</w:t>
      </w:r>
    </w:p>
    <w:p w14:paraId="4A025B58" w14:textId="77777777" w:rsidR="00DE211D" w:rsidRDefault="00DE211D" w:rsidP="00DE211D">
      <w:pPr>
        <w:rPr>
          <w:u w:val="single"/>
        </w:rPr>
      </w:pPr>
    </w:p>
    <w:p w14:paraId="5777289E" w14:textId="77777777" w:rsidR="00DE211D" w:rsidRDefault="00DE211D" w:rsidP="00DE211D">
      <w:pPr>
        <w:rPr>
          <w:u w:val="single"/>
        </w:rPr>
      </w:pPr>
      <w:r>
        <w:rPr>
          <w:u w:val="single"/>
        </w:rPr>
        <w:t>Primary Sources</w:t>
      </w:r>
    </w:p>
    <w:p w14:paraId="115E1396" w14:textId="77777777" w:rsidR="00DE211D" w:rsidRPr="00DE211D" w:rsidRDefault="00DE211D" w:rsidP="00DE211D">
      <w:pPr>
        <w:rPr>
          <w:u w:val="single"/>
        </w:rPr>
      </w:pPr>
    </w:p>
    <w:p w14:paraId="61222154" w14:textId="77777777" w:rsidR="00DE211D" w:rsidRPr="00DE211D" w:rsidRDefault="00DE211D" w:rsidP="00865A72">
      <w:pPr>
        <w:spacing w:line="360" w:lineRule="auto"/>
      </w:pPr>
      <w:r w:rsidRPr="00DE211D">
        <w:t>As found in module reader</w:t>
      </w:r>
      <w:r w:rsidRPr="00DE211D">
        <w:rPr>
          <w:i/>
        </w:rPr>
        <w:t>. The Letter of St Bernard to his Nephew Robert</w:t>
      </w:r>
      <w:r>
        <w:t>.</w:t>
      </w:r>
    </w:p>
    <w:p w14:paraId="75658A6D" w14:textId="77777777" w:rsidR="00DE211D" w:rsidRDefault="00DE211D" w:rsidP="00865A72">
      <w:pPr>
        <w:spacing w:line="360" w:lineRule="auto"/>
        <w:rPr>
          <w:i/>
        </w:rPr>
      </w:pPr>
      <w:r w:rsidRPr="00DE211D">
        <w:t xml:space="preserve">As found in module reader. </w:t>
      </w:r>
      <w:r w:rsidRPr="00DE211D">
        <w:rPr>
          <w:i/>
        </w:rPr>
        <w:t>Works of Bernard of Clairvaux</w:t>
      </w:r>
      <w:r>
        <w:rPr>
          <w:i/>
        </w:rPr>
        <w:t>.</w:t>
      </w:r>
    </w:p>
    <w:p w14:paraId="537C5B8D" w14:textId="77777777" w:rsidR="00DE211D" w:rsidRPr="00DE211D" w:rsidRDefault="00DE211D" w:rsidP="00865A72">
      <w:pPr>
        <w:spacing w:line="360" w:lineRule="auto"/>
      </w:pPr>
      <w:r w:rsidRPr="00DE211D">
        <w:rPr>
          <w:i/>
          <w:iCs/>
        </w:rPr>
        <w:t>King James Bible</w:t>
      </w:r>
      <w:r w:rsidRPr="00DE211D">
        <w:t> (Oxford: Oxford University Press)</w:t>
      </w:r>
      <w:r>
        <w:t>.</w:t>
      </w:r>
    </w:p>
    <w:p w14:paraId="64D1160C" w14:textId="77777777" w:rsidR="00DE211D" w:rsidRPr="00DE211D" w:rsidRDefault="00DE211D" w:rsidP="00865A72">
      <w:pPr>
        <w:spacing w:line="360" w:lineRule="auto"/>
      </w:pPr>
      <w:r w:rsidRPr="00DE211D">
        <w:t>William of St-Thierry, 'Book 1 by William of St-Thierry', in </w:t>
      </w:r>
      <w:r w:rsidRPr="00DE211D">
        <w:rPr>
          <w:i/>
          <w:iCs/>
        </w:rPr>
        <w:t xml:space="preserve">The First Life of Bernard of Clairvaux </w:t>
      </w:r>
      <w:r w:rsidRPr="00DE211D">
        <w:t>(Collegeville: Liturgical Press, 2015)</w:t>
      </w:r>
      <w:r>
        <w:t>.</w:t>
      </w:r>
    </w:p>
    <w:p w14:paraId="4447C4CB" w14:textId="77777777" w:rsidR="00DE211D" w:rsidRPr="00DE211D" w:rsidRDefault="00DE211D" w:rsidP="00865A72">
      <w:pPr>
        <w:spacing w:line="360" w:lineRule="auto"/>
      </w:pPr>
    </w:p>
    <w:p w14:paraId="105571F2" w14:textId="77777777" w:rsidR="00DE211D" w:rsidRPr="00DE211D" w:rsidRDefault="00DE211D" w:rsidP="00865A72">
      <w:pPr>
        <w:spacing w:line="360" w:lineRule="auto"/>
        <w:rPr>
          <w:u w:val="single"/>
        </w:rPr>
      </w:pPr>
      <w:r w:rsidRPr="00DE211D">
        <w:rPr>
          <w:u w:val="single"/>
        </w:rPr>
        <w:t>Secondary Sources</w:t>
      </w:r>
    </w:p>
    <w:p w14:paraId="39010E5B" w14:textId="77777777" w:rsidR="00DE211D" w:rsidRPr="00DE211D" w:rsidRDefault="00DE211D" w:rsidP="00865A72">
      <w:pPr>
        <w:spacing w:line="360" w:lineRule="auto"/>
      </w:pPr>
      <w:r w:rsidRPr="00DE211D">
        <w:t>Eastburn Boswell John, 'Expositio and Oblation: The Abandonment of Children and the Ancient and Medieval Family', </w:t>
      </w:r>
      <w:r w:rsidRPr="00DE211D">
        <w:rPr>
          <w:i/>
          <w:iCs/>
        </w:rPr>
        <w:t>The American Historical Review, </w:t>
      </w:r>
      <w:r w:rsidRPr="00DE211D">
        <w:t>89 (1984), 10-33</w:t>
      </w:r>
      <w:r>
        <w:t>.</w:t>
      </w:r>
    </w:p>
    <w:p w14:paraId="789090CC" w14:textId="77777777" w:rsidR="00DE211D" w:rsidRPr="00DE211D" w:rsidRDefault="00DE211D" w:rsidP="00865A72">
      <w:pPr>
        <w:spacing w:line="360" w:lineRule="auto"/>
      </w:pPr>
      <w:r w:rsidRPr="00DE211D">
        <w:t>Evans G. R., </w:t>
      </w:r>
      <w:r w:rsidRPr="00DE211D">
        <w:rPr>
          <w:i/>
          <w:iCs/>
        </w:rPr>
        <w:t>Bernard of Clairvaux</w:t>
      </w:r>
      <w:r w:rsidRPr="00DE211D">
        <w:t> (Oxford: Oxford University Press, 2000)</w:t>
      </w:r>
      <w:r>
        <w:t>.</w:t>
      </w:r>
    </w:p>
    <w:p w14:paraId="5D0FD6D9" w14:textId="77777777" w:rsidR="00DE211D" w:rsidRPr="00DE211D" w:rsidRDefault="00DE211D" w:rsidP="00865A72">
      <w:pPr>
        <w:spacing w:line="360" w:lineRule="auto"/>
      </w:pPr>
      <w:r w:rsidRPr="00DE211D">
        <w:t>Evans Gillian Rosemary, ed., </w:t>
      </w:r>
      <w:r w:rsidRPr="00DE211D">
        <w:rPr>
          <w:i/>
          <w:iCs/>
        </w:rPr>
        <w:t>Bernard of Clairvaux: Selected Works</w:t>
      </w:r>
      <w:r w:rsidRPr="00DE211D">
        <w:t> (New Jersey: Paulist Press, 1987)</w:t>
      </w:r>
      <w:r>
        <w:t>.</w:t>
      </w:r>
    </w:p>
    <w:p w14:paraId="43B21CAC" w14:textId="77777777" w:rsidR="00DE211D" w:rsidRPr="00DE211D" w:rsidRDefault="00DE211D" w:rsidP="00865A72">
      <w:pPr>
        <w:spacing w:line="360" w:lineRule="auto"/>
      </w:pPr>
      <w:r w:rsidRPr="00DE211D">
        <w:t>Haseldine Julian, 'Affectionate Terms of Address in Twelfth Century Latin Epistolography: A Comparative Study of the Letters of Bernard of Clairvaux, Peter the Venerable, and Peter of Celle', </w:t>
      </w:r>
      <w:r w:rsidRPr="00DE211D">
        <w:rPr>
          <w:i/>
          <w:iCs/>
        </w:rPr>
        <w:t>The Journal of Medieval Latin, </w:t>
      </w:r>
      <w:r w:rsidRPr="00DE211D">
        <w:t>23 (2013), 201-254</w:t>
      </w:r>
      <w:r>
        <w:t>.</w:t>
      </w:r>
    </w:p>
    <w:p w14:paraId="2302C429" w14:textId="77777777" w:rsidR="00DE211D" w:rsidRPr="00DE211D" w:rsidRDefault="00DE211D" w:rsidP="00865A72">
      <w:pPr>
        <w:spacing w:line="360" w:lineRule="auto"/>
      </w:pPr>
      <w:r w:rsidRPr="00DE211D">
        <w:t>McCann Justin, </w:t>
      </w:r>
      <w:r w:rsidRPr="00DE211D">
        <w:rPr>
          <w:i/>
          <w:iCs/>
        </w:rPr>
        <w:t>The Rule of Saint Benedict</w:t>
      </w:r>
      <w:r w:rsidRPr="00DE211D">
        <w:t> (London: Sheed And Ward, 1938)</w:t>
      </w:r>
      <w:r>
        <w:t>.</w:t>
      </w:r>
    </w:p>
    <w:p w14:paraId="3C2C0BEC" w14:textId="77777777" w:rsidR="00DE211D" w:rsidRPr="00DE211D" w:rsidRDefault="00DE211D" w:rsidP="00865A72">
      <w:pPr>
        <w:spacing w:line="360" w:lineRule="auto"/>
      </w:pPr>
      <w:r w:rsidRPr="00DE211D">
        <w:t>Sister Benedicta Ward, ed., </w:t>
      </w:r>
      <w:r w:rsidRPr="00DE211D">
        <w:rPr>
          <w:i/>
          <w:iCs/>
        </w:rPr>
        <w:t>The Influence of St Bernard</w:t>
      </w:r>
      <w:r w:rsidRPr="00DE211D">
        <w:t> (Oxford: SLG Press, 1976)</w:t>
      </w:r>
      <w:r>
        <w:t>.</w:t>
      </w:r>
    </w:p>
    <w:p w14:paraId="00D22AF7" w14:textId="77777777" w:rsidR="00DE211D" w:rsidRPr="00DE211D" w:rsidRDefault="00DE211D" w:rsidP="00865A72">
      <w:pPr>
        <w:spacing w:line="360" w:lineRule="auto"/>
      </w:pPr>
      <w:r w:rsidRPr="00DE211D">
        <w:t>Walker Bynam Caroline, 'The Cistercian Conception of Community: An Aspect of Twelfth Century Spirituality', </w:t>
      </w:r>
      <w:r w:rsidRPr="00DE211D">
        <w:rPr>
          <w:i/>
          <w:iCs/>
        </w:rPr>
        <w:t>The Harvard Theological Review, </w:t>
      </w:r>
      <w:r w:rsidRPr="00DE211D">
        <w:t>68 (1975), 273-286</w:t>
      </w:r>
      <w:r>
        <w:t>.</w:t>
      </w:r>
      <w:r w:rsidRPr="00DE211D">
        <w:br/>
      </w:r>
    </w:p>
    <w:p w14:paraId="19C6EB1F" w14:textId="77777777" w:rsidR="00396362" w:rsidRDefault="00396362"/>
    <w:bookmarkEnd w:id="5"/>
    <w:p w14:paraId="7F36D03D" w14:textId="77777777" w:rsidR="00AA29F3" w:rsidRDefault="00AA29F3"/>
    <w:p w14:paraId="74DFA08B" w14:textId="77777777" w:rsidR="00396362" w:rsidRDefault="00396362"/>
    <w:bookmarkEnd w:id="6"/>
    <w:p w14:paraId="421ED7C7" w14:textId="77777777" w:rsidR="006030B9" w:rsidRDefault="00643D87">
      <w:r>
        <w:t xml:space="preserve">  </w:t>
      </w:r>
      <w:r w:rsidR="00354F08">
        <w:t xml:space="preserve"> </w:t>
      </w:r>
    </w:p>
    <w:p w14:paraId="3448BAB2" w14:textId="77777777" w:rsidR="009B358B" w:rsidRPr="0007032F" w:rsidRDefault="009B358B"/>
    <w:p w14:paraId="652F0A7D" w14:textId="77777777" w:rsidR="0007032F" w:rsidRDefault="0007032F">
      <w:pPr>
        <w:rPr>
          <w:u w:val="single"/>
        </w:rPr>
      </w:pPr>
    </w:p>
    <w:p w14:paraId="58B256B8" w14:textId="77777777" w:rsidR="0007032F" w:rsidRPr="0007032F" w:rsidRDefault="0007032F"/>
    <w:sectPr w:rsidR="0007032F" w:rsidRPr="000703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1DFF5" w14:textId="77777777" w:rsidR="0016500D" w:rsidRDefault="0016500D" w:rsidP="0016500D">
      <w:pPr>
        <w:spacing w:after="0" w:line="240" w:lineRule="auto"/>
      </w:pPr>
      <w:r>
        <w:separator/>
      </w:r>
    </w:p>
  </w:endnote>
  <w:endnote w:type="continuationSeparator" w:id="0">
    <w:p w14:paraId="25532970" w14:textId="77777777" w:rsidR="0016500D" w:rsidRDefault="0016500D" w:rsidP="0016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5AD9B" w14:textId="77777777" w:rsidR="0016500D" w:rsidRDefault="0016500D" w:rsidP="0016500D">
      <w:pPr>
        <w:spacing w:after="0" w:line="240" w:lineRule="auto"/>
      </w:pPr>
      <w:r>
        <w:separator/>
      </w:r>
    </w:p>
  </w:footnote>
  <w:footnote w:type="continuationSeparator" w:id="0">
    <w:p w14:paraId="3FC5E503" w14:textId="77777777" w:rsidR="0016500D" w:rsidRDefault="0016500D" w:rsidP="0016500D">
      <w:pPr>
        <w:spacing w:after="0" w:line="240" w:lineRule="auto"/>
      </w:pPr>
      <w:r>
        <w:continuationSeparator/>
      </w:r>
    </w:p>
  </w:footnote>
  <w:footnote w:id="1">
    <w:p w14:paraId="49B80ADF" w14:textId="28BEB3E8" w:rsidR="00643D87" w:rsidRDefault="00643D87">
      <w:pPr>
        <w:pStyle w:val="FootnoteText"/>
      </w:pPr>
      <w:r>
        <w:rPr>
          <w:rStyle w:val="FootnoteReference"/>
        </w:rPr>
        <w:footnoteRef/>
      </w:r>
      <w:r>
        <w:t xml:space="preserve"> </w:t>
      </w:r>
      <w:r w:rsidR="00B555FA">
        <w:t xml:space="preserve">Julian </w:t>
      </w:r>
      <w:r w:rsidRPr="00643D87">
        <w:t>Haseldine, 'Affectionate Terms of Address in Twelfth Century Latin Epistolography: A Comparative Study of the Letters of Bernard of Clairvaux, Peter the Venerable, and Peter of Celle', </w:t>
      </w:r>
      <w:r w:rsidRPr="00643D87">
        <w:rPr>
          <w:i/>
          <w:iCs/>
        </w:rPr>
        <w:t>The Journal of Medieval Latin, </w:t>
      </w:r>
      <w:r w:rsidRPr="00643D87">
        <w:t>23 (2013), 201-254</w:t>
      </w:r>
      <w:r>
        <w:t>, p. 212.</w:t>
      </w:r>
    </w:p>
  </w:footnote>
  <w:footnote w:id="2">
    <w:p w14:paraId="3485E73A" w14:textId="77777777" w:rsidR="0016500D" w:rsidRDefault="0016500D">
      <w:pPr>
        <w:pStyle w:val="FootnoteText"/>
      </w:pPr>
      <w:r>
        <w:rPr>
          <w:rStyle w:val="FootnoteReference"/>
        </w:rPr>
        <w:footnoteRef/>
      </w:r>
      <w:r>
        <w:t xml:space="preserve"> </w:t>
      </w:r>
      <w:bookmarkStart w:id="3" w:name="_Hlk33105649"/>
      <w:r w:rsidRPr="0016500D">
        <w:rPr>
          <w:i/>
          <w:iCs/>
        </w:rPr>
        <w:t>King James Bible</w:t>
      </w:r>
      <w:r w:rsidRPr="0016500D">
        <w:t> </w:t>
      </w:r>
      <w:bookmarkEnd w:id="3"/>
      <w:r w:rsidRPr="0016500D">
        <w:t>(Oxford: Oxford University Press)</w:t>
      </w:r>
      <w:r>
        <w:t>, Gospel of Matthew 7:15.</w:t>
      </w:r>
    </w:p>
  </w:footnote>
  <w:footnote w:id="3">
    <w:p w14:paraId="10046A39" w14:textId="77777777" w:rsidR="00BA14F5" w:rsidRDefault="00BA14F5">
      <w:pPr>
        <w:pStyle w:val="FootnoteText"/>
      </w:pPr>
      <w:r>
        <w:rPr>
          <w:rStyle w:val="FootnoteReference"/>
        </w:rPr>
        <w:footnoteRef/>
      </w:r>
      <w:r>
        <w:t xml:space="preserve"> </w:t>
      </w:r>
      <w:r w:rsidRPr="00BA14F5">
        <w:rPr>
          <w:i/>
          <w:iCs/>
        </w:rPr>
        <w:t>King James Bible</w:t>
      </w:r>
      <w:r>
        <w:t>, Exodus 20:1-21.</w:t>
      </w:r>
    </w:p>
  </w:footnote>
  <w:footnote w:id="4">
    <w:p w14:paraId="146BD17F" w14:textId="52C6D462" w:rsidR="001761EC" w:rsidRDefault="001761EC">
      <w:pPr>
        <w:pStyle w:val="FootnoteText"/>
      </w:pPr>
      <w:r>
        <w:rPr>
          <w:rStyle w:val="FootnoteReference"/>
        </w:rPr>
        <w:footnoteRef/>
      </w:r>
      <w:r>
        <w:t xml:space="preserve"> </w:t>
      </w:r>
      <w:r w:rsidR="00954305">
        <w:t xml:space="preserve">Justin </w:t>
      </w:r>
      <w:r w:rsidRPr="001761EC">
        <w:t>McCann, </w:t>
      </w:r>
      <w:r w:rsidRPr="001761EC">
        <w:rPr>
          <w:i/>
          <w:iCs/>
        </w:rPr>
        <w:t>The Rule of Saint Benedict</w:t>
      </w:r>
      <w:r w:rsidRPr="001761EC">
        <w:t> (London: Sheed And Ward, 1938)</w:t>
      </w:r>
      <w:r>
        <w:t>.</w:t>
      </w:r>
    </w:p>
  </w:footnote>
  <w:footnote w:id="5">
    <w:p w14:paraId="07509EE0" w14:textId="442E4928" w:rsidR="00497809" w:rsidRDefault="00497809">
      <w:pPr>
        <w:pStyle w:val="FootnoteText"/>
      </w:pPr>
      <w:r>
        <w:rPr>
          <w:rStyle w:val="FootnoteReference"/>
        </w:rPr>
        <w:footnoteRef/>
      </w:r>
      <w:r>
        <w:t xml:space="preserve"> </w:t>
      </w:r>
      <w:r w:rsidR="00954305">
        <w:t xml:space="preserve">John </w:t>
      </w:r>
      <w:r w:rsidRPr="00497809">
        <w:t>Eastburn Boswell, 'Expositio and Oblation: The Abandonment of Children and the Ancient and Medieval Family', </w:t>
      </w:r>
      <w:r w:rsidRPr="00497809">
        <w:rPr>
          <w:i/>
          <w:iCs/>
        </w:rPr>
        <w:t>The American Historical Review, </w:t>
      </w:r>
      <w:r w:rsidRPr="00497809">
        <w:t>89 (1984), 10-33</w:t>
      </w:r>
      <w:r>
        <w:t>, p. 23.</w:t>
      </w:r>
    </w:p>
  </w:footnote>
  <w:footnote w:id="6">
    <w:p w14:paraId="3AEBB185" w14:textId="77777777" w:rsidR="003D0C45" w:rsidRDefault="003D0C45">
      <w:pPr>
        <w:pStyle w:val="FootnoteText"/>
      </w:pPr>
      <w:r>
        <w:rPr>
          <w:rStyle w:val="FootnoteReference"/>
        </w:rPr>
        <w:footnoteRef/>
      </w:r>
      <w:r>
        <w:t xml:space="preserve"> </w:t>
      </w:r>
      <w:r w:rsidRPr="003D0C45">
        <w:t>Haseldine</w:t>
      </w:r>
      <w:r>
        <w:t>,</w:t>
      </w:r>
      <w:r w:rsidRPr="003D0C45">
        <w:t xml:space="preserve"> 'Affectionate Terms of Address</w:t>
      </w:r>
      <w:r>
        <w:t>’,</w:t>
      </w:r>
      <w:r w:rsidRPr="003D0C45">
        <w:t xml:space="preserve"> p. 2</w:t>
      </w:r>
      <w:r>
        <w:t>08</w:t>
      </w:r>
      <w:r w:rsidRPr="003D0C45">
        <w:t>.</w:t>
      </w:r>
    </w:p>
  </w:footnote>
  <w:footnote w:id="7">
    <w:p w14:paraId="7F06135B" w14:textId="77777777" w:rsidR="00C22391" w:rsidRDefault="00C22391">
      <w:pPr>
        <w:pStyle w:val="FootnoteText"/>
      </w:pPr>
      <w:r>
        <w:rPr>
          <w:rStyle w:val="FootnoteReference"/>
        </w:rPr>
        <w:footnoteRef/>
      </w:r>
      <w:r>
        <w:t xml:space="preserve"> </w:t>
      </w:r>
      <w:bookmarkStart w:id="7" w:name="_Hlk33184134"/>
      <w:r>
        <w:t>As found in module reader</w:t>
      </w:r>
      <w:r w:rsidRPr="00DE598C">
        <w:rPr>
          <w:i/>
        </w:rPr>
        <w:t>.</w:t>
      </w:r>
      <w:r w:rsidR="00DE598C" w:rsidRPr="00DE598C">
        <w:rPr>
          <w:i/>
        </w:rPr>
        <w:t xml:space="preserve"> </w:t>
      </w:r>
      <w:r w:rsidR="004A0FF5">
        <w:rPr>
          <w:i/>
        </w:rPr>
        <w:t xml:space="preserve">The Letter of St </w:t>
      </w:r>
      <w:r w:rsidR="00DE598C" w:rsidRPr="00DE598C">
        <w:rPr>
          <w:i/>
        </w:rPr>
        <w:t>Bernard</w:t>
      </w:r>
      <w:r w:rsidR="004A0FF5">
        <w:rPr>
          <w:i/>
        </w:rPr>
        <w:t xml:space="preserve"> to his Nephew Robert</w:t>
      </w:r>
      <w:r w:rsidR="004A0FF5">
        <w:t>, p</w:t>
      </w:r>
      <w:bookmarkEnd w:id="7"/>
      <w:r w:rsidR="004A0FF5">
        <w:t>. 53.</w:t>
      </w:r>
    </w:p>
  </w:footnote>
  <w:footnote w:id="8">
    <w:p w14:paraId="2721744F" w14:textId="77777777" w:rsidR="00DE598C" w:rsidRPr="00DE598C" w:rsidRDefault="00DE598C">
      <w:pPr>
        <w:pStyle w:val="FootnoteText"/>
      </w:pPr>
      <w:r>
        <w:rPr>
          <w:rStyle w:val="FootnoteReference"/>
        </w:rPr>
        <w:footnoteRef/>
      </w:r>
      <w:r>
        <w:t xml:space="preserve"> As found in module reader. </w:t>
      </w:r>
      <w:r>
        <w:rPr>
          <w:i/>
        </w:rPr>
        <w:t xml:space="preserve">Works of Bernard of Clairvaux, </w:t>
      </w:r>
      <w:r>
        <w:t>p. 62.</w:t>
      </w:r>
    </w:p>
  </w:footnote>
  <w:footnote w:id="9">
    <w:p w14:paraId="4977C40E" w14:textId="77777777" w:rsidR="00AA29F3" w:rsidRDefault="00AA29F3">
      <w:pPr>
        <w:pStyle w:val="FootnoteText"/>
      </w:pPr>
      <w:r>
        <w:rPr>
          <w:rStyle w:val="FootnoteReference"/>
        </w:rPr>
        <w:footnoteRef/>
      </w:r>
      <w:r>
        <w:t xml:space="preserve"> </w:t>
      </w:r>
      <w:r w:rsidRPr="00AA29F3">
        <w:t>William of St-Thierry, 'Book 1 by William of St-Thierry', in </w:t>
      </w:r>
      <w:r w:rsidRPr="00AA29F3">
        <w:rPr>
          <w:i/>
          <w:iCs/>
        </w:rPr>
        <w:t xml:space="preserve">The First Life of Bernard of Clairvaux </w:t>
      </w:r>
      <w:r w:rsidRPr="00AA29F3">
        <w:t>(Collegeville: Liturgical Press, 2015), pp. 1-79</w:t>
      </w:r>
      <w:r>
        <w:t>, p. 28</w:t>
      </w:r>
      <w:r w:rsidR="00BA6A23">
        <w:t>.</w:t>
      </w:r>
    </w:p>
  </w:footnote>
  <w:footnote w:id="10">
    <w:p w14:paraId="12A92042" w14:textId="022AA912" w:rsidR="002A6803" w:rsidRPr="002A6803" w:rsidRDefault="002A6803" w:rsidP="002A6803">
      <w:pPr>
        <w:pStyle w:val="FootnoteText"/>
      </w:pPr>
      <w:r>
        <w:rPr>
          <w:rStyle w:val="FootnoteReference"/>
        </w:rPr>
        <w:footnoteRef/>
      </w:r>
      <w:r>
        <w:t xml:space="preserve"> </w:t>
      </w:r>
      <w:bookmarkStart w:id="8" w:name="_Hlk33105014"/>
      <w:r w:rsidR="00954305">
        <w:t xml:space="preserve">Rosemary </w:t>
      </w:r>
      <w:bookmarkStart w:id="9" w:name="_GoBack"/>
      <w:bookmarkEnd w:id="9"/>
      <w:r w:rsidRPr="002A6803">
        <w:t>Evans Gillian, ed., </w:t>
      </w:r>
      <w:r w:rsidRPr="002A6803">
        <w:rPr>
          <w:i/>
          <w:iCs/>
        </w:rPr>
        <w:t>Bernard of Clairvaux: Selected Works</w:t>
      </w:r>
      <w:r w:rsidRPr="002A6803">
        <w:t> (New Jersey: Paulist Press, 1987)</w:t>
      </w:r>
      <w:bookmarkEnd w:id="8"/>
      <w:r>
        <w:t>, p. 17.</w:t>
      </w:r>
    </w:p>
    <w:p w14:paraId="7D474F47" w14:textId="77777777" w:rsidR="002A6803" w:rsidRDefault="002A6803">
      <w:pPr>
        <w:pStyle w:val="FootnoteText"/>
      </w:pPr>
    </w:p>
    <w:p w14:paraId="33B945B0" w14:textId="77777777" w:rsidR="00DE211D" w:rsidRDefault="00DE211D">
      <w:pPr>
        <w:pStyle w:val="FootnoteText"/>
      </w:pPr>
    </w:p>
    <w:p w14:paraId="65B3442E" w14:textId="77777777" w:rsidR="00DE211D" w:rsidRPr="00DE211D" w:rsidRDefault="00DE211D" w:rsidP="00DE211D">
      <w:pPr>
        <w:pStyle w:val="FootnoteText"/>
      </w:pPr>
    </w:p>
    <w:p w14:paraId="294B9159" w14:textId="77777777" w:rsidR="00DE211D" w:rsidRDefault="00DE211D">
      <w:pPr>
        <w:pStyle w:val="FootnoteText"/>
      </w:pP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637"/>
    <w:rsid w:val="0007032F"/>
    <w:rsid w:val="00081AD0"/>
    <w:rsid w:val="001138AF"/>
    <w:rsid w:val="0016500D"/>
    <w:rsid w:val="00170A68"/>
    <w:rsid w:val="001761EC"/>
    <w:rsid w:val="001850BE"/>
    <w:rsid w:val="00223707"/>
    <w:rsid w:val="002A6803"/>
    <w:rsid w:val="002B3BC0"/>
    <w:rsid w:val="002C6637"/>
    <w:rsid w:val="002D57A1"/>
    <w:rsid w:val="002E0C7C"/>
    <w:rsid w:val="00354F08"/>
    <w:rsid w:val="00360AED"/>
    <w:rsid w:val="00361B7B"/>
    <w:rsid w:val="0037044C"/>
    <w:rsid w:val="00396362"/>
    <w:rsid w:val="003D0C45"/>
    <w:rsid w:val="003F2DA9"/>
    <w:rsid w:val="00455E06"/>
    <w:rsid w:val="00467711"/>
    <w:rsid w:val="00497809"/>
    <w:rsid w:val="004A0FF5"/>
    <w:rsid w:val="004B7001"/>
    <w:rsid w:val="004D3D9C"/>
    <w:rsid w:val="004F2A5B"/>
    <w:rsid w:val="0056652E"/>
    <w:rsid w:val="005C2AFB"/>
    <w:rsid w:val="006030B9"/>
    <w:rsid w:val="0063393A"/>
    <w:rsid w:val="00643D87"/>
    <w:rsid w:val="00691EA7"/>
    <w:rsid w:val="006C5731"/>
    <w:rsid w:val="006E0900"/>
    <w:rsid w:val="00776400"/>
    <w:rsid w:val="00821031"/>
    <w:rsid w:val="00860AE4"/>
    <w:rsid w:val="00865A72"/>
    <w:rsid w:val="008755CF"/>
    <w:rsid w:val="008835A8"/>
    <w:rsid w:val="008914A1"/>
    <w:rsid w:val="008F3441"/>
    <w:rsid w:val="008F421D"/>
    <w:rsid w:val="00954305"/>
    <w:rsid w:val="0097019D"/>
    <w:rsid w:val="009B358B"/>
    <w:rsid w:val="009F16A1"/>
    <w:rsid w:val="00A21C1E"/>
    <w:rsid w:val="00AA29F3"/>
    <w:rsid w:val="00AB1B71"/>
    <w:rsid w:val="00AD4361"/>
    <w:rsid w:val="00AE238F"/>
    <w:rsid w:val="00B11658"/>
    <w:rsid w:val="00B23646"/>
    <w:rsid w:val="00B54DAD"/>
    <w:rsid w:val="00B555FA"/>
    <w:rsid w:val="00BA14F5"/>
    <w:rsid w:val="00BA6A23"/>
    <w:rsid w:val="00BB2304"/>
    <w:rsid w:val="00BB2DAA"/>
    <w:rsid w:val="00BB2DC8"/>
    <w:rsid w:val="00BD1694"/>
    <w:rsid w:val="00C22391"/>
    <w:rsid w:val="00C328F7"/>
    <w:rsid w:val="00C9592D"/>
    <w:rsid w:val="00D275C4"/>
    <w:rsid w:val="00D65072"/>
    <w:rsid w:val="00D91BD3"/>
    <w:rsid w:val="00DD7343"/>
    <w:rsid w:val="00DE211D"/>
    <w:rsid w:val="00DE598C"/>
    <w:rsid w:val="00DF1CD4"/>
    <w:rsid w:val="00E059C5"/>
    <w:rsid w:val="00E723E8"/>
    <w:rsid w:val="00ED3219"/>
    <w:rsid w:val="00EF099D"/>
    <w:rsid w:val="00EF22E4"/>
    <w:rsid w:val="00F05657"/>
    <w:rsid w:val="00F1637A"/>
    <w:rsid w:val="00F33A44"/>
    <w:rsid w:val="00F42412"/>
    <w:rsid w:val="00F53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063B0"/>
  <w15:chartTrackingRefBased/>
  <w15:docId w15:val="{8735F628-3926-4AE3-837F-A8227FB68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650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500D"/>
    <w:rPr>
      <w:sz w:val="20"/>
      <w:szCs w:val="20"/>
    </w:rPr>
  </w:style>
  <w:style w:type="character" w:styleId="FootnoteReference">
    <w:name w:val="footnote reference"/>
    <w:basedOn w:val="DefaultParagraphFont"/>
    <w:uiPriority w:val="99"/>
    <w:semiHidden/>
    <w:unhideWhenUsed/>
    <w:rsid w:val="001650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706222">
      <w:bodyDiv w:val="1"/>
      <w:marLeft w:val="0"/>
      <w:marRight w:val="0"/>
      <w:marTop w:val="0"/>
      <w:marBottom w:val="0"/>
      <w:divBdr>
        <w:top w:val="none" w:sz="0" w:space="0" w:color="auto"/>
        <w:left w:val="none" w:sz="0" w:space="0" w:color="auto"/>
        <w:bottom w:val="none" w:sz="0" w:space="0" w:color="auto"/>
        <w:right w:val="none" w:sz="0" w:space="0" w:color="auto"/>
      </w:divBdr>
    </w:div>
    <w:div w:id="407579506">
      <w:bodyDiv w:val="1"/>
      <w:marLeft w:val="0"/>
      <w:marRight w:val="0"/>
      <w:marTop w:val="0"/>
      <w:marBottom w:val="0"/>
      <w:divBdr>
        <w:top w:val="none" w:sz="0" w:space="0" w:color="auto"/>
        <w:left w:val="none" w:sz="0" w:space="0" w:color="auto"/>
        <w:bottom w:val="none" w:sz="0" w:space="0" w:color="auto"/>
        <w:right w:val="none" w:sz="0" w:space="0" w:color="auto"/>
      </w:divBdr>
    </w:div>
    <w:div w:id="95514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4BE15-0491-49E4-BC20-9F556333A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5</Pages>
  <Words>998</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Jevon (1602506)</dc:creator>
  <cp:keywords/>
  <dc:description/>
  <cp:lastModifiedBy>Matthew Jevon</cp:lastModifiedBy>
  <cp:revision>30</cp:revision>
  <dcterms:created xsi:type="dcterms:W3CDTF">2020-02-17T08:45:00Z</dcterms:created>
  <dcterms:modified xsi:type="dcterms:W3CDTF">2020-02-23T19:44:00Z</dcterms:modified>
</cp:coreProperties>
</file>