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6CE42" w14:textId="77777777" w:rsidR="00015BEB" w:rsidRDefault="00015BEB">
      <w:pPr>
        <w:jc w:val="both"/>
        <w:rPr>
          <w:rFonts w:ascii="Times New Roman" w:eastAsia="Times New Roman" w:hAnsi="Times New Roman" w:cs="Times New Roman"/>
          <w:sz w:val="28"/>
          <w:szCs w:val="28"/>
        </w:rPr>
      </w:pPr>
      <w:r>
        <w:rPr>
          <w:noProof/>
        </w:rPr>
        <w:drawing>
          <wp:anchor distT="0" distB="0" distL="114300" distR="114300" simplePos="0" relativeHeight="251658240" behindDoc="0" locked="0" layoutInCell="1" allowOverlap="1" wp14:anchorId="1B32C493" wp14:editId="461505E5">
            <wp:simplePos x="0" y="0"/>
            <wp:positionH relativeFrom="column">
              <wp:posOffset>-610235</wp:posOffset>
            </wp:positionH>
            <wp:positionV relativeFrom="page">
              <wp:posOffset>400050</wp:posOffset>
            </wp:positionV>
            <wp:extent cx="6926580" cy="822960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3173" t="21095" r="29487"/>
                    <a:stretch/>
                  </pic:blipFill>
                  <pic:spPr bwMode="auto">
                    <a:xfrm>
                      <a:off x="0" y="0"/>
                      <a:ext cx="6926580" cy="822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B76443" w14:textId="77777777" w:rsidR="00015BEB" w:rsidRDefault="00015BEB">
      <w:pPr>
        <w:jc w:val="both"/>
        <w:rPr>
          <w:rFonts w:ascii="Times New Roman" w:eastAsia="Times New Roman" w:hAnsi="Times New Roman" w:cs="Times New Roman"/>
          <w:sz w:val="28"/>
          <w:szCs w:val="28"/>
        </w:rPr>
      </w:pPr>
    </w:p>
    <w:p w14:paraId="00000001" w14:textId="6963977C" w:rsidR="000B507E" w:rsidRDefault="00655B6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Assignment title- </w:t>
      </w:r>
    </w:p>
    <w:p w14:paraId="00000002" w14:textId="77777777" w:rsidR="000B507E" w:rsidRDefault="00655B6B">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Looking forward: A critical analysis of Literacy, Numeracy and Digital Competence as Cross-curriculum Responsibilities.</w:t>
      </w:r>
    </w:p>
    <w:p w14:paraId="00000003" w14:textId="77777777" w:rsidR="000B507E" w:rsidRDefault="000B507E">
      <w:pPr>
        <w:jc w:val="both"/>
        <w:rPr>
          <w:rFonts w:ascii="Times New Roman" w:eastAsia="Times New Roman" w:hAnsi="Times New Roman" w:cs="Times New Roman"/>
          <w:sz w:val="24"/>
          <w:szCs w:val="24"/>
        </w:rPr>
      </w:pPr>
    </w:p>
    <w:p w14:paraId="00000004" w14:textId="77777777" w:rsidR="000B507E" w:rsidRDefault="000B507E">
      <w:pPr>
        <w:jc w:val="both"/>
        <w:rPr>
          <w:rFonts w:ascii="Times New Roman" w:eastAsia="Times New Roman" w:hAnsi="Times New Roman" w:cs="Times New Roman"/>
          <w:sz w:val="24"/>
          <w:szCs w:val="24"/>
        </w:rPr>
      </w:pPr>
    </w:p>
    <w:p w14:paraId="00000005" w14:textId="77777777" w:rsidR="000B507E" w:rsidRDefault="000B507E">
      <w:pPr>
        <w:jc w:val="both"/>
        <w:rPr>
          <w:rFonts w:ascii="Times New Roman" w:eastAsia="Times New Roman" w:hAnsi="Times New Roman" w:cs="Times New Roman"/>
          <w:sz w:val="24"/>
          <w:szCs w:val="24"/>
        </w:rPr>
      </w:pPr>
    </w:p>
    <w:p w14:paraId="00000006" w14:textId="77777777" w:rsidR="000B507E" w:rsidRDefault="000B507E" w:rsidP="00F0513F">
      <w:pPr>
        <w:spacing w:line="360" w:lineRule="auto"/>
        <w:jc w:val="both"/>
        <w:rPr>
          <w:rFonts w:ascii="Times New Roman" w:eastAsia="Times New Roman" w:hAnsi="Times New Roman" w:cs="Times New Roman"/>
          <w:sz w:val="24"/>
          <w:szCs w:val="24"/>
        </w:rPr>
      </w:pPr>
    </w:p>
    <w:p w14:paraId="00000007" w14:textId="77777777" w:rsidR="000B507E" w:rsidRDefault="000B507E" w:rsidP="00F0513F">
      <w:pPr>
        <w:spacing w:line="360" w:lineRule="auto"/>
        <w:jc w:val="both"/>
        <w:rPr>
          <w:rFonts w:ascii="Times New Roman" w:eastAsia="Times New Roman" w:hAnsi="Times New Roman" w:cs="Times New Roman"/>
          <w:sz w:val="24"/>
          <w:szCs w:val="24"/>
        </w:rPr>
      </w:pPr>
    </w:p>
    <w:p w14:paraId="00000008" w14:textId="77777777" w:rsidR="000B507E" w:rsidRDefault="000B507E" w:rsidP="00F0513F">
      <w:pPr>
        <w:spacing w:line="360" w:lineRule="auto"/>
        <w:jc w:val="both"/>
        <w:rPr>
          <w:rFonts w:ascii="Times New Roman" w:eastAsia="Times New Roman" w:hAnsi="Times New Roman" w:cs="Times New Roman"/>
          <w:sz w:val="24"/>
          <w:szCs w:val="24"/>
        </w:rPr>
      </w:pPr>
    </w:p>
    <w:p w14:paraId="00000009" w14:textId="77777777" w:rsidR="000B507E" w:rsidRDefault="000B507E" w:rsidP="00F0513F">
      <w:pPr>
        <w:spacing w:line="360" w:lineRule="auto"/>
        <w:jc w:val="both"/>
        <w:rPr>
          <w:rFonts w:ascii="Times New Roman" w:eastAsia="Times New Roman" w:hAnsi="Times New Roman" w:cs="Times New Roman"/>
          <w:sz w:val="24"/>
          <w:szCs w:val="24"/>
        </w:rPr>
      </w:pPr>
    </w:p>
    <w:p w14:paraId="0000000A" w14:textId="77777777" w:rsidR="000B507E" w:rsidRDefault="000B507E" w:rsidP="00F0513F">
      <w:pPr>
        <w:spacing w:line="360" w:lineRule="auto"/>
        <w:jc w:val="both"/>
        <w:rPr>
          <w:rFonts w:ascii="Times New Roman" w:eastAsia="Times New Roman" w:hAnsi="Times New Roman" w:cs="Times New Roman"/>
          <w:sz w:val="24"/>
          <w:szCs w:val="24"/>
        </w:rPr>
      </w:pPr>
    </w:p>
    <w:p w14:paraId="0000000B" w14:textId="77777777" w:rsidR="000B507E" w:rsidRDefault="000B507E" w:rsidP="00F0513F">
      <w:pPr>
        <w:spacing w:line="360" w:lineRule="auto"/>
        <w:jc w:val="both"/>
        <w:rPr>
          <w:rFonts w:ascii="Times New Roman" w:eastAsia="Times New Roman" w:hAnsi="Times New Roman" w:cs="Times New Roman"/>
          <w:sz w:val="24"/>
          <w:szCs w:val="24"/>
        </w:rPr>
      </w:pPr>
    </w:p>
    <w:p w14:paraId="0000000C" w14:textId="77777777" w:rsidR="000B507E" w:rsidRDefault="000B507E" w:rsidP="00F0513F">
      <w:pPr>
        <w:spacing w:line="360" w:lineRule="auto"/>
        <w:jc w:val="both"/>
        <w:rPr>
          <w:rFonts w:ascii="Times New Roman" w:eastAsia="Times New Roman" w:hAnsi="Times New Roman" w:cs="Times New Roman"/>
          <w:sz w:val="24"/>
          <w:szCs w:val="24"/>
        </w:rPr>
      </w:pPr>
    </w:p>
    <w:p w14:paraId="0000000D" w14:textId="77777777" w:rsidR="000B507E" w:rsidRDefault="000B507E" w:rsidP="00F0513F">
      <w:pPr>
        <w:spacing w:line="360" w:lineRule="auto"/>
        <w:jc w:val="both"/>
        <w:rPr>
          <w:rFonts w:ascii="Times New Roman" w:eastAsia="Times New Roman" w:hAnsi="Times New Roman" w:cs="Times New Roman"/>
          <w:sz w:val="24"/>
          <w:szCs w:val="24"/>
        </w:rPr>
      </w:pPr>
    </w:p>
    <w:p w14:paraId="0000000E" w14:textId="77777777" w:rsidR="000B507E" w:rsidRDefault="000B507E" w:rsidP="00F0513F">
      <w:pPr>
        <w:spacing w:line="360" w:lineRule="auto"/>
        <w:jc w:val="both"/>
        <w:rPr>
          <w:rFonts w:ascii="Times New Roman" w:eastAsia="Times New Roman" w:hAnsi="Times New Roman" w:cs="Times New Roman"/>
          <w:sz w:val="24"/>
          <w:szCs w:val="24"/>
        </w:rPr>
      </w:pPr>
    </w:p>
    <w:p w14:paraId="0000000F" w14:textId="77777777" w:rsidR="000B507E" w:rsidRDefault="000B507E" w:rsidP="00F0513F">
      <w:pPr>
        <w:spacing w:line="360" w:lineRule="auto"/>
        <w:jc w:val="both"/>
        <w:rPr>
          <w:rFonts w:ascii="Times New Roman" w:eastAsia="Times New Roman" w:hAnsi="Times New Roman" w:cs="Times New Roman"/>
          <w:sz w:val="24"/>
          <w:szCs w:val="24"/>
        </w:rPr>
      </w:pPr>
    </w:p>
    <w:p w14:paraId="00000010" w14:textId="77777777" w:rsidR="000B507E" w:rsidRDefault="000B507E" w:rsidP="00F0513F">
      <w:pPr>
        <w:spacing w:line="360" w:lineRule="auto"/>
        <w:jc w:val="both"/>
        <w:rPr>
          <w:rFonts w:ascii="Times New Roman" w:eastAsia="Times New Roman" w:hAnsi="Times New Roman" w:cs="Times New Roman"/>
          <w:sz w:val="24"/>
          <w:szCs w:val="24"/>
        </w:rPr>
      </w:pPr>
    </w:p>
    <w:p w14:paraId="00000011" w14:textId="77777777" w:rsidR="000B507E" w:rsidRDefault="000B507E" w:rsidP="00F0513F">
      <w:pPr>
        <w:spacing w:line="360" w:lineRule="auto"/>
        <w:jc w:val="both"/>
        <w:rPr>
          <w:rFonts w:ascii="Times New Roman" w:eastAsia="Times New Roman" w:hAnsi="Times New Roman" w:cs="Times New Roman"/>
          <w:sz w:val="24"/>
          <w:szCs w:val="24"/>
        </w:rPr>
      </w:pPr>
    </w:p>
    <w:p w14:paraId="00000012" w14:textId="77777777" w:rsidR="000B507E" w:rsidRDefault="000B507E" w:rsidP="00F0513F">
      <w:pPr>
        <w:spacing w:line="360" w:lineRule="auto"/>
        <w:jc w:val="both"/>
        <w:rPr>
          <w:rFonts w:ascii="Times New Roman" w:eastAsia="Times New Roman" w:hAnsi="Times New Roman" w:cs="Times New Roman"/>
          <w:sz w:val="24"/>
          <w:szCs w:val="24"/>
        </w:rPr>
      </w:pPr>
    </w:p>
    <w:p w14:paraId="00000013" w14:textId="77777777" w:rsidR="000B507E" w:rsidRDefault="000B507E" w:rsidP="00F0513F">
      <w:pPr>
        <w:spacing w:line="360" w:lineRule="auto"/>
        <w:jc w:val="both"/>
        <w:rPr>
          <w:rFonts w:ascii="Times New Roman" w:eastAsia="Times New Roman" w:hAnsi="Times New Roman" w:cs="Times New Roman"/>
          <w:sz w:val="24"/>
          <w:szCs w:val="24"/>
        </w:rPr>
      </w:pPr>
    </w:p>
    <w:p w14:paraId="00000014" w14:textId="77777777" w:rsidR="000B507E" w:rsidRDefault="000B507E" w:rsidP="00F0513F">
      <w:pPr>
        <w:spacing w:line="360" w:lineRule="auto"/>
        <w:jc w:val="both"/>
        <w:rPr>
          <w:rFonts w:ascii="Times New Roman" w:eastAsia="Times New Roman" w:hAnsi="Times New Roman" w:cs="Times New Roman"/>
          <w:sz w:val="24"/>
          <w:szCs w:val="24"/>
        </w:rPr>
      </w:pPr>
    </w:p>
    <w:p w14:paraId="00000015" w14:textId="77777777" w:rsidR="000B507E" w:rsidRDefault="000B507E" w:rsidP="00F0513F">
      <w:pPr>
        <w:spacing w:line="360" w:lineRule="auto"/>
        <w:jc w:val="both"/>
        <w:rPr>
          <w:rFonts w:ascii="Times New Roman" w:eastAsia="Times New Roman" w:hAnsi="Times New Roman" w:cs="Times New Roman"/>
          <w:sz w:val="24"/>
          <w:szCs w:val="24"/>
        </w:rPr>
      </w:pPr>
    </w:p>
    <w:p w14:paraId="00000016" w14:textId="77777777" w:rsidR="000B507E" w:rsidRDefault="000B507E" w:rsidP="00F0513F">
      <w:pPr>
        <w:spacing w:line="360" w:lineRule="auto"/>
        <w:jc w:val="both"/>
        <w:rPr>
          <w:rFonts w:ascii="Times New Roman" w:eastAsia="Times New Roman" w:hAnsi="Times New Roman" w:cs="Times New Roman"/>
          <w:sz w:val="24"/>
          <w:szCs w:val="24"/>
        </w:rPr>
      </w:pPr>
    </w:p>
    <w:p w14:paraId="00000017" w14:textId="77777777" w:rsidR="000B507E" w:rsidRDefault="000B507E" w:rsidP="00F0513F">
      <w:pPr>
        <w:spacing w:line="360" w:lineRule="auto"/>
        <w:jc w:val="both"/>
        <w:rPr>
          <w:rFonts w:ascii="Times New Roman" w:eastAsia="Times New Roman" w:hAnsi="Times New Roman" w:cs="Times New Roman"/>
          <w:sz w:val="24"/>
          <w:szCs w:val="24"/>
        </w:rPr>
      </w:pPr>
    </w:p>
    <w:p w14:paraId="00000018" w14:textId="77777777" w:rsidR="000B507E" w:rsidRDefault="000B507E" w:rsidP="00F0513F">
      <w:pPr>
        <w:spacing w:line="360" w:lineRule="auto"/>
        <w:jc w:val="both"/>
        <w:rPr>
          <w:rFonts w:ascii="Times New Roman" w:eastAsia="Times New Roman" w:hAnsi="Times New Roman" w:cs="Times New Roman"/>
          <w:sz w:val="24"/>
          <w:szCs w:val="24"/>
        </w:rPr>
      </w:pPr>
    </w:p>
    <w:p w14:paraId="00000019" w14:textId="77777777" w:rsidR="000B507E" w:rsidRDefault="000B507E" w:rsidP="00F0513F">
      <w:pPr>
        <w:spacing w:line="360" w:lineRule="auto"/>
        <w:jc w:val="both"/>
        <w:rPr>
          <w:rFonts w:ascii="Times New Roman" w:eastAsia="Times New Roman" w:hAnsi="Times New Roman" w:cs="Times New Roman"/>
          <w:sz w:val="24"/>
          <w:szCs w:val="24"/>
        </w:rPr>
      </w:pPr>
    </w:p>
    <w:p w14:paraId="0000001A" w14:textId="77777777" w:rsidR="000B507E" w:rsidRDefault="000B507E" w:rsidP="00F0513F">
      <w:pPr>
        <w:spacing w:line="360" w:lineRule="auto"/>
        <w:jc w:val="both"/>
        <w:rPr>
          <w:rFonts w:ascii="Times New Roman" w:eastAsia="Times New Roman" w:hAnsi="Times New Roman" w:cs="Times New Roman"/>
          <w:sz w:val="24"/>
          <w:szCs w:val="24"/>
        </w:rPr>
      </w:pPr>
    </w:p>
    <w:p w14:paraId="0000001B" w14:textId="77777777" w:rsidR="000B507E" w:rsidRDefault="000B507E" w:rsidP="00F0513F">
      <w:pPr>
        <w:spacing w:line="360" w:lineRule="auto"/>
        <w:jc w:val="both"/>
        <w:rPr>
          <w:rFonts w:ascii="Times New Roman" w:eastAsia="Times New Roman" w:hAnsi="Times New Roman" w:cs="Times New Roman"/>
          <w:sz w:val="24"/>
          <w:szCs w:val="24"/>
        </w:rPr>
      </w:pPr>
    </w:p>
    <w:p w14:paraId="0000001C" w14:textId="77777777" w:rsidR="000B507E" w:rsidRDefault="000B507E" w:rsidP="00F0513F">
      <w:pPr>
        <w:spacing w:line="360" w:lineRule="auto"/>
        <w:jc w:val="both"/>
        <w:rPr>
          <w:rFonts w:ascii="Times New Roman" w:eastAsia="Times New Roman" w:hAnsi="Times New Roman" w:cs="Times New Roman"/>
          <w:sz w:val="24"/>
          <w:szCs w:val="24"/>
        </w:rPr>
      </w:pPr>
    </w:p>
    <w:p w14:paraId="0000001D" w14:textId="77777777" w:rsidR="000B507E" w:rsidRDefault="000B507E" w:rsidP="00F0513F">
      <w:pPr>
        <w:spacing w:line="360" w:lineRule="auto"/>
        <w:jc w:val="both"/>
        <w:rPr>
          <w:rFonts w:ascii="Times New Roman" w:eastAsia="Times New Roman" w:hAnsi="Times New Roman" w:cs="Times New Roman"/>
          <w:sz w:val="24"/>
          <w:szCs w:val="24"/>
        </w:rPr>
      </w:pPr>
    </w:p>
    <w:p w14:paraId="7378C09D" w14:textId="77777777" w:rsidR="00015BEB" w:rsidRDefault="00015BEB" w:rsidP="00F0513F">
      <w:pPr>
        <w:spacing w:line="360" w:lineRule="auto"/>
        <w:jc w:val="both"/>
        <w:rPr>
          <w:rFonts w:ascii="Times New Roman" w:eastAsia="Times New Roman" w:hAnsi="Times New Roman" w:cs="Times New Roman"/>
          <w:sz w:val="24"/>
          <w:szCs w:val="24"/>
        </w:rPr>
      </w:pPr>
    </w:p>
    <w:p w14:paraId="00000026" w14:textId="128E2D9E" w:rsidR="000B507E" w:rsidRDefault="00655B6B" w:rsidP="00F0513F">
      <w:pPr>
        <w:spacing w:line="360" w:lineRule="auto"/>
        <w:jc w:val="both"/>
        <w:rPr>
          <w:rFonts w:ascii="Times New Roman" w:eastAsia="Times New Roman" w:hAnsi="Times New Roman" w:cs="Times New Roman"/>
          <w:sz w:val="24"/>
          <w:szCs w:val="24"/>
        </w:rPr>
      </w:pPr>
      <w:bookmarkStart w:id="0" w:name="_GoBack"/>
      <w:bookmarkEnd w:id="0"/>
      <w:r>
        <w:rPr>
          <w:rFonts w:ascii="Times New Roman" w:eastAsia="Times New Roman" w:hAnsi="Times New Roman" w:cs="Times New Roman"/>
          <w:sz w:val="24"/>
          <w:szCs w:val="24"/>
        </w:rPr>
        <w:lastRenderedPageBreak/>
        <w:t xml:space="preserve">Within this analysis, the themes of progression, teacher knowledge and pupil achievement will be explored to critically analyse Literacy, Numeracy and Digital Competence as Cross-curriculum Responsibilities in the new curriculum for Wales. The response will use research, theory and Practical Teaching Experience (PTE) to show knowledge and understanding of cross-curricular learning within Welsh education. Recommendations will be made for the Welsh Government regarding the successful implementation of the Cross-curriculum Responsibilities and personal targets will be made based upon reflections. </w:t>
      </w:r>
    </w:p>
    <w:p w14:paraId="00000027" w14:textId="77777777" w:rsidR="000B507E" w:rsidRDefault="000B507E" w:rsidP="00F0513F">
      <w:pPr>
        <w:spacing w:line="360" w:lineRule="auto"/>
        <w:jc w:val="both"/>
        <w:rPr>
          <w:rFonts w:ascii="Times New Roman" w:eastAsia="Times New Roman" w:hAnsi="Times New Roman" w:cs="Times New Roman"/>
          <w:sz w:val="24"/>
          <w:szCs w:val="24"/>
        </w:rPr>
      </w:pPr>
    </w:p>
    <w:p w14:paraId="00000028" w14:textId="62DAB6B8"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Schools in Wales are currently preparing for the 2022 introduction of the new curriculum: Successful Futures, written by Professor Donaldson. Donaldson states that the current 2008 curriculum does not 'meet the needs' (Donaldson, 2015, p.11) </w:t>
      </w:r>
      <w:r w:rsidR="00710F77">
        <w:rPr>
          <w:rFonts w:ascii="Times New Roman" w:eastAsia="Times New Roman" w:hAnsi="Times New Roman" w:cs="Times New Roman"/>
          <w:sz w:val="24"/>
          <w:szCs w:val="24"/>
        </w:rPr>
        <w:t xml:space="preserve">of Welsh students </w:t>
      </w:r>
      <w:r>
        <w:rPr>
          <w:rFonts w:ascii="Times New Roman" w:eastAsia="Times New Roman" w:hAnsi="Times New Roman" w:cs="Times New Roman"/>
          <w:sz w:val="24"/>
          <w:szCs w:val="24"/>
        </w:rPr>
        <w:t xml:space="preserve">and prevents real-life learning experiences (Donaldson, 2015, p.35). </w:t>
      </w:r>
      <w:r w:rsidR="00710F77">
        <w:rPr>
          <w:rFonts w:ascii="Times New Roman" w:eastAsia="Times New Roman" w:hAnsi="Times New Roman" w:cs="Times New Roman"/>
          <w:sz w:val="24"/>
          <w:szCs w:val="24"/>
        </w:rPr>
        <w:t>Existing approaches</w:t>
      </w:r>
      <w:r>
        <w:rPr>
          <w:rFonts w:ascii="Times New Roman" w:eastAsia="Times New Roman" w:hAnsi="Times New Roman" w:cs="Times New Roman"/>
          <w:sz w:val="24"/>
          <w:szCs w:val="24"/>
        </w:rPr>
        <w:t xml:space="preserve"> are not providing students with the skills required to thrive in today's society (Soffel, 2016). This is supported by Barnes who claims existing curricular methods have a 'relentless focus on the basics' (Gov.uk, 2010a, cited by Barnes, 2015, p.2). Therefore, a case for change was made and the introduction of Successful Futures sees a continuum for learning without 'watertight compartments' (Donaldson, 2015, p.41) but holistic and transferable Areas of Learning and Experience (AOLE). </w:t>
      </w:r>
    </w:p>
    <w:p w14:paraId="00000029" w14:textId="77777777" w:rsidR="000B507E" w:rsidRDefault="000B507E" w:rsidP="00F0513F">
      <w:pPr>
        <w:spacing w:line="360" w:lineRule="auto"/>
        <w:jc w:val="both"/>
        <w:rPr>
          <w:rFonts w:ascii="Times New Roman" w:eastAsia="Times New Roman" w:hAnsi="Times New Roman" w:cs="Times New Roman"/>
          <w:sz w:val="24"/>
          <w:szCs w:val="24"/>
        </w:rPr>
      </w:pPr>
    </w:p>
    <w:p w14:paraId="0000002A" w14:textId="210F3D72"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key aspect of Successful Futures is the Cross-curriculum Responsibilities which consists of Literacy, Numeracy, and Digital Competence. All three areas will continue to be taught across the curriculum as set out in current statutory policy: </w:t>
      </w:r>
      <w:r w:rsidR="00710F77">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National Literacy and Numeracy Framework (LNF)</w:t>
      </w:r>
      <w:r w:rsidR="00710F7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(Welsh Government, 2013) and the Digital Competency Framework (DCF) (Welsh Government, 2016). The LNF was introduced as a holistic approach to literacy and numeracy learning because the Welsh Government felt previous approaches were unsuccessful (National Assembly for Wales, 2013). The 2009 Programme for International Student Achievement (PISA) results highlighted that Wales ranked lowest in the United Kingdom in </w:t>
      </w:r>
      <w:r w:rsidR="00710F77">
        <w:rPr>
          <w:rFonts w:ascii="Times New Roman" w:eastAsia="Times New Roman" w:hAnsi="Times New Roman" w:cs="Times New Roman"/>
          <w:sz w:val="24"/>
          <w:szCs w:val="24"/>
        </w:rPr>
        <w:t xml:space="preserve">reading and mathematics </w:t>
      </w:r>
      <w:r>
        <w:rPr>
          <w:rFonts w:ascii="Times New Roman" w:eastAsia="Times New Roman" w:hAnsi="Times New Roman" w:cs="Times New Roman"/>
          <w:sz w:val="24"/>
          <w:szCs w:val="24"/>
        </w:rPr>
        <w:t xml:space="preserve">and below 72 other countries. This prompted the national priority of raising standards in Literacy and Numeracy (National Assembly for Wales, 2013). Stakeholders felt the continuation of the LNF essential (Donaldson, 2015, p.15) and Literacy and Numeracy became two of the Cross-curriculum Responsibilities. The importance of Digital Competence became apparent following an ICT Steering Group report in 2013 (Arthur, Crick and Hayward, 2013, p.4). The report </w:t>
      </w:r>
      <w:r>
        <w:rPr>
          <w:rFonts w:ascii="Times New Roman" w:eastAsia="Times New Roman" w:hAnsi="Times New Roman" w:cs="Times New Roman"/>
          <w:sz w:val="24"/>
          <w:szCs w:val="24"/>
        </w:rPr>
        <w:lastRenderedPageBreak/>
        <w:t xml:space="preserve">illustrated the need for a digital framework, to be taught holistically, alongside the LNF (Arthur, Crick and Hayward, 2013, p.4). This was supported by Donaldson in Successful Futures and the DCF became statutory for schools in 2016 (Welsh Government, 2016). Donaldson proposes the above three areas are the 'foundations for almost all learning and are essential to being able to participate successfully in the real world' (Donaldson, 2015, p.39). This approach should ensure learning provides context and meaning for students to enhance the </w:t>
      </w:r>
      <w:r w:rsidR="00710F77">
        <w:rPr>
          <w:rFonts w:ascii="Times New Roman" w:eastAsia="Times New Roman" w:hAnsi="Times New Roman" w:cs="Times New Roman"/>
          <w:sz w:val="24"/>
          <w:szCs w:val="24"/>
        </w:rPr>
        <w:t>relevance to</w:t>
      </w:r>
      <w:r>
        <w:rPr>
          <w:rFonts w:ascii="Times New Roman" w:eastAsia="Times New Roman" w:hAnsi="Times New Roman" w:cs="Times New Roman"/>
          <w:sz w:val="24"/>
          <w:szCs w:val="24"/>
        </w:rPr>
        <w:t xml:space="preserve"> their education (Greenwood, 2013, p.447). </w:t>
      </w:r>
    </w:p>
    <w:p w14:paraId="0000002B" w14:textId="77777777" w:rsidR="000B507E" w:rsidRDefault="000B507E" w:rsidP="00F0513F">
      <w:pPr>
        <w:spacing w:line="360" w:lineRule="auto"/>
        <w:jc w:val="both"/>
        <w:rPr>
          <w:rFonts w:ascii="Times New Roman" w:eastAsia="Times New Roman" w:hAnsi="Times New Roman" w:cs="Times New Roman"/>
          <w:sz w:val="24"/>
          <w:szCs w:val="24"/>
        </w:rPr>
      </w:pPr>
    </w:p>
    <w:p w14:paraId="0000002C"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basic principles of cross-curricular learning are visible in education as far back as Plato's teachings of 'the importance of linking emotional, practical and intellectual skills' (Barnes, 2015, p.261). Savage defines this approach as a 'synthesis of knowledge, skills, and understandings from various subject areas' (Savage, 2010, p.8) whereas Barnes states it is, 'When the skills, knowledge, and attitudes of a number of different disciplines are applied to a single experience, problem, question, theme or idea' (Barnes, 2015, p.11). The definition is not agreed upon however, it is commonly accepted as the combination of subjects used within a thematic approach (Hayes, 2010, p.382).</w:t>
      </w:r>
    </w:p>
    <w:p w14:paraId="0000002D" w14:textId="77777777" w:rsidR="000B507E" w:rsidRDefault="000B507E" w:rsidP="00F0513F">
      <w:pPr>
        <w:spacing w:line="360" w:lineRule="auto"/>
        <w:jc w:val="both"/>
        <w:rPr>
          <w:rFonts w:ascii="Times New Roman" w:eastAsia="Times New Roman" w:hAnsi="Times New Roman" w:cs="Times New Roman"/>
          <w:sz w:val="24"/>
          <w:szCs w:val="24"/>
        </w:rPr>
      </w:pPr>
    </w:p>
    <w:p w14:paraId="0000002E"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assignment, I will base my analysis on the above definition by Barnes. From research I have read and my experience in the classroom, I feel it most accurately represents the principles. </w:t>
      </w:r>
    </w:p>
    <w:p w14:paraId="0000002F" w14:textId="77777777" w:rsidR="000B507E" w:rsidRDefault="000B507E" w:rsidP="00F0513F">
      <w:pPr>
        <w:spacing w:line="360" w:lineRule="auto"/>
        <w:jc w:val="both"/>
        <w:rPr>
          <w:rFonts w:ascii="Times New Roman" w:eastAsia="Times New Roman" w:hAnsi="Times New Roman" w:cs="Times New Roman"/>
          <w:sz w:val="24"/>
          <w:szCs w:val="24"/>
        </w:rPr>
      </w:pPr>
    </w:p>
    <w:p w14:paraId="00000030"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Donaldson states that literacy and numeracy are the foundations of education (Donaldson, 2015, p.24). Welsh Government documentation supports this, claiming both are fundamental for their future and the 'building blocks' (Welsh Government, 2016, p.2) of children's progression. The introduction of these as Cross-curriculum Responsibilities in addition to the Language, Literacy and Communication and Mathematics and Numeracy AOLE's, will ensure pupils have thorough knowledge and understanding of essential areas. Applying skills pupils have learned in an AOLE to other areas of the curriculum can 'deepen understanding and can also make the curriculum more coherent and meaningful' (Barnes, 2015, p.262). However, Barnes raises the noteworthy point that literacy and numeracy often 'dominate' (Barnes, 2015, p.306) the school day. In England, some secondary schools have achieved government recommendations of increased use of literacy and numeracy and as a result narrowed pupils' experience in other curriculum areas (NUT, 2015, p.5). </w:t>
      </w:r>
      <w:r>
        <w:rPr>
          <w:rFonts w:ascii="Times New Roman" w:eastAsia="Times New Roman" w:hAnsi="Times New Roman" w:cs="Times New Roman"/>
          <w:sz w:val="24"/>
          <w:szCs w:val="24"/>
        </w:rPr>
        <w:lastRenderedPageBreak/>
        <w:t xml:space="preserve">This was apparent on my PTE. The teacher taught literacy and numeracy skills to such an extent that other curriculum areas were only used to support the focus task activities. It should be considered whether an emphasis on these areas may be detrimental to other AOLE's and wider skills. Wales' 2019 PISA results did see an improvement in reading and mathematics results (Welsh Government, 2019), suggesting that current curricular methods, such as the LNF, are achieving the national priority of raising standards for literacy and numeracy. The benefits of such an approach are apparent but could be at the expense of other skills. </w:t>
      </w:r>
    </w:p>
    <w:p w14:paraId="00000031" w14:textId="77777777" w:rsidR="000B507E" w:rsidRDefault="000B507E" w:rsidP="00F0513F">
      <w:pPr>
        <w:spacing w:line="360" w:lineRule="auto"/>
        <w:jc w:val="both"/>
        <w:rPr>
          <w:rFonts w:ascii="Times New Roman" w:eastAsia="Times New Roman" w:hAnsi="Times New Roman" w:cs="Times New Roman"/>
          <w:sz w:val="24"/>
          <w:szCs w:val="24"/>
        </w:rPr>
      </w:pPr>
    </w:p>
    <w:p w14:paraId="00000032" w14:textId="1C0EE2B4"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report from ICT Steering Group stated that digital competence is </w:t>
      </w:r>
      <w:r w:rsidR="00710F77">
        <w:rPr>
          <w:rFonts w:ascii="Times New Roman" w:eastAsia="Times New Roman" w:hAnsi="Times New Roman" w:cs="Times New Roman"/>
          <w:sz w:val="24"/>
          <w:szCs w:val="24"/>
        </w:rPr>
        <w:t>of equal</w:t>
      </w:r>
      <w:r>
        <w:rPr>
          <w:rFonts w:ascii="Times New Roman" w:eastAsia="Times New Roman" w:hAnsi="Times New Roman" w:cs="Times New Roman"/>
          <w:sz w:val="24"/>
          <w:szCs w:val="24"/>
        </w:rPr>
        <w:t xml:space="preserve"> importance to literacy and numeracy in the 21st Century (Donaldson, 2015, p.24). Digital Competence as a Cross-curriculum Responsibility will enable children to see the relevance of their learning and its application to society (Hague and Payton, 2010, p.8). This is vital for pupil development in the current digital era (Hague and Payton, 2010, p.10). Children must obtain the necessary skills to thrive in an evolving society where many jobs require digital skills to succeed (Yuhyun, 2016). Donaldson emphasises the importance of developing a 'competent workforce' (Donaldson, 2015, p.8) who will be required to use technology creatively and to problem solve. Estyn deems it 'essential' (Edwards, 2019) for children’s future that they are digitally educated. Additionally, it will prepare them for an 'uncertain future' (Barnes, 2015, p.21). However, it has also been suggested that too much time using technology can affect an individual's imagination and reduce thinking ability (Raja and Nagasubramani, 2018, p.35). Furthermore, it can lead to many health risks (American Academy of Pediatrics, 2010, cited by Burnett, 2016, p.11). Therefore, with the increased use of technology at home (Howard, 2017) and the emphasis of its use in school since the introduction of the DCF, I note the concern of the detrimental effect the implementation of Digital Competence may have on children’s development. </w:t>
      </w:r>
    </w:p>
    <w:p w14:paraId="00000033" w14:textId="77777777" w:rsidR="000B507E" w:rsidRDefault="000B507E" w:rsidP="00F0513F">
      <w:pPr>
        <w:spacing w:line="360" w:lineRule="auto"/>
        <w:jc w:val="both"/>
        <w:rPr>
          <w:rFonts w:ascii="Times New Roman" w:eastAsia="Times New Roman" w:hAnsi="Times New Roman" w:cs="Times New Roman"/>
          <w:sz w:val="24"/>
          <w:szCs w:val="24"/>
        </w:rPr>
      </w:pPr>
    </w:p>
    <w:p w14:paraId="00000034" w14:textId="021BE418"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pupil feedback on Successful Futures found that children wanted to use less technology in the </w:t>
      </w:r>
      <w:r w:rsidRPr="00710F77">
        <w:rPr>
          <w:rFonts w:ascii="Times New Roman" w:eastAsia="Times New Roman" w:hAnsi="Times New Roman" w:cs="Times New Roman"/>
          <w:sz w:val="24"/>
          <w:szCs w:val="24"/>
        </w:rPr>
        <w:t xml:space="preserve">classroom (Welsh Government, 2019, p.26). Pupil voice is essential to learning. It enables teachers to determine pupil perception and develop their </w:t>
      </w:r>
      <w:r>
        <w:rPr>
          <w:rFonts w:ascii="Times New Roman" w:eastAsia="Times New Roman" w:hAnsi="Times New Roman" w:cs="Times New Roman"/>
          <w:sz w:val="24"/>
          <w:szCs w:val="24"/>
        </w:rPr>
        <w:t xml:space="preserve">learning based on outcome (Robertson, 2015, p.27). Pupils have increased motivation, achievement, and self-esteem when they feel they have been listened to (Walker and Logan, 2008, p.2). It is prudent to mention here that as the use of technology increases and pupil voice is neglected, engagement may decrease, having a negative </w:t>
      </w:r>
      <w:r>
        <w:rPr>
          <w:rFonts w:ascii="Times New Roman" w:eastAsia="Times New Roman" w:hAnsi="Times New Roman" w:cs="Times New Roman"/>
          <w:sz w:val="24"/>
          <w:szCs w:val="24"/>
        </w:rPr>
        <w:lastRenderedPageBreak/>
        <w:t xml:space="preserve">impact on student progression. However, Hayes notes that pupil voice may enable children to avoid activities they do not like (Hayes, 2010, p.384). To overcome this, teachers must engage children </w:t>
      </w:r>
      <w:r w:rsidRPr="00710F77">
        <w:rPr>
          <w:rFonts w:ascii="Times New Roman" w:eastAsia="Times New Roman" w:hAnsi="Times New Roman" w:cs="Times New Roman"/>
          <w:sz w:val="24"/>
          <w:szCs w:val="24"/>
        </w:rPr>
        <w:t xml:space="preserve">in digital activities effectively by applying skills to topics they are interested in, such as world issues (Welsh Government, 2019, p.25). </w:t>
      </w:r>
    </w:p>
    <w:p w14:paraId="00000035" w14:textId="77777777" w:rsidR="000B507E" w:rsidRDefault="000B507E" w:rsidP="00F0513F">
      <w:pPr>
        <w:spacing w:line="360" w:lineRule="auto"/>
        <w:jc w:val="both"/>
        <w:rPr>
          <w:rFonts w:ascii="Times New Roman" w:eastAsia="Times New Roman" w:hAnsi="Times New Roman" w:cs="Times New Roman"/>
          <w:sz w:val="24"/>
          <w:szCs w:val="24"/>
        </w:rPr>
      </w:pPr>
    </w:p>
    <w:p w14:paraId="00000036" w14:textId="5A20B163"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cross-curricular learning to be successful, Barnes suggests teachers must have basic subject knowledge in all </w:t>
      </w:r>
      <w:r w:rsidR="00710F77">
        <w:rPr>
          <w:rFonts w:ascii="Times New Roman" w:eastAsia="Times New Roman" w:hAnsi="Times New Roman" w:cs="Times New Roman"/>
          <w:sz w:val="24"/>
          <w:szCs w:val="24"/>
        </w:rPr>
        <w:t xml:space="preserve">integrated topics </w:t>
      </w:r>
      <w:r>
        <w:rPr>
          <w:rFonts w:ascii="Times New Roman" w:eastAsia="Times New Roman" w:hAnsi="Times New Roman" w:cs="Times New Roman"/>
          <w:sz w:val="24"/>
          <w:szCs w:val="24"/>
        </w:rPr>
        <w:t xml:space="preserve">(Barnes, 2015, p.63). However, research has also shown that teacher subject knowledge did not affect student achievement (Hattie, 2012, cited by David-Lang, 2013, p.2). Hattie notes an 'Expert' teacher applies prior knowledge to new knowledge and can do so in an integrated approach (Hattie, 2012, cited by David-Lang, 2013, p.2). Thus, suggesting the application of pedagogical knowledge is of more importance for successful cross-curricular learning. This is supported by Hayes who states, 'it is the quality of the teaching that has the greatest impact' (Hayes, 2010, p.387). Grenfell states that a cross-curricular approach can highlight the limitations of a teacher's subject knowledge </w:t>
      </w:r>
      <w:r w:rsidRPr="00710F77">
        <w:rPr>
          <w:rFonts w:ascii="Times New Roman" w:eastAsia="Times New Roman" w:hAnsi="Times New Roman" w:cs="Times New Roman"/>
          <w:sz w:val="24"/>
          <w:szCs w:val="24"/>
        </w:rPr>
        <w:t>(Grenfell, 2002 cited by Hayes, 2010, p.</w:t>
      </w:r>
      <w:r w:rsidR="00710F77" w:rsidRPr="00710F77">
        <w:rPr>
          <w:rFonts w:ascii="Times New Roman" w:eastAsia="Times New Roman" w:hAnsi="Times New Roman" w:cs="Times New Roman"/>
          <w:sz w:val="24"/>
          <w:szCs w:val="24"/>
        </w:rPr>
        <w:t>384</w:t>
      </w:r>
      <w:r w:rsidRPr="00710F7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is, unfortunately, the case in some schools in Wales. A 2017 evaluation of the LNF found that some teachers' confidence and knowledge were inadequate in the implementation of cross-curricular activities (Estyn, 2017, p.39). Additionally, this is seen in reports regarding the DCF and is particularly relevant for Key Stage 2 teachers (Estyn, 2018, p.4). Poor subject knowledge in the Cross-curriculum Responsibilities could have a negative impact on pupil attainment (Metzler and Woessman, 2010, p.1) and subsequently pupil progression. With the rapid pace of change in technology advancements (Hague and Payton, 2010, p.10) it is not surprising that teachers in Wales lack confidence in more complex aspects of the DCF. It is suggested that 65% of pupils in Primary schools will enter jobs that currently do not exist (Schwab and Samans, 2019). Teachers need to prepare students with the skills for these jobs and this can be an issue for those not confident in the DCF.  As a result, teachers may spend less time teaching DCF if they have low self-efficacy ((Mulholland and Wallace 2001 cited by Rohaan, Taconis, and Jochems, 2010, p.273). My experience on PTE supports this, as I did occasionally avoid the application of DCF where I felt my skills were lacking. </w:t>
      </w:r>
    </w:p>
    <w:p w14:paraId="00000037" w14:textId="77777777" w:rsidR="000B507E" w:rsidRDefault="000B507E" w:rsidP="00F0513F">
      <w:pPr>
        <w:spacing w:line="360" w:lineRule="auto"/>
        <w:jc w:val="both"/>
        <w:rPr>
          <w:rFonts w:ascii="Times New Roman" w:eastAsia="Times New Roman" w:hAnsi="Times New Roman" w:cs="Times New Roman"/>
          <w:sz w:val="24"/>
          <w:szCs w:val="24"/>
        </w:rPr>
      </w:pPr>
    </w:p>
    <w:p w14:paraId="00000038"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in mathematics has found that teachers who lack subject knowledge struggle to form connections across wider aspects of the discipline and focus on constricted areas (Walshaw, 2012, </w:t>
      </w:r>
      <w:r>
        <w:rPr>
          <w:rFonts w:ascii="Times New Roman" w:eastAsia="Times New Roman" w:hAnsi="Times New Roman" w:cs="Times New Roman"/>
          <w:sz w:val="24"/>
          <w:szCs w:val="24"/>
        </w:rPr>
        <w:lastRenderedPageBreak/>
        <w:t xml:space="preserve">p.182). This would present an issue in teaching Numeracy, as </w:t>
      </w:r>
      <w:r w:rsidRPr="00F0513F">
        <w:rPr>
          <w:rFonts w:ascii="Times New Roman" w:eastAsia="Times New Roman" w:hAnsi="Times New Roman" w:cs="Times New Roman"/>
          <w:sz w:val="24"/>
          <w:szCs w:val="24"/>
        </w:rPr>
        <w:t>practitioners must be able to form connections to teach the LNF element, 'Identify processes and connections' (Welsh Government, 2019). Ad</w:t>
      </w:r>
      <w:r>
        <w:rPr>
          <w:rFonts w:ascii="Times New Roman" w:eastAsia="Times New Roman" w:hAnsi="Times New Roman" w:cs="Times New Roman"/>
          <w:sz w:val="24"/>
          <w:szCs w:val="24"/>
        </w:rPr>
        <w:t xml:space="preserve">ditionally, one of the twelve Pedagogical Principles in Successful Futures, highlights that the most effective teachers 'make connections within and across the Areas of Learning and Experience' (ImpactWales, 2018). It was however found that students were more improved when teachers had strong pedagogy skills as opposed to subject knowledge (Hill et al, 2005, cited by Murphy, 2012, p.189). This is supported by Walshaw, who states that 'teachers’ knowledge of how to teach the content, is critical for effective teaching' when discussing mathematics (Walshaw, 2012, p.182). Yet, in Wales, some teachers are still unable to effectively implement literacy and numeracy across the curriculum (Estyn, 2017, p.39) highlighting a concern regarding the pedagogical knowledge of practitioners. </w:t>
      </w:r>
    </w:p>
    <w:p w14:paraId="00000039" w14:textId="77777777" w:rsidR="000B507E" w:rsidRDefault="000B507E" w:rsidP="00F0513F">
      <w:pPr>
        <w:spacing w:line="360" w:lineRule="auto"/>
        <w:jc w:val="both"/>
        <w:rPr>
          <w:rFonts w:ascii="Times New Roman" w:eastAsia="Times New Roman" w:hAnsi="Times New Roman" w:cs="Times New Roman"/>
          <w:sz w:val="24"/>
          <w:szCs w:val="24"/>
        </w:rPr>
      </w:pPr>
    </w:p>
    <w:p w14:paraId="0000003A" w14:textId="33420978"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further concern regarding the implementation of the Cross-curriculum Responsibilities is effective use of pupil assessment. Research shows that teachers find assessment challenging in cross-curricular activities (Parker, Heywood, and Jolley, 2012, p.702). When using the LNF to assess, some methods used are 'too complicated and time-consuming' (Estyn, 2017, p.52). Often, assessment methods are too 'generalised' (Barnes, 2015, p.245) and do not allow practitioners to view the assessment of an activity holistically (Barnes, 2015, p.252). There is concern that assessment can become ''bolt-on'' (Donaldson, 2015, p.76: Barnes, 2015, p.252). Assessment methods enable teachers to plan pupils’ next steps and progression (CAMAU, 2018, p.18). This is vital as the new curriculum 'underpins continuity and progression' (Donaldson, 2015, p.39). A report from Estyn highlights that, in some cases, assessment was just a procedure and did not guide progression (Estyn, 2017, p.52). Identifying a pupil's progression steps can increase 'intrinsic motivation, self-esteem and academic self-concept' (Mischo and Rheinberg (1995) and Köller (2001) cited by OECD/CERI, date unknown, p.8). Therefore, schools must be familiar with effective assessment strategies that highlight 'next-steps' for pupils to progress. </w:t>
      </w:r>
    </w:p>
    <w:p w14:paraId="0000003B" w14:textId="77777777" w:rsidR="000B507E" w:rsidRDefault="000B507E" w:rsidP="00F0513F">
      <w:pPr>
        <w:spacing w:line="360" w:lineRule="auto"/>
        <w:jc w:val="both"/>
        <w:rPr>
          <w:rFonts w:ascii="Times New Roman" w:eastAsia="Times New Roman" w:hAnsi="Times New Roman" w:cs="Times New Roman"/>
          <w:sz w:val="24"/>
          <w:szCs w:val="24"/>
        </w:rPr>
      </w:pPr>
    </w:p>
    <w:p w14:paraId="0000003C"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Barnes (2015) advocates for the use of formative assessment in cross-curricular learning. This is closely linked to Assessment for Learning (AfL) (Marsh, 2007, p.25) which assists teachers to 'decide where the learners are in their learning, where they need to go and how best to get there' (ARG, 2002, p.3). Formative assessment regarding cross-curricular learning is essential in tasks </w:t>
      </w:r>
      <w:r>
        <w:rPr>
          <w:rFonts w:ascii="Times New Roman" w:eastAsia="Times New Roman" w:hAnsi="Times New Roman" w:cs="Times New Roman"/>
          <w:sz w:val="24"/>
          <w:szCs w:val="24"/>
        </w:rPr>
        <w:lastRenderedPageBreak/>
        <w:t xml:space="preserve">and can strengthen learning (Barnes, 2015, p.245). It enables practitioners to assess learning in a variety of ways, promoting a more holistic overview of pupils' abilities (Barnes, 2015, p.246). Donaldson supports this and notes a wide range of assessment techniques need to be used (Donaldson, 2015, p.74). This is particularly the case for assessing Literacy. Literacy is 'multi-faceted' (Hall and Burke, 2004, p.65) and methods to assess skills should reflect this. It is suggested that for pupils to achieve their potential in Literacy, assessment must be a process the learner can engage in (Hall and Burke, 2004, p.63). From PTE it was clear that when children were involved in AfL in writing tasks, they were motivated to achieve their Success Criteria and were able to inform the teacher how they could progress.  </w:t>
      </w:r>
    </w:p>
    <w:p w14:paraId="0000003D" w14:textId="77777777" w:rsidR="000B507E" w:rsidRDefault="000B507E" w:rsidP="00F0513F">
      <w:pPr>
        <w:spacing w:line="360" w:lineRule="auto"/>
        <w:jc w:val="both"/>
        <w:rPr>
          <w:rFonts w:ascii="Times New Roman" w:eastAsia="Times New Roman" w:hAnsi="Times New Roman" w:cs="Times New Roman"/>
          <w:sz w:val="24"/>
          <w:szCs w:val="24"/>
        </w:rPr>
      </w:pPr>
    </w:p>
    <w:p w14:paraId="0000003E"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consideration of the above analysis, I will now put forward recommendations that I believe will ensure literacy, numeracy and digital competence will be implemented effectively across the curriculum by 2022 and promote progression by students in Welsh Education.  </w:t>
      </w:r>
    </w:p>
    <w:p w14:paraId="0000003F" w14:textId="77777777" w:rsidR="000B507E" w:rsidRDefault="000B507E" w:rsidP="00F0513F">
      <w:pPr>
        <w:spacing w:line="360" w:lineRule="auto"/>
        <w:jc w:val="both"/>
        <w:rPr>
          <w:rFonts w:ascii="Times New Roman" w:eastAsia="Times New Roman" w:hAnsi="Times New Roman" w:cs="Times New Roman"/>
          <w:sz w:val="24"/>
          <w:szCs w:val="24"/>
        </w:rPr>
      </w:pPr>
    </w:p>
    <w:p w14:paraId="00000040" w14:textId="7F7EF882"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from teachers on Successful Futures confirms there is a requirement for training on the implementation of the cross-curriculum </w:t>
      </w:r>
      <w:r w:rsidRPr="00F0513F">
        <w:rPr>
          <w:rFonts w:ascii="Times New Roman" w:eastAsia="Times New Roman" w:hAnsi="Times New Roman" w:cs="Times New Roman"/>
          <w:sz w:val="24"/>
          <w:szCs w:val="24"/>
        </w:rPr>
        <w:t>frameworks (</w:t>
      </w:r>
      <w:r w:rsidR="00E84110" w:rsidRPr="00F0513F">
        <w:rPr>
          <w:rFonts w:ascii="Times New Roman" w:eastAsia="Times New Roman" w:hAnsi="Times New Roman" w:cs="Times New Roman"/>
          <w:sz w:val="24"/>
          <w:szCs w:val="24"/>
        </w:rPr>
        <w:t>Welsh Government, 2019, p.iv)</w:t>
      </w:r>
      <w:r w:rsidRPr="00F051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 propose the Welsh Government provides schools with best-practice example videos, provided by Estyn, to improve teachers' pedagogical skills in cross-curricular learning. These videos should be explained by an expert on cross-curricular learning and its implementation. Additionally, I propose that schools collaborate and share ideas. One Pedagogical Principles proposes 'Good teaching and learning encourage collaboration' (Donaldson, 2015, p.70). It is my belief that this principle should be extended to teacher-collaboration across schools. By working collaboratively, schools can improve student attainment as teaching methods improve (Welsh Government, 2015, p.5). With the training day and collaboration, teachers will be better equipped in ensuring Literacy and Numeracy are taught alongside other AOLE's and do not monopolise curriculum time. </w:t>
      </w:r>
    </w:p>
    <w:p w14:paraId="00000041" w14:textId="77777777" w:rsidR="000B507E" w:rsidRDefault="000B507E" w:rsidP="00F0513F">
      <w:pPr>
        <w:spacing w:line="360" w:lineRule="auto"/>
        <w:jc w:val="both"/>
        <w:rPr>
          <w:rFonts w:ascii="Times New Roman" w:eastAsia="Times New Roman" w:hAnsi="Times New Roman" w:cs="Times New Roman"/>
          <w:sz w:val="24"/>
          <w:szCs w:val="24"/>
        </w:rPr>
      </w:pPr>
    </w:p>
    <w:p w14:paraId="00000042" w14:textId="7A84E24A"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Estyn's recommendations to audit teachers on the DCF to improve subject knowledge and confidence (Estyn, 2018, p.5), I propose all Cross-curriculum Responsibilities be audited. This would ensure a long-term plan could be laid out to improve staff and student teachers' subject knowledge, resulting in an improved ability to teach skills across the curriculum. This is a personal target of mine.</w:t>
      </w:r>
      <w:r w:rsidR="00E841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Following PTE, I am aware of my lack of subject knowledge regarding </w:t>
      </w:r>
      <w:r>
        <w:rPr>
          <w:rFonts w:ascii="Times New Roman" w:eastAsia="Times New Roman" w:hAnsi="Times New Roman" w:cs="Times New Roman"/>
          <w:sz w:val="24"/>
          <w:szCs w:val="24"/>
        </w:rPr>
        <w:lastRenderedPageBreak/>
        <w:t xml:space="preserve">DCF.  To achieve the 'Exploiting subject disciplines in areas of learning' from the 'Pedagogy' professional development strand (Welsh Government, 2019) I must ensure I become familiar with Digital Competence Framework and have the necessary skills to teach all aspects of it. This will ensure I apply skills across the curriculum effectively and progress children to their full potential. </w:t>
      </w:r>
    </w:p>
    <w:p w14:paraId="00000043" w14:textId="77777777" w:rsidR="000B507E" w:rsidRDefault="000B507E" w:rsidP="00F0513F">
      <w:pPr>
        <w:spacing w:line="360" w:lineRule="auto"/>
        <w:jc w:val="both"/>
        <w:rPr>
          <w:rFonts w:ascii="Times New Roman" w:eastAsia="Times New Roman" w:hAnsi="Times New Roman" w:cs="Times New Roman"/>
          <w:sz w:val="24"/>
          <w:szCs w:val="24"/>
        </w:rPr>
      </w:pPr>
    </w:p>
    <w:p w14:paraId="00000044" w14:textId="760A0C40"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ensure AfL is used effectively to identify where pupils should advance with their learning, training must be provided. Based on literature reading and Donaldson's advocating for formative assessment, I recommend that 'talking classrooms' are encouraged as a focus for assessing cross-curricular activities. It is stated that interaction between student and teacher 'is at the heart of pedagogy' (Black and William, 1998, p.16) and teachers can assess pupils' understanding by simply listening (Swaffield, 2008, p.76). I believe this would enable a teacher to gauge a child's holistic understanding of an activity, which as above, Barnes stresses should be done. From PTE, </w:t>
      </w:r>
      <w:r w:rsidR="00E84110">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would be beneficial in a Foundation Phase classroom as children often did not or could not read comments I left in their books. Therefore, I must ensure my assessment in the Foundation Phase is effective by ensuring children are part of the process.</w:t>
      </w:r>
      <w:r w:rsidR="00E8411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can be carried out with verbal feedback.</w:t>
      </w:r>
    </w:p>
    <w:p w14:paraId="00000045" w14:textId="77777777" w:rsidR="000B507E" w:rsidRDefault="000B507E" w:rsidP="00F0513F">
      <w:pPr>
        <w:spacing w:line="360" w:lineRule="auto"/>
        <w:jc w:val="both"/>
        <w:rPr>
          <w:rFonts w:ascii="Times New Roman" w:eastAsia="Times New Roman" w:hAnsi="Times New Roman" w:cs="Times New Roman"/>
          <w:sz w:val="24"/>
          <w:szCs w:val="24"/>
        </w:rPr>
      </w:pPr>
    </w:p>
    <w:p w14:paraId="00000046" w14:textId="77777777" w:rsidR="000B507E" w:rsidRDefault="00655B6B" w:rsidP="00F0513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teaching the Cross-curriculum Responsibilities holistically has clear benefits. By providing a context to learn these skills children can become more engaged and motivated. The approach should ensure skills become transferable and long lasting. However, cross-curricular learning is not without limitations. For it to be effective, it requires sound teacher knowledge, effective assessment strategies and consideration of pupil feedback The recommendations I have proposed will ensure schools and practitioners will be trained to a high standard to successfully implement the Cross-curriculum Responsibilities and therefore, promote high achievement for pupils.</w:t>
      </w:r>
    </w:p>
    <w:p w14:paraId="00000047" w14:textId="77777777" w:rsidR="000B507E" w:rsidRDefault="000B507E">
      <w:pPr>
        <w:jc w:val="both"/>
        <w:rPr>
          <w:rFonts w:ascii="Times New Roman" w:eastAsia="Times New Roman" w:hAnsi="Times New Roman" w:cs="Times New Roman"/>
          <w:sz w:val="24"/>
          <w:szCs w:val="24"/>
        </w:rPr>
      </w:pPr>
    </w:p>
    <w:p w14:paraId="00000048" w14:textId="77777777" w:rsidR="000B507E" w:rsidRDefault="00655B6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49" w14:textId="77777777" w:rsidR="000B507E" w:rsidRDefault="000B507E">
      <w:pPr>
        <w:jc w:val="both"/>
        <w:rPr>
          <w:rFonts w:ascii="Times New Roman" w:eastAsia="Times New Roman" w:hAnsi="Times New Roman" w:cs="Times New Roman"/>
          <w:sz w:val="24"/>
          <w:szCs w:val="24"/>
        </w:rPr>
      </w:pPr>
    </w:p>
    <w:p w14:paraId="0000004A" w14:textId="77777777" w:rsidR="000B507E" w:rsidRDefault="000B507E">
      <w:pPr>
        <w:jc w:val="both"/>
        <w:rPr>
          <w:rFonts w:ascii="Times New Roman" w:eastAsia="Times New Roman" w:hAnsi="Times New Roman" w:cs="Times New Roman"/>
          <w:sz w:val="24"/>
          <w:szCs w:val="24"/>
        </w:rPr>
      </w:pPr>
    </w:p>
    <w:p w14:paraId="0000004B" w14:textId="77777777" w:rsidR="000B507E" w:rsidRDefault="000B507E">
      <w:pPr>
        <w:jc w:val="both"/>
        <w:rPr>
          <w:rFonts w:ascii="Times New Roman" w:eastAsia="Times New Roman" w:hAnsi="Times New Roman" w:cs="Times New Roman"/>
          <w:sz w:val="24"/>
          <w:szCs w:val="24"/>
        </w:rPr>
      </w:pPr>
    </w:p>
    <w:p w14:paraId="0000004C" w14:textId="77777777" w:rsidR="000B507E" w:rsidRDefault="000B507E">
      <w:pPr>
        <w:jc w:val="both"/>
        <w:rPr>
          <w:rFonts w:ascii="Times New Roman" w:eastAsia="Times New Roman" w:hAnsi="Times New Roman" w:cs="Times New Roman"/>
          <w:sz w:val="24"/>
          <w:szCs w:val="24"/>
        </w:rPr>
      </w:pPr>
    </w:p>
    <w:p w14:paraId="0000004D" w14:textId="77777777" w:rsidR="000B507E" w:rsidRDefault="000B507E">
      <w:pPr>
        <w:jc w:val="both"/>
        <w:rPr>
          <w:rFonts w:ascii="Times New Roman" w:eastAsia="Times New Roman" w:hAnsi="Times New Roman" w:cs="Times New Roman"/>
          <w:sz w:val="24"/>
          <w:szCs w:val="24"/>
        </w:rPr>
      </w:pPr>
    </w:p>
    <w:p w14:paraId="0A64F278" w14:textId="77777777" w:rsidR="00F0513F" w:rsidRDefault="00F0513F">
      <w:pPr>
        <w:jc w:val="both"/>
        <w:rPr>
          <w:rFonts w:ascii="Times New Roman" w:eastAsia="Times New Roman" w:hAnsi="Times New Roman" w:cs="Times New Roman"/>
          <w:sz w:val="24"/>
          <w:szCs w:val="24"/>
        </w:rPr>
      </w:pPr>
    </w:p>
    <w:p w14:paraId="0000005A" w14:textId="34A072E8" w:rsidR="000B507E" w:rsidRDefault="00655B6B">
      <w:pPr>
        <w:jc w:val="both"/>
        <w:rPr>
          <w:rFonts w:ascii="Times New Roman" w:eastAsia="Times New Roman" w:hAnsi="Times New Roman" w:cs="Times New Roman"/>
          <w:sz w:val="24"/>
          <w:szCs w:val="24"/>
        </w:rPr>
      </w:pPr>
      <w:r>
        <w:rPr>
          <w:rFonts w:ascii="Times New Roman" w:eastAsia="Times New Roman" w:hAnsi="Times New Roman" w:cs="Times New Roman"/>
          <w:sz w:val="28"/>
          <w:szCs w:val="28"/>
          <w:u w:val="single"/>
        </w:rPr>
        <w:lastRenderedPageBreak/>
        <w:t>Reference list</w:t>
      </w:r>
      <w:r>
        <w:rPr>
          <w:rFonts w:ascii="Times New Roman" w:eastAsia="Times New Roman" w:hAnsi="Times New Roman" w:cs="Times New Roman"/>
          <w:sz w:val="24"/>
          <w:szCs w:val="24"/>
        </w:rPr>
        <w:t xml:space="preserve"> </w:t>
      </w:r>
    </w:p>
    <w:p w14:paraId="0000005B" w14:textId="77777777" w:rsidR="000B507E" w:rsidRDefault="000B507E">
      <w:pPr>
        <w:jc w:val="both"/>
        <w:rPr>
          <w:rFonts w:ascii="Times New Roman" w:eastAsia="Times New Roman" w:hAnsi="Times New Roman" w:cs="Times New Roman"/>
          <w:sz w:val="24"/>
          <w:szCs w:val="24"/>
        </w:rPr>
      </w:pPr>
    </w:p>
    <w:p w14:paraId="47EBB22B" w14:textId="0AC1A4E6"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Arthur, S., Crick, T. and Hayward, J. (2013) The ICT Steering Group’s Report to the Welsh Government. Available at: https://gov.wales/sites/default/files/publications/2018-11/the-ict-steering-group-s-report-to-the-welsh-government.pdf (Accessed: 19th November 2019). </w:t>
      </w:r>
    </w:p>
    <w:p w14:paraId="41DFB60A" w14:textId="77777777" w:rsidR="00E84110" w:rsidRDefault="00E84110">
      <w:pPr>
        <w:jc w:val="both"/>
        <w:rPr>
          <w:rFonts w:ascii="Times New Roman" w:eastAsia="Times New Roman" w:hAnsi="Times New Roman" w:cs="Times New Roman"/>
          <w:sz w:val="24"/>
          <w:szCs w:val="24"/>
        </w:rPr>
      </w:pPr>
    </w:p>
    <w:p w14:paraId="381F038C" w14:textId="637FC270"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Assessment Reform Group (ARG) (2002) Research-based principles to guide classroom practice. Available at: https://www.aaia.org.uk/content/uploads/2010/06/Assessment-for-Learning-10-principles.pdf  (Accessed: 9th December 2019). </w:t>
      </w:r>
    </w:p>
    <w:p w14:paraId="3753225F" w14:textId="77777777" w:rsidR="00E84110" w:rsidRDefault="00E84110">
      <w:pPr>
        <w:jc w:val="both"/>
        <w:rPr>
          <w:rFonts w:ascii="Times New Roman" w:eastAsia="Times New Roman" w:hAnsi="Times New Roman" w:cs="Times New Roman"/>
          <w:sz w:val="24"/>
          <w:szCs w:val="24"/>
        </w:rPr>
      </w:pPr>
    </w:p>
    <w:p w14:paraId="18D7E93A" w14:textId="319BB20E"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Barnes, J. (2015) ‘An Introduction to Cross- Curricular Learning’, in Driscoll, P., Lambirth, A. and Roden, J. (ed.) The Creative Primary Curriculum. 2nd Ed. London: SAGE Publications Ltd. </w:t>
      </w:r>
    </w:p>
    <w:p w14:paraId="3D0A88B2" w14:textId="77777777" w:rsidR="00E84110" w:rsidRDefault="00E84110">
      <w:pPr>
        <w:jc w:val="both"/>
        <w:rPr>
          <w:rFonts w:ascii="Times New Roman" w:eastAsia="Times New Roman" w:hAnsi="Times New Roman" w:cs="Times New Roman"/>
          <w:sz w:val="24"/>
          <w:szCs w:val="24"/>
        </w:rPr>
      </w:pPr>
    </w:p>
    <w:p w14:paraId="2E1B27F8" w14:textId="582AE4B0"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Barnes, J. (2015) Cross-curricular Learning 3-14. 3rd Ed. London: SAGE Publications Ltd. </w:t>
      </w:r>
    </w:p>
    <w:p w14:paraId="00940D7B" w14:textId="77777777" w:rsidR="00E84110" w:rsidRDefault="00E84110">
      <w:pPr>
        <w:jc w:val="both"/>
        <w:rPr>
          <w:rFonts w:ascii="Times New Roman" w:eastAsia="Times New Roman" w:hAnsi="Times New Roman" w:cs="Times New Roman"/>
          <w:sz w:val="24"/>
          <w:szCs w:val="24"/>
        </w:rPr>
      </w:pPr>
    </w:p>
    <w:p w14:paraId="62D91D06" w14:textId="0B5A6EA2"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Black, P. and William, D. (1998) Inside the black box: Raising standards through classroom assessment. London: GL Assessment. </w:t>
      </w:r>
    </w:p>
    <w:p w14:paraId="2752E158" w14:textId="77777777" w:rsidR="00E84110" w:rsidRDefault="00E84110">
      <w:pPr>
        <w:jc w:val="both"/>
        <w:rPr>
          <w:rFonts w:ascii="Times New Roman" w:eastAsia="Times New Roman" w:hAnsi="Times New Roman" w:cs="Times New Roman"/>
          <w:sz w:val="24"/>
          <w:szCs w:val="24"/>
        </w:rPr>
      </w:pPr>
    </w:p>
    <w:p w14:paraId="3E3B5768" w14:textId="4AD5DD7B"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Burnett, C.  (2016) The Digital Age and its Implications for Learning and Teaching in the Primary School. Available at: https://cprtrust.org.uk/wp-content/uploads/2016/07/Burnett-report-20160720.pdf (Accessed: 28th November 2019). </w:t>
      </w:r>
    </w:p>
    <w:p w14:paraId="099EA190" w14:textId="77777777" w:rsidR="00E84110" w:rsidRDefault="00E84110">
      <w:pPr>
        <w:jc w:val="both"/>
        <w:rPr>
          <w:rFonts w:ascii="Times New Roman" w:eastAsia="Times New Roman" w:hAnsi="Times New Roman" w:cs="Times New Roman"/>
          <w:sz w:val="24"/>
          <w:szCs w:val="24"/>
        </w:rPr>
      </w:pPr>
    </w:p>
    <w:p w14:paraId="0594FDA9" w14:textId="25A8C324"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CAMAU (2018) Learning about Progression-Informing thinking about a Curriculum for Wales. Available at: http://eprints.gla.ac.uk/163362/1/163362.pdf (Accessed: 12th December 2019). </w:t>
      </w:r>
    </w:p>
    <w:p w14:paraId="56530DE6" w14:textId="77777777" w:rsidR="00E84110" w:rsidRDefault="00E84110">
      <w:pPr>
        <w:jc w:val="both"/>
        <w:rPr>
          <w:rFonts w:ascii="Times New Roman" w:eastAsia="Times New Roman" w:hAnsi="Times New Roman" w:cs="Times New Roman"/>
          <w:sz w:val="24"/>
          <w:szCs w:val="24"/>
        </w:rPr>
      </w:pPr>
    </w:p>
    <w:p w14:paraId="3FD3FDCF" w14:textId="4B4917E1"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David-Lang, J. (2013) The Main Idea. Available at: http://www.tdschools.org/wp-content/uploads/2013/08/The+Main+Idea+-+Visible+Learning+for+Teachers+-+April+2013.pdf (Accessed: 3rd December 2019). </w:t>
      </w:r>
    </w:p>
    <w:p w14:paraId="4E25FF16" w14:textId="77777777" w:rsidR="00E84110" w:rsidRDefault="00E84110">
      <w:pPr>
        <w:jc w:val="both"/>
        <w:rPr>
          <w:rFonts w:ascii="Times New Roman" w:eastAsia="Times New Roman" w:hAnsi="Times New Roman" w:cs="Times New Roman"/>
          <w:sz w:val="24"/>
          <w:szCs w:val="24"/>
        </w:rPr>
      </w:pPr>
    </w:p>
    <w:p w14:paraId="42BCB7A1" w14:textId="4737FCEF"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Donaldson, G. (2015) Successful Futures: Independent Review of Curriculum and Assessment Arrangements in Wales. Cardiff: Welsh Government.</w:t>
      </w:r>
    </w:p>
    <w:p w14:paraId="49EF4546" w14:textId="77777777" w:rsidR="00E84110" w:rsidRDefault="00E84110">
      <w:pPr>
        <w:jc w:val="both"/>
        <w:rPr>
          <w:rFonts w:ascii="Times New Roman" w:eastAsia="Times New Roman" w:hAnsi="Times New Roman" w:cs="Times New Roman"/>
          <w:sz w:val="24"/>
          <w:szCs w:val="24"/>
        </w:rPr>
      </w:pPr>
    </w:p>
    <w:p w14:paraId="5CDD75A0" w14:textId="7B417035"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Edwards, A. (2019) Digital competence: Improving pupils’ digital skills. Available at: https://www.estyn.gov.wales/blog/digital-competence-improving-pupils-digital-skills (Accessed: 1st December 2019). </w:t>
      </w:r>
    </w:p>
    <w:p w14:paraId="187AA308" w14:textId="77777777" w:rsidR="00E84110" w:rsidRDefault="00E84110">
      <w:pPr>
        <w:jc w:val="both"/>
        <w:rPr>
          <w:rFonts w:ascii="Times New Roman" w:eastAsia="Times New Roman" w:hAnsi="Times New Roman" w:cs="Times New Roman"/>
          <w:sz w:val="24"/>
          <w:szCs w:val="24"/>
        </w:rPr>
      </w:pPr>
    </w:p>
    <w:p w14:paraId="36F668AC" w14:textId="33CD3476"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Estyn (2017) Active and experiential learning. Available at: estyn.gov.wales (Accessed: 5th December 2019). </w:t>
      </w:r>
    </w:p>
    <w:p w14:paraId="62626270" w14:textId="77777777" w:rsidR="00E84110" w:rsidRDefault="00E84110">
      <w:pPr>
        <w:jc w:val="both"/>
        <w:rPr>
          <w:rFonts w:ascii="Times New Roman" w:eastAsia="Times New Roman" w:hAnsi="Times New Roman" w:cs="Times New Roman"/>
          <w:sz w:val="24"/>
          <w:szCs w:val="24"/>
        </w:rPr>
      </w:pPr>
    </w:p>
    <w:p w14:paraId="261A5764" w14:textId="73675F24"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Estyn (2018) Preparing for the Digital Competence Framework (DCF). Available at: estyn.gov.wales (Accessed: 5th December 2019). </w:t>
      </w:r>
    </w:p>
    <w:p w14:paraId="5FB9DCF7" w14:textId="77777777" w:rsidR="00E84110" w:rsidRDefault="00E84110">
      <w:pPr>
        <w:jc w:val="both"/>
        <w:rPr>
          <w:rFonts w:ascii="Times New Roman" w:eastAsia="Times New Roman" w:hAnsi="Times New Roman" w:cs="Times New Roman"/>
          <w:sz w:val="24"/>
          <w:szCs w:val="24"/>
        </w:rPr>
      </w:pPr>
    </w:p>
    <w:p w14:paraId="5B97670D" w14:textId="785ED75A"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Greenwood, R. (2013) ‘Subject-based and cross-curricular approaches within the revised primary curriculum in Northern Ireland: teachers' concerns and preferred approaches’, Education 3-13, 41(4), pp. 443-458. DOI: 10.1080/03004279.2013.819618</w:t>
      </w:r>
    </w:p>
    <w:p w14:paraId="69789FEA" w14:textId="77777777" w:rsidR="00E84110" w:rsidRDefault="00E84110">
      <w:pPr>
        <w:jc w:val="both"/>
        <w:rPr>
          <w:rFonts w:ascii="Times New Roman" w:eastAsia="Times New Roman" w:hAnsi="Times New Roman" w:cs="Times New Roman"/>
          <w:sz w:val="24"/>
          <w:szCs w:val="24"/>
        </w:rPr>
      </w:pPr>
    </w:p>
    <w:p w14:paraId="5A5941C0" w14:textId="54383C92"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Hague, C. and Payton, S. (2010) Digital Literacy across the curriculum. Available at: www.futurelab.org.uk/ projects/digital-participation. (Accessed: 27th November 2019). </w:t>
      </w:r>
    </w:p>
    <w:p w14:paraId="0C78805D" w14:textId="77777777" w:rsidR="00E84110" w:rsidRDefault="00E84110">
      <w:pPr>
        <w:jc w:val="both"/>
        <w:rPr>
          <w:rFonts w:ascii="Times New Roman" w:eastAsia="Times New Roman" w:hAnsi="Times New Roman" w:cs="Times New Roman"/>
          <w:sz w:val="24"/>
          <w:szCs w:val="24"/>
        </w:rPr>
      </w:pPr>
    </w:p>
    <w:p w14:paraId="2D3C4F66" w14:textId="539BB68A"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K. and Burke, W. M. (2004) Making Formative Assessment Work. Berkshire: Open University Press. </w:t>
      </w:r>
    </w:p>
    <w:p w14:paraId="17B6A081" w14:textId="77777777" w:rsidR="00E84110" w:rsidRDefault="00E84110">
      <w:pPr>
        <w:jc w:val="both"/>
        <w:rPr>
          <w:rFonts w:ascii="Times New Roman" w:eastAsia="Times New Roman" w:hAnsi="Times New Roman" w:cs="Times New Roman"/>
          <w:sz w:val="24"/>
          <w:szCs w:val="24"/>
        </w:rPr>
      </w:pPr>
    </w:p>
    <w:p w14:paraId="7DBEBE10" w14:textId="05E122AA"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Hayes, D. (2010) ‘The seductive charms of a cross-curricular approach’, Education 3-13, 38(4), pp.381-387. DOI: 10.1080/03004270903519238 </w:t>
      </w:r>
    </w:p>
    <w:p w14:paraId="28FB940C" w14:textId="77777777" w:rsidR="00E84110" w:rsidRDefault="00E84110">
      <w:pPr>
        <w:jc w:val="both"/>
        <w:rPr>
          <w:rFonts w:ascii="Times New Roman" w:eastAsia="Times New Roman" w:hAnsi="Times New Roman" w:cs="Times New Roman"/>
          <w:sz w:val="24"/>
          <w:szCs w:val="24"/>
        </w:rPr>
      </w:pPr>
    </w:p>
    <w:p w14:paraId="198E6CFE" w14:textId="566B645A"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Howard, J.  (2017) Kids under 9 spend more than 2 hours a day on screens, report shows. Available at: https://edition.cnn.com/2017/10/19/health/children-smartphone-tablet-use-report/index.html (Accessed: 28th November 2019). </w:t>
      </w:r>
    </w:p>
    <w:p w14:paraId="70F5C249" w14:textId="77777777" w:rsidR="00E84110" w:rsidRDefault="00E84110">
      <w:pPr>
        <w:jc w:val="both"/>
        <w:rPr>
          <w:rFonts w:ascii="Times New Roman" w:eastAsia="Times New Roman" w:hAnsi="Times New Roman" w:cs="Times New Roman"/>
          <w:sz w:val="24"/>
          <w:szCs w:val="24"/>
        </w:rPr>
      </w:pPr>
    </w:p>
    <w:p w14:paraId="07F80573" w14:textId="1F2B5273"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ImpactWales (2018) Donaldson’s 12 Pedagogical Principles and what you should do with them! Available at: https://www.impact.wales/wp-content/uploads/2018/01/12-Pedagogical-Principles-1.pdf  (Accessed: 5th December 2019). </w:t>
      </w:r>
    </w:p>
    <w:p w14:paraId="5C06B6DB" w14:textId="77777777" w:rsidR="00E84110" w:rsidRDefault="00E84110">
      <w:pPr>
        <w:jc w:val="both"/>
        <w:rPr>
          <w:rFonts w:ascii="Times New Roman" w:eastAsia="Times New Roman" w:hAnsi="Times New Roman" w:cs="Times New Roman"/>
          <w:sz w:val="24"/>
          <w:szCs w:val="24"/>
        </w:rPr>
      </w:pPr>
    </w:p>
    <w:p w14:paraId="50F5B098" w14:textId="08A1C86D"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Marsh, C. (2007) ‘A critical analysis of the of formative assessment in schools’, Education Research for Policy and Practice, 6, pp.25-29. DOI: 10.1007/s10671-0079024-z </w:t>
      </w:r>
    </w:p>
    <w:p w14:paraId="4192C168" w14:textId="77777777" w:rsidR="00E84110" w:rsidRDefault="00E84110">
      <w:pPr>
        <w:jc w:val="both"/>
        <w:rPr>
          <w:rFonts w:ascii="Times New Roman" w:eastAsia="Times New Roman" w:hAnsi="Times New Roman" w:cs="Times New Roman"/>
          <w:sz w:val="24"/>
          <w:szCs w:val="24"/>
        </w:rPr>
      </w:pPr>
    </w:p>
    <w:p w14:paraId="7C848A50" w14:textId="36129B62"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Metzler, J. and Woessman, L. (2010) The impact of Teacher Subject Knowledge on Student Achievement: Evidence from Within-Teacher Within-Student Variation. Available at: http://ftp.iza.org/dp4999.pdf (Accessed: 6th December 2019). </w:t>
      </w:r>
    </w:p>
    <w:p w14:paraId="02DFC7F6" w14:textId="77777777" w:rsidR="00E84110" w:rsidRDefault="00E84110">
      <w:pPr>
        <w:jc w:val="both"/>
        <w:rPr>
          <w:rFonts w:ascii="Times New Roman" w:eastAsia="Times New Roman" w:hAnsi="Times New Roman" w:cs="Times New Roman"/>
          <w:sz w:val="24"/>
          <w:szCs w:val="24"/>
        </w:rPr>
      </w:pPr>
    </w:p>
    <w:p w14:paraId="03BB09C4" w14:textId="2132E834"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Murphy, C. (2012) ‘The role of subject knowledge in primary prospective teachers’ approaches to teaching the topic of area’, J Math Teacher Educ, 15, pp.187-206. DOI 10.1007/s10857-011-9194-8</w:t>
      </w:r>
    </w:p>
    <w:p w14:paraId="3902DD12" w14:textId="77777777" w:rsidR="00E84110" w:rsidRDefault="00E84110">
      <w:pPr>
        <w:jc w:val="both"/>
        <w:rPr>
          <w:rFonts w:ascii="Times New Roman" w:eastAsia="Times New Roman" w:hAnsi="Times New Roman" w:cs="Times New Roman"/>
          <w:sz w:val="24"/>
          <w:szCs w:val="24"/>
        </w:rPr>
      </w:pPr>
    </w:p>
    <w:p w14:paraId="39724A7E" w14:textId="5E06D52C"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Assembly for Wales (2013) Literacy and Numeracy in Wales. Available at: www.assemblywales.org/research (Accessed: 17th November 2019). </w:t>
      </w:r>
    </w:p>
    <w:p w14:paraId="472CEAA7" w14:textId="77777777" w:rsidR="00E84110" w:rsidRDefault="00E84110">
      <w:pPr>
        <w:jc w:val="both"/>
        <w:rPr>
          <w:rFonts w:ascii="Times New Roman" w:eastAsia="Times New Roman" w:hAnsi="Times New Roman" w:cs="Times New Roman"/>
          <w:sz w:val="24"/>
          <w:szCs w:val="24"/>
        </w:rPr>
      </w:pPr>
    </w:p>
    <w:p w14:paraId="70A096A4" w14:textId="3DE7CEA3"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National Union of Teachers (NUT) (2015) Exam Factories, The impact of accountability measures on children and young people. Available at: http://www.teachers.org.uk/ (Accessed: 25th November 2019). </w:t>
      </w:r>
    </w:p>
    <w:p w14:paraId="00EF078E" w14:textId="77777777" w:rsidR="00E84110" w:rsidRDefault="00E84110">
      <w:pPr>
        <w:jc w:val="both"/>
        <w:rPr>
          <w:rFonts w:ascii="Times New Roman" w:eastAsia="Times New Roman" w:hAnsi="Times New Roman" w:cs="Times New Roman"/>
          <w:sz w:val="24"/>
          <w:szCs w:val="24"/>
        </w:rPr>
      </w:pPr>
    </w:p>
    <w:p w14:paraId="5BC00DBC" w14:textId="6D0178DF"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 for Economic Co-operation and Development (OECD) and Centre for Educational Research and Innovation (CERI) (Date unknown) Assessment for Learning Formative Assessment. Available at: https://www.oecd.org/site/educeri21st/40600533.pdf (Accessed: 10th December 2019). </w:t>
      </w:r>
    </w:p>
    <w:p w14:paraId="6C86FC3F" w14:textId="77777777" w:rsidR="00E84110" w:rsidRDefault="00E84110">
      <w:pPr>
        <w:jc w:val="both"/>
        <w:rPr>
          <w:rFonts w:ascii="Times New Roman" w:eastAsia="Times New Roman" w:hAnsi="Times New Roman" w:cs="Times New Roman"/>
          <w:sz w:val="24"/>
          <w:szCs w:val="24"/>
        </w:rPr>
      </w:pPr>
    </w:p>
    <w:p w14:paraId="71DBBE62" w14:textId="1187DE39"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Parker, J., Heywood, D. and Jolley, N. (2012) ‘Developing pre-service primary teachers’ perceptions of cross-curricular teaching through reflection on learning’, Teachers and Teaching, 18(6), pp.693-716. DOI: 10.1080/13540602.2012.746504</w:t>
      </w:r>
    </w:p>
    <w:p w14:paraId="2464E263" w14:textId="77777777" w:rsidR="00E84110" w:rsidRDefault="00E84110">
      <w:pPr>
        <w:jc w:val="both"/>
        <w:rPr>
          <w:rFonts w:ascii="Times New Roman" w:eastAsia="Times New Roman" w:hAnsi="Times New Roman" w:cs="Times New Roman"/>
          <w:sz w:val="24"/>
          <w:szCs w:val="24"/>
        </w:rPr>
      </w:pPr>
    </w:p>
    <w:p w14:paraId="1623B4AF" w14:textId="4D4DB3D9"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Raja, R. and Nagasubramani, P.C.  (2018) ‘Impact of modern technology in education’, Journal of Applied and Advanced Research, 3(1), pp.33-35. DOI: 10.21839/jaar.2018.v3iS1.165</w:t>
      </w:r>
    </w:p>
    <w:p w14:paraId="38F97B67" w14:textId="77777777" w:rsidR="00E84110" w:rsidRDefault="00E84110">
      <w:pPr>
        <w:jc w:val="both"/>
        <w:rPr>
          <w:rFonts w:ascii="Times New Roman" w:eastAsia="Times New Roman" w:hAnsi="Times New Roman" w:cs="Times New Roman"/>
          <w:sz w:val="24"/>
          <w:szCs w:val="24"/>
        </w:rPr>
      </w:pPr>
    </w:p>
    <w:p w14:paraId="72D75372" w14:textId="55FFE3A7"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Robertson, G. (2015) ‘Student voice at the ‘heart of learning’’, Research in Teacher Education, 5(1), pp.27-32. Available at: https://repository.uel.ac.uk/download/41ad792be990957643a30aa01264ea958aeca59b1cc99fb02c0eee064a18f938/497987/Research%20in%20Teacher%20Training%20May%2015%20Robertson.pdf (Accessed: 2nd December 2019). </w:t>
      </w:r>
    </w:p>
    <w:p w14:paraId="54CD5136" w14:textId="77777777" w:rsidR="00E84110" w:rsidRDefault="00E84110">
      <w:pPr>
        <w:jc w:val="both"/>
        <w:rPr>
          <w:rFonts w:ascii="Times New Roman" w:eastAsia="Times New Roman" w:hAnsi="Times New Roman" w:cs="Times New Roman"/>
          <w:sz w:val="24"/>
          <w:szCs w:val="24"/>
        </w:rPr>
      </w:pPr>
    </w:p>
    <w:p w14:paraId="49A92D41" w14:textId="63B172C3"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Rohaan, E., Taconis, R. and Jochems, W. (2012) ‘Analysing teacher knowledge for technology education in primary schools’, Int J Technol Des Educ, 22, pp. 271-280. DOI 10.1007/s10798-010-9147-z</w:t>
      </w:r>
    </w:p>
    <w:p w14:paraId="298C7D21" w14:textId="77777777" w:rsidR="00E84110" w:rsidRDefault="00E84110">
      <w:pPr>
        <w:jc w:val="both"/>
        <w:rPr>
          <w:rFonts w:ascii="Times New Roman" w:eastAsia="Times New Roman" w:hAnsi="Times New Roman" w:cs="Times New Roman"/>
          <w:sz w:val="24"/>
          <w:szCs w:val="24"/>
        </w:rPr>
      </w:pPr>
    </w:p>
    <w:p w14:paraId="7A3A05BB" w14:textId="0DA9301C"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Savage, J. (2010) Cross-Curricular Teaching and Learning in Secondary Education. London: Routledge. </w:t>
      </w:r>
    </w:p>
    <w:p w14:paraId="2EA762D6" w14:textId="77777777" w:rsidR="00E84110" w:rsidRDefault="00E84110">
      <w:pPr>
        <w:jc w:val="both"/>
        <w:rPr>
          <w:rFonts w:ascii="Times New Roman" w:eastAsia="Times New Roman" w:hAnsi="Times New Roman" w:cs="Times New Roman"/>
          <w:sz w:val="24"/>
          <w:szCs w:val="24"/>
        </w:rPr>
      </w:pPr>
    </w:p>
    <w:p w14:paraId="1EFABF16" w14:textId="66877C37"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Schwab, K. and Samans, R. (2019) The Future of Jobs Report. Available at: http://reports.weforum.org/future-of-jobs-2016/chapter-1-the-future-of-jobs-and-skills/ (Accessed: 6th December 2019). </w:t>
      </w:r>
    </w:p>
    <w:p w14:paraId="76B526F7" w14:textId="77777777" w:rsidR="00E84110" w:rsidRDefault="00E84110">
      <w:pPr>
        <w:jc w:val="both"/>
        <w:rPr>
          <w:rFonts w:ascii="Times New Roman" w:eastAsia="Times New Roman" w:hAnsi="Times New Roman" w:cs="Times New Roman"/>
          <w:sz w:val="24"/>
          <w:szCs w:val="24"/>
        </w:rPr>
      </w:pPr>
    </w:p>
    <w:p w14:paraId="1481750E" w14:textId="1EA4BB88"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Soffel, J. (2016) What are the 21st-century skills every student needs? Available at: https://www.weforum.org/agenda/2016/03/21st-century-skills-future-jobs-students. (Accessed: 17th November 2019). </w:t>
      </w:r>
    </w:p>
    <w:p w14:paraId="30BB162A" w14:textId="77777777" w:rsidR="00E84110" w:rsidRDefault="00E84110">
      <w:pPr>
        <w:jc w:val="both"/>
        <w:rPr>
          <w:rFonts w:ascii="Times New Roman" w:eastAsia="Times New Roman" w:hAnsi="Times New Roman" w:cs="Times New Roman"/>
          <w:sz w:val="24"/>
          <w:szCs w:val="24"/>
        </w:rPr>
      </w:pPr>
    </w:p>
    <w:p w14:paraId="45744731" w14:textId="144E2739"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Swaffield, S (2008) Unlocking Assessment. Abingdon: Routledge. </w:t>
      </w:r>
    </w:p>
    <w:p w14:paraId="154360A5" w14:textId="77777777" w:rsidR="00E84110" w:rsidRDefault="00E84110">
      <w:pPr>
        <w:jc w:val="both"/>
        <w:rPr>
          <w:rFonts w:ascii="Times New Roman" w:eastAsia="Times New Roman" w:hAnsi="Times New Roman" w:cs="Times New Roman"/>
          <w:sz w:val="24"/>
          <w:szCs w:val="24"/>
        </w:rPr>
      </w:pPr>
    </w:p>
    <w:p w14:paraId="18DC09FB" w14:textId="54DF507D"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Walker, L. and Logan, A. (2008) ‘Learner Engagement’ A review of learner voice initiatives across the UK’s education sectors. Available at: https://www.nfer.ac.uk/publications/futl80/futl80.pdf (Accessed: 2nd December 2019). </w:t>
      </w:r>
    </w:p>
    <w:p w14:paraId="161FAE3E" w14:textId="77777777" w:rsidR="00E84110" w:rsidRDefault="00E84110">
      <w:pPr>
        <w:jc w:val="both"/>
        <w:rPr>
          <w:rFonts w:ascii="Times New Roman" w:eastAsia="Times New Roman" w:hAnsi="Times New Roman" w:cs="Times New Roman"/>
          <w:sz w:val="24"/>
          <w:szCs w:val="24"/>
        </w:rPr>
      </w:pPr>
    </w:p>
    <w:p w14:paraId="4C779A3B" w14:textId="586C4A67"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Walshaw, M. (2012) ‘Teacher knowledge as fundamental to effective teaching practice’, J Math Teacher Educ, 15, pp.181-185. DOI 10.1007/s10857-012-9217-0</w:t>
      </w:r>
    </w:p>
    <w:p w14:paraId="4D6F2F01" w14:textId="77777777" w:rsidR="00E84110" w:rsidRDefault="00E84110">
      <w:pPr>
        <w:jc w:val="both"/>
        <w:rPr>
          <w:rFonts w:ascii="Times New Roman" w:eastAsia="Times New Roman" w:hAnsi="Times New Roman" w:cs="Times New Roman"/>
          <w:sz w:val="24"/>
          <w:szCs w:val="24"/>
        </w:rPr>
      </w:pPr>
    </w:p>
    <w:p w14:paraId="23649E2E" w14:textId="3D6B0E2F"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(2013) National Literacy and Numeracy Framework. Available at: https://hwb.gov.wales/storage/64812b0e-3d20-4d10-94e8-68221e47a38d/to-support-schools-in-introducing-the-national-literacy-and-numeracy-framework.pdf (Accessed: 17th November 2019). </w:t>
      </w:r>
    </w:p>
    <w:p w14:paraId="4F0BEC3A" w14:textId="77777777" w:rsidR="00E84110" w:rsidRDefault="00E84110">
      <w:pPr>
        <w:jc w:val="both"/>
        <w:rPr>
          <w:rFonts w:ascii="Times New Roman" w:eastAsia="Times New Roman" w:hAnsi="Times New Roman" w:cs="Times New Roman"/>
          <w:sz w:val="24"/>
          <w:szCs w:val="24"/>
        </w:rPr>
      </w:pPr>
    </w:p>
    <w:p w14:paraId="66150EE5" w14:textId="17724E08"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(2015) Effective Collaboration. Available at: https://dera.ioe.ac.uk/24502/2/150922-info-booklet-en_Redacted.pdf (Accessed: 10th December 2019). </w:t>
      </w:r>
    </w:p>
    <w:p w14:paraId="17283E09" w14:textId="77777777" w:rsidR="00E84110" w:rsidRDefault="00E84110">
      <w:pPr>
        <w:jc w:val="both"/>
        <w:rPr>
          <w:rFonts w:ascii="Times New Roman" w:eastAsia="Times New Roman" w:hAnsi="Times New Roman" w:cs="Times New Roman"/>
          <w:sz w:val="24"/>
          <w:szCs w:val="24"/>
        </w:rPr>
      </w:pPr>
    </w:p>
    <w:p w14:paraId="50E94C45" w14:textId="7DE08A6D"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(2015) Evaluation of the National Literacy and Numeracy Programmes Interim Report. Available at: https://dera.ioe.ac.uk/24930/1/151210-evaluation-national-literacy-numeracy-programmes-interim-en.pdf (Accessed: 4th December 2019). </w:t>
      </w:r>
    </w:p>
    <w:p w14:paraId="2A2B696A" w14:textId="77777777" w:rsidR="00E84110" w:rsidRDefault="00E84110">
      <w:pPr>
        <w:jc w:val="both"/>
        <w:rPr>
          <w:rFonts w:ascii="Times New Roman" w:eastAsia="Times New Roman" w:hAnsi="Times New Roman" w:cs="Times New Roman"/>
          <w:sz w:val="24"/>
          <w:szCs w:val="24"/>
        </w:rPr>
      </w:pPr>
    </w:p>
    <w:p w14:paraId="211FCE2E" w14:textId="5E77DE0C"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(2016) Digital Competence Framework Guidance. Available at: https://dera.ioe.ac.uk/27143/2/160831-dcf-guidance-en_Redacted.pdf (Accessed: 17th November 2019). </w:t>
      </w:r>
    </w:p>
    <w:p w14:paraId="378E6AB2" w14:textId="77777777" w:rsidR="00E84110" w:rsidRDefault="00E84110">
      <w:pPr>
        <w:jc w:val="both"/>
        <w:rPr>
          <w:rFonts w:ascii="Times New Roman" w:eastAsia="Times New Roman" w:hAnsi="Times New Roman" w:cs="Times New Roman"/>
          <w:sz w:val="24"/>
          <w:szCs w:val="24"/>
        </w:rPr>
      </w:pPr>
    </w:p>
    <w:p w14:paraId="5C358FC1" w14:textId="6D9FFD90"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(2016) National Literacy and Numeracy Programme-a strategic action plan. Available at: https://dera.ioe.ac.uk/25895/2/160316-national-literacy-and-numeracy-programmes-en_Redacted.pdf (Accessed: 21st November 2019). </w:t>
      </w:r>
    </w:p>
    <w:p w14:paraId="2DCF616B" w14:textId="77777777" w:rsidR="00E84110" w:rsidRDefault="00E84110">
      <w:pPr>
        <w:jc w:val="both"/>
        <w:rPr>
          <w:rFonts w:ascii="Times New Roman" w:eastAsia="Times New Roman" w:hAnsi="Times New Roman" w:cs="Times New Roman"/>
          <w:sz w:val="24"/>
          <w:szCs w:val="24"/>
        </w:rPr>
      </w:pPr>
    </w:p>
    <w:p w14:paraId="0DD8BF2D" w14:textId="07D91320"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“Positive, but not perfect” says Kirsty Williams as Minister welcomes Wales PISA improvement. Available at:https://gov.wales/positive-not-perfect-says-kirsty-williams-minister-welcomes-wales-pisa-improvement (Accessed: 25th November 2019). </w:t>
      </w:r>
    </w:p>
    <w:p w14:paraId="2DBF7084" w14:textId="77777777" w:rsidR="00E84110" w:rsidRDefault="00E84110">
      <w:pPr>
        <w:jc w:val="both"/>
        <w:rPr>
          <w:rFonts w:ascii="Times New Roman" w:eastAsia="Times New Roman" w:hAnsi="Times New Roman" w:cs="Times New Roman"/>
          <w:sz w:val="24"/>
          <w:szCs w:val="24"/>
        </w:rPr>
      </w:pPr>
    </w:p>
    <w:p w14:paraId="4F2ACF94" w14:textId="75531C58"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Curriculum for Wales 2022 Feedback Analysis Children and Young People’s Report. Available at: https://gov.wales/sites/default/files/consultations/2019-10/curriculum-for-wales-2022-feedback-analysis-children-young-peoples-report.pdf (Accessed: 1st December 2019).  </w:t>
      </w:r>
    </w:p>
    <w:p w14:paraId="10734B8A" w14:textId="77777777" w:rsidR="00E84110" w:rsidRDefault="00E84110">
      <w:pPr>
        <w:jc w:val="both"/>
        <w:rPr>
          <w:rFonts w:ascii="Times New Roman" w:eastAsia="Times New Roman" w:hAnsi="Times New Roman" w:cs="Times New Roman"/>
          <w:sz w:val="24"/>
          <w:szCs w:val="24"/>
        </w:rPr>
      </w:pPr>
    </w:p>
    <w:p w14:paraId="386A3D61" w14:textId="3225B271"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w:t>
      </w:r>
      <w:r w:rsidRPr="00E84110">
        <w:rPr>
          <w:rFonts w:ascii="Times New Roman" w:eastAsia="Times New Roman" w:hAnsi="Times New Roman" w:cs="Times New Roman"/>
          <w:i/>
          <w:iCs/>
          <w:sz w:val="24"/>
          <w:szCs w:val="24"/>
        </w:rPr>
        <w:t>Curriculum for Wales 2022 Feedback Analysis</w:t>
      </w:r>
      <w:r>
        <w:rPr>
          <w:rFonts w:ascii="Times New Roman" w:eastAsia="Times New Roman" w:hAnsi="Times New Roman" w:cs="Times New Roman"/>
          <w:sz w:val="24"/>
          <w:szCs w:val="24"/>
        </w:rPr>
        <w:t>. Available at: (Accessed: 27</w:t>
      </w:r>
      <w:r w:rsidRPr="00E84110">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2019). </w:t>
      </w:r>
    </w:p>
    <w:p w14:paraId="6B3B7390" w14:textId="77777777" w:rsidR="00E84110" w:rsidRDefault="00E84110">
      <w:pPr>
        <w:jc w:val="both"/>
        <w:rPr>
          <w:rFonts w:ascii="Times New Roman" w:eastAsia="Times New Roman" w:hAnsi="Times New Roman" w:cs="Times New Roman"/>
          <w:sz w:val="24"/>
          <w:szCs w:val="24"/>
        </w:rPr>
      </w:pPr>
    </w:p>
    <w:p w14:paraId="5EC17932" w14:textId="62CD4556"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Welsh Government (2019) Numeracy. Available at: https://hwb.gov.wales/storage/5286b8da-337d-4a0b-87b8-6facb7121120/national-literacy-and-numeracy-framework-numeracy-curriculum-2022.pdf  (Accessed: 5th December 2019). </w:t>
      </w:r>
    </w:p>
    <w:p w14:paraId="77E9CEFA" w14:textId="77777777" w:rsidR="00E84110" w:rsidRDefault="00E84110">
      <w:pPr>
        <w:jc w:val="both"/>
        <w:rPr>
          <w:rFonts w:ascii="Times New Roman" w:eastAsia="Times New Roman" w:hAnsi="Times New Roman" w:cs="Times New Roman"/>
          <w:sz w:val="24"/>
          <w:szCs w:val="24"/>
        </w:rPr>
      </w:pPr>
    </w:p>
    <w:p w14:paraId="3F534D87" w14:textId="5FB64BBF"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Professional standards for teaching and leadership. Cardiff: Crown. Available at: https://hwb.gov.wales/storage/19bc948b-8a3f-41e0-944a-7bf2cadf7d18/professional-standards-for-teaching-and-leadership-interactive-pdf-for-pc.pdf (Accessed: 9th December2019). </w:t>
      </w:r>
    </w:p>
    <w:p w14:paraId="6F84D333" w14:textId="77777777" w:rsidR="00E84110" w:rsidRDefault="00E84110">
      <w:pPr>
        <w:jc w:val="both"/>
        <w:rPr>
          <w:rFonts w:ascii="Times New Roman" w:eastAsia="Times New Roman" w:hAnsi="Times New Roman" w:cs="Times New Roman"/>
          <w:sz w:val="24"/>
          <w:szCs w:val="24"/>
        </w:rPr>
      </w:pPr>
    </w:p>
    <w:p w14:paraId="79D21020" w14:textId="77777777" w:rsidR="00E84110" w:rsidRDefault="00E8411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Yuhyun, P. (2016) 8 digital life skills all children need-and a plan for teaching them. Available at: https://www.weforum.org/agenda/2016/09/8-digital-life-skills-all-children-need-and-a-plan-for-teaching-them (Accessed: 27th November 2019). </w:t>
      </w:r>
    </w:p>
    <w:p w14:paraId="000000B1" w14:textId="77777777" w:rsidR="000B507E" w:rsidRDefault="000B507E">
      <w:pPr>
        <w:jc w:val="both"/>
        <w:rPr>
          <w:rFonts w:ascii="Times New Roman" w:eastAsia="Times New Roman" w:hAnsi="Times New Roman" w:cs="Times New Roman"/>
          <w:sz w:val="24"/>
          <w:szCs w:val="24"/>
        </w:rPr>
      </w:pPr>
    </w:p>
    <w:p w14:paraId="000000B2" w14:textId="77777777" w:rsidR="000B507E" w:rsidRDefault="000B507E"/>
    <w:sectPr w:rsidR="000B507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07E"/>
    <w:rsid w:val="00015BEB"/>
    <w:rsid w:val="000B507E"/>
    <w:rsid w:val="004372CE"/>
    <w:rsid w:val="00655B6B"/>
    <w:rsid w:val="006F0A3C"/>
    <w:rsid w:val="00710F77"/>
    <w:rsid w:val="00E84110"/>
    <w:rsid w:val="00F05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612A6"/>
  <w15:docId w15:val="{B20F3B96-B6BB-43B4-BD68-384505AA2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F0A3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A3C"/>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6F0A3C"/>
    <w:rPr>
      <w:b/>
      <w:bCs/>
    </w:rPr>
  </w:style>
  <w:style w:type="character" w:customStyle="1" w:styleId="CommentSubjectChar">
    <w:name w:val="Comment Subject Char"/>
    <w:basedOn w:val="CommentTextChar"/>
    <w:link w:val="CommentSubject"/>
    <w:uiPriority w:val="99"/>
    <w:semiHidden/>
    <w:rsid w:val="006F0A3C"/>
    <w:rPr>
      <w:b/>
      <w:bCs/>
      <w:sz w:val="20"/>
      <w:szCs w:val="20"/>
    </w:rPr>
  </w:style>
  <w:style w:type="character" w:styleId="Hyperlink">
    <w:name w:val="Hyperlink"/>
    <w:basedOn w:val="DefaultParagraphFont"/>
    <w:uiPriority w:val="99"/>
    <w:unhideWhenUsed/>
    <w:rsid w:val="00E84110"/>
    <w:rPr>
      <w:color w:val="0000FF" w:themeColor="hyperlink"/>
      <w:u w:val="single"/>
    </w:rPr>
  </w:style>
  <w:style w:type="character" w:styleId="UnresolvedMention">
    <w:name w:val="Unresolved Mention"/>
    <w:basedOn w:val="DefaultParagraphFont"/>
    <w:uiPriority w:val="99"/>
    <w:semiHidden/>
    <w:unhideWhenUsed/>
    <w:rsid w:val="00E841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14</Pages>
  <Words>4015</Words>
  <Characters>22892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Eleasha Carridge</cp:lastModifiedBy>
  <cp:revision>6</cp:revision>
  <dcterms:created xsi:type="dcterms:W3CDTF">2019-12-19T16:48:00Z</dcterms:created>
  <dcterms:modified xsi:type="dcterms:W3CDTF">2019-12-20T11:57:00Z</dcterms:modified>
</cp:coreProperties>
</file>